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367447" w14:textId="77777777" w:rsidR="003A6ED3" w:rsidRDefault="003A6ED3">
      <w:pPr>
        <w:jc w:val="center"/>
        <w:rPr>
          <w:sz w:val="28"/>
          <w:szCs w:val="28"/>
          <w:lang w:val="en-CA"/>
        </w:rPr>
      </w:pPr>
    </w:p>
    <w:p w14:paraId="183E82E7" w14:textId="38C62728" w:rsidR="00236E6D" w:rsidRPr="00F920F6" w:rsidRDefault="003D200D">
      <w:pPr>
        <w:jc w:val="center"/>
        <w:rPr>
          <w:sz w:val="36"/>
          <w:szCs w:val="36"/>
        </w:rPr>
      </w:pPr>
      <w:r w:rsidRPr="003D200D">
        <w:rPr>
          <w:sz w:val="28"/>
          <w:szCs w:val="28"/>
          <w:lang w:val="en-CA"/>
        </w:rPr>
        <w:t>Institutional Expenditures and State Economic Factors Influencing 2012-2014 Public University Graduation Rates</w:t>
      </w:r>
    </w:p>
    <w:p w14:paraId="31309F53" w14:textId="77777777" w:rsidR="00236E6D" w:rsidRPr="00F920F6" w:rsidRDefault="00236E6D">
      <w:pPr>
        <w:jc w:val="center"/>
        <w:rPr>
          <w:sz w:val="36"/>
          <w:szCs w:val="36"/>
        </w:rPr>
      </w:pPr>
    </w:p>
    <w:p w14:paraId="315D10F7" w14:textId="77777777" w:rsidR="00236E6D" w:rsidRPr="00F920F6" w:rsidRDefault="00236E6D">
      <w:pPr>
        <w:jc w:val="center"/>
        <w:rPr>
          <w:sz w:val="36"/>
          <w:szCs w:val="36"/>
        </w:rPr>
      </w:pPr>
    </w:p>
    <w:p w14:paraId="5A609717" w14:textId="77777777" w:rsidR="00236E6D" w:rsidRPr="00F920F6" w:rsidRDefault="00236E6D">
      <w:pPr>
        <w:jc w:val="center"/>
        <w:rPr>
          <w:sz w:val="36"/>
          <w:szCs w:val="36"/>
        </w:rPr>
      </w:pPr>
    </w:p>
    <w:p w14:paraId="46913282" w14:textId="77777777" w:rsidR="00236E6D" w:rsidRPr="00F920F6" w:rsidRDefault="00236E6D">
      <w:pPr>
        <w:jc w:val="center"/>
        <w:rPr>
          <w:sz w:val="36"/>
          <w:szCs w:val="36"/>
        </w:rPr>
      </w:pPr>
    </w:p>
    <w:p w14:paraId="4B4B874F" w14:textId="77777777" w:rsidR="00236E6D" w:rsidRPr="00F920F6" w:rsidRDefault="00236E6D">
      <w:pPr>
        <w:jc w:val="center"/>
        <w:rPr>
          <w:sz w:val="36"/>
          <w:szCs w:val="36"/>
        </w:rPr>
      </w:pPr>
    </w:p>
    <w:p w14:paraId="2B92B2A0" w14:textId="77777777" w:rsidR="00236E6D" w:rsidRPr="00F920F6" w:rsidRDefault="00236E6D">
      <w:pPr>
        <w:jc w:val="center"/>
        <w:rPr>
          <w:sz w:val="36"/>
          <w:szCs w:val="36"/>
        </w:rPr>
      </w:pPr>
    </w:p>
    <w:p w14:paraId="35DB5E32" w14:textId="77777777" w:rsidR="00236E6D" w:rsidRPr="00F920F6" w:rsidRDefault="00236E6D">
      <w:pPr>
        <w:jc w:val="center"/>
        <w:rPr>
          <w:sz w:val="36"/>
          <w:szCs w:val="36"/>
        </w:rPr>
      </w:pPr>
    </w:p>
    <w:p w14:paraId="3BB9753D" w14:textId="77777777" w:rsidR="00236E6D" w:rsidRPr="00F920F6" w:rsidRDefault="00236E6D">
      <w:pPr>
        <w:jc w:val="center"/>
        <w:rPr>
          <w:sz w:val="36"/>
          <w:szCs w:val="36"/>
        </w:rPr>
      </w:pPr>
    </w:p>
    <w:p w14:paraId="54D36D2A" w14:textId="77777777" w:rsidR="00A8693F" w:rsidRPr="00A8693F" w:rsidRDefault="00A8693F" w:rsidP="00A8693F">
      <w:pPr>
        <w:jc w:val="center"/>
        <w:rPr>
          <w:sz w:val="28"/>
          <w:szCs w:val="28"/>
        </w:rPr>
      </w:pPr>
      <w:r w:rsidRPr="00A8693F">
        <w:rPr>
          <w:sz w:val="28"/>
          <w:szCs w:val="28"/>
        </w:rPr>
        <w:t>A Dissertation Presented for the</w:t>
      </w:r>
    </w:p>
    <w:p w14:paraId="4E0FD373" w14:textId="77777777" w:rsidR="00A8693F" w:rsidRPr="00A8693F" w:rsidRDefault="00A8693F" w:rsidP="00A8693F">
      <w:pPr>
        <w:jc w:val="center"/>
        <w:rPr>
          <w:sz w:val="28"/>
          <w:szCs w:val="28"/>
        </w:rPr>
      </w:pPr>
      <w:r w:rsidRPr="00A8693F">
        <w:rPr>
          <w:sz w:val="28"/>
          <w:szCs w:val="28"/>
        </w:rPr>
        <w:t>Doctor of Philosophy</w:t>
      </w:r>
    </w:p>
    <w:p w14:paraId="502FD1E5" w14:textId="77777777" w:rsidR="00A8693F" w:rsidRPr="00A8693F" w:rsidRDefault="00A8693F" w:rsidP="00A8693F">
      <w:pPr>
        <w:jc w:val="center"/>
        <w:rPr>
          <w:sz w:val="28"/>
          <w:szCs w:val="28"/>
        </w:rPr>
      </w:pPr>
      <w:r w:rsidRPr="00A8693F">
        <w:rPr>
          <w:sz w:val="28"/>
          <w:szCs w:val="28"/>
        </w:rPr>
        <w:t>Degree</w:t>
      </w:r>
    </w:p>
    <w:p w14:paraId="55942657" w14:textId="77777777" w:rsidR="00236E6D" w:rsidRPr="00F920F6" w:rsidRDefault="00A8693F" w:rsidP="00A8693F">
      <w:pPr>
        <w:jc w:val="center"/>
        <w:rPr>
          <w:sz w:val="36"/>
          <w:szCs w:val="36"/>
        </w:rPr>
      </w:pPr>
      <w:r w:rsidRPr="00A8693F">
        <w:rPr>
          <w:sz w:val="28"/>
          <w:szCs w:val="28"/>
        </w:rPr>
        <w:t>The University of Tennessee, Knoxville</w:t>
      </w:r>
    </w:p>
    <w:p w14:paraId="2F8FC3E1" w14:textId="77777777" w:rsidR="00236E6D" w:rsidRPr="00F920F6" w:rsidRDefault="00236E6D">
      <w:pPr>
        <w:jc w:val="center"/>
        <w:rPr>
          <w:sz w:val="36"/>
          <w:szCs w:val="36"/>
        </w:rPr>
      </w:pPr>
    </w:p>
    <w:p w14:paraId="395A5446" w14:textId="77777777" w:rsidR="00236E6D" w:rsidRPr="00F920F6" w:rsidRDefault="00236E6D">
      <w:pPr>
        <w:jc w:val="center"/>
        <w:rPr>
          <w:sz w:val="36"/>
          <w:szCs w:val="36"/>
        </w:rPr>
      </w:pPr>
    </w:p>
    <w:p w14:paraId="595FCA7C" w14:textId="77777777" w:rsidR="00236E6D" w:rsidRPr="00F920F6" w:rsidRDefault="00236E6D">
      <w:pPr>
        <w:jc w:val="center"/>
        <w:rPr>
          <w:sz w:val="36"/>
          <w:szCs w:val="36"/>
        </w:rPr>
      </w:pPr>
    </w:p>
    <w:p w14:paraId="4AE7D4B5" w14:textId="77777777" w:rsidR="00236E6D" w:rsidRPr="00F920F6" w:rsidRDefault="00236E6D">
      <w:pPr>
        <w:jc w:val="center"/>
        <w:rPr>
          <w:sz w:val="36"/>
          <w:szCs w:val="36"/>
        </w:rPr>
      </w:pPr>
    </w:p>
    <w:p w14:paraId="3AD7FF8B" w14:textId="77777777" w:rsidR="00236E6D" w:rsidRPr="00F920F6" w:rsidRDefault="00236E6D">
      <w:pPr>
        <w:jc w:val="center"/>
        <w:rPr>
          <w:sz w:val="36"/>
          <w:szCs w:val="36"/>
        </w:rPr>
      </w:pPr>
    </w:p>
    <w:p w14:paraId="0B733E88" w14:textId="77777777" w:rsidR="00236E6D" w:rsidRPr="00F920F6" w:rsidRDefault="00236E6D">
      <w:pPr>
        <w:jc w:val="center"/>
        <w:rPr>
          <w:sz w:val="36"/>
          <w:szCs w:val="36"/>
        </w:rPr>
      </w:pPr>
    </w:p>
    <w:p w14:paraId="5F32A260" w14:textId="77777777" w:rsidR="00236E6D" w:rsidRPr="00F920F6" w:rsidRDefault="00236E6D">
      <w:pPr>
        <w:jc w:val="center"/>
        <w:rPr>
          <w:sz w:val="36"/>
          <w:szCs w:val="36"/>
        </w:rPr>
      </w:pPr>
    </w:p>
    <w:p w14:paraId="348C14D8" w14:textId="77777777" w:rsidR="00236E6D" w:rsidRPr="00F920F6" w:rsidRDefault="00236E6D">
      <w:pPr>
        <w:jc w:val="center"/>
        <w:rPr>
          <w:sz w:val="36"/>
          <w:szCs w:val="36"/>
        </w:rPr>
      </w:pPr>
    </w:p>
    <w:p w14:paraId="7D085F62" w14:textId="77777777" w:rsidR="00236E6D" w:rsidRPr="00F920F6" w:rsidRDefault="00236E6D">
      <w:pPr>
        <w:jc w:val="center"/>
        <w:rPr>
          <w:sz w:val="36"/>
          <w:szCs w:val="36"/>
        </w:rPr>
      </w:pPr>
    </w:p>
    <w:p w14:paraId="4540264A" w14:textId="77777777" w:rsidR="00236E6D" w:rsidRPr="00F920F6" w:rsidRDefault="00236E6D">
      <w:pPr>
        <w:jc w:val="center"/>
        <w:rPr>
          <w:sz w:val="36"/>
          <w:szCs w:val="36"/>
        </w:rPr>
      </w:pPr>
    </w:p>
    <w:p w14:paraId="4909D01B" w14:textId="77777777" w:rsidR="00236E6D" w:rsidRPr="00F920F6" w:rsidRDefault="00236E6D">
      <w:pPr>
        <w:jc w:val="center"/>
        <w:rPr>
          <w:sz w:val="36"/>
          <w:szCs w:val="36"/>
        </w:rPr>
      </w:pPr>
    </w:p>
    <w:p w14:paraId="188172E1" w14:textId="77777777" w:rsidR="00142AA1" w:rsidRPr="00142AA1" w:rsidRDefault="00142AA1" w:rsidP="00142AA1">
      <w:pPr>
        <w:jc w:val="center"/>
        <w:rPr>
          <w:sz w:val="28"/>
          <w:szCs w:val="28"/>
        </w:rPr>
      </w:pPr>
      <w:r w:rsidRPr="00142AA1">
        <w:rPr>
          <w:sz w:val="28"/>
          <w:szCs w:val="28"/>
        </w:rPr>
        <w:t>Brian Todd Hester</w:t>
      </w:r>
    </w:p>
    <w:p w14:paraId="3920D7C3" w14:textId="519AC516" w:rsidR="009C755C" w:rsidRDefault="003D200D">
      <w:pPr>
        <w:jc w:val="center"/>
        <w:rPr>
          <w:sz w:val="28"/>
          <w:szCs w:val="28"/>
        </w:rPr>
      </w:pPr>
      <w:r>
        <w:rPr>
          <w:sz w:val="28"/>
          <w:szCs w:val="28"/>
        </w:rPr>
        <w:t>May</w:t>
      </w:r>
      <w:r w:rsidR="009C755C" w:rsidRPr="00E17018">
        <w:rPr>
          <w:sz w:val="28"/>
          <w:szCs w:val="28"/>
        </w:rPr>
        <w:t xml:space="preserve"> </w:t>
      </w:r>
      <w:r w:rsidR="00E603D9">
        <w:rPr>
          <w:sz w:val="28"/>
          <w:szCs w:val="28"/>
        </w:rPr>
        <w:t>20</w:t>
      </w:r>
      <w:r w:rsidR="004D3C55">
        <w:rPr>
          <w:sz w:val="28"/>
          <w:szCs w:val="28"/>
        </w:rPr>
        <w:t>1</w:t>
      </w:r>
      <w:r w:rsidR="00142AA1">
        <w:rPr>
          <w:sz w:val="28"/>
          <w:szCs w:val="28"/>
        </w:rPr>
        <w:t>6</w:t>
      </w:r>
    </w:p>
    <w:p w14:paraId="3C022C41" w14:textId="77777777" w:rsidR="00A8693F" w:rsidRPr="00E17018" w:rsidRDefault="00A8693F">
      <w:pPr>
        <w:jc w:val="center"/>
        <w:rPr>
          <w:sz w:val="28"/>
          <w:szCs w:val="28"/>
        </w:rPr>
      </w:pPr>
    </w:p>
    <w:p w14:paraId="3A68A057" w14:textId="77777777" w:rsidR="00236E6D" w:rsidRPr="00F920F6" w:rsidRDefault="00236E6D">
      <w:pPr>
        <w:jc w:val="center"/>
        <w:rPr>
          <w:sz w:val="36"/>
          <w:szCs w:val="36"/>
        </w:rPr>
      </w:pPr>
    </w:p>
    <w:p w14:paraId="5ADC0491" w14:textId="77777777" w:rsidR="00236E6D" w:rsidRPr="00F920F6" w:rsidRDefault="00236E6D">
      <w:pPr>
        <w:jc w:val="center"/>
        <w:rPr>
          <w:sz w:val="36"/>
          <w:szCs w:val="36"/>
        </w:rPr>
      </w:pPr>
    </w:p>
    <w:p w14:paraId="45A81C25" w14:textId="77777777" w:rsidR="00236E6D" w:rsidRPr="00CC7C6B" w:rsidRDefault="00236E6D">
      <w:pPr>
        <w:jc w:val="center"/>
      </w:pPr>
    </w:p>
    <w:p w14:paraId="5D4C9FBD" w14:textId="77777777" w:rsidR="003D58BA" w:rsidRPr="003D58BA" w:rsidRDefault="003D58BA" w:rsidP="00F710F9">
      <w:pPr>
        <w:numPr>
          <w:ilvl w:val="12"/>
          <w:numId w:val="0"/>
        </w:numPr>
        <w:jc w:val="center"/>
        <w:rPr>
          <w:b/>
          <w:bCs/>
        </w:rPr>
      </w:pPr>
      <w:r w:rsidRPr="003D58BA">
        <w:rPr>
          <w:b/>
          <w:bCs/>
        </w:rPr>
        <w:lastRenderedPageBreak/>
        <w:t>DEDICATION</w:t>
      </w:r>
    </w:p>
    <w:p w14:paraId="5F990FDE" w14:textId="77777777" w:rsidR="003D58BA" w:rsidRDefault="003D58BA">
      <w:pPr>
        <w:rPr>
          <w:bCs/>
        </w:rPr>
      </w:pPr>
    </w:p>
    <w:p w14:paraId="0E029B4E" w14:textId="77777777" w:rsidR="003D58BA" w:rsidRDefault="003D58BA">
      <w:pPr>
        <w:rPr>
          <w:bCs/>
        </w:rPr>
      </w:pPr>
      <w:r>
        <w:rPr>
          <w:bCs/>
        </w:rPr>
        <w:br w:type="page"/>
      </w:r>
    </w:p>
    <w:p w14:paraId="363C9D83" w14:textId="77777777" w:rsidR="00916B75" w:rsidRDefault="003D58BA" w:rsidP="00916B75">
      <w:pPr>
        <w:jc w:val="center"/>
        <w:rPr>
          <w:b/>
          <w:bCs/>
        </w:rPr>
      </w:pPr>
      <w:r w:rsidRPr="003D58BA">
        <w:rPr>
          <w:b/>
          <w:bCs/>
        </w:rPr>
        <w:lastRenderedPageBreak/>
        <w:t>ACKNOWLEDGEMENTS</w:t>
      </w:r>
      <w:r>
        <w:rPr>
          <w:bCs/>
        </w:rPr>
        <w:br w:type="page"/>
      </w:r>
      <w:r w:rsidRPr="003D58BA">
        <w:rPr>
          <w:b/>
          <w:bCs/>
        </w:rPr>
        <w:lastRenderedPageBreak/>
        <w:t>ABSTRACT</w:t>
      </w:r>
    </w:p>
    <w:p w14:paraId="3FCB5738" w14:textId="77777777" w:rsidR="00916B75" w:rsidRDefault="00916B75" w:rsidP="00916B75">
      <w:pPr>
        <w:jc w:val="center"/>
        <w:rPr>
          <w:b/>
          <w:bCs/>
        </w:rPr>
      </w:pPr>
    </w:p>
    <w:p w14:paraId="70542FBF" w14:textId="05238C55" w:rsidR="00916B75" w:rsidRPr="00916B75" w:rsidRDefault="00916B75" w:rsidP="00916B75">
      <w:pPr>
        <w:ind w:firstLine="720"/>
        <w:rPr>
          <w:bCs/>
        </w:rPr>
      </w:pPr>
      <w:r w:rsidRPr="00916B75">
        <w:rPr>
          <w:bCs/>
        </w:rPr>
        <w:t>American higher education has seen public postsecondary funding sharply decline over the past couple of decades and has now fallen behind other countries in being the world leader in college degree production.  Many U.S. states have begun to place more accountability on their public institutions to prove they are using these dwindling resources as effectively and efficiently as possible.  State financial support is increasingly being appropriated on the basis of performance – i.e. student outcomes, primarily measured by student graduation rates.  The better an institution can use its financial resources to increase its graduation rates, the more state financial support it will likely receive.  Yet, even as tracking graduation rates has grown in importance, linking graduation rates to public higher education institutional spending has not been extensively researched outside of a few studies that have provided inconsistent results.</w:t>
      </w:r>
    </w:p>
    <w:p w14:paraId="68B8A7CC" w14:textId="77777777" w:rsidR="00916B75" w:rsidRPr="00916B75" w:rsidRDefault="00916B75" w:rsidP="00916B75">
      <w:pPr>
        <w:rPr>
          <w:bCs/>
        </w:rPr>
      </w:pPr>
    </w:p>
    <w:p w14:paraId="0F0A2F3A" w14:textId="4E708790" w:rsidR="00916B75" w:rsidRPr="00916B75" w:rsidRDefault="00916B75" w:rsidP="00916B75">
      <w:pPr>
        <w:ind w:firstLine="720"/>
        <w:rPr>
          <w:bCs/>
        </w:rPr>
      </w:pPr>
      <w:r w:rsidRPr="00916B75">
        <w:rPr>
          <w:bCs/>
        </w:rPr>
        <w:t xml:space="preserve">The purpose of this study is to analyze the correlation between institutional expenditures and graduation rates in public higher education institutions, when accounting for institutional characteristics and regional economic differences.  This research hopes to provide a reliable means for adjusting institutional expenses to most positively affect undergraduate student graduation rates.   The study will examine institutional and state economic characteristics during the first academic years of the 2012, 2013, and 2014 six-year graduating cohorts. Thus, 2006-2008 data will be obtained from IPEDS for 564 public institutions that will include input variables on institutional expenditures, student enrollment demographics, ACT scores, and Carnegie classifications, as well as the study’s dependent variable:  2012-2014 six-year graduation rates.  State economic indicators of average household income and unemployment rates for the 2006-2008 timeframe will be obtained from U.S. Bureau of Labor Statistics.  </w:t>
      </w:r>
      <w:r>
        <w:rPr>
          <w:bCs/>
        </w:rPr>
        <w:t>Multilevel modeling regression statistics</w:t>
      </w:r>
      <w:r w:rsidRPr="00916B75">
        <w:rPr>
          <w:bCs/>
        </w:rPr>
        <w:t xml:space="preserve"> will be used to find any significant effects on graduation rates from these institutional and state-level data.  </w:t>
      </w:r>
    </w:p>
    <w:p w14:paraId="14C2900D" w14:textId="77777777" w:rsidR="00916B75" w:rsidRPr="00916B75" w:rsidRDefault="00916B75" w:rsidP="00916B75">
      <w:pPr>
        <w:rPr>
          <w:bCs/>
        </w:rPr>
      </w:pPr>
    </w:p>
    <w:p w14:paraId="268D40B2" w14:textId="3A73D954" w:rsidR="00916B75" w:rsidRDefault="00916B75" w:rsidP="00916B75">
      <w:pPr>
        <w:rPr>
          <w:bCs/>
        </w:rPr>
      </w:pPr>
      <w:r w:rsidRPr="00916B75">
        <w:rPr>
          <w:bCs/>
        </w:rPr>
        <w:tab/>
        <w:t xml:space="preserve">Results of the </w:t>
      </w:r>
      <w:r>
        <w:rPr>
          <w:bCs/>
        </w:rPr>
        <w:t>multilevel modeling</w:t>
      </w:r>
      <w:r w:rsidRPr="00916B75">
        <w:rPr>
          <w:bCs/>
        </w:rPr>
        <w:t xml:space="preserve"> analyses indicate that institutional expenditures on instruction and research do have significant positive effects on public university six-year graduation rates, when controlling for student race, ACT score, and state average income.  </w:t>
      </w:r>
    </w:p>
    <w:p w14:paraId="1FDBB0F3" w14:textId="77777777" w:rsidR="00916B75" w:rsidRDefault="00916B75">
      <w:pPr>
        <w:rPr>
          <w:b/>
          <w:bCs/>
        </w:rPr>
      </w:pPr>
      <w:r>
        <w:rPr>
          <w:b/>
          <w:bCs/>
        </w:rPr>
        <w:br w:type="page"/>
      </w:r>
    </w:p>
    <w:p w14:paraId="13F7C59B" w14:textId="2CFDCE2F" w:rsidR="00236E6D" w:rsidRPr="003E1CE3" w:rsidRDefault="00CC7C6B" w:rsidP="00F710F9">
      <w:pPr>
        <w:numPr>
          <w:ilvl w:val="12"/>
          <w:numId w:val="0"/>
        </w:numPr>
        <w:jc w:val="center"/>
        <w:rPr>
          <w:b/>
          <w:bCs/>
        </w:rPr>
      </w:pPr>
      <w:r w:rsidRPr="003E1CE3">
        <w:rPr>
          <w:b/>
          <w:bCs/>
        </w:rPr>
        <w:lastRenderedPageBreak/>
        <w:t>TABLE OF CONTENTS</w:t>
      </w:r>
    </w:p>
    <w:p w14:paraId="23649617" w14:textId="77777777" w:rsidR="00552852" w:rsidRPr="00F920F6" w:rsidRDefault="00552852" w:rsidP="00F710F9">
      <w:pPr>
        <w:numPr>
          <w:ilvl w:val="12"/>
          <w:numId w:val="0"/>
        </w:numPr>
        <w:jc w:val="center"/>
      </w:pPr>
    </w:p>
    <w:p w14:paraId="64DEAE78" w14:textId="77777777" w:rsidR="004F336C" w:rsidRDefault="00744D8D" w:rsidP="00CC7C6B">
      <w:pPr>
        <w:pStyle w:val="TOC1"/>
        <w:tabs>
          <w:tab w:val="right" w:leader="dot" w:pos="8630"/>
        </w:tabs>
        <w:spacing w:line="480" w:lineRule="auto"/>
        <w:rPr>
          <w:rFonts w:asciiTheme="minorHAnsi" w:eastAsiaTheme="minorEastAsia" w:hAnsiTheme="minorHAnsi" w:cstheme="minorBidi"/>
          <w:noProof/>
          <w:sz w:val="22"/>
          <w:szCs w:val="22"/>
        </w:rPr>
      </w:pPr>
      <w:r w:rsidRPr="006A4481">
        <w:rPr>
          <w:noProof/>
        </w:rPr>
        <w:t xml:space="preserve">Chapter </w:t>
      </w:r>
      <w:r w:rsidR="00883DD1" w:rsidRPr="006A4481">
        <w:rPr>
          <w:noProof/>
        </w:rPr>
        <w:t xml:space="preserve">I. </w:t>
      </w:r>
      <w:r w:rsidRPr="006A4481">
        <w:rPr>
          <w:noProof/>
        </w:rPr>
        <w:t xml:space="preserve"> </w:t>
      </w:r>
      <w:r w:rsidR="00883DD1" w:rsidRPr="006A4481">
        <w:rPr>
          <w:noProof/>
        </w:rPr>
        <w:t>INTRODUCTION AND STATEMENT OF THE PROBLEM</w:t>
      </w:r>
      <w:r w:rsidR="004F336C">
        <w:rPr>
          <w:noProof/>
          <w:webHidden/>
        </w:rPr>
        <w:tab/>
      </w:r>
      <w:r w:rsidR="00CC7C6B">
        <w:rPr>
          <w:noProof/>
          <w:webHidden/>
        </w:rPr>
        <w:t>1</w:t>
      </w:r>
    </w:p>
    <w:p w14:paraId="4DD821B0" w14:textId="77777777" w:rsidR="004F336C" w:rsidRDefault="00744D8D" w:rsidP="006A4481">
      <w:pPr>
        <w:pStyle w:val="TOC2"/>
        <w:rPr>
          <w:rFonts w:asciiTheme="minorHAnsi" w:eastAsiaTheme="minorEastAsia" w:hAnsiTheme="minorHAnsi" w:cstheme="minorBidi"/>
          <w:sz w:val="22"/>
          <w:szCs w:val="22"/>
        </w:rPr>
      </w:pPr>
      <w:r w:rsidRPr="006A4481">
        <w:t>Introduction</w:t>
      </w:r>
      <w:r w:rsidR="004F336C">
        <w:rPr>
          <w:webHidden/>
        </w:rPr>
        <w:tab/>
      </w:r>
      <w:r w:rsidR="00CC7C6B">
        <w:rPr>
          <w:webHidden/>
        </w:rPr>
        <w:t>1</w:t>
      </w:r>
    </w:p>
    <w:p w14:paraId="77912C95" w14:textId="77777777" w:rsidR="004F336C" w:rsidRDefault="00744D8D" w:rsidP="006A4481">
      <w:pPr>
        <w:pStyle w:val="TOC2"/>
        <w:rPr>
          <w:rFonts w:asciiTheme="minorHAnsi" w:eastAsiaTheme="minorEastAsia" w:hAnsiTheme="minorHAnsi" w:cstheme="minorBidi"/>
          <w:sz w:val="22"/>
          <w:szCs w:val="22"/>
        </w:rPr>
      </w:pPr>
      <w:r w:rsidRPr="006A4481">
        <w:t>Statement of the Problem</w:t>
      </w:r>
      <w:r w:rsidR="004F336C">
        <w:rPr>
          <w:webHidden/>
        </w:rPr>
        <w:tab/>
      </w:r>
      <w:r w:rsidR="00FC6B53">
        <w:rPr>
          <w:webHidden/>
        </w:rPr>
        <w:t>6</w:t>
      </w:r>
    </w:p>
    <w:p w14:paraId="1768538E" w14:textId="77777777" w:rsidR="004F336C" w:rsidRDefault="00883DD1" w:rsidP="006A4481">
      <w:pPr>
        <w:pStyle w:val="TOC2"/>
      </w:pPr>
      <w:r w:rsidRPr="006A4481">
        <w:t>Purpose of the Study</w:t>
      </w:r>
      <w:r w:rsidR="004F336C">
        <w:rPr>
          <w:webHidden/>
        </w:rPr>
        <w:tab/>
      </w:r>
      <w:r w:rsidR="00FC6B53">
        <w:rPr>
          <w:webHidden/>
        </w:rPr>
        <w:t>6</w:t>
      </w:r>
    </w:p>
    <w:p w14:paraId="185A3924" w14:textId="77777777" w:rsidR="00883DD1" w:rsidRDefault="00883DD1" w:rsidP="006A4481">
      <w:pPr>
        <w:pStyle w:val="TOC2"/>
      </w:pPr>
      <w:r w:rsidRPr="006A4481">
        <w:t>Research Questions</w:t>
      </w:r>
      <w:r>
        <w:rPr>
          <w:webHidden/>
        </w:rPr>
        <w:tab/>
      </w:r>
      <w:r w:rsidR="00FC6B53">
        <w:rPr>
          <w:webHidden/>
        </w:rPr>
        <w:t>7</w:t>
      </w:r>
    </w:p>
    <w:p w14:paraId="584EE9A7" w14:textId="77777777" w:rsidR="00883DD1" w:rsidRPr="00883DD1" w:rsidRDefault="00883DD1" w:rsidP="006A4481">
      <w:pPr>
        <w:pStyle w:val="TOC2"/>
        <w:rPr>
          <w:rFonts w:eastAsiaTheme="minorEastAsia"/>
        </w:rPr>
      </w:pPr>
      <w:r w:rsidRPr="006A4481">
        <w:t>Summary of Methods and Procedures</w:t>
      </w:r>
      <w:r>
        <w:rPr>
          <w:webHidden/>
        </w:rPr>
        <w:tab/>
      </w:r>
      <w:r w:rsidR="00FC6B53">
        <w:rPr>
          <w:webHidden/>
        </w:rPr>
        <w:t>7</w:t>
      </w:r>
      <w:r>
        <w:rPr>
          <w:rFonts w:eastAsiaTheme="minorEastAsia"/>
        </w:rPr>
        <w:tab/>
      </w:r>
    </w:p>
    <w:p w14:paraId="666681C2" w14:textId="77777777" w:rsidR="00883DD1" w:rsidRPr="00883DD1" w:rsidRDefault="00883DD1" w:rsidP="006A4481">
      <w:pPr>
        <w:pStyle w:val="TOC2"/>
        <w:rPr>
          <w:rFonts w:eastAsiaTheme="minorEastAsia"/>
        </w:rPr>
      </w:pPr>
      <w:r w:rsidRPr="006A4481">
        <w:t>Significance of the Study</w:t>
      </w:r>
      <w:r>
        <w:rPr>
          <w:webHidden/>
        </w:rPr>
        <w:tab/>
      </w:r>
      <w:r w:rsidR="00593959">
        <w:rPr>
          <w:webHidden/>
        </w:rPr>
        <w:t>9</w:t>
      </w:r>
      <w:r>
        <w:rPr>
          <w:rFonts w:eastAsiaTheme="minorEastAsia"/>
        </w:rPr>
        <w:tab/>
      </w:r>
    </w:p>
    <w:p w14:paraId="058CE45E" w14:textId="77777777" w:rsidR="00883DD1" w:rsidRPr="00883DD1" w:rsidRDefault="00883DD1" w:rsidP="006A4481">
      <w:pPr>
        <w:pStyle w:val="TOC2"/>
        <w:rPr>
          <w:rFonts w:eastAsiaTheme="minorEastAsia"/>
        </w:rPr>
      </w:pPr>
      <w:r w:rsidRPr="006A4481">
        <w:t>Delimitations of the Study</w:t>
      </w:r>
      <w:r>
        <w:rPr>
          <w:webHidden/>
        </w:rPr>
        <w:tab/>
      </w:r>
      <w:r w:rsidR="00CC7C6B">
        <w:rPr>
          <w:webHidden/>
        </w:rPr>
        <w:t>9</w:t>
      </w:r>
      <w:r>
        <w:rPr>
          <w:rFonts w:eastAsiaTheme="minorEastAsia"/>
        </w:rPr>
        <w:tab/>
      </w:r>
    </w:p>
    <w:p w14:paraId="0921AB6A" w14:textId="77777777" w:rsidR="00883DD1" w:rsidRPr="00883DD1" w:rsidRDefault="00883DD1" w:rsidP="006A4481">
      <w:pPr>
        <w:pStyle w:val="TOC2"/>
        <w:rPr>
          <w:rFonts w:eastAsiaTheme="minorEastAsia"/>
        </w:rPr>
      </w:pPr>
      <w:r>
        <w:t>L</w:t>
      </w:r>
      <w:r w:rsidRPr="006A4481">
        <w:t>imitations of the Study</w:t>
      </w:r>
      <w:r>
        <w:rPr>
          <w:webHidden/>
        </w:rPr>
        <w:tab/>
      </w:r>
      <w:r w:rsidR="00CC7C6B">
        <w:rPr>
          <w:webHidden/>
        </w:rPr>
        <w:t>10</w:t>
      </w:r>
      <w:r>
        <w:rPr>
          <w:rFonts w:eastAsiaTheme="minorEastAsia"/>
        </w:rPr>
        <w:tab/>
      </w:r>
    </w:p>
    <w:p w14:paraId="6BB9BD00" w14:textId="77777777" w:rsidR="00883DD1" w:rsidRPr="00883DD1" w:rsidRDefault="00DC15E8" w:rsidP="006A4481">
      <w:pPr>
        <w:pStyle w:val="TOC2"/>
        <w:rPr>
          <w:rFonts w:eastAsiaTheme="minorEastAsia"/>
        </w:rPr>
      </w:pPr>
      <w:r>
        <w:rPr>
          <w:rFonts w:eastAsiaTheme="minorEastAsia"/>
        </w:rPr>
        <w:t>Organization</w:t>
      </w:r>
      <w:r w:rsidR="00883DD1">
        <w:rPr>
          <w:rFonts w:eastAsiaTheme="minorEastAsia"/>
        </w:rPr>
        <w:t xml:space="preserve"> of the Study</w:t>
      </w:r>
      <w:r w:rsidR="00883DD1">
        <w:rPr>
          <w:rFonts w:eastAsiaTheme="minorEastAsia"/>
        </w:rPr>
        <w:tab/>
      </w:r>
      <w:r w:rsidR="00D50214">
        <w:rPr>
          <w:rFonts w:eastAsiaTheme="minorEastAsia"/>
        </w:rPr>
        <w:t>1</w:t>
      </w:r>
      <w:r w:rsidR="00FC6B53">
        <w:rPr>
          <w:rFonts w:eastAsiaTheme="minorEastAsia"/>
        </w:rPr>
        <w:t>1</w:t>
      </w:r>
    </w:p>
    <w:p w14:paraId="4F948B61" w14:textId="77777777" w:rsidR="004F336C" w:rsidRDefault="004F336C" w:rsidP="00CC7C6B">
      <w:pPr>
        <w:pStyle w:val="TOC1"/>
        <w:tabs>
          <w:tab w:val="right" w:leader="dot" w:pos="8630"/>
        </w:tabs>
        <w:spacing w:line="480" w:lineRule="auto"/>
        <w:rPr>
          <w:rFonts w:asciiTheme="minorHAnsi" w:eastAsiaTheme="minorEastAsia" w:hAnsiTheme="minorHAnsi" w:cstheme="minorBidi"/>
          <w:noProof/>
          <w:sz w:val="22"/>
          <w:szCs w:val="22"/>
        </w:rPr>
      </w:pPr>
      <w:r w:rsidRPr="006A4481">
        <w:rPr>
          <w:noProof/>
        </w:rPr>
        <w:t xml:space="preserve">Chapter </w:t>
      </w:r>
      <w:r w:rsidR="00883DD1" w:rsidRPr="006A4481">
        <w:rPr>
          <w:noProof/>
        </w:rPr>
        <w:t>II.</w:t>
      </w:r>
      <w:r w:rsidRPr="006A4481">
        <w:rPr>
          <w:noProof/>
        </w:rPr>
        <w:t xml:space="preserve">  </w:t>
      </w:r>
      <w:r w:rsidR="00DC15E8" w:rsidRPr="006A4481">
        <w:rPr>
          <w:noProof/>
        </w:rPr>
        <w:t>LITERATURE REVIEW</w:t>
      </w:r>
      <w:r>
        <w:rPr>
          <w:noProof/>
          <w:webHidden/>
        </w:rPr>
        <w:tab/>
      </w:r>
      <w:r w:rsidR="00D50214">
        <w:rPr>
          <w:noProof/>
          <w:webHidden/>
        </w:rPr>
        <w:t>1</w:t>
      </w:r>
      <w:r w:rsidR="00593959">
        <w:rPr>
          <w:noProof/>
          <w:webHidden/>
        </w:rPr>
        <w:t>3</w:t>
      </w:r>
    </w:p>
    <w:p w14:paraId="10B3F51D" w14:textId="77777777" w:rsidR="004F336C" w:rsidRDefault="000155FF" w:rsidP="006A4481">
      <w:pPr>
        <w:pStyle w:val="TOC2"/>
      </w:pPr>
      <w:r w:rsidRPr="006A4481">
        <w:t>Introduction</w:t>
      </w:r>
      <w:r w:rsidR="004F336C">
        <w:rPr>
          <w:webHidden/>
        </w:rPr>
        <w:tab/>
      </w:r>
      <w:r>
        <w:rPr>
          <w:webHidden/>
        </w:rPr>
        <w:t>1</w:t>
      </w:r>
      <w:r w:rsidR="00593959">
        <w:rPr>
          <w:webHidden/>
        </w:rPr>
        <w:t>3</w:t>
      </w:r>
    </w:p>
    <w:p w14:paraId="62CF0A16" w14:textId="7E2BC0C2" w:rsidR="00180402" w:rsidRDefault="00180402" w:rsidP="006A4481">
      <w:pPr>
        <w:pStyle w:val="TOC2"/>
      </w:pPr>
      <w:r w:rsidRPr="006A4481">
        <w:t>Increas</w:t>
      </w:r>
      <w:r w:rsidR="0084776B" w:rsidRPr="006A4481">
        <w:t>e</w:t>
      </w:r>
      <w:r w:rsidRPr="006A4481">
        <w:t xml:space="preserve"> </w:t>
      </w:r>
      <w:r w:rsidR="0084776B" w:rsidRPr="006A4481">
        <w:t>i</w:t>
      </w:r>
      <w:r w:rsidRPr="006A4481">
        <w:t xml:space="preserve">n Student Outcomes </w:t>
      </w:r>
      <w:r w:rsidR="0084776B" w:rsidRPr="006A4481">
        <w:t>Accountability</w:t>
      </w:r>
      <w:r>
        <w:rPr>
          <w:webHidden/>
        </w:rPr>
        <w:tab/>
        <w:t>1</w:t>
      </w:r>
      <w:r w:rsidR="00176A72">
        <w:rPr>
          <w:webHidden/>
        </w:rPr>
        <w:t>3</w:t>
      </w:r>
    </w:p>
    <w:p w14:paraId="3BC2E2CE" w14:textId="77777777" w:rsidR="00AD0FB5" w:rsidRDefault="00AD0FB5" w:rsidP="00AD0FB5">
      <w:pPr>
        <w:pStyle w:val="TOC3"/>
        <w:tabs>
          <w:tab w:val="right" w:leader="dot" w:pos="8630"/>
        </w:tabs>
        <w:spacing w:line="480" w:lineRule="auto"/>
        <w:rPr>
          <w:rFonts w:asciiTheme="minorHAnsi" w:eastAsiaTheme="minorEastAsia" w:hAnsiTheme="minorHAnsi" w:cstheme="minorBidi"/>
          <w:noProof/>
          <w:sz w:val="22"/>
          <w:szCs w:val="22"/>
        </w:rPr>
      </w:pPr>
      <w:r w:rsidRPr="006A4481">
        <w:rPr>
          <w:noProof/>
        </w:rPr>
        <w:t>Economic Recessions</w:t>
      </w:r>
      <w:r>
        <w:rPr>
          <w:noProof/>
          <w:webHidden/>
        </w:rPr>
        <w:tab/>
      </w:r>
      <w:r w:rsidR="007E42AA">
        <w:rPr>
          <w:noProof/>
          <w:webHidden/>
        </w:rPr>
        <w:t>14</w:t>
      </w:r>
    </w:p>
    <w:p w14:paraId="3E83D97E" w14:textId="77777777" w:rsidR="00AD0FB5" w:rsidRDefault="00AD0FB5" w:rsidP="00AD0FB5">
      <w:pPr>
        <w:pStyle w:val="TOC3"/>
        <w:tabs>
          <w:tab w:val="right" w:leader="dot" w:pos="8630"/>
        </w:tabs>
        <w:spacing w:line="480" w:lineRule="auto"/>
        <w:rPr>
          <w:rFonts w:asciiTheme="minorHAnsi" w:eastAsiaTheme="minorEastAsia" w:hAnsiTheme="minorHAnsi" w:cstheme="minorBidi"/>
          <w:noProof/>
          <w:sz w:val="22"/>
          <w:szCs w:val="22"/>
        </w:rPr>
      </w:pPr>
      <w:r w:rsidRPr="006A4481">
        <w:rPr>
          <w:noProof/>
        </w:rPr>
        <w:t>Management Practices Adopted from Business Sector</w:t>
      </w:r>
      <w:r>
        <w:rPr>
          <w:noProof/>
          <w:webHidden/>
        </w:rPr>
        <w:tab/>
      </w:r>
      <w:r w:rsidR="00394877">
        <w:rPr>
          <w:noProof/>
          <w:webHidden/>
        </w:rPr>
        <w:t>15</w:t>
      </w:r>
    </w:p>
    <w:p w14:paraId="633B9CC0" w14:textId="172E3480" w:rsidR="00AD0FB5" w:rsidRDefault="00AD0FB5" w:rsidP="00AD0FB5">
      <w:pPr>
        <w:pStyle w:val="TOC3"/>
        <w:tabs>
          <w:tab w:val="right" w:leader="dot" w:pos="8630"/>
        </w:tabs>
        <w:spacing w:line="480" w:lineRule="auto"/>
        <w:rPr>
          <w:rFonts w:asciiTheme="minorHAnsi" w:eastAsiaTheme="minorEastAsia" w:hAnsiTheme="minorHAnsi" w:cstheme="minorBidi"/>
          <w:noProof/>
          <w:sz w:val="22"/>
          <w:szCs w:val="22"/>
        </w:rPr>
      </w:pPr>
      <w:r w:rsidRPr="006A4481">
        <w:rPr>
          <w:noProof/>
        </w:rPr>
        <w:t>Changing State Political Characteristics</w:t>
      </w:r>
      <w:r>
        <w:rPr>
          <w:noProof/>
          <w:webHidden/>
        </w:rPr>
        <w:tab/>
      </w:r>
      <w:r w:rsidR="00176A72">
        <w:rPr>
          <w:noProof/>
          <w:webHidden/>
        </w:rPr>
        <w:t>16</w:t>
      </w:r>
    </w:p>
    <w:p w14:paraId="00F953C3" w14:textId="77777777" w:rsidR="00AD0FB5" w:rsidRPr="00AD0FB5" w:rsidRDefault="00AD0FB5" w:rsidP="00AD0FB5">
      <w:pPr>
        <w:rPr>
          <w:rFonts w:eastAsiaTheme="minorEastAsia"/>
        </w:rPr>
      </w:pPr>
    </w:p>
    <w:p w14:paraId="780F036D" w14:textId="73850702" w:rsidR="00180402" w:rsidRDefault="00180402" w:rsidP="006A4481">
      <w:pPr>
        <w:pStyle w:val="TOC2"/>
        <w:rPr>
          <w:rFonts w:asciiTheme="minorHAnsi" w:eastAsiaTheme="minorEastAsia" w:hAnsiTheme="minorHAnsi" w:cstheme="minorBidi"/>
          <w:sz w:val="22"/>
          <w:szCs w:val="22"/>
        </w:rPr>
      </w:pPr>
      <w:r w:rsidRPr="006A4481">
        <w:t>Stakeholder</w:t>
      </w:r>
      <w:r w:rsidR="0084776B" w:rsidRPr="006A4481">
        <w:t>s Perspectives of Student Outcomes</w:t>
      </w:r>
      <w:r>
        <w:rPr>
          <w:webHidden/>
        </w:rPr>
        <w:tab/>
      </w:r>
      <w:r w:rsidR="00176A72">
        <w:rPr>
          <w:webHidden/>
        </w:rPr>
        <w:t>19</w:t>
      </w:r>
    </w:p>
    <w:p w14:paraId="73037783" w14:textId="77777777" w:rsidR="00180402" w:rsidRDefault="00180402" w:rsidP="006A4481">
      <w:pPr>
        <w:pStyle w:val="TOC2"/>
        <w:rPr>
          <w:rFonts w:asciiTheme="minorHAnsi" w:eastAsiaTheme="minorEastAsia" w:hAnsiTheme="minorHAnsi" w:cstheme="minorBidi"/>
          <w:sz w:val="22"/>
          <w:szCs w:val="22"/>
        </w:rPr>
      </w:pPr>
      <w:r w:rsidRPr="006A4481">
        <w:t>Incentives and Methods Used to Increase Focus on Outcomes vs Enrollment</w:t>
      </w:r>
      <w:r>
        <w:rPr>
          <w:webHidden/>
        </w:rPr>
        <w:tab/>
        <w:t>2</w:t>
      </w:r>
      <w:r w:rsidR="00EE08B6">
        <w:rPr>
          <w:webHidden/>
        </w:rPr>
        <w:t>1</w:t>
      </w:r>
    </w:p>
    <w:p w14:paraId="670CDF30" w14:textId="587468E2" w:rsidR="004F336C" w:rsidRDefault="00180402" w:rsidP="00CC7C6B">
      <w:pPr>
        <w:pStyle w:val="TOC3"/>
        <w:tabs>
          <w:tab w:val="right" w:leader="dot" w:pos="8630"/>
        </w:tabs>
        <w:spacing w:line="480" w:lineRule="auto"/>
        <w:rPr>
          <w:rFonts w:asciiTheme="minorHAnsi" w:eastAsiaTheme="minorEastAsia" w:hAnsiTheme="minorHAnsi" w:cstheme="minorBidi"/>
          <w:noProof/>
          <w:sz w:val="22"/>
          <w:szCs w:val="22"/>
        </w:rPr>
      </w:pPr>
      <w:r w:rsidRPr="006A4481">
        <w:rPr>
          <w:noProof/>
        </w:rPr>
        <w:t>Political - Performance Funding</w:t>
      </w:r>
      <w:r w:rsidR="004F336C">
        <w:rPr>
          <w:noProof/>
          <w:webHidden/>
        </w:rPr>
        <w:tab/>
      </w:r>
      <w:r w:rsidR="00176A72">
        <w:rPr>
          <w:noProof/>
          <w:webHidden/>
        </w:rPr>
        <w:t>21</w:t>
      </w:r>
    </w:p>
    <w:p w14:paraId="73DB255A" w14:textId="1D9F0BAA" w:rsidR="004F336C" w:rsidRDefault="00180402" w:rsidP="00CC7C6B">
      <w:pPr>
        <w:pStyle w:val="TOC3"/>
        <w:tabs>
          <w:tab w:val="right" w:leader="dot" w:pos="8630"/>
        </w:tabs>
        <w:spacing w:line="480" w:lineRule="auto"/>
        <w:rPr>
          <w:noProof/>
        </w:rPr>
      </w:pPr>
      <w:r w:rsidRPr="006A4481">
        <w:rPr>
          <w:noProof/>
        </w:rPr>
        <w:t>Market - Public Rankings</w:t>
      </w:r>
      <w:r w:rsidR="004F336C">
        <w:rPr>
          <w:noProof/>
          <w:webHidden/>
        </w:rPr>
        <w:tab/>
      </w:r>
      <w:r w:rsidR="00176A72">
        <w:rPr>
          <w:noProof/>
          <w:webHidden/>
        </w:rPr>
        <w:t>22</w:t>
      </w:r>
    </w:p>
    <w:p w14:paraId="3934E3A2" w14:textId="10F61A49" w:rsidR="00180402" w:rsidRDefault="00180402" w:rsidP="00180402">
      <w:pPr>
        <w:pStyle w:val="TOC3"/>
        <w:tabs>
          <w:tab w:val="right" w:leader="dot" w:pos="8630"/>
        </w:tabs>
        <w:spacing w:line="480" w:lineRule="auto"/>
        <w:rPr>
          <w:rFonts w:asciiTheme="minorHAnsi" w:eastAsiaTheme="minorEastAsia" w:hAnsiTheme="minorHAnsi" w:cstheme="minorBidi"/>
          <w:noProof/>
          <w:sz w:val="22"/>
          <w:szCs w:val="22"/>
        </w:rPr>
      </w:pPr>
      <w:r w:rsidRPr="006A4481">
        <w:rPr>
          <w:noProof/>
        </w:rPr>
        <w:t>Academic – IPEDS National Datasets</w:t>
      </w:r>
      <w:r>
        <w:rPr>
          <w:noProof/>
          <w:webHidden/>
        </w:rPr>
        <w:tab/>
      </w:r>
      <w:r w:rsidR="00176A72">
        <w:rPr>
          <w:noProof/>
          <w:webHidden/>
        </w:rPr>
        <w:t>23</w:t>
      </w:r>
    </w:p>
    <w:p w14:paraId="3D0D9418" w14:textId="228A1048" w:rsidR="00EE08B6" w:rsidRDefault="00EE08B6" w:rsidP="006A4481">
      <w:pPr>
        <w:pStyle w:val="TOC2"/>
        <w:rPr>
          <w:rFonts w:asciiTheme="minorHAnsi" w:eastAsiaTheme="minorEastAsia" w:hAnsiTheme="minorHAnsi" w:cstheme="minorBidi"/>
          <w:sz w:val="22"/>
          <w:szCs w:val="22"/>
        </w:rPr>
      </w:pPr>
      <w:r w:rsidRPr="006A4481">
        <w:lastRenderedPageBreak/>
        <w:t>Disadvantages of Outcomes-Focused Accountability</w:t>
      </w:r>
      <w:r>
        <w:rPr>
          <w:webHidden/>
        </w:rPr>
        <w:tab/>
      </w:r>
      <w:r w:rsidR="00176A72">
        <w:rPr>
          <w:webHidden/>
        </w:rPr>
        <w:t>24</w:t>
      </w:r>
    </w:p>
    <w:p w14:paraId="4CF7392E" w14:textId="6F9FBF4C" w:rsidR="00EE08B6" w:rsidRDefault="00EE08B6" w:rsidP="00EE08B6">
      <w:pPr>
        <w:pStyle w:val="TOC3"/>
        <w:tabs>
          <w:tab w:val="right" w:leader="dot" w:pos="8630"/>
        </w:tabs>
        <w:spacing w:line="480" w:lineRule="auto"/>
      </w:pPr>
      <w:r w:rsidRPr="006A4481">
        <w:rPr>
          <w:noProof/>
        </w:rPr>
        <w:t>Disadvantages to Students</w:t>
      </w:r>
      <w:r w:rsidRPr="006A4481">
        <w:rPr>
          <w:noProof/>
          <w:webHidden/>
        </w:rPr>
        <w:tab/>
      </w:r>
      <w:r w:rsidR="00176A72">
        <w:rPr>
          <w:noProof/>
          <w:webHidden/>
        </w:rPr>
        <w:t>24</w:t>
      </w:r>
    </w:p>
    <w:p w14:paraId="43597918" w14:textId="1B7E9039" w:rsidR="00EE08B6" w:rsidRDefault="00EE08B6" w:rsidP="00EE08B6">
      <w:pPr>
        <w:pStyle w:val="TOC3"/>
        <w:tabs>
          <w:tab w:val="right" w:leader="dot" w:pos="8630"/>
        </w:tabs>
        <w:spacing w:line="480" w:lineRule="auto"/>
        <w:rPr>
          <w:rFonts w:asciiTheme="minorHAnsi" w:eastAsiaTheme="minorEastAsia" w:hAnsiTheme="minorHAnsi" w:cstheme="minorBidi"/>
          <w:noProof/>
          <w:sz w:val="22"/>
          <w:szCs w:val="22"/>
        </w:rPr>
      </w:pPr>
      <w:r w:rsidRPr="00EE08B6">
        <w:rPr>
          <w:noProof/>
        </w:rPr>
        <w:t xml:space="preserve">Disadvantages to </w:t>
      </w:r>
      <w:r>
        <w:rPr>
          <w:noProof/>
        </w:rPr>
        <w:t>Institutions</w:t>
      </w:r>
      <w:r w:rsidRPr="00EE08B6">
        <w:rPr>
          <w:noProof/>
          <w:webHidden/>
        </w:rPr>
        <w:tab/>
      </w:r>
      <w:r w:rsidR="00176A72">
        <w:rPr>
          <w:noProof/>
          <w:webHidden/>
        </w:rPr>
        <w:t>25</w:t>
      </w:r>
    </w:p>
    <w:p w14:paraId="5A877053" w14:textId="239FF172" w:rsidR="00EE08B6" w:rsidRDefault="00154D1C" w:rsidP="006A4481">
      <w:pPr>
        <w:pStyle w:val="TOC2"/>
      </w:pPr>
      <w:r w:rsidRPr="006A4481">
        <w:t>Alignment with Mission and Spirit of Public Higher Education</w:t>
      </w:r>
      <w:r w:rsidR="00EE08B6">
        <w:rPr>
          <w:webHidden/>
        </w:rPr>
        <w:tab/>
      </w:r>
      <w:r w:rsidR="00176A72">
        <w:rPr>
          <w:webHidden/>
        </w:rPr>
        <w:t>26</w:t>
      </w:r>
    </w:p>
    <w:p w14:paraId="18ECFB7E" w14:textId="0ACECF0B" w:rsidR="00154D1C" w:rsidRDefault="000B3244" w:rsidP="006A4481">
      <w:pPr>
        <w:pStyle w:val="TOC2"/>
        <w:rPr>
          <w:rFonts w:asciiTheme="minorHAnsi" w:eastAsiaTheme="minorEastAsia" w:hAnsiTheme="minorHAnsi" w:cstheme="minorBidi"/>
          <w:sz w:val="22"/>
          <w:szCs w:val="22"/>
        </w:rPr>
      </w:pPr>
      <w:r w:rsidRPr="006A4481">
        <w:t>Relevant Research Related to This Study</w:t>
      </w:r>
      <w:r w:rsidR="00154D1C">
        <w:rPr>
          <w:webHidden/>
        </w:rPr>
        <w:tab/>
      </w:r>
      <w:r w:rsidR="00176A72">
        <w:rPr>
          <w:webHidden/>
        </w:rPr>
        <w:t>27</w:t>
      </w:r>
    </w:p>
    <w:p w14:paraId="5678D45C" w14:textId="4FF34D55" w:rsidR="00154D1C" w:rsidRDefault="000B3244" w:rsidP="006A4481">
      <w:pPr>
        <w:pStyle w:val="TOC2"/>
        <w:rPr>
          <w:rFonts w:asciiTheme="minorHAnsi" w:eastAsiaTheme="minorEastAsia" w:hAnsiTheme="minorHAnsi" w:cstheme="minorBidi"/>
          <w:sz w:val="22"/>
          <w:szCs w:val="22"/>
        </w:rPr>
      </w:pPr>
      <w:r w:rsidRPr="006A4481">
        <w:t>Conceptual Frameworks</w:t>
      </w:r>
      <w:r w:rsidR="00154D1C">
        <w:rPr>
          <w:webHidden/>
        </w:rPr>
        <w:tab/>
      </w:r>
      <w:r w:rsidR="00176A72">
        <w:rPr>
          <w:webHidden/>
        </w:rPr>
        <w:t>32</w:t>
      </w:r>
    </w:p>
    <w:p w14:paraId="7477A11D" w14:textId="3A1C36D5" w:rsidR="000B3244" w:rsidRDefault="000B3244" w:rsidP="006A4481">
      <w:pPr>
        <w:pStyle w:val="TOC2"/>
        <w:rPr>
          <w:rFonts w:asciiTheme="minorHAnsi" w:eastAsiaTheme="minorEastAsia" w:hAnsiTheme="minorHAnsi" w:cstheme="minorBidi"/>
          <w:sz w:val="22"/>
          <w:szCs w:val="22"/>
        </w:rPr>
      </w:pPr>
      <w:r w:rsidRPr="006A4481">
        <w:t>Summary</w:t>
      </w:r>
      <w:r>
        <w:rPr>
          <w:webHidden/>
        </w:rPr>
        <w:tab/>
      </w:r>
      <w:r w:rsidR="00176A72">
        <w:rPr>
          <w:webHidden/>
        </w:rPr>
        <w:t>33</w:t>
      </w:r>
    </w:p>
    <w:p w14:paraId="2C6CD19E" w14:textId="714817AE" w:rsidR="004F336C" w:rsidRDefault="004F336C" w:rsidP="00CC7C6B">
      <w:pPr>
        <w:pStyle w:val="TOC1"/>
        <w:tabs>
          <w:tab w:val="right" w:leader="dot" w:pos="8630"/>
        </w:tabs>
        <w:spacing w:line="480" w:lineRule="auto"/>
        <w:rPr>
          <w:rFonts w:asciiTheme="minorHAnsi" w:eastAsiaTheme="minorEastAsia" w:hAnsiTheme="minorHAnsi" w:cstheme="minorBidi"/>
          <w:noProof/>
          <w:sz w:val="22"/>
          <w:szCs w:val="22"/>
        </w:rPr>
      </w:pPr>
      <w:r w:rsidRPr="006A4481">
        <w:rPr>
          <w:noProof/>
        </w:rPr>
        <w:t xml:space="preserve">Chapter </w:t>
      </w:r>
      <w:r w:rsidR="00883DD1" w:rsidRPr="006A4481">
        <w:rPr>
          <w:noProof/>
        </w:rPr>
        <w:t>III.</w:t>
      </w:r>
      <w:r w:rsidRPr="006A4481">
        <w:rPr>
          <w:noProof/>
        </w:rPr>
        <w:t xml:space="preserve">  </w:t>
      </w:r>
      <w:r w:rsidR="000B3244" w:rsidRPr="006A4481">
        <w:rPr>
          <w:noProof/>
        </w:rPr>
        <w:t>RESEARCH METHODOLOGY</w:t>
      </w:r>
      <w:r>
        <w:rPr>
          <w:noProof/>
          <w:webHidden/>
        </w:rPr>
        <w:tab/>
      </w:r>
      <w:r w:rsidR="00176A72">
        <w:rPr>
          <w:noProof/>
          <w:webHidden/>
        </w:rPr>
        <w:t>35</w:t>
      </w:r>
    </w:p>
    <w:p w14:paraId="65B26C71" w14:textId="06627ED5" w:rsidR="004F336C" w:rsidRDefault="00A46B0F" w:rsidP="006A4481">
      <w:pPr>
        <w:pStyle w:val="TOC2"/>
        <w:rPr>
          <w:rFonts w:asciiTheme="minorHAnsi" w:eastAsiaTheme="minorEastAsia" w:hAnsiTheme="minorHAnsi" w:cstheme="minorBidi"/>
          <w:sz w:val="22"/>
          <w:szCs w:val="22"/>
        </w:rPr>
      </w:pPr>
      <w:r w:rsidRPr="006A4481">
        <w:t>Introduction</w:t>
      </w:r>
      <w:r w:rsidR="004F336C">
        <w:rPr>
          <w:webHidden/>
        </w:rPr>
        <w:tab/>
      </w:r>
      <w:r w:rsidR="00176A72">
        <w:rPr>
          <w:webHidden/>
        </w:rPr>
        <w:t>35</w:t>
      </w:r>
    </w:p>
    <w:p w14:paraId="08F72749" w14:textId="0F17E549" w:rsidR="004F336C" w:rsidRDefault="003F5437" w:rsidP="006A4481">
      <w:pPr>
        <w:pStyle w:val="TOC2"/>
        <w:rPr>
          <w:rFonts w:asciiTheme="minorHAnsi" w:eastAsiaTheme="minorEastAsia" w:hAnsiTheme="minorHAnsi" w:cstheme="minorBidi"/>
          <w:sz w:val="22"/>
          <w:szCs w:val="22"/>
        </w:rPr>
      </w:pPr>
      <w:r w:rsidRPr="006A4481">
        <w:t>Data Sources</w:t>
      </w:r>
      <w:r w:rsidR="004F336C">
        <w:rPr>
          <w:webHidden/>
        </w:rPr>
        <w:tab/>
      </w:r>
      <w:r w:rsidR="00176A72">
        <w:rPr>
          <w:webHidden/>
        </w:rPr>
        <w:t>36</w:t>
      </w:r>
    </w:p>
    <w:p w14:paraId="0CAAD525" w14:textId="2D555EF2" w:rsidR="004F336C" w:rsidRDefault="00AE27EE" w:rsidP="00CC7C6B">
      <w:pPr>
        <w:pStyle w:val="TOC3"/>
        <w:tabs>
          <w:tab w:val="right" w:leader="dot" w:pos="8630"/>
        </w:tabs>
        <w:spacing w:line="480" w:lineRule="auto"/>
        <w:rPr>
          <w:rFonts w:asciiTheme="minorHAnsi" w:eastAsiaTheme="minorEastAsia" w:hAnsiTheme="minorHAnsi" w:cstheme="minorBidi"/>
          <w:noProof/>
          <w:sz w:val="22"/>
          <w:szCs w:val="22"/>
        </w:rPr>
      </w:pPr>
      <w:r w:rsidRPr="006A4481">
        <w:rPr>
          <w:noProof/>
        </w:rPr>
        <w:t>The Integrated Postsecondary Data System (IPEDS)</w:t>
      </w:r>
      <w:r w:rsidR="004F336C">
        <w:rPr>
          <w:noProof/>
          <w:webHidden/>
        </w:rPr>
        <w:tab/>
      </w:r>
      <w:r w:rsidR="00176A72">
        <w:rPr>
          <w:noProof/>
          <w:webHidden/>
        </w:rPr>
        <w:t>36</w:t>
      </w:r>
    </w:p>
    <w:p w14:paraId="490DD8E8" w14:textId="560F4545" w:rsidR="00176A72" w:rsidRDefault="00176A72" w:rsidP="00176A72">
      <w:pPr>
        <w:pStyle w:val="TOC3"/>
        <w:tabs>
          <w:tab w:val="right" w:leader="dot" w:pos="8630"/>
        </w:tabs>
        <w:spacing w:line="480" w:lineRule="auto"/>
        <w:rPr>
          <w:rFonts w:asciiTheme="minorHAnsi" w:eastAsiaTheme="minorEastAsia" w:hAnsiTheme="minorHAnsi" w:cstheme="minorBidi"/>
          <w:noProof/>
          <w:sz w:val="22"/>
          <w:szCs w:val="22"/>
        </w:rPr>
      </w:pPr>
      <w:r w:rsidRPr="006A4481">
        <w:rPr>
          <w:noProof/>
        </w:rPr>
        <w:t>U.S. Bureau of Labor Statistics</w:t>
      </w:r>
      <w:r>
        <w:rPr>
          <w:noProof/>
          <w:webHidden/>
        </w:rPr>
        <w:tab/>
        <w:t>36</w:t>
      </w:r>
    </w:p>
    <w:p w14:paraId="1286CB10" w14:textId="6D8FE5E5" w:rsidR="00176A72" w:rsidRDefault="00176A72" w:rsidP="00176A72">
      <w:pPr>
        <w:pStyle w:val="TOC3"/>
        <w:tabs>
          <w:tab w:val="right" w:leader="dot" w:pos="8630"/>
        </w:tabs>
        <w:spacing w:line="480" w:lineRule="auto"/>
        <w:rPr>
          <w:rFonts w:asciiTheme="minorHAnsi" w:eastAsiaTheme="minorEastAsia" w:hAnsiTheme="minorHAnsi" w:cstheme="minorBidi"/>
          <w:noProof/>
          <w:sz w:val="22"/>
          <w:szCs w:val="22"/>
        </w:rPr>
      </w:pPr>
      <w:r w:rsidRPr="00176A72">
        <w:rPr>
          <w:noProof/>
        </w:rPr>
        <w:t>The National Center for Higher Education Management Systems (NCHEMS)</w:t>
      </w:r>
      <w:r w:rsidRPr="00176A72">
        <w:rPr>
          <w:noProof/>
          <w:webHidden/>
        </w:rPr>
        <w:tab/>
      </w:r>
      <w:r>
        <w:rPr>
          <w:noProof/>
          <w:webHidden/>
        </w:rPr>
        <w:t>38</w:t>
      </w:r>
    </w:p>
    <w:p w14:paraId="20924120" w14:textId="256C0B58" w:rsidR="004F336C" w:rsidRDefault="00AE27EE" w:rsidP="006A4481">
      <w:pPr>
        <w:pStyle w:val="TOC2"/>
      </w:pPr>
      <w:r w:rsidRPr="006A4481">
        <w:t>Variables</w:t>
      </w:r>
      <w:r w:rsidR="004F336C">
        <w:rPr>
          <w:webHidden/>
        </w:rPr>
        <w:tab/>
      </w:r>
      <w:r w:rsidR="00176A72">
        <w:rPr>
          <w:webHidden/>
        </w:rPr>
        <w:t>39</w:t>
      </w:r>
    </w:p>
    <w:p w14:paraId="25D92F36" w14:textId="3553DE5F" w:rsidR="00AE27EE" w:rsidRDefault="00AE27EE" w:rsidP="00AE27EE">
      <w:pPr>
        <w:pStyle w:val="TOC3"/>
        <w:tabs>
          <w:tab w:val="right" w:leader="dot" w:pos="8630"/>
        </w:tabs>
        <w:spacing w:line="480" w:lineRule="auto"/>
        <w:rPr>
          <w:rFonts w:asciiTheme="minorHAnsi" w:eastAsiaTheme="minorEastAsia" w:hAnsiTheme="minorHAnsi" w:cstheme="minorBidi"/>
          <w:noProof/>
          <w:sz w:val="22"/>
          <w:szCs w:val="22"/>
        </w:rPr>
      </w:pPr>
      <w:r w:rsidRPr="006A4481">
        <w:rPr>
          <w:noProof/>
        </w:rPr>
        <w:t>Input Variables</w:t>
      </w:r>
      <w:r>
        <w:rPr>
          <w:noProof/>
          <w:webHidden/>
        </w:rPr>
        <w:tab/>
      </w:r>
      <w:r w:rsidR="00176A72">
        <w:rPr>
          <w:noProof/>
          <w:webHidden/>
        </w:rPr>
        <w:t>39</w:t>
      </w:r>
    </w:p>
    <w:p w14:paraId="17F4E224" w14:textId="13425A0F" w:rsidR="00AE27EE" w:rsidRDefault="00AE27EE" w:rsidP="00AE27EE">
      <w:pPr>
        <w:pStyle w:val="TOC3"/>
        <w:tabs>
          <w:tab w:val="right" w:leader="dot" w:pos="8630"/>
        </w:tabs>
        <w:spacing w:line="480" w:lineRule="auto"/>
        <w:rPr>
          <w:rFonts w:asciiTheme="minorHAnsi" w:eastAsiaTheme="minorEastAsia" w:hAnsiTheme="minorHAnsi" w:cstheme="minorBidi"/>
          <w:noProof/>
          <w:sz w:val="22"/>
          <w:szCs w:val="22"/>
        </w:rPr>
      </w:pPr>
      <w:r w:rsidRPr="006A4481">
        <w:rPr>
          <w:noProof/>
        </w:rPr>
        <w:t>Mediating Variables</w:t>
      </w:r>
      <w:r>
        <w:rPr>
          <w:noProof/>
          <w:webHidden/>
        </w:rPr>
        <w:tab/>
      </w:r>
      <w:r w:rsidR="00176A72">
        <w:rPr>
          <w:noProof/>
          <w:webHidden/>
        </w:rPr>
        <w:t>43</w:t>
      </w:r>
    </w:p>
    <w:p w14:paraId="28944969" w14:textId="5547C864" w:rsidR="00AE27EE" w:rsidRDefault="00AE27EE" w:rsidP="00AE27EE">
      <w:pPr>
        <w:pStyle w:val="TOC3"/>
        <w:tabs>
          <w:tab w:val="right" w:leader="dot" w:pos="8630"/>
        </w:tabs>
        <w:spacing w:line="480" w:lineRule="auto"/>
        <w:rPr>
          <w:rFonts w:asciiTheme="minorHAnsi" w:eastAsiaTheme="minorEastAsia" w:hAnsiTheme="minorHAnsi" w:cstheme="minorBidi"/>
          <w:noProof/>
          <w:sz w:val="22"/>
          <w:szCs w:val="22"/>
        </w:rPr>
      </w:pPr>
      <w:r w:rsidRPr="006A4481">
        <w:rPr>
          <w:noProof/>
        </w:rPr>
        <w:t>Dependent Variable</w:t>
      </w:r>
      <w:r>
        <w:rPr>
          <w:noProof/>
          <w:webHidden/>
        </w:rPr>
        <w:tab/>
      </w:r>
      <w:r w:rsidR="00176A72">
        <w:rPr>
          <w:noProof/>
          <w:webHidden/>
        </w:rPr>
        <w:t>46</w:t>
      </w:r>
    </w:p>
    <w:p w14:paraId="5BD0FBD0" w14:textId="5A0E8CF7" w:rsidR="00AE27EE" w:rsidRDefault="00AE27EE" w:rsidP="006A4481">
      <w:pPr>
        <w:pStyle w:val="TOC2"/>
      </w:pPr>
      <w:r w:rsidRPr="006A4481">
        <w:t>Data Analyses</w:t>
      </w:r>
      <w:r w:rsidR="00176A72">
        <w:t xml:space="preserve"> Methods</w:t>
      </w:r>
      <w:r>
        <w:rPr>
          <w:webHidden/>
        </w:rPr>
        <w:tab/>
      </w:r>
      <w:r w:rsidR="00176A72">
        <w:rPr>
          <w:webHidden/>
        </w:rPr>
        <w:t>46</w:t>
      </w:r>
    </w:p>
    <w:p w14:paraId="7B593D04" w14:textId="42BC1922" w:rsidR="00AE27EE" w:rsidRDefault="00176A72" w:rsidP="00AE27EE">
      <w:pPr>
        <w:pStyle w:val="TOC3"/>
        <w:tabs>
          <w:tab w:val="right" w:leader="dot" w:pos="8630"/>
        </w:tabs>
        <w:spacing w:line="480" w:lineRule="auto"/>
        <w:rPr>
          <w:rFonts w:asciiTheme="minorHAnsi" w:eastAsiaTheme="minorEastAsia" w:hAnsiTheme="minorHAnsi" w:cstheme="minorBidi"/>
          <w:noProof/>
          <w:sz w:val="22"/>
          <w:szCs w:val="22"/>
        </w:rPr>
      </w:pPr>
      <w:r>
        <w:rPr>
          <w:noProof/>
        </w:rPr>
        <w:t>Data Integrity</w:t>
      </w:r>
      <w:r w:rsidR="00AE27EE" w:rsidRPr="006A4481">
        <w:rPr>
          <w:noProof/>
        </w:rPr>
        <w:t xml:space="preserve"> Procedures and Methodological Assumptions</w:t>
      </w:r>
      <w:r w:rsidR="00AE27EE">
        <w:rPr>
          <w:noProof/>
          <w:webHidden/>
        </w:rPr>
        <w:tab/>
      </w:r>
      <w:r>
        <w:rPr>
          <w:noProof/>
          <w:webHidden/>
        </w:rPr>
        <w:t>46</w:t>
      </w:r>
    </w:p>
    <w:p w14:paraId="2986B638" w14:textId="0D824ED4" w:rsidR="00AE27EE" w:rsidRDefault="00AE27EE" w:rsidP="00AE27EE">
      <w:pPr>
        <w:pStyle w:val="TOC3"/>
        <w:tabs>
          <w:tab w:val="right" w:leader="dot" w:pos="8630"/>
        </w:tabs>
        <w:spacing w:line="480" w:lineRule="auto"/>
        <w:rPr>
          <w:noProof/>
        </w:rPr>
      </w:pPr>
      <w:r w:rsidRPr="006A4481">
        <w:rPr>
          <w:noProof/>
        </w:rPr>
        <w:t>Inferential Analyses Procedures</w:t>
      </w:r>
      <w:r>
        <w:rPr>
          <w:noProof/>
          <w:webHidden/>
        </w:rPr>
        <w:tab/>
      </w:r>
      <w:r w:rsidR="00176A72">
        <w:rPr>
          <w:noProof/>
          <w:webHidden/>
        </w:rPr>
        <w:t>48</w:t>
      </w:r>
    </w:p>
    <w:p w14:paraId="7448CDA5" w14:textId="77777777" w:rsidR="00176A72" w:rsidRPr="006A4481" w:rsidRDefault="00176A72" w:rsidP="00176A72">
      <w:pPr>
        <w:pStyle w:val="TOC2"/>
      </w:pPr>
      <w:r w:rsidRPr="006A4481">
        <w:t>Data Limitations</w:t>
      </w:r>
      <w:r w:rsidRPr="006A4481">
        <w:rPr>
          <w:webHidden/>
        </w:rPr>
        <w:tab/>
      </w:r>
      <w:r>
        <w:rPr>
          <w:webHidden/>
        </w:rPr>
        <w:t>51</w:t>
      </w:r>
    </w:p>
    <w:p w14:paraId="5B554956" w14:textId="7A0C28C9" w:rsidR="00176A72" w:rsidRPr="006A4481" w:rsidRDefault="00176A72" w:rsidP="00176A72">
      <w:pPr>
        <w:pStyle w:val="TOC2"/>
      </w:pPr>
      <w:r>
        <w:t>Summary</w:t>
      </w:r>
      <w:r w:rsidRPr="006A4481">
        <w:rPr>
          <w:webHidden/>
        </w:rPr>
        <w:tab/>
      </w:r>
      <w:r>
        <w:rPr>
          <w:webHidden/>
        </w:rPr>
        <w:t>52</w:t>
      </w:r>
    </w:p>
    <w:p w14:paraId="700BA0CC" w14:textId="6BF0E097" w:rsidR="00F22DF7" w:rsidRPr="006A4481" w:rsidRDefault="00F22DF7" w:rsidP="00F22DF7">
      <w:pPr>
        <w:pStyle w:val="TOC1"/>
        <w:tabs>
          <w:tab w:val="right" w:leader="dot" w:pos="8630"/>
        </w:tabs>
        <w:spacing w:line="480" w:lineRule="auto"/>
        <w:rPr>
          <w:noProof/>
        </w:rPr>
      </w:pPr>
      <w:r w:rsidRPr="006A4481">
        <w:rPr>
          <w:noProof/>
        </w:rPr>
        <w:lastRenderedPageBreak/>
        <w:t>Chapter IV.  RESULTS</w:t>
      </w:r>
      <w:r w:rsidRPr="006A4481">
        <w:rPr>
          <w:noProof/>
          <w:webHidden/>
        </w:rPr>
        <w:tab/>
      </w:r>
      <w:r w:rsidR="00176A72">
        <w:rPr>
          <w:noProof/>
          <w:webHidden/>
        </w:rPr>
        <w:t>54</w:t>
      </w:r>
    </w:p>
    <w:p w14:paraId="0924B11E" w14:textId="77777777" w:rsidR="00A46B0F" w:rsidRPr="006A4481" w:rsidRDefault="00A46B0F" w:rsidP="006A4481">
      <w:pPr>
        <w:pStyle w:val="TOC2"/>
        <w:rPr>
          <w:rStyle w:val="Hyperlink"/>
          <w:color w:val="auto"/>
          <w:u w:val="none"/>
        </w:rPr>
      </w:pPr>
      <w:r w:rsidRPr="006A4481">
        <w:rPr>
          <w:rStyle w:val="Hyperlink"/>
          <w:color w:val="auto"/>
          <w:u w:val="none"/>
        </w:rPr>
        <w:t>Introduction</w:t>
      </w:r>
      <w:r w:rsidRPr="006A4481">
        <w:rPr>
          <w:rStyle w:val="Hyperlink"/>
          <w:webHidden/>
          <w:color w:val="auto"/>
          <w:u w:val="none"/>
        </w:rPr>
        <w:tab/>
        <w:t>42</w:t>
      </w:r>
    </w:p>
    <w:p w14:paraId="5FAB7AE0" w14:textId="77777777" w:rsidR="00A77CCA" w:rsidRPr="006A4481" w:rsidRDefault="00656258" w:rsidP="006A4481">
      <w:pPr>
        <w:pStyle w:val="TOC2"/>
        <w:rPr>
          <w:rStyle w:val="Hyperlink"/>
          <w:color w:val="auto"/>
          <w:u w:val="none"/>
        </w:rPr>
      </w:pPr>
      <w:r w:rsidRPr="006A4481">
        <w:rPr>
          <w:rStyle w:val="Hyperlink"/>
          <w:color w:val="auto"/>
          <w:u w:val="none"/>
        </w:rPr>
        <w:t xml:space="preserve">Expenditure </w:t>
      </w:r>
      <w:r w:rsidR="00657EBE" w:rsidRPr="006A4481">
        <w:rPr>
          <w:rStyle w:val="Hyperlink"/>
          <w:color w:val="auto"/>
          <w:u w:val="none"/>
        </w:rPr>
        <w:t>Effects</w:t>
      </w:r>
      <w:r w:rsidRPr="006A4481">
        <w:rPr>
          <w:rStyle w:val="Hyperlink"/>
          <w:color w:val="auto"/>
          <w:u w:val="none"/>
        </w:rPr>
        <w:t xml:space="preserve"> on Graduation Rates</w:t>
      </w:r>
      <w:r w:rsidR="00A77CCA" w:rsidRPr="006A4481">
        <w:rPr>
          <w:rStyle w:val="Hyperlink"/>
          <w:webHidden/>
          <w:color w:val="auto"/>
          <w:u w:val="none"/>
        </w:rPr>
        <w:tab/>
        <w:t>42</w:t>
      </w:r>
    </w:p>
    <w:p w14:paraId="5095DF4E" w14:textId="77777777" w:rsidR="00A77CCA" w:rsidRPr="006A4481" w:rsidRDefault="00657EBE" w:rsidP="00A46B0F">
      <w:pPr>
        <w:pStyle w:val="TOC3"/>
        <w:tabs>
          <w:tab w:val="right" w:leader="dot" w:pos="8630"/>
        </w:tabs>
        <w:spacing w:line="480" w:lineRule="auto"/>
        <w:rPr>
          <w:rStyle w:val="Hyperlink"/>
          <w:noProof/>
          <w:color w:val="auto"/>
          <w:u w:val="none"/>
        </w:rPr>
      </w:pPr>
      <w:r w:rsidRPr="006A4481">
        <w:rPr>
          <w:rStyle w:val="Hyperlink"/>
          <w:noProof/>
          <w:color w:val="auto"/>
          <w:u w:val="none"/>
        </w:rPr>
        <w:t>2006 – 2014 Expenditure Correlations</w:t>
      </w:r>
      <w:r w:rsidR="00A77CCA" w:rsidRPr="006A4481">
        <w:rPr>
          <w:rStyle w:val="Hyperlink"/>
          <w:noProof/>
          <w:webHidden/>
          <w:color w:val="auto"/>
          <w:u w:val="none"/>
        </w:rPr>
        <w:tab/>
        <w:t>4</w:t>
      </w:r>
      <w:r w:rsidR="00A77CCA" w:rsidRPr="006A4481">
        <w:rPr>
          <w:rStyle w:val="Hyperlink"/>
          <w:noProof/>
          <w:color w:val="auto"/>
          <w:u w:val="none"/>
        </w:rPr>
        <w:t>2</w:t>
      </w:r>
    </w:p>
    <w:p w14:paraId="20A49DD0" w14:textId="77777777" w:rsidR="00CF68CB" w:rsidRPr="006A4481" w:rsidRDefault="00CF68CB" w:rsidP="00CF68CB">
      <w:pPr>
        <w:pStyle w:val="TOC3"/>
        <w:tabs>
          <w:tab w:val="right" w:leader="dot" w:pos="8630"/>
        </w:tabs>
        <w:spacing w:line="480" w:lineRule="auto"/>
        <w:rPr>
          <w:rStyle w:val="Hyperlink"/>
          <w:noProof/>
          <w:color w:val="auto"/>
          <w:u w:val="none"/>
        </w:rPr>
      </w:pPr>
      <w:r>
        <w:rPr>
          <w:rStyle w:val="Hyperlink"/>
          <w:noProof/>
          <w:color w:val="auto"/>
          <w:u w:val="none"/>
        </w:rPr>
        <w:t xml:space="preserve">Instruction </w:t>
      </w:r>
      <w:r w:rsidRPr="006A4481">
        <w:rPr>
          <w:rStyle w:val="Hyperlink"/>
          <w:noProof/>
          <w:color w:val="auto"/>
          <w:u w:val="none"/>
        </w:rPr>
        <w:t>Expenditure</w:t>
      </w:r>
      <w:r>
        <w:rPr>
          <w:rStyle w:val="Hyperlink"/>
          <w:noProof/>
          <w:color w:val="auto"/>
          <w:u w:val="none"/>
        </w:rPr>
        <w:t>s</w:t>
      </w:r>
      <w:r w:rsidRPr="006A4481">
        <w:rPr>
          <w:rStyle w:val="Hyperlink"/>
          <w:noProof/>
          <w:color w:val="auto"/>
          <w:u w:val="none"/>
        </w:rPr>
        <w:t xml:space="preserve"> Effects </w:t>
      </w:r>
      <w:r>
        <w:rPr>
          <w:rStyle w:val="Hyperlink"/>
          <w:noProof/>
          <w:color w:val="auto"/>
          <w:u w:val="none"/>
        </w:rPr>
        <w:t>on Graduation Rates</w:t>
      </w:r>
      <w:r w:rsidRPr="006A4481">
        <w:rPr>
          <w:rStyle w:val="Hyperlink"/>
          <w:noProof/>
          <w:webHidden/>
          <w:color w:val="auto"/>
          <w:u w:val="none"/>
        </w:rPr>
        <w:tab/>
        <w:t>43</w:t>
      </w:r>
    </w:p>
    <w:p w14:paraId="6646EC4F" w14:textId="77777777" w:rsidR="00CF68CB" w:rsidRPr="006A4481" w:rsidRDefault="00CF68CB" w:rsidP="00CF68CB">
      <w:pPr>
        <w:pStyle w:val="TOC3"/>
        <w:tabs>
          <w:tab w:val="right" w:leader="dot" w:pos="8630"/>
        </w:tabs>
        <w:spacing w:line="480" w:lineRule="auto"/>
        <w:rPr>
          <w:rStyle w:val="Hyperlink"/>
          <w:noProof/>
          <w:color w:val="auto"/>
          <w:u w:val="none"/>
        </w:rPr>
      </w:pPr>
      <w:r>
        <w:rPr>
          <w:rStyle w:val="Hyperlink"/>
          <w:noProof/>
          <w:color w:val="auto"/>
          <w:u w:val="none"/>
        </w:rPr>
        <w:t xml:space="preserve">Research </w:t>
      </w:r>
      <w:r w:rsidRPr="006A4481">
        <w:rPr>
          <w:rStyle w:val="Hyperlink"/>
          <w:noProof/>
          <w:color w:val="auto"/>
          <w:u w:val="none"/>
        </w:rPr>
        <w:t>Expenditure</w:t>
      </w:r>
      <w:r>
        <w:rPr>
          <w:rStyle w:val="Hyperlink"/>
          <w:noProof/>
          <w:color w:val="auto"/>
          <w:u w:val="none"/>
        </w:rPr>
        <w:t>s</w:t>
      </w:r>
      <w:r w:rsidRPr="006A4481">
        <w:rPr>
          <w:rStyle w:val="Hyperlink"/>
          <w:noProof/>
          <w:color w:val="auto"/>
          <w:u w:val="none"/>
        </w:rPr>
        <w:t xml:space="preserve"> Effects </w:t>
      </w:r>
      <w:r>
        <w:rPr>
          <w:rStyle w:val="Hyperlink"/>
          <w:noProof/>
          <w:color w:val="auto"/>
          <w:u w:val="none"/>
        </w:rPr>
        <w:t>on Graduation Rates</w:t>
      </w:r>
      <w:r w:rsidRPr="006A4481">
        <w:rPr>
          <w:rStyle w:val="Hyperlink"/>
          <w:noProof/>
          <w:webHidden/>
          <w:color w:val="auto"/>
          <w:u w:val="none"/>
        </w:rPr>
        <w:tab/>
        <w:t>43</w:t>
      </w:r>
    </w:p>
    <w:p w14:paraId="49E471EF" w14:textId="77777777" w:rsidR="00CF68CB" w:rsidRPr="006A4481" w:rsidRDefault="00CF68CB" w:rsidP="00CF68CB">
      <w:pPr>
        <w:pStyle w:val="TOC3"/>
        <w:tabs>
          <w:tab w:val="right" w:leader="dot" w:pos="8630"/>
        </w:tabs>
        <w:spacing w:line="480" w:lineRule="auto"/>
        <w:rPr>
          <w:rStyle w:val="Hyperlink"/>
          <w:noProof/>
          <w:color w:val="auto"/>
          <w:u w:val="none"/>
        </w:rPr>
      </w:pPr>
      <w:r>
        <w:rPr>
          <w:rStyle w:val="Hyperlink"/>
          <w:noProof/>
          <w:color w:val="auto"/>
          <w:u w:val="none"/>
        </w:rPr>
        <w:t xml:space="preserve">Public Service </w:t>
      </w:r>
      <w:r w:rsidRPr="006A4481">
        <w:rPr>
          <w:rStyle w:val="Hyperlink"/>
          <w:noProof/>
          <w:color w:val="auto"/>
          <w:u w:val="none"/>
        </w:rPr>
        <w:t xml:space="preserve">Expenditure Effects </w:t>
      </w:r>
      <w:r>
        <w:rPr>
          <w:rStyle w:val="Hyperlink"/>
          <w:noProof/>
          <w:color w:val="auto"/>
          <w:u w:val="none"/>
        </w:rPr>
        <w:t>on Graduation Rates</w:t>
      </w:r>
      <w:r w:rsidRPr="006A4481">
        <w:rPr>
          <w:rStyle w:val="Hyperlink"/>
          <w:noProof/>
          <w:webHidden/>
          <w:color w:val="auto"/>
          <w:u w:val="none"/>
        </w:rPr>
        <w:tab/>
        <w:t>43</w:t>
      </w:r>
    </w:p>
    <w:p w14:paraId="5BF3B27E" w14:textId="77777777" w:rsidR="00CF68CB" w:rsidRPr="006A4481" w:rsidRDefault="00CF68CB" w:rsidP="00CF68CB">
      <w:pPr>
        <w:pStyle w:val="TOC3"/>
        <w:tabs>
          <w:tab w:val="right" w:leader="dot" w:pos="8630"/>
        </w:tabs>
        <w:spacing w:line="480" w:lineRule="auto"/>
        <w:rPr>
          <w:rStyle w:val="Hyperlink"/>
          <w:noProof/>
          <w:color w:val="auto"/>
          <w:u w:val="none"/>
        </w:rPr>
      </w:pPr>
      <w:r>
        <w:rPr>
          <w:rStyle w:val="Hyperlink"/>
          <w:noProof/>
          <w:color w:val="auto"/>
          <w:u w:val="none"/>
        </w:rPr>
        <w:t xml:space="preserve">Academic Support </w:t>
      </w:r>
      <w:r w:rsidRPr="006A4481">
        <w:rPr>
          <w:rStyle w:val="Hyperlink"/>
          <w:noProof/>
          <w:color w:val="auto"/>
          <w:u w:val="none"/>
        </w:rPr>
        <w:t xml:space="preserve">Expenditure Effects </w:t>
      </w:r>
      <w:r>
        <w:rPr>
          <w:rStyle w:val="Hyperlink"/>
          <w:noProof/>
          <w:color w:val="auto"/>
          <w:u w:val="none"/>
        </w:rPr>
        <w:t>on Graduation Rates</w:t>
      </w:r>
      <w:r w:rsidRPr="006A4481">
        <w:rPr>
          <w:rStyle w:val="Hyperlink"/>
          <w:noProof/>
          <w:webHidden/>
          <w:color w:val="auto"/>
          <w:u w:val="none"/>
        </w:rPr>
        <w:tab/>
        <w:t>43</w:t>
      </w:r>
    </w:p>
    <w:p w14:paraId="2F136F5B" w14:textId="77777777" w:rsidR="00242F4F" w:rsidRPr="006A4481" w:rsidRDefault="00CF68CB" w:rsidP="00A46B0F">
      <w:pPr>
        <w:pStyle w:val="TOC3"/>
        <w:tabs>
          <w:tab w:val="right" w:leader="dot" w:pos="8630"/>
        </w:tabs>
        <w:spacing w:line="480" w:lineRule="auto"/>
        <w:rPr>
          <w:rStyle w:val="Hyperlink"/>
          <w:noProof/>
          <w:color w:val="auto"/>
          <w:u w:val="none"/>
        </w:rPr>
      </w:pPr>
      <w:r>
        <w:rPr>
          <w:rStyle w:val="Hyperlink"/>
          <w:noProof/>
          <w:color w:val="auto"/>
          <w:u w:val="none"/>
        </w:rPr>
        <w:t xml:space="preserve">Student Services </w:t>
      </w:r>
      <w:r w:rsidR="00657EBE" w:rsidRPr="006A4481">
        <w:rPr>
          <w:rStyle w:val="Hyperlink"/>
          <w:noProof/>
          <w:color w:val="auto"/>
          <w:u w:val="none"/>
        </w:rPr>
        <w:t xml:space="preserve">Expenditure Effects </w:t>
      </w:r>
      <w:r>
        <w:rPr>
          <w:rStyle w:val="Hyperlink"/>
          <w:noProof/>
          <w:color w:val="auto"/>
          <w:u w:val="none"/>
        </w:rPr>
        <w:t>on Graduation Rates</w:t>
      </w:r>
      <w:r w:rsidR="00242F4F" w:rsidRPr="006A4481">
        <w:rPr>
          <w:rStyle w:val="Hyperlink"/>
          <w:noProof/>
          <w:webHidden/>
          <w:color w:val="auto"/>
          <w:u w:val="none"/>
        </w:rPr>
        <w:tab/>
        <w:t>43</w:t>
      </w:r>
    </w:p>
    <w:p w14:paraId="17A3B8E6" w14:textId="77777777" w:rsidR="007359D8" w:rsidRPr="006A4481" w:rsidRDefault="00583D75" w:rsidP="006A4481">
      <w:pPr>
        <w:pStyle w:val="TOC2"/>
        <w:rPr>
          <w:rStyle w:val="Hyperlink"/>
          <w:color w:val="auto"/>
          <w:u w:val="none"/>
        </w:rPr>
      </w:pPr>
      <w:r w:rsidRPr="006A4481">
        <w:rPr>
          <w:rStyle w:val="Hyperlink"/>
          <w:color w:val="auto"/>
          <w:u w:val="none"/>
        </w:rPr>
        <w:t>Institutional Influences on Expenditures/Graduation Rates Relationship</w:t>
      </w:r>
      <w:r w:rsidR="007359D8" w:rsidRPr="006A4481">
        <w:rPr>
          <w:rStyle w:val="Hyperlink"/>
          <w:webHidden/>
          <w:color w:val="auto"/>
          <w:u w:val="none"/>
        </w:rPr>
        <w:tab/>
        <w:t>42</w:t>
      </w:r>
    </w:p>
    <w:p w14:paraId="7EF903ED" w14:textId="77777777" w:rsidR="007359D8" w:rsidRPr="006A4481" w:rsidRDefault="00583D75" w:rsidP="006A4481">
      <w:pPr>
        <w:pStyle w:val="TOC2"/>
      </w:pPr>
      <w:r w:rsidRPr="006A4481">
        <w:rPr>
          <w:rStyle w:val="Hyperlink"/>
          <w:color w:val="auto"/>
          <w:u w:val="none"/>
        </w:rPr>
        <w:t>State Economic Influences</w:t>
      </w:r>
      <w:r w:rsidR="007359D8" w:rsidRPr="006A4481">
        <w:rPr>
          <w:rStyle w:val="Hyperlink"/>
          <w:color w:val="auto"/>
          <w:u w:val="none"/>
        </w:rPr>
        <w:t xml:space="preserve"> </w:t>
      </w:r>
      <w:r w:rsidRPr="006A4481">
        <w:rPr>
          <w:rStyle w:val="Hyperlink"/>
          <w:color w:val="auto"/>
          <w:u w:val="none"/>
        </w:rPr>
        <w:t>on Expenditures/Graduation Rates Relationship</w:t>
      </w:r>
      <w:r w:rsidR="007359D8" w:rsidRPr="006A4481">
        <w:rPr>
          <w:rStyle w:val="Hyperlink"/>
          <w:webHidden/>
          <w:color w:val="auto"/>
          <w:u w:val="none"/>
        </w:rPr>
        <w:tab/>
        <w:t>42</w:t>
      </w:r>
    </w:p>
    <w:p w14:paraId="32189A07" w14:textId="77777777" w:rsidR="00242F4F" w:rsidRPr="006A4481" w:rsidRDefault="00242F4F" w:rsidP="007359D8">
      <w:pPr>
        <w:pStyle w:val="TOC3"/>
        <w:tabs>
          <w:tab w:val="right" w:leader="dot" w:pos="8630"/>
        </w:tabs>
        <w:spacing w:line="480" w:lineRule="auto"/>
        <w:ind w:left="270"/>
        <w:rPr>
          <w:rStyle w:val="Hyperlink"/>
          <w:noProof/>
          <w:color w:val="auto"/>
          <w:u w:val="none"/>
        </w:rPr>
      </w:pPr>
      <w:r w:rsidRPr="006A4481">
        <w:rPr>
          <w:rStyle w:val="Hyperlink"/>
          <w:noProof/>
          <w:color w:val="auto"/>
          <w:u w:val="none"/>
        </w:rPr>
        <w:t xml:space="preserve">Differences in </w:t>
      </w:r>
      <w:r w:rsidR="005B2014">
        <w:rPr>
          <w:rStyle w:val="Hyperlink"/>
          <w:noProof/>
          <w:color w:val="auto"/>
          <w:u w:val="none"/>
        </w:rPr>
        <w:t>Institution level</w:t>
      </w:r>
      <w:r w:rsidRPr="006A4481">
        <w:rPr>
          <w:rStyle w:val="Hyperlink"/>
          <w:noProof/>
          <w:color w:val="auto"/>
          <w:u w:val="none"/>
        </w:rPr>
        <w:t xml:space="preserve"> and </w:t>
      </w:r>
      <w:r w:rsidR="005B2014">
        <w:rPr>
          <w:rStyle w:val="Hyperlink"/>
          <w:noProof/>
          <w:color w:val="auto"/>
          <w:u w:val="none"/>
        </w:rPr>
        <w:t>State level</w:t>
      </w:r>
      <w:r w:rsidR="00656258" w:rsidRPr="006A4481">
        <w:rPr>
          <w:rStyle w:val="Hyperlink"/>
          <w:noProof/>
          <w:color w:val="auto"/>
          <w:u w:val="none"/>
        </w:rPr>
        <w:t xml:space="preserve"> Effects</w:t>
      </w:r>
      <w:r w:rsidR="00A77CCA" w:rsidRPr="006A4481">
        <w:rPr>
          <w:rStyle w:val="Hyperlink"/>
          <w:noProof/>
          <w:webHidden/>
          <w:color w:val="auto"/>
          <w:u w:val="none"/>
        </w:rPr>
        <w:tab/>
        <w:t>43</w:t>
      </w:r>
    </w:p>
    <w:p w14:paraId="74D9CCFD" w14:textId="77777777" w:rsidR="00A77CCA" w:rsidRPr="006A4481" w:rsidRDefault="001C72A2" w:rsidP="006A4481">
      <w:pPr>
        <w:pStyle w:val="TOC2"/>
        <w:rPr>
          <w:rStyle w:val="Hyperlink"/>
          <w:color w:val="auto"/>
          <w:u w:val="none"/>
        </w:rPr>
      </w:pPr>
      <w:r w:rsidRPr="006A4481">
        <w:rPr>
          <w:rStyle w:val="Hyperlink"/>
          <w:color w:val="auto"/>
          <w:u w:val="none"/>
        </w:rPr>
        <w:t>Summary of Findings</w:t>
      </w:r>
      <w:r w:rsidR="00A77CCA" w:rsidRPr="006A4481">
        <w:rPr>
          <w:rStyle w:val="Hyperlink"/>
          <w:webHidden/>
          <w:color w:val="auto"/>
          <w:u w:val="none"/>
        </w:rPr>
        <w:tab/>
        <w:t>44</w:t>
      </w:r>
    </w:p>
    <w:p w14:paraId="7DC25238" w14:textId="77777777" w:rsidR="009725B2" w:rsidRPr="006A4481" w:rsidRDefault="009725B2" w:rsidP="009725B2">
      <w:pPr>
        <w:pStyle w:val="TOC2"/>
        <w:ind w:left="0"/>
        <w:rPr>
          <w:rStyle w:val="Hyperlink"/>
          <w:color w:val="auto"/>
          <w:u w:val="none"/>
        </w:rPr>
      </w:pPr>
      <w:r w:rsidRPr="006A4481">
        <w:rPr>
          <w:rStyle w:val="Hyperlink"/>
          <w:color w:val="auto"/>
          <w:u w:val="none"/>
        </w:rPr>
        <w:t>Chapter V.  CONCLUSION</w:t>
      </w:r>
      <w:r w:rsidRPr="006A4481">
        <w:rPr>
          <w:rStyle w:val="Hyperlink"/>
          <w:webHidden/>
          <w:color w:val="auto"/>
          <w:u w:val="none"/>
        </w:rPr>
        <w:tab/>
        <w:t>XX</w:t>
      </w:r>
    </w:p>
    <w:p w14:paraId="22D9251B" w14:textId="77777777" w:rsidR="009725B2" w:rsidRPr="006A4481" w:rsidRDefault="009725B2" w:rsidP="009725B2">
      <w:pPr>
        <w:pStyle w:val="TOC2"/>
        <w:rPr>
          <w:rStyle w:val="Hyperlink"/>
          <w:color w:val="auto"/>
          <w:u w:val="none"/>
        </w:rPr>
      </w:pPr>
      <w:r>
        <w:rPr>
          <w:rStyle w:val="Hyperlink"/>
          <w:color w:val="auto"/>
          <w:u w:val="none"/>
        </w:rPr>
        <w:t xml:space="preserve">Summary of </w:t>
      </w:r>
      <w:r w:rsidRPr="006A4481">
        <w:rPr>
          <w:rStyle w:val="Hyperlink"/>
          <w:color w:val="auto"/>
          <w:u w:val="none"/>
        </w:rPr>
        <w:t>Principle Findings</w:t>
      </w:r>
      <w:r w:rsidRPr="006A4481">
        <w:rPr>
          <w:rStyle w:val="Hyperlink"/>
          <w:webHidden/>
          <w:color w:val="auto"/>
          <w:u w:val="none"/>
        </w:rPr>
        <w:tab/>
        <w:t>42</w:t>
      </w:r>
    </w:p>
    <w:p w14:paraId="7F7152E6" w14:textId="77777777" w:rsidR="009725B2" w:rsidRPr="006A4481" w:rsidRDefault="009725B2" w:rsidP="009725B2">
      <w:pPr>
        <w:pStyle w:val="TOC2"/>
        <w:rPr>
          <w:rStyle w:val="Hyperlink"/>
          <w:color w:val="auto"/>
          <w:u w:val="none"/>
        </w:rPr>
      </w:pPr>
      <w:r>
        <w:rPr>
          <w:rStyle w:val="Hyperlink"/>
          <w:color w:val="auto"/>
          <w:u w:val="none"/>
        </w:rPr>
        <w:t>Interpretations</w:t>
      </w:r>
      <w:r w:rsidRPr="006A4481">
        <w:rPr>
          <w:rStyle w:val="Hyperlink"/>
          <w:webHidden/>
          <w:color w:val="auto"/>
          <w:u w:val="none"/>
        </w:rPr>
        <w:tab/>
        <w:t>42</w:t>
      </w:r>
    </w:p>
    <w:p w14:paraId="39863672" w14:textId="77777777" w:rsidR="009725B2" w:rsidRPr="006A4481" w:rsidRDefault="009725B2" w:rsidP="009725B2">
      <w:pPr>
        <w:pStyle w:val="TOC2"/>
        <w:ind w:left="540"/>
        <w:rPr>
          <w:rStyle w:val="Hyperlink"/>
          <w:color w:val="auto"/>
          <w:u w:val="none"/>
        </w:rPr>
      </w:pPr>
      <w:r w:rsidRPr="006A4481">
        <w:rPr>
          <w:rStyle w:val="Hyperlink"/>
          <w:color w:val="auto"/>
          <w:u w:val="none"/>
        </w:rPr>
        <w:t>Interpretation of Institutional Effects</w:t>
      </w:r>
      <w:r w:rsidRPr="006A4481">
        <w:rPr>
          <w:rStyle w:val="Hyperlink"/>
          <w:webHidden/>
          <w:color w:val="auto"/>
          <w:u w:val="none"/>
        </w:rPr>
        <w:tab/>
        <w:t>4</w:t>
      </w:r>
      <w:r w:rsidRPr="006A4481">
        <w:rPr>
          <w:rStyle w:val="Hyperlink"/>
          <w:color w:val="auto"/>
          <w:u w:val="none"/>
        </w:rPr>
        <w:t>2</w:t>
      </w:r>
    </w:p>
    <w:p w14:paraId="6CE374AD" w14:textId="77777777" w:rsidR="009725B2" w:rsidRPr="006A4481" w:rsidRDefault="009725B2" w:rsidP="009725B2">
      <w:pPr>
        <w:pStyle w:val="TOC2"/>
        <w:ind w:left="540"/>
        <w:rPr>
          <w:rStyle w:val="Hyperlink"/>
          <w:color w:val="auto"/>
          <w:u w:val="none"/>
        </w:rPr>
      </w:pPr>
      <w:r w:rsidRPr="006A4481">
        <w:rPr>
          <w:rStyle w:val="Hyperlink"/>
          <w:color w:val="auto"/>
          <w:u w:val="none"/>
        </w:rPr>
        <w:t>Interpretation of State Economic Effects</w:t>
      </w:r>
      <w:r w:rsidRPr="006A4481">
        <w:rPr>
          <w:rStyle w:val="Hyperlink"/>
          <w:webHidden/>
          <w:color w:val="auto"/>
          <w:u w:val="none"/>
        </w:rPr>
        <w:tab/>
        <w:t>43</w:t>
      </w:r>
    </w:p>
    <w:p w14:paraId="6CFFF2B4" w14:textId="77777777" w:rsidR="009725B2" w:rsidRPr="006A4481" w:rsidRDefault="009725B2" w:rsidP="009725B2">
      <w:pPr>
        <w:pStyle w:val="TOC2"/>
        <w:rPr>
          <w:rStyle w:val="Hyperlink"/>
          <w:color w:val="auto"/>
          <w:u w:val="none"/>
        </w:rPr>
      </w:pPr>
      <w:r w:rsidRPr="006A4481">
        <w:rPr>
          <w:rStyle w:val="Hyperlink"/>
          <w:color w:val="auto"/>
          <w:u w:val="none"/>
        </w:rPr>
        <w:t>Implications</w:t>
      </w:r>
      <w:r w:rsidRPr="006A4481">
        <w:rPr>
          <w:rStyle w:val="Hyperlink"/>
          <w:webHidden/>
          <w:color w:val="auto"/>
          <w:u w:val="none"/>
        </w:rPr>
        <w:tab/>
        <w:t>44</w:t>
      </w:r>
    </w:p>
    <w:p w14:paraId="320EC5EC" w14:textId="77777777" w:rsidR="009725B2" w:rsidRPr="006A4481" w:rsidRDefault="009725B2" w:rsidP="009725B2">
      <w:pPr>
        <w:pStyle w:val="TOC2"/>
        <w:ind w:left="540"/>
        <w:rPr>
          <w:rStyle w:val="Hyperlink"/>
          <w:color w:val="auto"/>
          <w:u w:val="none"/>
        </w:rPr>
      </w:pPr>
      <w:r>
        <w:rPr>
          <w:rStyle w:val="Hyperlink"/>
          <w:color w:val="auto"/>
          <w:u w:val="none"/>
        </w:rPr>
        <w:t>Implications for Policy</w:t>
      </w:r>
      <w:r w:rsidRPr="006A4481">
        <w:rPr>
          <w:rStyle w:val="Hyperlink"/>
          <w:webHidden/>
          <w:color w:val="auto"/>
          <w:u w:val="none"/>
        </w:rPr>
        <w:tab/>
        <w:t>4</w:t>
      </w:r>
      <w:r w:rsidRPr="006A4481">
        <w:rPr>
          <w:rStyle w:val="Hyperlink"/>
          <w:color w:val="auto"/>
          <w:u w:val="none"/>
        </w:rPr>
        <w:t>2</w:t>
      </w:r>
    </w:p>
    <w:p w14:paraId="7BCBC32D" w14:textId="77777777" w:rsidR="009725B2" w:rsidRPr="006A4481" w:rsidRDefault="009725B2" w:rsidP="009725B2">
      <w:pPr>
        <w:pStyle w:val="TOC2"/>
        <w:ind w:left="540"/>
        <w:rPr>
          <w:rStyle w:val="Hyperlink"/>
          <w:color w:val="auto"/>
          <w:u w:val="none"/>
        </w:rPr>
      </w:pPr>
      <w:r>
        <w:rPr>
          <w:rStyle w:val="Hyperlink"/>
          <w:webHidden/>
          <w:color w:val="auto"/>
          <w:u w:val="none"/>
        </w:rPr>
        <w:t>Implications for Research</w:t>
      </w:r>
      <w:r w:rsidRPr="006A4481">
        <w:rPr>
          <w:rStyle w:val="Hyperlink"/>
          <w:webHidden/>
          <w:color w:val="auto"/>
          <w:u w:val="none"/>
        </w:rPr>
        <w:tab/>
        <w:t>43</w:t>
      </w:r>
    </w:p>
    <w:p w14:paraId="530B8A63" w14:textId="77777777" w:rsidR="009725B2" w:rsidRPr="006A4481" w:rsidRDefault="009725B2" w:rsidP="009725B2">
      <w:pPr>
        <w:pStyle w:val="TOC2"/>
        <w:rPr>
          <w:rStyle w:val="Hyperlink"/>
          <w:color w:val="auto"/>
          <w:u w:val="none"/>
        </w:rPr>
      </w:pPr>
      <w:r w:rsidRPr="006A4481">
        <w:rPr>
          <w:rStyle w:val="Hyperlink"/>
          <w:color w:val="auto"/>
          <w:u w:val="none"/>
        </w:rPr>
        <w:t>Recommendations</w:t>
      </w:r>
      <w:r w:rsidRPr="006A4481">
        <w:rPr>
          <w:rStyle w:val="Hyperlink"/>
          <w:webHidden/>
          <w:color w:val="auto"/>
          <w:u w:val="none"/>
        </w:rPr>
        <w:tab/>
        <w:t>44</w:t>
      </w:r>
    </w:p>
    <w:p w14:paraId="7CC8C74F" w14:textId="77777777" w:rsidR="009725B2" w:rsidRPr="006A4481" w:rsidRDefault="009725B2" w:rsidP="009725B2">
      <w:pPr>
        <w:pStyle w:val="TOC2"/>
        <w:ind w:left="540"/>
        <w:rPr>
          <w:rStyle w:val="Hyperlink"/>
          <w:color w:val="auto"/>
          <w:u w:val="none"/>
        </w:rPr>
      </w:pPr>
      <w:r>
        <w:rPr>
          <w:rStyle w:val="Hyperlink"/>
          <w:color w:val="auto"/>
          <w:u w:val="none"/>
        </w:rPr>
        <w:lastRenderedPageBreak/>
        <w:t>Recommendations for Policy</w:t>
      </w:r>
      <w:r w:rsidRPr="006A4481">
        <w:rPr>
          <w:rStyle w:val="Hyperlink"/>
          <w:webHidden/>
          <w:color w:val="auto"/>
          <w:u w:val="none"/>
        </w:rPr>
        <w:tab/>
        <w:t>4</w:t>
      </w:r>
      <w:r w:rsidRPr="006A4481">
        <w:rPr>
          <w:rStyle w:val="Hyperlink"/>
          <w:color w:val="auto"/>
          <w:u w:val="none"/>
        </w:rPr>
        <w:t>2</w:t>
      </w:r>
    </w:p>
    <w:p w14:paraId="3D932F9D" w14:textId="77777777" w:rsidR="009725B2" w:rsidRPr="006A4481" w:rsidRDefault="009725B2" w:rsidP="009725B2">
      <w:pPr>
        <w:pStyle w:val="TOC2"/>
        <w:ind w:left="540"/>
        <w:rPr>
          <w:rStyle w:val="Hyperlink"/>
          <w:color w:val="auto"/>
          <w:u w:val="none"/>
        </w:rPr>
      </w:pPr>
      <w:r>
        <w:rPr>
          <w:rStyle w:val="Hyperlink"/>
          <w:color w:val="auto"/>
          <w:u w:val="none"/>
        </w:rPr>
        <w:t>Recommendations for Research</w:t>
      </w:r>
      <w:r w:rsidRPr="006A4481">
        <w:rPr>
          <w:rStyle w:val="Hyperlink"/>
          <w:webHidden/>
          <w:color w:val="auto"/>
          <w:u w:val="none"/>
        </w:rPr>
        <w:tab/>
        <w:t>43</w:t>
      </w:r>
    </w:p>
    <w:p w14:paraId="0C1304F3" w14:textId="77777777" w:rsidR="0048523D" w:rsidRPr="006A4481" w:rsidRDefault="0048523D" w:rsidP="00CD5D58">
      <w:pPr>
        <w:pStyle w:val="TOC2"/>
        <w:ind w:left="0"/>
        <w:rPr>
          <w:rStyle w:val="Hyperlink"/>
          <w:color w:val="auto"/>
          <w:u w:val="none"/>
        </w:rPr>
      </w:pPr>
      <w:r w:rsidRPr="006A4481">
        <w:rPr>
          <w:rStyle w:val="Hyperlink"/>
          <w:color w:val="auto"/>
          <w:u w:val="none"/>
        </w:rPr>
        <w:t>LIST OF REFERENCES</w:t>
      </w:r>
      <w:r w:rsidRPr="006A4481">
        <w:rPr>
          <w:rStyle w:val="Hyperlink"/>
          <w:webHidden/>
          <w:color w:val="auto"/>
          <w:u w:val="none"/>
        </w:rPr>
        <w:tab/>
      </w:r>
      <w:r w:rsidR="007C1517" w:rsidRPr="006A4481">
        <w:rPr>
          <w:rStyle w:val="Hyperlink"/>
          <w:webHidden/>
          <w:color w:val="auto"/>
          <w:u w:val="none"/>
        </w:rPr>
        <w:t>XX</w:t>
      </w:r>
    </w:p>
    <w:p w14:paraId="50B19918" w14:textId="77777777" w:rsidR="0048523D" w:rsidRPr="006A4481" w:rsidRDefault="0048523D" w:rsidP="00CD5D58">
      <w:pPr>
        <w:pStyle w:val="TOC2"/>
        <w:ind w:left="0"/>
        <w:rPr>
          <w:rStyle w:val="Hyperlink"/>
          <w:color w:val="auto"/>
          <w:u w:val="none"/>
        </w:rPr>
      </w:pPr>
      <w:r w:rsidRPr="006A4481">
        <w:rPr>
          <w:rStyle w:val="Hyperlink"/>
          <w:color w:val="auto"/>
          <w:u w:val="none"/>
        </w:rPr>
        <w:t>VITA</w:t>
      </w:r>
      <w:r w:rsidRPr="006A4481">
        <w:rPr>
          <w:rStyle w:val="Hyperlink"/>
          <w:webHidden/>
          <w:color w:val="auto"/>
          <w:u w:val="none"/>
        </w:rPr>
        <w:tab/>
      </w:r>
      <w:r w:rsidR="007C1517" w:rsidRPr="006A4481">
        <w:rPr>
          <w:rStyle w:val="Hyperlink"/>
          <w:webHidden/>
          <w:color w:val="auto"/>
          <w:u w:val="none"/>
        </w:rPr>
        <w:t>XX</w:t>
      </w:r>
    </w:p>
    <w:p w14:paraId="484B1E1C" w14:textId="77777777" w:rsidR="00236E6D" w:rsidRPr="006A4481" w:rsidRDefault="00236E6D" w:rsidP="00CC7C6B">
      <w:pPr>
        <w:numPr>
          <w:ilvl w:val="12"/>
          <w:numId w:val="0"/>
        </w:numPr>
        <w:spacing w:line="480" w:lineRule="auto"/>
        <w:jc w:val="center"/>
        <w:rPr>
          <w:b/>
          <w:bCs/>
          <w:sz w:val="28"/>
          <w:szCs w:val="28"/>
        </w:rPr>
      </w:pPr>
    </w:p>
    <w:p w14:paraId="04CF03B3" w14:textId="77777777" w:rsidR="00236E6D" w:rsidRPr="003E1CE3" w:rsidRDefault="009C755C">
      <w:pPr>
        <w:numPr>
          <w:ilvl w:val="12"/>
          <w:numId w:val="0"/>
        </w:numPr>
        <w:jc w:val="center"/>
        <w:rPr>
          <w:b/>
        </w:rPr>
      </w:pPr>
      <w:r w:rsidRPr="006A4481">
        <w:rPr>
          <w:b/>
          <w:bCs/>
          <w:sz w:val="28"/>
          <w:szCs w:val="28"/>
        </w:rPr>
        <w:br w:type="page"/>
      </w:r>
      <w:r w:rsidR="00A8693F" w:rsidRPr="003E1CE3">
        <w:rPr>
          <w:b/>
          <w:bCs/>
        </w:rPr>
        <w:lastRenderedPageBreak/>
        <w:t>LIST OF TABLES</w:t>
      </w:r>
    </w:p>
    <w:p w14:paraId="14CD903E" w14:textId="77777777" w:rsidR="00236E6D" w:rsidRPr="00F920F6" w:rsidRDefault="00236E6D">
      <w:pPr>
        <w:numPr>
          <w:ilvl w:val="12"/>
          <w:numId w:val="0"/>
        </w:numPr>
        <w:jc w:val="center"/>
      </w:pPr>
    </w:p>
    <w:p w14:paraId="2D23666D" w14:textId="77777777" w:rsidR="0076709D" w:rsidRDefault="00676779" w:rsidP="0076709D">
      <w:pPr>
        <w:pStyle w:val="TableofFigures"/>
        <w:tabs>
          <w:tab w:val="right" w:leader="dot" w:pos="8630"/>
        </w:tabs>
        <w:rPr>
          <w:noProof/>
        </w:rPr>
      </w:pPr>
      <w:r w:rsidRPr="00F920F6">
        <w:fldChar w:fldCharType="begin"/>
      </w:r>
      <w:r w:rsidR="0076709D" w:rsidRPr="00F920F6">
        <w:instrText xml:space="preserve"> TOC \h \z \c "Table" </w:instrText>
      </w:r>
      <w:r w:rsidRPr="00F920F6">
        <w:fldChar w:fldCharType="separate"/>
      </w:r>
      <w:hyperlink w:anchor="_Toc202755915" w:history="1">
        <w:r w:rsidR="0076709D" w:rsidRPr="005222B3">
          <w:rPr>
            <w:rStyle w:val="Hyperlink"/>
            <w:noProof/>
          </w:rPr>
          <w:t xml:space="preserve">Table </w:t>
        </w:r>
        <w:r w:rsidR="0076709D">
          <w:rPr>
            <w:rStyle w:val="Hyperlink"/>
            <w:noProof/>
          </w:rPr>
          <w:t>3</w:t>
        </w:r>
        <w:r w:rsidR="0076709D" w:rsidRPr="005222B3">
          <w:rPr>
            <w:rStyle w:val="Hyperlink"/>
            <w:noProof/>
          </w:rPr>
          <w:t>.</w:t>
        </w:r>
        <w:r w:rsidR="0076709D">
          <w:rPr>
            <w:rStyle w:val="Hyperlink"/>
            <w:noProof/>
          </w:rPr>
          <w:t>1</w:t>
        </w:r>
        <w:r w:rsidR="0076709D" w:rsidRPr="005222B3">
          <w:rPr>
            <w:rStyle w:val="Hyperlink"/>
            <w:noProof/>
          </w:rPr>
          <w:t xml:space="preserve"> </w:t>
        </w:r>
        <w:r w:rsidR="0076709D" w:rsidRPr="009C302C">
          <w:rPr>
            <w:rStyle w:val="Hyperlink"/>
            <w:noProof/>
          </w:rPr>
          <w:t>Study Data Descriptive Statistics</w:t>
        </w:r>
        <w:r w:rsidR="0076709D">
          <w:rPr>
            <w:noProof/>
            <w:webHidden/>
          </w:rPr>
          <w:tab/>
          <w:t>40</w:t>
        </w:r>
      </w:hyperlink>
    </w:p>
    <w:p w14:paraId="421D3D83" w14:textId="77777777" w:rsidR="0076709D" w:rsidRPr="00F920F6" w:rsidRDefault="0076709D" w:rsidP="0076709D">
      <w:pPr>
        <w:numPr>
          <w:ilvl w:val="12"/>
          <w:numId w:val="0"/>
        </w:numPr>
        <w:jc w:val="center"/>
      </w:pPr>
    </w:p>
    <w:p w14:paraId="76CDA33A" w14:textId="77777777" w:rsidR="0076709D" w:rsidRDefault="00676779" w:rsidP="0076709D">
      <w:pPr>
        <w:pStyle w:val="TableofFigures"/>
        <w:tabs>
          <w:tab w:val="right" w:leader="dot" w:pos="8630"/>
        </w:tabs>
        <w:rPr>
          <w:noProof/>
        </w:rPr>
      </w:pPr>
      <w:r w:rsidRPr="00F920F6">
        <w:fldChar w:fldCharType="begin"/>
      </w:r>
      <w:r w:rsidR="0076709D" w:rsidRPr="00F920F6">
        <w:instrText xml:space="preserve"> TOC \h \z \c "Table" </w:instrText>
      </w:r>
      <w:r w:rsidRPr="00F920F6">
        <w:fldChar w:fldCharType="separate"/>
      </w:r>
      <w:hyperlink w:anchor="_Toc202755915" w:history="1">
        <w:r w:rsidR="0076709D" w:rsidRPr="005222B3">
          <w:rPr>
            <w:rStyle w:val="Hyperlink"/>
            <w:noProof/>
          </w:rPr>
          <w:t xml:space="preserve">Table </w:t>
        </w:r>
        <w:r w:rsidR="0076709D">
          <w:rPr>
            <w:rStyle w:val="Hyperlink"/>
            <w:noProof/>
          </w:rPr>
          <w:t>4</w:t>
        </w:r>
        <w:r w:rsidR="0076709D" w:rsidRPr="005222B3">
          <w:rPr>
            <w:rStyle w:val="Hyperlink"/>
            <w:noProof/>
          </w:rPr>
          <w:t>.</w:t>
        </w:r>
        <w:r w:rsidR="0076709D">
          <w:rPr>
            <w:rStyle w:val="Hyperlink"/>
            <w:noProof/>
          </w:rPr>
          <w:t>1</w:t>
        </w:r>
        <w:r w:rsidR="0076709D" w:rsidRPr="005222B3">
          <w:rPr>
            <w:rStyle w:val="Hyperlink"/>
            <w:noProof/>
          </w:rPr>
          <w:t xml:space="preserve"> </w:t>
        </w:r>
        <w:r w:rsidR="0076709D" w:rsidRPr="0076709D">
          <w:rPr>
            <w:rStyle w:val="Hyperlink"/>
            <w:noProof/>
          </w:rPr>
          <w:t>2006 - 2014 Instruction Expenditures per FTE Correlations</w:t>
        </w:r>
        <w:r w:rsidR="0076709D">
          <w:rPr>
            <w:noProof/>
            <w:webHidden/>
          </w:rPr>
          <w:tab/>
          <w:t>40</w:t>
        </w:r>
      </w:hyperlink>
    </w:p>
    <w:p w14:paraId="49FBE3B4" w14:textId="77777777" w:rsidR="0076709D" w:rsidRPr="00F920F6" w:rsidRDefault="0076709D" w:rsidP="0076709D">
      <w:pPr>
        <w:numPr>
          <w:ilvl w:val="12"/>
          <w:numId w:val="0"/>
        </w:numPr>
        <w:jc w:val="center"/>
      </w:pPr>
    </w:p>
    <w:p w14:paraId="5F5B3F24" w14:textId="77777777" w:rsidR="0076709D" w:rsidRDefault="00676779" w:rsidP="0076709D">
      <w:pPr>
        <w:pStyle w:val="TableofFigures"/>
        <w:tabs>
          <w:tab w:val="right" w:leader="dot" w:pos="8630"/>
        </w:tabs>
        <w:rPr>
          <w:noProof/>
        </w:rPr>
      </w:pPr>
      <w:r w:rsidRPr="00F920F6">
        <w:fldChar w:fldCharType="begin"/>
      </w:r>
      <w:r w:rsidR="0076709D" w:rsidRPr="00F920F6">
        <w:instrText xml:space="preserve"> TOC \h \z \c "Table" </w:instrText>
      </w:r>
      <w:r w:rsidRPr="00F920F6">
        <w:fldChar w:fldCharType="separate"/>
      </w:r>
      <w:hyperlink w:anchor="_Toc202755915" w:history="1">
        <w:r w:rsidR="0076709D" w:rsidRPr="005222B3">
          <w:rPr>
            <w:rStyle w:val="Hyperlink"/>
            <w:noProof/>
          </w:rPr>
          <w:t xml:space="preserve">Table </w:t>
        </w:r>
        <w:r w:rsidR="0076709D">
          <w:rPr>
            <w:rStyle w:val="Hyperlink"/>
            <w:noProof/>
          </w:rPr>
          <w:t>4</w:t>
        </w:r>
        <w:r w:rsidR="0076709D" w:rsidRPr="005222B3">
          <w:rPr>
            <w:rStyle w:val="Hyperlink"/>
            <w:noProof/>
          </w:rPr>
          <w:t>.</w:t>
        </w:r>
        <w:r w:rsidR="0076709D">
          <w:rPr>
            <w:rStyle w:val="Hyperlink"/>
            <w:noProof/>
          </w:rPr>
          <w:t>2</w:t>
        </w:r>
        <w:r w:rsidR="0076709D" w:rsidRPr="005222B3">
          <w:rPr>
            <w:rStyle w:val="Hyperlink"/>
            <w:noProof/>
          </w:rPr>
          <w:t xml:space="preserve"> </w:t>
        </w:r>
        <w:r w:rsidR="0076709D" w:rsidRPr="0076709D">
          <w:rPr>
            <w:rStyle w:val="Hyperlink"/>
            <w:noProof/>
          </w:rPr>
          <w:t xml:space="preserve">2006 - 2014 </w:t>
        </w:r>
        <w:r w:rsidR="0076709D">
          <w:rPr>
            <w:rStyle w:val="Hyperlink"/>
            <w:noProof/>
          </w:rPr>
          <w:t>Research</w:t>
        </w:r>
        <w:r w:rsidR="0076709D" w:rsidRPr="0076709D">
          <w:rPr>
            <w:rStyle w:val="Hyperlink"/>
            <w:noProof/>
          </w:rPr>
          <w:t xml:space="preserve"> Expenditures per FTE Correlations</w:t>
        </w:r>
        <w:r w:rsidR="0076709D">
          <w:rPr>
            <w:noProof/>
            <w:webHidden/>
          </w:rPr>
          <w:tab/>
          <w:t>40</w:t>
        </w:r>
      </w:hyperlink>
    </w:p>
    <w:p w14:paraId="4A921E3F" w14:textId="77777777" w:rsidR="0076709D" w:rsidRPr="00F920F6" w:rsidRDefault="00676779" w:rsidP="0076709D">
      <w:pPr>
        <w:numPr>
          <w:ilvl w:val="12"/>
          <w:numId w:val="0"/>
        </w:numPr>
        <w:jc w:val="center"/>
      </w:pPr>
      <w:r w:rsidRPr="00F920F6">
        <w:fldChar w:fldCharType="end"/>
      </w:r>
    </w:p>
    <w:p w14:paraId="629F2C61" w14:textId="77777777" w:rsidR="0076709D" w:rsidRDefault="00676779" w:rsidP="0076709D">
      <w:pPr>
        <w:pStyle w:val="TableofFigures"/>
        <w:tabs>
          <w:tab w:val="right" w:leader="dot" w:pos="8630"/>
        </w:tabs>
        <w:rPr>
          <w:noProof/>
        </w:rPr>
      </w:pPr>
      <w:r w:rsidRPr="00F920F6">
        <w:fldChar w:fldCharType="begin"/>
      </w:r>
      <w:r w:rsidR="0076709D" w:rsidRPr="00F920F6">
        <w:instrText xml:space="preserve"> TOC \h \z \c "Table" </w:instrText>
      </w:r>
      <w:r w:rsidRPr="00F920F6">
        <w:fldChar w:fldCharType="separate"/>
      </w:r>
      <w:hyperlink w:anchor="_Toc202755915" w:history="1">
        <w:r w:rsidR="0076709D" w:rsidRPr="005222B3">
          <w:rPr>
            <w:rStyle w:val="Hyperlink"/>
            <w:noProof/>
          </w:rPr>
          <w:t xml:space="preserve">Table </w:t>
        </w:r>
        <w:r w:rsidR="0076709D">
          <w:rPr>
            <w:rStyle w:val="Hyperlink"/>
            <w:noProof/>
          </w:rPr>
          <w:t>4</w:t>
        </w:r>
        <w:r w:rsidR="0076709D" w:rsidRPr="005222B3">
          <w:rPr>
            <w:rStyle w:val="Hyperlink"/>
            <w:noProof/>
          </w:rPr>
          <w:t>.</w:t>
        </w:r>
        <w:r w:rsidR="0076709D">
          <w:rPr>
            <w:rStyle w:val="Hyperlink"/>
            <w:noProof/>
          </w:rPr>
          <w:t>3</w:t>
        </w:r>
        <w:r w:rsidR="0076709D" w:rsidRPr="005222B3">
          <w:rPr>
            <w:rStyle w:val="Hyperlink"/>
            <w:noProof/>
          </w:rPr>
          <w:t xml:space="preserve"> </w:t>
        </w:r>
        <w:r w:rsidR="0076709D" w:rsidRPr="0076709D">
          <w:rPr>
            <w:rStyle w:val="Hyperlink"/>
            <w:noProof/>
          </w:rPr>
          <w:t xml:space="preserve">2006 - 2014 </w:t>
        </w:r>
        <w:r w:rsidR="0076709D">
          <w:rPr>
            <w:rStyle w:val="Hyperlink"/>
            <w:noProof/>
          </w:rPr>
          <w:t>Public Service</w:t>
        </w:r>
        <w:r w:rsidR="0076709D" w:rsidRPr="0076709D">
          <w:rPr>
            <w:rStyle w:val="Hyperlink"/>
            <w:noProof/>
          </w:rPr>
          <w:t xml:space="preserve"> Expenditures per FTE Correlations</w:t>
        </w:r>
        <w:r w:rsidR="0076709D">
          <w:rPr>
            <w:noProof/>
            <w:webHidden/>
          </w:rPr>
          <w:tab/>
          <w:t>40</w:t>
        </w:r>
      </w:hyperlink>
    </w:p>
    <w:p w14:paraId="0F7668BF" w14:textId="77777777" w:rsidR="0076709D" w:rsidRPr="00F920F6" w:rsidRDefault="00676779" w:rsidP="0076709D">
      <w:pPr>
        <w:numPr>
          <w:ilvl w:val="12"/>
          <w:numId w:val="0"/>
        </w:numPr>
        <w:jc w:val="center"/>
      </w:pPr>
      <w:r w:rsidRPr="00F920F6">
        <w:fldChar w:fldCharType="end"/>
      </w:r>
    </w:p>
    <w:p w14:paraId="4C9D2341" w14:textId="77777777" w:rsidR="0076709D" w:rsidRDefault="00676779" w:rsidP="0076709D">
      <w:pPr>
        <w:pStyle w:val="TableofFigures"/>
        <w:tabs>
          <w:tab w:val="right" w:leader="dot" w:pos="8630"/>
        </w:tabs>
        <w:rPr>
          <w:noProof/>
        </w:rPr>
      </w:pPr>
      <w:r w:rsidRPr="00F920F6">
        <w:fldChar w:fldCharType="begin"/>
      </w:r>
      <w:r w:rsidR="0076709D" w:rsidRPr="00F920F6">
        <w:instrText xml:space="preserve"> TOC \h \z \c "Table" </w:instrText>
      </w:r>
      <w:r w:rsidRPr="00F920F6">
        <w:fldChar w:fldCharType="separate"/>
      </w:r>
      <w:hyperlink w:anchor="_Toc202755915" w:history="1">
        <w:r w:rsidR="0076709D" w:rsidRPr="005222B3">
          <w:rPr>
            <w:rStyle w:val="Hyperlink"/>
            <w:noProof/>
          </w:rPr>
          <w:t xml:space="preserve">Table </w:t>
        </w:r>
        <w:r w:rsidR="0076709D">
          <w:rPr>
            <w:rStyle w:val="Hyperlink"/>
            <w:noProof/>
          </w:rPr>
          <w:t>4</w:t>
        </w:r>
        <w:r w:rsidR="0076709D" w:rsidRPr="005222B3">
          <w:rPr>
            <w:rStyle w:val="Hyperlink"/>
            <w:noProof/>
          </w:rPr>
          <w:t>.</w:t>
        </w:r>
        <w:r w:rsidR="0076709D">
          <w:rPr>
            <w:rStyle w:val="Hyperlink"/>
            <w:noProof/>
          </w:rPr>
          <w:t>4</w:t>
        </w:r>
        <w:r w:rsidR="0076709D" w:rsidRPr="005222B3">
          <w:rPr>
            <w:rStyle w:val="Hyperlink"/>
            <w:noProof/>
          </w:rPr>
          <w:t xml:space="preserve"> </w:t>
        </w:r>
        <w:r w:rsidR="0076709D" w:rsidRPr="0076709D">
          <w:rPr>
            <w:rStyle w:val="Hyperlink"/>
            <w:noProof/>
          </w:rPr>
          <w:t xml:space="preserve">2006 - 2014 </w:t>
        </w:r>
        <w:r w:rsidR="0076709D">
          <w:rPr>
            <w:rStyle w:val="Hyperlink"/>
            <w:noProof/>
          </w:rPr>
          <w:t>Academic Support</w:t>
        </w:r>
        <w:r w:rsidR="0076709D" w:rsidRPr="0076709D">
          <w:rPr>
            <w:rStyle w:val="Hyperlink"/>
            <w:noProof/>
          </w:rPr>
          <w:t xml:space="preserve"> Expenditures per FTE Correlations</w:t>
        </w:r>
        <w:r w:rsidR="0076709D">
          <w:rPr>
            <w:noProof/>
            <w:webHidden/>
          </w:rPr>
          <w:tab/>
          <w:t>40</w:t>
        </w:r>
      </w:hyperlink>
    </w:p>
    <w:p w14:paraId="435E5379" w14:textId="77777777" w:rsidR="0076709D" w:rsidRPr="00F920F6" w:rsidRDefault="00676779" w:rsidP="0076709D">
      <w:pPr>
        <w:numPr>
          <w:ilvl w:val="12"/>
          <w:numId w:val="0"/>
        </w:numPr>
        <w:jc w:val="center"/>
      </w:pPr>
      <w:r w:rsidRPr="00F920F6">
        <w:fldChar w:fldCharType="end"/>
      </w:r>
    </w:p>
    <w:p w14:paraId="14B52127" w14:textId="77777777" w:rsidR="0076709D" w:rsidRDefault="00676779" w:rsidP="0076709D">
      <w:pPr>
        <w:pStyle w:val="TableofFigures"/>
        <w:tabs>
          <w:tab w:val="right" w:leader="dot" w:pos="8630"/>
        </w:tabs>
        <w:rPr>
          <w:noProof/>
        </w:rPr>
      </w:pPr>
      <w:r w:rsidRPr="00F920F6">
        <w:fldChar w:fldCharType="begin"/>
      </w:r>
      <w:r w:rsidR="0076709D" w:rsidRPr="00F920F6">
        <w:instrText xml:space="preserve"> TOC \h \z \c "Table" </w:instrText>
      </w:r>
      <w:r w:rsidRPr="00F920F6">
        <w:fldChar w:fldCharType="separate"/>
      </w:r>
      <w:hyperlink w:anchor="_Toc202755915" w:history="1">
        <w:r w:rsidR="0076709D" w:rsidRPr="005222B3">
          <w:rPr>
            <w:rStyle w:val="Hyperlink"/>
            <w:noProof/>
          </w:rPr>
          <w:t xml:space="preserve">Table </w:t>
        </w:r>
        <w:r w:rsidR="0076709D">
          <w:rPr>
            <w:rStyle w:val="Hyperlink"/>
            <w:noProof/>
          </w:rPr>
          <w:t>4</w:t>
        </w:r>
        <w:r w:rsidR="0076709D" w:rsidRPr="005222B3">
          <w:rPr>
            <w:rStyle w:val="Hyperlink"/>
            <w:noProof/>
          </w:rPr>
          <w:t>.</w:t>
        </w:r>
        <w:r w:rsidR="0076709D">
          <w:rPr>
            <w:rStyle w:val="Hyperlink"/>
            <w:noProof/>
          </w:rPr>
          <w:t>5</w:t>
        </w:r>
        <w:r w:rsidR="0076709D" w:rsidRPr="005222B3">
          <w:rPr>
            <w:rStyle w:val="Hyperlink"/>
            <w:noProof/>
          </w:rPr>
          <w:t xml:space="preserve"> </w:t>
        </w:r>
        <w:r w:rsidR="0076709D" w:rsidRPr="0076709D">
          <w:rPr>
            <w:rStyle w:val="Hyperlink"/>
            <w:noProof/>
          </w:rPr>
          <w:t xml:space="preserve">2006 - 2014 </w:t>
        </w:r>
        <w:r w:rsidR="0076709D">
          <w:rPr>
            <w:rStyle w:val="Hyperlink"/>
            <w:noProof/>
          </w:rPr>
          <w:t>Student Services</w:t>
        </w:r>
        <w:r w:rsidR="0076709D" w:rsidRPr="0076709D">
          <w:rPr>
            <w:rStyle w:val="Hyperlink"/>
            <w:noProof/>
          </w:rPr>
          <w:t xml:space="preserve"> Expenditures per FTE Correlations</w:t>
        </w:r>
        <w:r w:rsidR="0076709D">
          <w:rPr>
            <w:noProof/>
            <w:webHidden/>
          </w:rPr>
          <w:tab/>
          <w:t>40</w:t>
        </w:r>
      </w:hyperlink>
    </w:p>
    <w:p w14:paraId="03C580A1" w14:textId="77777777" w:rsidR="0076709D" w:rsidRPr="0076709D" w:rsidRDefault="00676779" w:rsidP="0076709D">
      <w:r w:rsidRPr="00F920F6">
        <w:fldChar w:fldCharType="end"/>
      </w:r>
    </w:p>
    <w:p w14:paraId="4AE46173" w14:textId="77777777" w:rsidR="0076709D" w:rsidRPr="0076709D" w:rsidRDefault="00676779" w:rsidP="0076709D">
      <w:r w:rsidRPr="00F920F6">
        <w:fldChar w:fldCharType="end"/>
      </w:r>
    </w:p>
    <w:p w14:paraId="367B6520" w14:textId="77777777" w:rsidR="003C1575" w:rsidRPr="00F920F6" w:rsidRDefault="00676779" w:rsidP="0076709D">
      <w:pPr>
        <w:numPr>
          <w:ilvl w:val="12"/>
          <w:numId w:val="0"/>
        </w:numPr>
        <w:jc w:val="center"/>
        <w:sectPr w:rsidR="003C1575" w:rsidRPr="00F920F6" w:rsidSect="00CE4608">
          <w:headerReference w:type="even" r:id="rId7"/>
          <w:headerReference w:type="default" r:id="rId8"/>
          <w:pgSz w:w="12240" w:h="15840" w:code="1"/>
          <w:pgMar w:top="2016" w:right="1800" w:bottom="1440" w:left="1800" w:header="1440" w:footer="1440" w:gutter="0"/>
          <w:pgNumType w:fmt="lowerRoman" w:start="1"/>
          <w:cols w:space="720"/>
          <w:noEndnote/>
          <w:titlePg/>
        </w:sectPr>
      </w:pPr>
      <w:r w:rsidRPr="00F920F6">
        <w:fldChar w:fldCharType="end"/>
      </w:r>
      <w:r w:rsidR="00236E6D" w:rsidRPr="00F920F6">
        <w:rPr>
          <w:sz w:val="28"/>
          <w:szCs w:val="28"/>
        </w:rPr>
        <w:br w:type="page"/>
      </w:r>
    </w:p>
    <w:p w14:paraId="36E34921" w14:textId="77777777" w:rsidR="00370BF4" w:rsidRPr="003E1CE3" w:rsidRDefault="00370BF4" w:rsidP="00370BF4">
      <w:pPr>
        <w:spacing w:after="160"/>
        <w:jc w:val="center"/>
        <w:rPr>
          <w:rFonts w:eastAsia="Calibri"/>
          <w:b/>
        </w:rPr>
      </w:pPr>
      <w:r w:rsidRPr="003E1CE3">
        <w:rPr>
          <w:rFonts w:eastAsia="Calibri"/>
          <w:b/>
        </w:rPr>
        <w:lastRenderedPageBreak/>
        <w:t xml:space="preserve">CHAPTER </w:t>
      </w:r>
      <w:r w:rsidR="006B68B0" w:rsidRPr="003E1CE3">
        <w:rPr>
          <w:rFonts w:eastAsia="Calibri"/>
          <w:b/>
        </w:rPr>
        <w:t>I</w:t>
      </w:r>
    </w:p>
    <w:p w14:paraId="48793BEC" w14:textId="77777777" w:rsidR="00370BF4" w:rsidRPr="003E1CE3" w:rsidRDefault="007C7AFD" w:rsidP="00370BF4">
      <w:pPr>
        <w:spacing w:after="160" w:line="259" w:lineRule="auto"/>
        <w:jc w:val="center"/>
        <w:rPr>
          <w:rFonts w:eastAsia="Calibri"/>
          <w:b/>
        </w:rPr>
      </w:pPr>
      <w:r w:rsidRPr="003E1CE3">
        <w:rPr>
          <w:rFonts w:eastAsia="Calibri"/>
          <w:b/>
        </w:rPr>
        <w:t>INTRODUCTION AND STATEMENT OF THE PROBLEM</w:t>
      </w:r>
    </w:p>
    <w:p w14:paraId="6DFCAAC4" w14:textId="77777777" w:rsidR="007C7AFD" w:rsidRPr="005121EE" w:rsidRDefault="007C7AFD" w:rsidP="00370BF4">
      <w:pPr>
        <w:spacing w:after="160" w:line="259" w:lineRule="auto"/>
        <w:jc w:val="center"/>
        <w:rPr>
          <w:rFonts w:eastAsia="Calibri"/>
          <w:b/>
        </w:rPr>
      </w:pPr>
      <w:r w:rsidRPr="005121EE">
        <w:rPr>
          <w:rFonts w:eastAsia="Calibri"/>
          <w:b/>
        </w:rPr>
        <w:t>Introduction</w:t>
      </w:r>
    </w:p>
    <w:p w14:paraId="11301FD6" w14:textId="77777777" w:rsidR="00370BF4" w:rsidRPr="005121EE" w:rsidRDefault="00370BF4" w:rsidP="00370BF4">
      <w:pPr>
        <w:spacing w:after="160" w:line="480" w:lineRule="auto"/>
        <w:rPr>
          <w:rFonts w:eastAsia="Calibri"/>
        </w:rPr>
      </w:pPr>
      <w:r w:rsidRPr="005121EE">
        <w:rPr>
          <w:rFonts w:eastAsia="Calibri"/>
        </w:rPr>
        <w:tab/>
      </w:r>
      <w:r w:rsidR="003621D5">
        <w:rPr>
          <w:rFonts w:eastAsia="Calibri"/>
        </w:rPr>
        <w:t>Funding fo</w:t>
      </w:r>
      <w:r w:rsidR="00385805">
        <w:rPr>
          <w:rFonts w:eastAsia="Calibri"/>
        </w:rPr>
        <w:t>r</w:t>
      </w:r>
      <w:r w:rsidR="00001112" w:rsidRPr="00001112">
        <w:rPr>
          <w:rFonts w:eastAsia="Calibri"/>
        </w:rPr>
        <w:t xml:space="preserve"> public postsecondary </w:t>
      </w:r>
      <w:r w:rsidR="003621D5">
        <w:rPr>
          <w:rFonts w:eastAsia="Calibri"/>
        </w:rPr>
        <w:t>education has</w:t>
      </w:r>
      <w:r w:rsidR="00001112" w:rsidRPr="00001112">
        <w:rPr>
          <w:rFonts w:eastAsia="Calibri"/>
        </w:rPr>
        <w:t xml:space="preserve"> decline</w:t>
      </w:r>
      <w:r w:rsidR="003621D5">
        <w:rPr>
          <w:rFonts w:eastAsia="Calibri"/>
        </w:rPr>
        <w:t>d sharply</w:t>
      </w:r>
      <w:r w:rsidR="00001112" w:rsidRPr="00001112">
        <w:rPr>
          <w:rFonts w:eastAsia="Calibri"/>
        </w:rPr>
        <w:t xml:space="preserve"> over the past couple of decades</w:t>
      </w:r>
      <w:r w:rsidR="00385805">
        <w:rPr>
          <w:rFonts w:eastAsia="Calibri"/>
        </w:rPr>
        <w:t>,</w:t>
      </w:r>
      <w:r w:rsidR="00001112" w:rsidRPr="00001112">
        <w:rPr>
          <w:rFonts w:eastAsia="Calibri"/>
        </w:rPr>
        <w:t xml:space="preserve"> and </w:t>
      </w:r>
      <w:r w:rsidR="003621D5">
        <w:rPr>
          <w:rFonts w:eastAsia="Calibri"/>
        </w:rPr>
        <w:t xml:space="preserve">the United States </w:t>
      </w:r>
      <w:r w:rsidR="00001112" w:rsidRPr="00001112">
        <w:rPr>
          <w:rFonts w:eastAsia="Calibri"/>
        </w:rPr>
        <w:t xml:space="preserve">has now fallen behind other countries in </w:t>
      </w:r>
      <w:r w:rsidR="00380F76">
        <w:rPr>
          <w:rFonts w:eastAsia="Calibri"/>
        </w:rPr>
        <w:t>overall</w:t>
      </w:r>
      <w:r w:rsidR="00001112" w:rsidRPr="00001112">
        <w:rPr>
          <w:rFonts w:eastAsia="Calibri"/>
        </w:rPr>
        <w:t xml:space="preserve"> college degree production (Powell, </w:t>
      </w:r>
      <w:proofErr w:type="spellStart"/>
      <w:r w:rsidR="00001112" w:rsidRPr="00001112">
        <w:rPr>
          <w:rFonts w:eastAsia="Calibri"/>
        </w:rPr>
        <w:t>Gilleland</w:t>
      </w:r>
      <w:proofErr w:type="spellEnd"/>
      <w:r w:rsidR="00001112" w:rsidRPr="00001112">
        <w:rPr>
          <w:rFonts w:eastAsia="Calibri"/>
        </w:rPr>
        <w:t xml:space="preserve">, and Pearson, 2012; Webber </w:t>
      </w:r>
      <w:proofErr w:type="gramStart"/>
      <w:r w:rsidR="00001112" w:rsidRPr="00001112">
        <w:rPr>
          <w:rFonts w:eastAsia="Calibri"/>
        </w:rPr>
        <w:t>and  Ehrenberg</w:t>
      </w:r>
      <w:proofErr w:type="gramEnd"/>
      <w:r w:rsidR="00001112" w:rsidRPr="00001112">
        <w:rPr>
          <w:rFonts w:eastAsia="Calibri"/>
        </w:rPr>
        <w:t xml:space="preserve">, 2010).  </w:t>
      </w:r>
      <w:r w:rsidRPr="005121EE">
        <w:rPr>
          <w:rFonts w:eastAsia="Calibri"/>
        </w:rPr>
        <w:t>Many states – unable to provide the same level of</w:t>
      </w:r>
      <w:r w:rsidR="00890A1F" w:rsidRPr="005121EE">
        <w:rPr>
          <w:rFonts w:eastAsia="Calibri"/>
        </w:rPr>
        <w:t xml:space="preserve"> </w:t>
      </w:r>
      <w:r w:rsidRPr="005121EE">
        <w:rPr>
          <w:rFonts w:eastAsia="Calibri"/>
        </w:rPr>
        <w:t xml:space="preserve">financial support as in the last half of the twentieth century – have </w:t>
      </w:r>
      <w:r w:rsidR="003621D5">
        <w:rPr>
          <w:rFonts w:eastAsia="Calibri"/>
        </w:rPr>
        <w:t>increased the</w:t>
      </w:r>
      <w:r w:rsidRPr="005121EE">
        <w:rPr>
          <w:rFonts w:eastAsia="Calibri"/>
        </w:rPr>
        <w:t xml:space="preserve"> accountability </w:t>
      </w:r>
      <w:r w:rsidR="00380F76">
        <w:rPr>
          <w:rFonts w:eastAsia="Calibri"/>
        </w:rPr>
        <w:t xml:space="preserve">requirements </w:t>
      </w:r>
      <w:r w:rsidRPr="005121EE">
        <w:rPr>
          <w:rFonts w:eastAsia="Calibri"/>
        </w:rPr>
        <w:t xml:space="preserve">on public institutions to prove these dwindling resources </w:t>
      </w:r>
      <w:r w:rsidR="003621D5">
        <w:rPr>
          <w:rFonts w:eastAsia="Calibri"/>
        </w:rPr>
        <w:t xml:space="preserve">are used </w:t>
      </w:r>
      <w:r w:rsidRPr="005121EE">
        <w:rPr>
          <w:rFonts w:eastAsia="Calibri"/>
        </w:rPr>
        <w:t>as effectively and efficiently as possible.  State financial support of public colleges and universities is increasingly appropriated on the basis of performance</w:t>
      </w:r>
      <w:r w:rsidR="003621D5">
        <w:rPr>
          <w:rFonts w:eastAsia="Calibri"/>
        </w:rPr>
        <w:t xml:space="preserve">, including </w:t>
      </w:r>
      <w:r w:rsidRPr="005121EE">
        <w:rPr>
          <w:rFonts w:eastAsia="Calibri"/>
        </w:rPr>
        <w:t xml:space="preserve">student outcomes, </w:t>
      </w:r>
      <w:r w:rsidR="003621D5">
        <w:rPr>
          <w:rFonts w:eastAsia="Calibri"/>
        </w:rPr>
        <w:t xml:space="preserve">such as </w:t>
      </w:r>
      <w:r w:rsidRPr="005121EE">
        <w:rPr>
          <w:rFonts w:eastAsia="Calibri"/>
        </w:rPr>
        <w:t>retention and graduation rates</w:t>
      </w:r>
      <w:r w:rsidR="00380F76">
        <w:rPr>
          <w:rFonts w:eastAsia="Calibri"/>
        </w:rPr>
        <w:t>,</w:t>
      </w:r>
      <w:r w:rsidRPr="005121EE">
        <w:rPr>
          <w:rFonts w:eastAsia="Calibri"/>
        </w:rPr>
        <w:t xml:space="preserve"> le</w:t>
      </w:r>
      <w:r w:rsidR="00380F76">
        <w:rPr>
          <w:rFonts w:eastAsia="Calibri"/>
        </w:rPr>
        <w:t>a</w:t>
      </w:r>
      <w:r w:rsidRPr="005121EE">
        <w:rPr>
          <w:rFonts w:eastAsia="Calibri"/>
        </w:rPr>
        <w:t>d</w:t>
      </w:r>
      <w:r w:rsidR="00380F76">
        <w:rPr>
          <w:rFonts w:eastAsia="Calibri"/>
        </w:rPr>
        <w:t>ing</w:t>
      </w:r>
      <w:r w:rsidRPr="005121EE">
        <w:rPr>
          <w:rFonts w:eastAsia="Calibri"/>
        </w:rPr>
        <w:t xml:space="preserve"> to direct competition between in-state institutions for dollars </w:t>
      </w:r>
      <w:r w:rsidR="00380F76">
        <w:rPr>
          <w:rFonts w:eastAsia="Calibri"/>
        </w:rPr>
        <w:t>previously</w:t>
      </w:r>
      <w:r w:rsidRPr="005121EE">
        <w:rPr>
          <w:rFonts w:eastAsia="Calibri"/>
        </w:rPr>
        <w:t xml:space="preserve"> distributed </w:t>
      </w:r>
      <w:r w:rsidR="003621D5">
        <w:rPr>
          <w:rFonts w:eastAsia="Calibri"/>
        </w:rPr>
        <w:t>according to</w:t>
      </w:r>
      <w:r w:rsidRPr="005121EE">
        <w:rPr>
          <w:rFonts w:eastAsia="Calibri"/>
        </w:rPr>
        <w:t xml:space="preserve"> student enrollment size.  </w:t>
      </w:r>
      <w:r w:rsidR="00551638">
        <w:rPr>
          <w:rFonts w:eastAsia="Calibri"/>
        </w:rPr>
        <w:t>I</w:t>
      </w:r>
      <w:r w:rsidRPr="005121EE">
        <w:rPr>
          <w:rFonts w:eastAsia="Calibri"/>
        </w:rPr>
        <w:t>nstitution</w:t>
      </w:r>
      <w:r w:rsidR="00551638">
        <w:rPr>
          <w:rFonts w:eastAsia="Calibri"/>
        </w:rPr>
        <w:t>s</w:t>
      </w:r>
      <w:r w:rsidRPr="005121EE">
        <w:rPr>
          <w:rFonts w:eastAsia="Calibri"/>
        </w:rPr>
        <w:t xml:space="preserve"> </w:t>
      </w:r>
      <w:r w:rsidR="00551638">
        <w:rPr>
          <w:rFonts w:eastAsia="Calibri"/>
        </w:rPr>
        <w:t xml:space="preserve">that </w:t>
      </w:r>
      <w:r w:rsidRPr="005121EE">
        <w:rPr>
          <w:rFonts w:eastAsia="Calibri"/>
        </w:rPr>
        <w:t xml:space="preserve">can adapt to this change and align resource </w:t>
      </w:r>
      <w:r w:rsidR="00551638">
        <w:rPr>
          <w:rFonts w:eastAsia="Calibri"/>
        </w:rPr>
        <w:t>allocation</w:t>
      </w:r>
      <w:r w:rsidRPr="005121EE">
        <w:rPr>
          <w:rFonts w:eastAsia="Calibri"/>
        </w:rPr>
        <w:t xml:space="preserve"> to improve student outcomes will be rewarded </w:t>
      </w:r>
      <w:r w:rsidR="00551638">
        <w:rPr>
          <w:rFonts w:eastAsia="Calibri"/>
        </w:rPr>
        <w:t>and better able</w:t>
      </w:r>
      <w:r w:rsidRPr="005121EE">
        <w:rPr>
          <w:rFonts w:eastAsia="Calibri"/>
        </w:rPr>
        <w:t xml:space="preserve"> to distinguish </w:t>
      </w:r>
      <w:r w:rsidR="003621D5">
        <w:rPr>
          <w:rFonts w:eastAsia="Calibri"/>
        </w:rPr>
        <w:t>themselves</w:t>
      </w:r>
      <w:r w:rsidRPr="005121EE">
        <w:rPr>
          <w:rFonts w:eastAsia="Calibri"/>
        </w:rPr>
        <w:t>.</w:t>
      </w:r>
    </w:p>
    <w:p w14:paraId="7E420751" w14:textId="77777777" w:rsidR="00341ADC" w:rsidRDefault="00370BF4" w:rsidP="00370BF4">
      <w:pPr>
        <w:spacing w:after="160" w:line="480" w:lineRule="auto"/>
        <w:ind w:firstLine="720"/>
        <w:rPr>
          <w:rFonts w:eastAsia="Calibri"/>
        </w:rPr>
      </w:pPr>
      <w:r w:rsidRPr="005121EE">
        <w:rPr>
          <w:rFonts w:eastAsia="Calibri"/>
        </w:rPr>
        <w:t xml:space="preserve">The key </w:t>
      </w:r>
      <w:r w:rsidR="000A75D3">
        <w:rPr>
          <w:rFonts w:eastAsia="Calibri"/>
        </w:rPr>
        <w:t>stakeholders</w:t>
      </w:r>
      <w:r w:rsidRPr="005121EE">
        <w:rPr>
          <w:rFonts w:eastAsia="Calibri"/>
        </w:rPr>
        <w:t xml:space="preserve"> involved in the outcomes </w:t>
      </w:r>
      <w:r w:rsidR="00551638">
        <w:rPr>
          <w:rFonts w:eastAsia="Calibri"/>
        </w:rPr>
        <w:t>movement</w:t>
      </w:r>
      <w:r w:rsidRPr="005121EE">
        <w:rPr>
          <w:rFonts w:eastAsia="Calibri"/>
        </w:rPr>
        <w:t xml:space="preserve"> include</w:t>
      </w:r>
      <w:r w:rsidR="000A75D3">
        <w:rPr>
          <w:rFonts w:eastAsia="Calibri"/>
        </w:rPr>
        <w:t xml:space="preserve">: </w:t>
      </w:r>
      <w:r w:rsidRPr="005121EE">
        <w:rPr>
          <w:rFonts w:eastAsia="Calibri"/>
        </w:rPr>
        <w:t xml:space="preserve"> college students and their parents</w:t>
      </w:r>
      <w:r w:rsidR="00551638">
        <w:rPr>
          <w:rFonts w:eastAsia="Calibri"/>
        </w:rPr>
        <w:t>,</w:t>
      </w:r>
      <w:r w:rsidRPr="005121EE">
        <w:rPr>
          <w:rFonts w:eastAsia="Calibri"/>
        </w:rPr>
        <w:t xml:space="preserve"> </w:t>
      </w:r>
      <w:r w:rsidR="000A75D3">
        <w:rPr>
          <w:rFonts w:eastAsia="Calibri"/>
        </w:rPr>
        <w:t xml:space="preserve">college graduates and </w:t>
      </w:r>
      <w:r w:rsidRPr="005121EE">
        <w:rPr>
          <w:rFonts w:eastAsia="Calibri"/>
        </w:rPr>
        <w:t>alumni</w:t>
      </w:r>
      <w:r w:rsidR="00551638">
        <w:rPr>
          <w:rFonts w:eastAsia="Calibri"/>
        </w:rPr>
        <w:t>,</w:t>
      </w:r>
      <w:r w:rsidRPr="005121EE">
        <w:rPr>
          <w:rFonts w:eastAsia="Calibri"/>
        </w:rPr>
        <w:t xml:space="preserve"> </w:t>
      </w:r>
      <w:r w:rsidR="004171DC">
        <w:rPr>
          <w:rFonts w:eastAsia="Calibri"/>
        </w:rPr>
        <w:t>employers who</w:t>
      </w:r>
      <w:r w:rsidR="00551638">
        <w:rPr>
          <w:rFonts w:eastAsia="Calibri"/>
        </w:rPr>
        <w:t xml:space="preserve"> </w:t>
      </w:r>
      <w:r w:rsidR="000A75D3">
        <w:rPr>
          <w:rFonts w:eastAsia="Calibri"/>
        </w:rPr>
        <w:t>hire</w:t>
      </w:r>
      <w:r w:rsidR="00551638">
        <w:rPr>
          <w:rFonts w:eastAsia="Calibri"/>
        </w:rPr>
        <w:t xml:space="preserve"> college graduate</w:t>
      </w:r>
      <w:r w:rsidR="000A75D3">
        <w:rPr>
          <w:rFonts w:eastAsia="Calibri"/>
        </w:rPr>
        <w:t xml:space="preserve">s, </w:t>
      </w:r>
      <w:r w:rsidRPr="005121EE">
        <w:rPr>
          <w:rFonts w:eastAsia="Calibri"/>
        </w:rPr>
        <w:t xml:space="preserve">state and federal </w:t>
      </w:r>
      <w:r w:rsidRPr="00341ADC">
        <w:rPr>
          <w:rFonts w:eastAsia="Calibri"/>
        </w:rPr>
        <w:t>government</w:t>
      </w:r>
      <w:r w:rsidR="00551638" w:rsidRPr="00341ADC">
        <w:rPr>
          <w:rFonts w:eastAsia="Calibri"/>
        </w:rPr>
        <w:t>s</w:t>
      </w:r>
      <w:r w:rsidR="000A75D3" w:rsidRPr="00341ADC">
        <w:rPr>
          <w:rFonts w:eastAsia="Calibri"/>
        </w:rPr>
        <w:t xml:space="preserve"> that collect tax revenue from companies and employed college graduates, and </w:t>
      </w:r>
      <w:r w:rsidR="000A75D3">
        <w:rPr>
          <w:rFonts w:eastAsia="Calibri"/>
        </w:rPr>
        <w:t xml:space="preserve">college faculty and administrators.  </w:t>
      </w:r>
      <w:r w:rsidRPr="005121EE">
        <w:rPr>
          <w:rFonts w:eastAsia="Calibri"/>
        </w:rPr>
        <w:t xml:space="preserve">How these stakeholders are both influencing and being affected by the increased outcomes accountability </w:t>
      </w:r>
      <w:r w:rsidR="005521ED">
        <w:rPr>
          <w:rFonts w:eastAsia="Calibri"/>
        </w:rPr>
        <w:t xml:space="preserve">facing colleges and universities </w:t>
      </w:r>
      <w:r w:rsidRPr="005121EE">
        <w:rPr>
          <w:rFonts w:eastAsia="Calibri"/>
        </w:rPr>
        <w:t xml:space="preserve">can be better understood </w:t>
      </w:r>
      <w:r w:rsidR="005521ED">
        <w:rPr>
          <w:rFonts w:eastAsia="Calibri"/>
        </w:rPr>
        <w:t>by</w:t>
      </w:r>
      <w:r w:rsidRPr="005121EE">
        <w:rPr>
          <w:rFonts w:eastAsia="Calibri"/>
        </w:rPr>
        <w:t xml:space="preserve"> grouping them into three broad categories:  </w:t>
      </w:r>
      <w:r w:rsidR="00341ADC" w:rsidRPr="003F66FD">
        <w:rPr>
          <w:rFonts w:eastAsia="Calibri"/>
          <w:i/>
        </w:rPr>
        <w:t>market</w:t>
      </w:r>
      <w:r w:rsidR="003F66FD">
        <w:rPr>
          <w:rFonts w:eastAsia="Calibri"/>
        </w:rPr>
        <w:t>,</w:t>
      </w:r>
      <w:r w:rsidRPr="005121EE">
        <w:rPr>
          <w:rFonts w:eastAsia="Calibri"/>
        </w:rPr>
        <w:t xml:space="preserve"> </w:t>
      </w:r>
      <w:r w:rsidRPr="003F66FD">
        <w:rPr>
          <w:rFonts w:eastAsia="Calibri"/>
          <w:i/>
        </w:rPr>
        <w:t>political</w:t>
      </w:r>
      <w:r w:rsidR="003F66FD">
        <w:rPr>
          <w:rFonts w:eastAsia="Calibri"/>
        </w:rPr>
        <w:t>,</w:t>
      </w:r>
      <w:r w:rsidRPr="005121EE">
        <w:rPr>
          <w:rFonts w:eastAsia="Calibri"/>
        </w:rPr>
        <w:t xml:space="preserve"> and </w:t>
      </w:r>
      <w:r w:rsidR="00341ADC" w:rsidRPr="003F66FD">
        <w:rPr>
          <w:rFonts w:eastAsia="Calibri"/>
          <w:i/>
        </w:rPr>
        <w:t>academic</w:t>
      </w:r>
      <w:r w:rsidR="003F66FD">
        <w:rPr>
          <w:rFonts w:eastAsia="Calibri"/>
        </w:rPr>
        <w:t>, as</w:t>
      </w:r>
      <w:r w:rsidRPr="005121EE">
        <w:rPr>
          <w:rFonts w:eastAsia="Calibri"/>
        </w:rPr>
        <w:t xml:space="preserve"> </w:t>
      </w:r>
      <w:r w:rsidR="003F66FD" w:rsidRPr="005121EE">
        <w:rPr>
          <w:rFonts w:eastAsia="Calibri"/>
        </w:rPr>
        <w:t>first</w:t>
      </w:r>
      <w:r w:rsidRPr="005121EE">
        <w:rPr>
          <w:rFonts w:eastAsia="Calibri"/>
        </w:rPr>
        <w:t xml:space="preserve"> conceived by </w:t>
      </w:r>
      <w:r w:rsidRPr="005121EE">
        <w:rPr>
          <w:rFonts w:eastAsia="Calibri"/>
        </w:rPr>
        <w:lastRenderedPageBreak/>
        <w:t xml:space="preserve">researcher Burton Clark (1983) and further refined by Joseph Burke (2005) and labeled “the Accountability Triangle”.  </w:t>
      </w:r>
    </w:p>
    <w:p w14:paraId="461F9F91" w14:textId="77777777" w:rsidR="00370BF4" w:rsidRPr="005121EE" w:rsidRDefault="00962BE1" w:rsidP="00370BF4">
      <w:pPr>
        <w:spacing w:after="160" w:line="480" w:lineRule="auto"/>
        <w:ind w:firstLine="720"/>
        <w:rPr>
          <w:rFonts w:eastAsia="Calibri"/>
        </w:rPr>
      </w:pPr>
      <w:r w:rsidRPr="00962BE1">
        <w:rPr>
          <w:rFonts w:eastAsia="Calibri"/>
        </w:rPr>
        <w:t xml:space="preserve">The </w:t>
      </w:r>
      <w:r w:rsidR="00341ADC" w:rsidRPr="003F66FD">
        <w:rPr>
          <w:rFonts w:eastAsia="Calibri"/>
          <w:i/>
        </w:rPr>
        <w:t>market</w:t>
      </w:r>
      <w:r w:rsidR="00341ADC">
        <w:rPr>
          <w:rFonts w:eastAsia="Calibri"/>
        </w:rPr>
        <w:t xml:space="preserve"> </w:t>
      </w:r>
      <w:r w:rsidRPr="00962BE1">
        <w:rPr>
          <w:rFonts w:eastAsia="Calibri"/>
        </w:rPr>
        <w:t xml:space="preserve">corner </w:t>
      </w:r>
      <w:r>
        <w:rPr>
          <w:rFonts w:eastAsia="Calibri"/>
        </w:rPr>
        <w:t>of this triangle consists of</w:t>
      </w:r>
      <w:r w:rsidRPr="00962BE1">
        <w:rPr>
          <w:rFonts w:eastAsia="Calibri"/>
        </w:rPr>
        <w:t xml:space="preserve"> college students, parents, and businesses</w:t>
      </w:r>
      <w:r>
        <w:rPr>
          <w:rFonts w:eastAsia="Calibri"/>
        </w:rPr>
        <w:t xml:space="preserve"> and any</w:t>
      </w:r>
      <w:r w:rsidRPr="00962BE1">
        <w:rPr>
          <w:rFonts w:eastAsia="Calibri"/>
        </w:rPr>
        <w:t xml:space="preserve"> other consumer of </w:t>
      </w:r>
      <w:r>
        <w:rPr>
          <w:rFonts w:eastAsia="Calibri"/>
        </w:rPr>
        <w:t xml:space="preserve">services offered by </w:t>
      </w:r>
      <w:r w:rsidRPr="00962BE1">
        <w:rPr>
          <w:rFonts w:eastAsia="Calibri"/>
        </w:rPr>
        <w:t>college</w:t>
      </w:r>
      <w:r>
        <w:rPr>
          <w:rFonts w:eastAsia="Calibri"/>
        </w:rPr>
        <w:t>s</w:t>
      </w:r>
      <w:r w:rsidRPr="00962BE1">
        <w:rPr>
          <w:rFonts w:eastAsia="Calibri"/>
        </w:rPr>
        <w:t xml:space="preserve"> and universities.</w:t>
      </w:r>
      <w:r>
        <w:rPr>
          <w:rFonts w:eastAsia="Calibri"/>
        </w:rPr>
        <w:t xml:space="preserve"> </w:t>
      </w:r>
      <w:r w:rsidR="00370BF4" w:rsidRPr="005121EE">
        <w:rPr>
          <w:rFonts w:eastAsia="Calibri"/>
        </w:rPr>
        <w:t xml:space="preserve">The </w:t>
      </w:r>
      <w:r w:rsidR="00370BF4" w:rsidRPr="003F66FD">
        <w:rPr>
          <w:rFonts w:eastAsia="Calibri"/>
          <w:i/>
        </w:rPr>
        <w:t>political</w:t>
      </w:r>
      <w:r w:rsidR="00370BF4" w:rsidRPr="005121EE">
        <w:rPr>
          <w:rFonts w:eastAsia="Calibri"/>
        </w:rPr>
        <w:t xml:space="preserve"> corner of the triangle represents “state priorities” and characterizes the public needs for higher education services.  This group consists of state and federal government officials </w:t>
      </w:r>
      <w:r w:rsidR="00902AD8">
        <w:rPr>
          <w:rFonts w:eastAsia="Calibri"/>
        </w:rPr>
        <w:t>as well as</w:t>
      </w:r>
      <w:r w:rsidR="00370BF4" w:rsidRPr="005121EE">
        <w:rPr>
          <w:rFonts w:eastAsia="Calibri"/>
        </w:rPr>
        <w:t xml:space="preserve"> civic leaders outside government, </w:t>
      </w:r>
      <w:r w:rsidR="003F66FD">
        <w:rPr>
          <w:rFonts w:eastAsia="Calibri"/>
        </w:rPr>
        <w:t>for example,</w:t>
      </w:r>
      <w:r w:rsidR="00370BF4" w:rsidRPr="005121EE">
        <w:rPr>
          <w:rFonts w:eastAsia="Calibri"/>
        </w:rPr>
        <w:t xml:space="preserve"> heads of humanitarian organizations like the Lumina or Gates Foundations. The </w:t>
      </w:r>
      <w:r w:rsidR="00370BF4" w:rsidRPr="003F66FD">
        <w:rPr>
          <w:rFonts w:eastAsia="Calibri"/>
          <w:i/>
        </w:rPr>
        <w:t>academic</w:t>
      </w:r>
      <w:r w:rsidR="00370BF4" w:rsidRPr="005121EE">
        <w:rPr>
          <w:rFonts w:eastAsia="Calibri"/>
        </w:rPr>
        <w:t xml:space="preserve"> corner is made up of the academic community, primarily faculty and administrators.  </w:t>
      </w:r>
      <w:r w:rsidR="0092702B">
        <w:rPr>
          <w:rFonts w:eastAsia="Calibri"/>
        </w:rPr>
        <w:t>While these</w:t>
      </w:r>
      <w:r w:rsidR="00370BF4" w:rsidRPr="005121EE">
        <w:rPr>
          <w:rFonts w:eastAsia="Calibri"/>
        </w:rPr>
        <w:t xml:space="preserve"> three groups of stakeholders have </w:t>
      </w:r>
      <w:r w:rsidR="003F66FD">
        <w:rPr>
          <w:rFonts w:eastAsia="Calibri"/>
        </w:rPr>
        <w:t>distinct</w:t>
      </w:r>
      <w:r>
        <w:rPr>
          <w:rFonts w:eastAsia="Calibri"/>
        </w:rPr>
        <w:t xml:space="preserve"> reasons</w:t>
      </w:r>
      <w:r w:rsidR="00370BF4" w:rsidRPr="005121EE">
        <w:rPr>
          <w:rFonts w:eastAsia="Calibri"/>
        </w:rPr>
        <w:t xml:space="preserve"> for </w:t>
      </w:r>
      <w:r w:rsidR="0092702B" w:rsidRPr="005121EE">
        <w:rPr>
          <w:rFonts w:eastAsia="Calibri"/>
        </w:rPr>
        <w:t>evaluating</w:t>
      </w:r>
      <w:r w:rsidR="00370BF4" w:rsidRPr="005121EE">
        <w:rPr>
          <w:rFonts w:eastAsia="Calibri"/>
        </w:rPr>
        <w:t xml:space="preserve"> quality in public higher education, all share </w:t>
      </w:r>
      <w:r>
        <w:rPr>
          <w:rFonts w:eastAsia="Calibri"/>
        </w:rPr>
        <w:t>the</w:t>
      </w:r>
      <w:r w:rsidR="00370BF4" w:rsidRPr="005121EE">
        <w:rPr>
          <w:rFonts w:eastAsia="Calibri"/>
        </w:rPr>
        <w:t xml:space="preserve"> </w:t>
      </w:r>
      <w:r>
        <w:rPr>
          <w:rFonts w:eastAsia="Calibri"/>
        </w:rPr>
        <w:t xml:space="preserve">same </w:t>
      </w:r>
      <w:r w:rsidR="00370BF4" w:rsidRPr="005121EE">
        <w:rPr>
          <w:rFonts w:eastAsia="Calibri"/>
        </w:rPr>
        <w:t xml:space="preserve">increasing interest in student outcomes as </w:t>
      </w:r>
      <w:r>
        <w:rPr>
          <w:rFonts w:eastAsia="Calibri"/>
        </w:rPr>
        <w:t>one of the primary</w:t>
      </w:r>
      <w:r w:rsidR="00370BF4" w:rsidRPr="005121EE">
        <w:rPr>
          <w:rFonts w:eastAsia="Calibri"/>
        </w:rPr>
        <w:t xml:space="preserve"> measure</w:t>
      </w:r>
      <w:r>
        <w:rPr>
          <w:rFonts w:eastAsia="Calibri"/>
        </w:rPr>
        <w:t>s</w:t>
      </w:r>
      <w:r w:rsidR="00370BF4" w:rsidRPr="005121EE">
        <w:rPr>
          <w:rFonts w:eastAsia="Calibri"/>
        </w:rPr>
        <w:t xml:space="preserve"> of an institution’s </w:t>
      </w:r>
      <w:r>
        <w:rPr>
          <w:rFonts w:eastAsia="Calibri"/>
        </w:rPr>
        <w:t xml:space="preserve">worth </w:t>
      </w:r>
      <w:r w:rsidRPr="005121EE">
        <w:rPr>
          <w:rFonts w:eastAsia="Calibri"/>
        </w:rPr>
        <w:t>(Burke, 2005)</w:t>
      </w:r>
      <w:r w:rsidR="00370BF4" w:rsidRPr="005121EE">
        <w:rPr>
          <w:rFonts w:eastAsia="Calibri"/>
        </w:rPr>
        <w:t>.</w:t>
      </w:r>
    </w:p>
    <w:p w14:paraId="4639624E" w14:textId="77777777" w:rsidR="00370BF4" w:rsidRPr="005121EE" w:rsidRDefault="00370BF4" w:rsidP="00370BF4">
      <w:pPr>
        <w:spacing w:after="160" w:line="480" w:lineRule="auto"/>
        <w:rPr>
          <w:rFonts w:eastAsia="Calibri"/>
        </w:rPr>
      </w:pPr>
      <w:r w:rsidRPr="005121EE">
        <w:rPr>
          <w:rFonts w:eastAsia="Calibri"/>
        </w:rPr>
        <w:tab/>
      </w:r>
      <w:r w:rsidR="003F66FD">
        <w:rPr>
          <w:rFonts w:eastAsia="Calibri"/>
        </w:rPr>
        <w:t>One of the key indicators of student outcomes is six-year graduation rates</w:t>
      </w:r>
      <w:r w:rsidR="00F04BF5">
        <w:rPr>
          <w:rFonts w:eastAsia="Calibri"/>
        </w:rPr>
        <w:t>, and e</w:t>
      </w:r>
      <w:r w:rsidR="003F66FD">
        <w:rPr>
          <w:rFonts w:eastAsia="Calibri"/>
        </w:rPr>
        <w:t xml:space="preserve">ach of these three stakeholder groups view this indicator in unique ways.  For example, </w:t>
      </w:r>
      <w:r w:rsidR="00F04BF5">
        <w:rPr>
          <w:rFonts w:eastAsia="Calibri"/>
        </w:rPr>
        <w:t xml:space="preserve">six-year graduation rates are prominent components of:  </w:t>
      </w:r>
      <w:r w:rsidR="00481837" w:rsidRPr="005121EE">
        <w:rPr>
          <w:rFonts w:eastAsia="Calibri"/>
        </w:rPr>
        <w:t>U.S. News and World Report’s (USNWR) America’s Best Colleges annual print and online ranking of colleges and universities</w:t>
      </w:r>
      <w:r w:rsidR="00481837">
        <w:rPr>
          <w:rFonts w:eastAsia="Calibri"/>
        </w:rPr>
        <w:t>;</w:t>
      </w:r>
      <w:r w:rsidR="00481837" w:rsidRPr="005121EE">
        <w:rPr>
          <w:rFonts w:eastAsia="Calibri"/>
        </w:rPr>
        <w:t xml:space="preserve"> </w:t>
      </w:r>
      <w:r w:rsidRPr="005121EE">
        <w:rPr>
          <w:rFonts w:eastAsia="Calibri"/>
        </w:rPr>
        <w:t xml:space="preserve">performance funding policies as found in a number of states; </w:t>
      </w:r>
      <w:r w:rsidR="00481837">
        <w:rPr>
          <w:rFonts w:eastAsia="Calibri"/>
        </w:rPr>
        <w:t xml:space="preserve">and </w:t>
      </w:r>
      <w:r w:rsidRPr="005121EE">
        <w:rPr>
          <w:rFonts w:eastAsia="Calibri"/>
        </w:rPr>
        <w:t xml:space="preserve">the National Center for Educational Statistics (NCES) and its Integrated Postsecondary Education Data System (IPEDS); and </w:t>
      </w:r>
      <w:r w:rsidR="00252372" w:rsidRPr="005121EE">
        <w:rPr>
          <w:rFonts w:eastAsia="Calibri"/>
        </w:rPr>
        <w:t>(</w:t>
      </w:r>
      <w:proofErr w:type="spellStart"/>
      <w:r w:rsidR="0046406C" w:rsidRPr="005121EE">
        <w:rPr>
          <w:rFonts w:eastAsia="Calibri"/>
        </w:rPr>
        <w:t>Fombrun</w:t>
      </w:r>
      <w:proofErr w:type="spellEnd"/>
      <w:r w:rsidR="0046406C" w:rsidRPr="005121EE">
        <w:rPr>
          <w:rFonts w:eastAsia="Calibri"/>
        </w:rPr>
        <w:t>, 1996</w:t>
      </w:r>
      <w:r w:rsidR="0046406C">
        <w:rPr>
          <w:rFonts w:eastAsia="Calibri"/>
        </w:rPr>
        <w:t xml:space="preserve">; </w:t>
      </w:r>
      <w:r w:rsidR="00252372" w:rsidRPr="005121EE">
        <w:rPr>
          <w:rFonts w:eastAsia="Calibri"/>
        </w:rPr>
        <w:t xml:space="preserve">Burke, 2005; </w:t>
      </w:r>
      <w:proofErr w:type="spellStart"/>
      <w:r w:rsidR="00252372" w:rsidRPr="005121EE">
        <w:rPr>
          <w:rFonts w:eastAsia="Calibri"/>
        </w:rPr>
        <w:t>McLendon</w:t>
      </w:r>
      <w:proofErr w:type="spellEnd"/>
      <w:r w:rsidR="00252372" w:rsidRPr="005121EE">
        <w:rPr>
          <w:rFonts w:eastAsia="Calibri"/>
        </w:rPr>
        <w:t>, Hearn, and Deaton, 2006</w:t>
      </w:r>
      <w:r w:rsidR="00252372">
        <w:rPr>
          <w:rFonts w:eastAsia="Calibri"/>
        </w:rPr>
        <w:t xml:space="preserve">; </w:t>
      </w:r>
      <w:r w:rsidR="00252372" w:rsidRPr="005121EE">
        <w:rPr>
          <w:rFonts w:eastAsia="Calibri"/>
        </w:rPr>
        <w:t>Campbell 2015)</w:t>
      </w:r>
      <w:r w:rsidRPr="005121EE">
        <w:rPr>
          <w:rFonts w:eastAsia="Calibri"/>
        </w:rPr>
        <w:t xml:space="preserve">.  </w:t>
      </w:r>
    </w:p>
    <w:p w14:paraId="227D2201" w14:textId="77777777" w:rsidR="00481837" w:rsidRDefault="00370BF4" w:rsidP="00A02AAF">
      <w:pPr>
        <w:spacing w:after="160" w:line="480" w:lineRule="auto"/>
        <w:rPr>
          <w:rFonts w:eastAsia="Calibri"/>
        </w:rPr>
      </w:pPr>
      <w:r w:rsidRPr="005121EE">
        <w:rPr>
          <w:rFonts w:eastAsia="Calibri"/>
        </w:rPr>
        <w:tab/>
      </w:r>
      <w:r w:rsidR="00F04BF5">
        <w:rPr>
          <w:rFonts w:eastAsia="Calibri"/>
        </w:rPr>
        <w:t>On</w:t>
      </w:r>
      <w:r w:rsidR="002D2584">
        <w:rPr>
          <w:rFonts w:eastAsia="Calibri"/>
        </w:rPr>
        <w:t xml:space="preserve"> the</w:t>
      </w:r>
      <w:r w:rsidR="00A02AAF" w:rsidRPr="005121EE">
        <w:rPr>
          <w:rFonts w:eastAsia="Calibri"/>
        </w:rPr>
        <w:t xml:space="preserve"> </w:t>
      </w:r>
      <w:r w:rsidR="00341ADC">
        <w:rPr>
          <w:rFonts w:eastAsia="Calibri"/>
        </w:rPr>
        <w:t xml:space="preserve">market </w:t>
      </w:r>
      <w:r w:rsidR="00F04BF5">
        <w:rPr>
          <w:rFonts w:eastAsia="Calibri"/>
        </w:rPr>
        <w:t>side</w:t>
      </w:r>
      <w:r w:rsidR="00CD583B">
        <w:rPr>
          <w:rFonts w:eastAsia="Calibri"/>
        </w:rPr>
        <w:t xml:space="preserve"> </w:t>
      </w:r>
      <w:r w:rsidR="00481837">
        <w:rPr>
          <w:rFonts w:eastAsia="Calibri"/>
        </w:rPr>
        <w:t>of this triangle</w:t>
      </w:r>
      <w:r w:rsidR="00F04BF5">
        <w:rPr>
          <w:rFonts w:eastAsia="Calibri"/>
        </w:rPr>
        <w:t>,</w:t>
      </w:r>
      <w:r w:rsidR="00481837">
        <w:rPr>
          <w:rFonts w:eastAsia="Calibri"/>
        </w:rPr>
        <w:t xml:space="preserve"> </w:t>
      </w:r>
      <w:r w:rsidR="00F04BF5">
        <w:rPr>
          <w:rFonts w:eastAsia="Calibri"/>
        </w:rPr>
        <w:t>there is</w:t>
      </w:r>
      <w:r w:rsidR="00CD583B">
        <w:rPr>
          <w:rFonts w:eastAsia="Calibri"/>
        </w:rPr>
        <w:t xml:space="preserve"> a very broad audience</w:t>
      </w:r>
      <w:r w:rsidR="00A02AAF" w:rsidRPr="005121EE">
        <w:rPr>
          <w:rFonts w:eastAsia="Calibri"/>
        </w:rPr>
        <w:t xml:space="preserve">, </w:t>
      </w:r>
      <w:r w:rsidR="00B25AAA">
        <w:rPr>
          <w:rFonts w:eastAsia="Calibri"/>
        </w:rPr>
        <w:t>essentially</w:t>
      </w:r>
      <w:r w:rsidR="00CD583B">
        <w:rPr>
          <w:rFonts w:eastAsia="Calibri"/>
        </w:rPr>
        <w:t xml:space="preserve"> the public-at-large, </w:t>
      </w:r>
      <w:r w:rsidR="00F04BF5">
        <w:rPr>
          <w:rFonts w:eastAsia="Calibri"/>
        </w:rPr>
        <w:t>with</w:t>
      </w:r>
      <w:r w:rsidR="00B25AAA">
        <w:rPr>
          <w:rFonts w:eastAsia="Calibri"/>
        </w:rPr>
        <w:t xml:space="preserve"> a</w:t>
      </w:r>
      <w:r w:rsidR="00CD583B">
        <w:rPr>
          <w:rFonts w:eastAsia="Calibri"/>
        </w:rPr>
        <w:t xml:space="preserve"> wide </w:t>
      </w:r>
      <w:r w:rsidR="00B25AAA">
        <w:rPr>
          <w:rFonts w:eastAsia="Calibri"/>
        </w:rPr>
        <w:t>spectrum of</w:t>
      </w:r>
      <w:r w:rsidR="00CD583B">
        <w:rPr>
          <w:rFonts w:eastAsia="Calibri"/>
        </w:rPr>
        <w:t xml:space="preserve"> </w:t>
      </w:r>
      <w:r w:rsidR="00481837">
        <w:rPr>
          <w:rFonts w:eastAsia="Calibri"/>
        </w:rPr>
        <w:t>aptitude</w:t>
      </w:r>
      <w:r w:rsidR="00CD583B">
        <w:rPr>
          <w:rFonts w:eastAsia="Calibri"/>
        </w:rPr>
        <w:t xml:space="preserve"> in interpreting college outcomes </w:t>
      </w:r>
      <w:r w:rsidR="00CD583B">
        <w:rPr>
          <w:rFonts w:eastAsia="Calibri"/>
        </w:rPr>
        <w:lastRenderedPageBreak/>
        <w:t>accountability</w:t>
      </w:r>
      <w:r w:rsidR="00B25AAA">
        <w:rPr>
          <w:rFonts w:eastAsia="Calibri"/>
        </w:rPr>
        <w:t xml:space="preserve"> reporting</w:t>
      </w:r>
      <w:r w:rsidR="00CD583B">
        <w:rPr>
          <w:rFonts w:eastAsia="Calibri"/>
        </w:rPr>
        <w:t xml:space="preserve">.  </w:t>
      </w:r>
      <w:r w:rsidR="00B25AAA">
        <w:rPr>
          <w:rFonts w:eastAsia="Calibri"/>
        </w:rPr>
        <w:t>Thus, a simple,</w:t>
      </w:r>
      <w:r w:rsidR="00944B9D">
        <w:rPr>
          <w:rFonts w:eastAsia="Calibri"/>
        </w:rPr>
        <w:t xml:space="preserve"> numerically ranked list of </w:t>
      </w:r>
      <w:r w:rsidR="00A02AAF" w:rsidRPr="005121EE">
        <w:rPr>
          <w:rFonts w:eastAsia="Calibri"/>
        </w:rPr>
        <w:t>college</w:t>
      </w:r>
      <w:r w:rsidR="00A02AAF">
        <w:rPr>
          <w:rFonts w:eastAsia="Calibri"/>
        </w:rPr>
        <w:t>s</w:t>
      </w:r>
      <w:r w:rsidR="00B25AAA">
        <w:rPr>
          <w:rFonts w:eastAsia="Calibri"/>
        </w:rPr>
        <w:t>, updated periodically,</w:t>
      </w:r>
      <w:r w:rsidR="00A02AAF" w:rsidRPr="005121EE">
        <w:rPr>
          <w:rFonts w:eastAsia="Calibri"/>
        </w:rPr>
        <w:t xml:space="preserve"> </w:t>
      </w:r>
      <w:r w:rsidR="00944B9D">
        <w:rPr>
          <w:rFonts w:eastAsia="Calibri"/>
        </w:rPr>
        <w:t>offer</w:t>
      </w:r>
      <w:r w:rsidR="00B25AAA">
        <w:rPr>
          <w:rFonts w:eastAsia="Calibri"/>
        </w:rPr>
        <w:t>s</w:t>
      </w:r>
      <w:r w:rsidR="00944B9D">
        <w:rPr>
          <w:rFonts w:eastAsia="Calibri"/>
        </w:rPr>
        <w:t xml:space="preserve"> a </w:t>
      </w:r>
      <w:r w:rsidR="00B25AAA">
        <w:rPr>
          <w:rFonts w:eastAsia="Calibri"/>
        </w:rPr>
        <w:t xml:space="preserve">quick and </w:t>
      </w:r>
      <w:r w:rsidR="00CD583B">
        <w:rPr>
          <w:rFonts w:eastAsia="Calibri"/>
        </w:rPr>
        <w:t>universal</w:t>
      </w:r>
      <w:r w:rsidR="00B25AAA">
        <w:rPr>
          <w:rFonts w:eastAsia="Calibri"/>
        </w:rPr>
        <w:t>ly understood</w:t>
      </w:r>
      <w:r w:rsidR="00A02AAF" w:rsidRPr="005121EE">
        <w:rPr>
          <w:rFonts w:eastAsia="Calibri"/>
        </w:rPr>
        <w:t xml:space="preserve"> way t</w:t>
      </w:r>
      <w:r w:rsidR="00944B9D">
        <w:rPr>
          <w:rFonts w:eastAsia="Calibri"/>
        </w:rPr>
        <w:t>o measure institutional outcomes</w:t>
      </w:r>
      <w:r w:rsidR="00B25AAA">
        <w:rPr>
          <w:rFonts w:eastAsia="Calibri"/>
        </w:rPr>
        <w:t xml:space="preserve">.  </w:t>
      </w:r>
      <w:r w:rsidR="00A02AAF" w:rsidRPr="005121EE">
        <w:rPr>
          <w:rFonts w:eastAsia="Calibri"/>
        </w:rPr>
        <w:t xml:space="preserve"> </w:t>
      </w:r>
      <w:r w:rsidR="00B25AAA">
        <w:rPr>
          <w:rFonts w:eastAsia="Calibri"/>
        </w:rPr>
        <w:t>P</w:t>
      </w:r>
      <w:r w:rsidR="00A02AAF" w:rsidRPr="005121EE">
        <w:rPr>
          <w:rFonts w:eastAsia="Calibri"/>
        </w:rPr>
        <w:t>ublications such as U.S. News and World Report (USNWR) aim to satisfy this public demand</w:t>
      </w:r>
      <w:r w:rsidR="00481837">
        <w:rPr>
          <w:rFonts w:eastAsia="Calibri"/>
        </w:rPr>
        <w:t xml:space="preserve"> for collegiate accountability and peer assessment in just such a way with its annual print and online ranked list of “America’s Best Colleges.”</w:t>
      </w:r>
    </w:p>
    <w:p w14:paraId="358E47C5" w14:textId="77777777" w:rsidR="00A02AAF" w:rsidRPr="005121EE" w:rsidRDefault="00A02AAF" w:rsidP="00481837">
      <w:pPr>
        <w:spacing w:after="160" w:line="480" w:lineRule="auto"/>
        <w:ind w:firstLine="720"/>
        <w:rPr>
          <w:rFonts w:eastAsia="Calibri"/>
        </w:rPr>
      </w:pPr>
      <w:r w:rsidRPr="005121EE">
        <w:rPr>
          <w:rFonts w:eastAsia="Calibri"/>
        </w:rPr>
        <w:t>The perceived reputation of a college based on its rank serves as a hopeful guarantee of quality to the prospective student and their parents (</w:t>
      </w:r>
      <w:proofErr w:type="spellStart"/>
      <w:r w:rsidRPr="005121EE">
        <w:rPr>
          <w:rFonts w:eastAsia="Calibri"/>
        </w:rPr>
        <w:t>Fombrun</w:t>
      </w:r>
      <w:proofErr w:type="spellEnd"/>
      <w:r w:rsidRPr="005121EE">
        <w:rPr>
          <w:rFonts w:eastAsia="Calibri"/>
        </w:rPr>
        <w:t xml:space="preserve">, 1996).  </w:t>
      </w:r>
      <w:r w:rsidR="00F04BF5">
        <w:rPr>
          <w:rFonts w:eastAsia="Calibri"/>
        </w:rPr>
        <w:t>F</w:t>
      </w:r>
      <w:r w:rsidRPr="005121EE">
        <w:rPr>
          <w:rFonts w:eastAsia="Calibri"/>
        </w:rPr>
        <w:t xml:space="preserve">irst-year retention rates and </w:t>
      </w:r>
      <w:r w:rsidR="00DF601E" w:rsidRPr="005121EE">
        <w:rPr>
          <w:rFonts w:eastAsia="Calibri"/>
        </w:rPr>
        <w:t>six-year</w:t>
      </w:r>
      <w:r w:rsidRPr="005121EE">
        <w:rPr>
          <w:rFonts w:eastAsia="Calibri"/>
        </w:rPr>
        <w:t xml:space="preserve"> graduation rates collectively represent the largest sub-score percentage (25%) of USNWR’s rankings score (</w:t>
      </w:r>
      <w:proofErr w:type="spellStart"/>
      <w:r w:rsidRPr="005121EE">
        <w:rPr>
          <w:rFonts w:eastAsia="Calibri"/>
        </w:rPr>
        <w:t>Gnolek</w:t>
      </w:r>
      <w:proofErr w:type="spellEnd"/>
      <w:r w:rsidRPr="005121EE">
        <w:rPr>
          <w:rFonts w:eastAsia="Calibri"/>
        </w:rPr>
        <w:t xml:space="preserve">, </w:t>
      </w:r>
      <w:proofErr w:type="spellStart"/>
      <w:r w:rsidRPr="005121EE">
        <w:rPr>
          <w:rFonts w:eastAsia="Calibri"/>
        </w:rPr>
        <w:t>Falciano</w:t>
      </w:r>
      <w:proofErr w:type="spellEnd"/>
      <w:r w:rsidRPr="005121EE">
        <w:rPr>
          <w:rFonts w:eastAsia="Calibri"/>
        </w:rPr>
        <w:t xml:space="preserve">, and </w:t>
      </w:r>
      <w:proofErr w:type="spellStart"/>
      <w:r w:rsidRPr="005121EE">
        <w:rPr>
          <w:rFonts w:eastAsia="Calibri"/>
        </w:rPr>
        <w:t>Kuncl</w:t>
      </w:r>
      <w:proofErr w:type="spellEnd"/>
      <w:r w:rsidRPr="005121EE">
        <w:rPr>
          <w:rFonts w:eastAsia="Calibri"/>
        </w:rPr>
        <w:t>, 2014).  Without the benefit of an easy-to-compare measure such as USNWR’s rankings, the public has difficult</w:t>
      </w:r>
      <w:r w:rsidR="00F04BF5">
        <w:rPr>
          <w:rFonts w:eastAsia="Calibri"/>
        </w:rPr>
        <w:t>y</w:t>
      </w:r>
      <w:r w:rsidRPr="005121EE">
        <w:rPr>
          <w:rFonts w:eastAsia="Calibri"/>
        </w:rPr>
        <w:t xml:space="preserve"> evaluat</w:t>
      </w:r>
      <w:r w:rsidR="00F04BF5">
        <w:rPr>
          <w:rFonts w:eastAsia="Calibri"/>
        </w:rPr>
        <w:t>ing</w:t>
      </w:r>
      <w:r w:rsidRPr="005121EE">
        <w:rPr>
          <w:rFonts w:eastAsia="Calibri"/>
        </w:rPr>
        <w:t xml:space="preserve"> the relative services of universities, and universities have a hard time trying to promote their product and relative merits over similar schools with similar products (</w:t>
      </w:r>
      <w:proofErr w:type="spellStart"/>
      <w:r w:rsidRPr="005121EE">
        <w:rPr>
          <w:rFonts w:eastAsia="Calibri"/>
        </w:rPr>
        <w:t>Litten</w:t>
      </w:r>
      <w:proofErr w:type="spellEnd"/>
      <w:r w:rsidRPr="005121EE">
        <w:rPr>
          <w:rFonts w:eastAsia="Calibri"/>
        </w:rPr>
        <w:t>, 1986).</w:t>
      </w:r>
    </w:p>
    <w:p w14:paraId="2E642E61" w14:textId="77777777" w:rsidR="00370BF4" w:rsidRPr="005121EE" w:rsidRDefault="00370BF4" w:rsidP="00A02AAF">
      <w:pPr>
        <w:spacing w:after="160" w:line="480" w:lineRule="auto"/>
        <w:ind w:firstLine="720"/>
        <w:rPr>
          <w:rFonts w:eastAsia="Calibri"/>
        </w:rPr>
      </w:pPr>
      <w:r w:rsidRPr="005121EE">
        <w:rPr>
          <w:rFonts w:eastAsia="Calibri"/>
        </w:rPr>
        <w:t xml:space="preserve">From the political corner, mounting constituent requests for state government to hold public higher education accountable for its increasing use of tax dollars led to the design and practice of student </w:t>
      </w:r>
      <w:r w:rsidRPr="001951D9">
        <w:rPr>
          <w:rFonts w:eastAsia="Calibri"/>
          <w:i/>
        </w:rPr>
        <w:t>outcomes-based performance funding</w:t>
      </w:r>
      <w:r w:rsidRPr="005121EE">
        <w:rPr>
          <w:rFonts w:eastAsia="Calibri"/>
        </w:rPr>
        <w:t xml:space="preserve"> – first implemented in Tennessee in 1979, and subsequently adopted in some form by more than half of all other states throughout the 1980s and 1990s (Dumont, 1980; Miao, 2012).  In their original design, m</w:t>
      </w:r>
      <w:r w:rsidR="00576338">
        <w:rPr>
          <w:rFonts w:eastAsia="Calibri"/>
        </w:rPr>
        <w:t>any</w:t>
      </w:r>
      <w:r w:rsidRPr="005121EE">
        <w:rPr>
          <w:rFonts w:eastAsia="Calibri"/>
        </w:rPr>
        <w:t xml:space="preserve"> </w:t>
      </w:r>
      <w:r w:rsidR="001B1818">
        <w:rPr>
          <w:rFonts w:eastAsia="Calibri"/>
        </w:rPr>
        <w:t>forms</w:t>
      </w:r>
      <w:r w:rsidR="00576338">
        <w:rPr>
          <w:rFonts w:eastAsia="Calibri"/>
        </w:rPr>
        <w:t xml:space="preserve"> of </w:t>
      </w:r>
      <w:r w:rsidRPr="005121EE">
        <w:rPr>
          <w:rFonts w:eastAsia="Calibri"/>
        </w:rPr>
        <w:t xml:space="preserve">performance-based </w:t>
      </w:r>
      <w:r w:rsidR="00576338">
        <w:rPr>
          <w:rFonts w:eastAsia="Calibri"/>
        </w:rPr>
        <w:t>funding</w:t>
      </w:r>
      <w:r w:rsidRPr="005121EE">
        <w:rPr>
          <w:rFonts w:eastAsia="Calibri"/>
        </w:rPr>
        <w:t xml:space="preserve"> were too broadly defined</w:t>
      </w:r>
      <w:r w:rsidR="00576338">
        <w:rPr>
          <w:rFonts w:eastAsia="Calibri"/>
        </w:rPr>
        <w:t xml:space="preserve"> and</w:t>
      </w:r>
      <w:r w:rsidRPr="005121EE">
        <w:rPr>
          <w:rFonts w:eastAsia="Calibri"/>
        </w:rPr>
        <w:t xml:space="preserve"> not structured to allow for different mission</w:t>
      </w:r>
      <w:r w:rsidR="00576338">
        <w:rPr>
          <w:rFonts w:eastAsia="Calibri"/>
        </w:rPr>
        <w:t xml:space="preserve">s </w:t>
      </w:r>
      <w:r w:rsidRPr="005121EE">
        <w:rPr>
          <w:rFonts w:eastAsia="Calibri"/>
        </w:rPr>
        <w:t>and student population</w:t>
      </w:r>
      <w:r w:rsidR="00576338">
        <w:rPr>
          <w:rFonts w:eastAsia="Calibri"/>
        </w:rPr>
        <w:t>s among</w:t>
      </w:r>
      <w:r w:rsidRPr="005121EE">
        <w:rPr>
          <w:rFonts w:eastAsia="Calibri"/>
        </w:rPr>
        <w:t xml:space="preserve"> public institutions</w:t>
      </w:r>
      <w:r w:rsidR="004C2F75">
        <w:rPr>
          <w:rFonts w:eastAsia="Calibri"/>
        </w:rPr>
        <w:t xml:space="preserve"> (</w:t>
      </w:r>
      <w:proofErr w:type="spellStart"/>
      <w:r w:rsidR="004C2F75" w:rsidRPr="005121EE">
        <w:rPr>
          <w:rFonts w:eastAsia="Calibri"/>
        </w:rPr>
        <w:t>McLendon</w:t>
      </w:r>
      <w:proofErr w:type="spellEnd"/>
      <w:r w:rsidR="004C2F75" w:rsidRPr="005121EE">
        <w:rPr>
          <w:rFonts w:eastAsia="Calibri"/>
        </w:rPr>
        <w:t>, Hearn, and Deaton, 2006</w:t>
      </w:r>
      <w:r w:rsidR="004C2F75">
        <w:rPr>
          <w:rFonts w:eastAsia="Calibri"/>
        </w:rPr>
        <w:t>; Miao, 2012)</w:t>
      </w:r>
      <w:r w:rsidRPr="005121EE">
        <w:rPr>
          <w:rFonts w:eastAsia="Calibri"/>
        </w:rPr>
        <w:t>.  Schools inherently</w:t>
      </w:r>
      <w:r w:rsidR="004C2F75">
        <w:rPr>
          <w:rFonts w:eastAsia="Calibri"/>
        </w:rPr>
        <w:t xml:space="preserve"> likely</w:t>
      </w:r>
      <w:r w:rsidRPr="005121EE">
        <w:rPr>
          <w:rFonts w:eastAsia="Calibri"/>
        </w:rPr>
        <w:t xml:space="preserve"> to have lower graduation rates due to their student populations</w:t>
      </w:r>
      <w:r w:rsidR="004C2F75">
        <w:rPr>
          <w:rFonts w:eastAsia="Calibri"/>
        </w:rPr>
        <w:t xml:space="preserve"> were being </w:t>
      </w:r>
      <w:r w:rsidR="004C2F75">
        <w:rPr>
          <w:rFonts w:eastAsia="Calibri"/>
        </w:rPr>
        <w:lastRenderedPageBreak/>
        <w:t>penalized; for example,</w:t>
      </w:r>
      <w:r w:rsidRPr="005121EE">
        <w:rPr>
          <w:rFonts w:eastAsia="Calibri"/>
        </w:rPr>
        <w:t xml:space="preserve"> community colleges and 4-year schools that drew students from low-income areas.   Subsequently, many states revised or </w:t>
      </w:r>
      <w:r w:rsidR="004C2F75">
        <w:rPr>
          <w:rFonts w:eastAsia="Calibri"/>
        </w:rPr>
        <w:t>abandoned</w:t>
      </w:r>
      <w:r w:rsidRPr="005121EE">
        <w:rPr>
          <w:rFonts w:eastAsia="Calibri"/>
        </w:rPr>
        <w:t xml:space="preserve"> their original performance </w:t>
      </w:r>
      <w:r w:rsidR="004C2F75">
        <w:rPr>
          <w:rFonts w:eastAsia="Calibri"/>
        </w:rPr>
        <w:t xml:space="preserve">funding </w:t>
      </w:r>
      <w:r w:rsidRPr="005121EE">
        <w:rPr>
          <w:rFonts w:eastAsia="Calibri"/>
        </w:rPr>
        <w:t>policies.  More recently</w:t>
      </w:r>
      <w:r w:rsidR="004C2F75">
        <w:rPr>
          <w:rFonts w:eastAsia="Calibri"/>
        </w:rPr>
        <w:t>,</w:t>
      </w:r>
      <w:r w:rsidRPr="005121EE">
        <w:rPr>
          <w:rFonts w:eastAsia="Calibri"/>
        </w:rPr>
        <w:t xml:space="preserve"> though, performance funding has reemerged</w:t>
      </w:r>
      <w:r w:rsidR="001B1818">
        <w:rPr>
          <w:rFonts w:eastAsia="Calibri"/>
        </w:rPr>
        <w:t xml:space="preserve"> as</w:t>
      </w:r>
      <w:r w:rsidRPr="005121EE">
        <w:rPr>
          <w:rFonts w:eastAsia="Calibri"/>
        </w:rPr>
        <w:t xml:space="preserve"> </w:t>
      </w:r>
      <w:r w:rsidR="007F2275">
        <w:rPr>
          <w:rFonts w:eastAsia="Calibri"/>
        </w:rPr>
        <w:t>metrics</w:t>
      </w:r>
      <w:r w:rsidRPr="005121EE">
        <w:rPr>
          <w:rFonts w:eastAsia="Calibri"/>
        </w:rPr>
        <w:t xml:space="preserve"> </w:t>
      </w:r>
      <w:r w:rsidR="001B1818">
        <w:rPr>
          <w:rFonts w:eastAsia="Calibri"/>
        </w:rPr>
        <w:t>tailored to</w:t>
      </w:r>
      <w:r w:rsidRPr="005121EE">
        <w:rPr>
          <w:rFonts w:eastAsia="Calibri"/>
        </w:rPr>
        <w:t xml:space="preserve"> the college or university mission type and student population.  These new </w:t>
      </w:r>
      <w:r w:rsidR="007F2275">
        <w:rPr>
          <w:rFonts w:eastAsia="Calibri"/>
        </w:rPr>
        <w:t>performance funding models</w:t>
      </w:r>
      <w:r w:rsidRPr="005121EE">
        <w:rPr>
          <w:rFonts w:eastAsia="Calibri"/>
        </w:rPr>
        <w:t xml:space="preserve"> </w:t>
      </w:r>
      <w:r w:rsidR="001B1818">
        <w:rPr>
          <w:rFonts w:eastAsia="Calibri"/>
        </w:rPr>
        <w:t xml:space="preserve">strive to reward </w:t>
      </w:r>
      <w:r w:rsidRPr="005121EE">
        <w:rPr>
          <w:rFonts w:eastAsia="Calibri"/>
        </w:rPr>
        <w:t xml:space="preserve">schools </w:t>
      </w:r>
      <w:r w:rsidR="007F2275">
        <w:rPr>
          <w:rFonts w:eastAsia="Calibri"/>
        </w:rPr>
        <w:t xml:space="preserve">based on </w:t>
      </w:r>
      <w:r w:rsidRPr="005121EE">
        <w:rPr>
          <w:rFonts w:eastAsia="Calibri"/>
        </w:rPr>
        <w:t>performance</w:t>
      </w:r>
      <w:r w:rsidR="007F2275">
        <w:rPr>
          <w:rFonts w:eastAsia="Calibri"/>
        </w:rPr>
        <w:t xml:space="preserve"> measures benchmarked to </w:t>
      </w:r>
      <w:r w:rsidRPr="005121EE">
        <w:rPr>
          <w:rFonts w:eastAsia="Calibri"/>
        </w:rPr>
        <w:t>similar inst</w:t>
      </w:r>
      <w:r w:rsidR="007F2275">
        <w:rPr>
          <w:rFonts w:eastAsia="Calibri"/>
        </w:rPr>
        <w:t>itutions</w:t>
      </w:r>
      <w:r w:rsidR="001B1818">
        <w:rPr>
          <w:rFonts w:eastAsia="Calibri"/>
        </w:rPr>
        <w:t>,</w:t>
      </w:r>
      <w:r w:rsidR="007F2275">
        <w:rPr>
          <w:rFonts w:eastAsia="Calibri"/>
        </w:rPr>
        <w:t xml:space="preserve"> as compared to prior models where institutions</w:t>
      </w:r>
      <w:r w:rsidRPr="005121EE">
        <w:rPr>
          <w:rFonts w:eastAsia="Calibri"/>
        </w:rPr>
        <w:t xml:space="preserve"> </w:t>
      </w:r>
      <w:r w:rsidR="007840EF">
        <w:rPr>
          <w:rFonts w:eastAsia="Calibri"/>
        </w:rPr>
        <w:t>compete</w:t>
      </w:r>
      <w:r w:rsidR="001B1818">
        <w:rPr>
          <w:rFonts w:eastAsia="Calibri"/>
        </w:rPr>
        <w:t>d</w:t>
      </w:r>
      <w:r w:rsidR="007840EF">
        <w:rPr>
          <w:rFonts w:eastAsia="Calibri"/>
        </w:rPr>
        <w:t xml:space="preserve"> within</w:t>
      </w:r>
      <w:r w:rsidRPr="005121EE">
        <w:rPr>
          <w:rFonts w:eastAsia="Calibri"/>
        </w:rPr>
        <w:t xml:space="preserve"> a one-size-fits-all </w:t>
      </w:r>
      <w:r w:rsidR="007F2275">
        <w:rPr>
          <w:rFonts w:eastAsia="Calibri"/>
        </w:rPr>
        <w:t xml:space="preserve">system </w:t>
      </w:r>
      <w:r w:rsidRPr="005121EE">
        <w:rPr>
          <w:rFonts w:eastAsia="Calibri"/>
        </w:rPr>
        <w:t>(</w:t>
      </w:r>
      <w:proofErr w:type="spellStart"/>
      <w:r w:rsidRPr="005121EE">
        <w:rPr>
          <w:rFonts w:eastAsia="Calibri"/>
        </w:rPr>
        <w:t>Harnisch</w:t>
      </w:r>
      <w:proofErr w:type="spellEnd"/>
      <w:r w:rsidRPr="005121EE">
        <w:rPr>
          <w:rFonts w:eastAsia="Calibri"/>
        </w:rPr>
        <w:t xml:space="preserve">, 2011; Miao, 2012; Rutherford and </w:t>
      </w:r>
      <w:proofErr w:type="spellStart"/>
      <w:r w:rsidRPr="005121EE">
        <w:rPr>
          <w:rFonts w:eastAsia="Calibri"/>
        </w:rPr>
        <w:t>Rabovsky</w:t>
      </w:r>
      <w:proofErr w:type="spellEnd"/>
      <w:r w:rsidRPr="005121EE">
        <w:rPr>
          <w:rFonts w:eastAsia="Calibri"/>
        </w:rPr>
        <w:t xml:space="preserve">, 2014).   </w:t>
      </w:r>
      <w:r w:rsidR="00D15E22">
        <w:rPr>
          <w:rFonts w:eastAsia="Calibri"/>
        </w:rPr>
        <w:t>Nonetheless, student outcomes such as graduation rates continue to be found within most of these new models and remain a focal point for state policy makers (</w:t>
      </w:r>
      <w:proofErr w:type="spellStart"/>
      <w:r w:rsidR="00D15E22" w:rsidRPr="005121EE">
        <w:rPr>
          <w:rFonts w:eastAsia="Calibri"/>
        </w:rPr>
        <w:t>McLendon</w:t>
      </w:r>
      <w:proofErr w:type="spellEnd"/>
      <w:r w:rsidR="00D15E22" w:rsidRPr="005121EE">
        <w:rPr>
          <w:rFonts w:eastAsia="Calibri"/>
        </w:rPr>
        <w:t>, Hearn, and Deaton, 2006</w:t>
      </w:r>
      <w:r w:rsidR="00D15E22">
        <w:rPr>
          <w:rFonts w:eastAsia="Calibri"/>
        </w:rPr>
        <w:t xml:space="preserve">; </w:t>
      </w:r>
      <w:proofErr w:type="spellStart"/>
      <w:r w:rsidR="00D15E22" w:rsidRPr="005121EE">
        <w:rPr>
          <w:rFonts w:eastAsia="Calibri"/>
        </w:rPr>
        <w:t>Harnisch</w:t>
      </w:r>
      <w:proofErr w:type="spellEnd"/>
      <w:r w:rsidR="00D15E22" w:rsidRPr="005121EE">
        <w:rPr>
          <w:rFonts w:eastAsia="Calibri"/>
        </w:rPr>
        <w:t>, 2011</w:t>
      </w:r>
      <w:r w:rsidR="00D15E22">
        <w:rPr>
          <w:rFonts w:eastAsia="Calibri"/>
        </w:rPr>
        <w:t xml:space="preserve">, Miao, 2012; </w:t>
      </w:r>
      <w:r w:rsidR="00D15E22" w:rsidRPr="005121EE">
        <w:rPr>
          <w:rFonts w:eastAsia="Calibri"/>
        </w:rPr>
        <w:t xml:space="preserve">Rutherford and </w:t>
      </w:r>
      <w:proofErr w:type="spellStart"/>
      <w:r w:rsidR="00D15E22" w:rsidRPr="005121EE">
        <w:rPr>
          <w:rFonts w:eastAsia="Calibri"/>
        </w:rPr>
        <w:t>Rabovsky</w:t>
      </w:r>
      <w:proofErr w:type="spellEnd"/>
      <w:r w:rsidR="00D15E22" w:rsidRPr="005121EE">
        <w:rPr>
          <w:rFonts w:eastAsia="Calibri"/>
        </w:rPr>
        <w:t>, 2014</w:t>
      </w:r>
      <w:r w:rsidR="00D15E22">
        <w:rPr>
          <w:rFonts w:eastAsia="Calibri"/>
        </w:rPr>
        <w:t>).</w:t>
      </w:r>
    </w:p>
    <w:p w14:paraId="54540299" w14:textId="77777777" w:rsidR="00052024" w:rsidRDefault="00370BF4" w:rsidP="00370BF4">
      <w:pPr>
        <w:spacing w:after="160" w:line="480" w:lineRule="auto"/>
        <w:rPr>
          <w:rFonts w:eastAsia="Calibri"/>
        </w:rPr>
      </w:pPr>
      <w:r w:rsidRPr="005121EE">
        <w:rPr>
          <w:rFonts w:eastAsia="Calibri"/>
        </w:rPr>
        <w:tab/>
        <w:t xml:space="preserve">Finally, </w:t>
      </w:r>
      <w:r w:rsidR="001B1818">
        <w:rPr>
          <w:rFonts w:eastAsia="Calibri"/>
        </w:rPr>
        <w:t>in</w:t>
      </w:r>
      <w:r w:rsidRPr="005121EE">
        <w:rPr>
          <w:rFonts w:eastAsia="Calibri"/>
        </w:rPr>
        <w:t xml:space="preserve"> the academic corner, </w:t>
      </w:r>
      <w:r w:rsidR="000A708A">
        <w:rPr>
          <w:rFonts w:eastAsia="Calibri"/>
        </w:rPr>
        <w:t>public higher education</w:t>
      </w:r>
      <w:r w:rsidRPr="005121EE">
        <w:rPr>
          <w:rFonts w:eastAsia="Calibri"/>
        </w:rPr>
        <w:t xml:space="preserve"> administrators are increasingly being tasked by their </w:t>
      </w:r>
      <w:r w:rsidR="0098627C">
        <w:rPr>
          <w:rFonts w:eastAsia="Calibri"/>
        </w:rPr>
        <w:t>leaders</w:t>
      </w:r>
      <w:r w:rsidRPr="005121EE">
        <w:rPr>
          <w:rFonts w:eastAsia="Calibri"/>
        </w:rPr>
        <w:t xml:space="preserve"> and boards </w:t>
      </w:r>
      <w:r w:rsidR="0098627C">
        <w:rPr>
          <w:rFonts w:eastAsia="Calibri"/>
        </w:rPr>
        <w:t xml:space="preserve">of trust </w:t>
      </w:r>
      <w:r w:rsidRPr="005121EE">
        <w:rPr>
          <w:rFonts w:eastAsia="Calibri"/>
        </w:rPr>
        <w:t xml:space="preserve">to </w:t>
      </w:r>
      <w:r w:rsidR="00664B35">
        <w:rPr>
          <w:rFonts w:eastAsia="Calibri"/>
        </w:rPr>
        <w:t>monitor and</w:t>
      </w:r>
      <w:r w:rsidRPr="005121EE">
        <w:rPr>
          <w:rFonts w:eastAsia="Calibri"/>
        </w:rPr>
        <w:t xml:space="preserve"> report on student outcome</w:t>
      </w:r>
      <w:r w:rsidR="00664B35">
        <w:rPr>
          <w:rFonts w:eastAsia="Calibri"/>
        </w:rPr>
        <w:t xml:space="preserve"> measures</w:t>
      </w:r>
      <w:r w:rsidRPr="005121EE">
        <w:rPr>
          <w:rFonts w:eastAsia="Calibri"/>
        </w:rPr>
        <w:t xml:space="preserve">, particularly as these outcomes </w:t>
      </w:r>
      <w:r w:rsidR="000A708A">
        <w:rPr>
          <w:rFonts w:eastAsia="Calibri"/>
        </w:rPr>
        <w:t>continue to hold</w:t>
      </w:r>
      <w:r w:rsidRPr="005121EE">
        <w:rPr>
          <w:rFonts w:eastAsia="Calibri"/>
        </w:rPr>
        <w:t xml:space="preserve"> </w:t>
      </w:r>
      <w:r w:rsidR="00D15E22">
        <w:rPr>
          <w:rFonts w:eastAsia="Calibri"/>
        </w:rPr>
        <w:t xml:space="preserve">such importance </w:t>
      </w:r>
      <w:r w:rsidR="00664B35">
        <w:rPr>
          <w:rFonts w:eastAsia="Calibri"/>
        </w:rPr>
        <w:t xml:space="preserve">both publically, through the college </w:t>
      </w:r>
      <w:r w:rsidR="000A708A">
        <w:rPr>
          <w:rFonts w:eastAsia="Calibri"/>
        </w:rPr>
        <w:t>ranking publications</w:t>
      </w:r>
      <w:r w:rsidR="00664B35">
        <w:rPr>
          <w:rFonts w:eastAsia="Calibri"/>
        </w:rPr>
        <w:t>;</w:t>
      </w:r>
      <w:r w:rsidR="000A708A">
        <w:rPr>
          <w:rFonts w:eastAsia="Calibri"/>
        </w:rPr>
        <w:t xml:space="preserve"> </w:t>
      </w:r>
      <w:r w:rsidR="00664B35">
        <w:rPr>
          <w:rFonts w:eastAsia="Calibri"/>
        </w:rPr>
        <w:t xml:space="preserve">and politically, within the state </w:t>
      </w:r>
      <w:r w:rsidR="000A708A">
        <w:rPr>
          <w:rFonts w:eastAsia="Calibri"/>
        </w:rPr>
        <w:t xml:space="preserve">policy </w:t>
      </w:r>
      <w:r w:rsidR="00664B35">
        <w:rPr>
          <w:rFonts w:eastAsia="Calibri"/>
        </w:rPr>
        <w:t>funding models</w:t>
      </w:r>
      <w:r w:rsidRPr="005121EE">
        <w:rPr>
          <w:rFonts w:eastAsia="Calibri"/>
        </w:rPr>
        <w:t xml:space="preserve">. </w:t>
      </w:r>
      <w:r w:rsidR="0098627C">
        <w:rPr>
          <w:rFonts w:eastAsia="Calibri"/>
        </w:rPr>
        <w:t xml:space="preserve"> </w:t>
      </w:r>
    </w:p>
    <w:p w14:paraId="35F48CBC" w14:textId="77777777" w:rsidR="00370BF4" w:rsidRPr="005121EE" w:rsidRDefault="00FC5B23" w:rsidP="00052024">
      <w:pPr>
        <w:spacing w:after="160" w:line="480" w:lineRule="auto"/>
        <w:ind w:firstLine="720"/>
        <w:rPr>
          <w:rFonts w:eastAsia="Calibri"/>
        </w:rPr>
      </w:pPr>
      <w:r>
        <w:rPr>
          <w:rFonts w:eastAsia="Calibri"/>
        </w:rPr>
        <w:t>Furthermore, it’s th</w:t>
      </w:r>
      <w:r w:rsidR="00052024">
        <w:rPr>
          <w:rFonts w:eastAsia="Calibri"/>
        </w:rPr>
        <w:t>e academic</w:t>
      </w:r>
      <w:r>
        <w:rPr>
          <w:rFonts w:eastAsia="Calibri"/>
        </w:rPr>
        <w:t xml:space="preserve"> corner th</w:t>
      </w:r>
      <w:r w:rsidR="00B83C13">
        <w:rPr>
          <w:rFonts w:eastAsia="Calibri"/>
        </w:rPr>
        <w:t>at</w:t>
      </w:r>
      <w:r>
        <w:rPr>
          <w:rFonts w:eastAsia="Calibri"/>
        </w:rPr>
        <w:t xml:space="preserve"> </w:t>
      </w:r>
      <w:r w:rsidR="00B83C13">
        <w:rPr>
          <w:rFonts w:eastAsia="Calibri"/>
        </w:rPr>
        <w:t xml:space="preserve">bears the professional responsibility </w:t>
      </w:r>
      <w:r>
        <w:rPr>
          <w:rFonts w:eastAsia="Calibri"/>
        </w:rPr>
        <w:t xml:space="preserve">of </w:t>
      </w:r>
      <w:r w:rsidR="00B83C13">
        <w:rPr>
          <w:rFonts w:eastAsia="Calibri"/>
        </w:rPr>
        <w:t xml:space="preserve">generating, and improving, these </w:t>
      </w:r>
      <w:r>
        <w:rPr>
          <w:rFonts w:eastAsia="Calibri"/>
        </w:rPr>
        <w:t xml:space="preserve">student </w:t>
      </w:r>
      <w:r w:rsidRPr="00B52F0F">
        <w:rPr>
          <w:rFonts w:eastAsia="Calibri"/>
        </w:rPr>
        <w:t>outcomes.</w:t>
      </w:r>
      <w:r w:rsidR="0009256E" w:rsidRPr="00B52F0F">
        <w:rPr>
          <w:rFonts w:eastAsia="Calibri"/>
        </w:rPr>
        <w:t xml:space="preserve"> </w:t>
      </w:r>
      <w:r w:rsidR="00DF02DB" w:rsidRPr="00B52F0F">
        <w:rPr>
          <w:rFonts w:eastAsia="Calibri"/>
        </w:rPr>
        <w:t>When striving</w:t>
      </w:r>
      <w:r w:rsidR="00DF02DB" w:rsidRPr="00DF02DB">
        <w:rPr>
          <w:rFonts w:eastAsia="Calibri"/>
        </w:rPr>
        <w:t xml:space="preserve"> for higher outcomes, such as increasing graduation rates, knowledgeable judgments</w:t>
      </w:r>
      <w:r w:rsidR="006F5885" w:rsidRPr="00DF02DB">
        <w:rPr>
          <w:rFonts w:eastAsia="Calibri"/>
        </w:rPr>
        <w:t xml:space="preserve"> must be made </w:t>
      </w:r>
      <w:r w:rsidR="00DF02DB" w:rsidRPr="00DF02DB">
        <w:rPr>
          <w:rFonts w:eastAsia="Calibri"/>
        </w:rPr>
        <w:t>to avoid any offsetting negative consequences to the student or school</w:t>
      </w:r>
      <w:r w:rsidR="006F5885" w:rsidRPr="00DF02DB">
        <w:rPr>
          <w:rFonts w:eastAsia="Calibri"/>
        </w:rPr>
        <w:t xml:space="preserve">.  Such pitfalls </w:t>
      </w:r>
      <w:r w:rsidR="006F418B" w:rsidRPr="00DF02DB">
        <w:rPr>
          <w:rFonts w:eastAsia="Calibri"/>
        </w:rPr>
        <w:t xml:space="preserve">may </w:t>
      </w:r>
      <w:r w:rsidR="006F5885" w:rsidRPr="00DF02DB">
        <w:rPr>
          <w:rFonts w:eastAsia="Calibri"/>
        </w:rPr>
        <w:t xml:space="preserve">include:  </w:t>
      </w:r>
      <w:r w:rsidR="00C573E1">
        <w:rPr>
          <w:rFonts w:eastAsia="Calibri"/>
        </w:rPr>
        <w:t>students with only preferred academic backgrounds being accepted into college, lowering of a school’s academic standards</w:t>
      </w:r>
      <w:r w:rsidR="00943408">
        <w:rPr>
          <w:rFonts w:eastAsia="Calibri"/>
        </w:rPr>
        <w:t>,</w:t>
      </w:r>
      <w:r w:rsidR="00C573E1">
        <w:rPr>
          <w:rFonts w:eastAsia="Calibri"/>
        </w:rPr>
        <w:t xml:space="preserve"> and a deviation from </w:t>
      </w:r>
      <w:r w:rsidR="007B28BC">
        <w:rPr>
          <w:rFonts w:eastAsia="Calibri"/>
        </w:rPr>
        <w:t>broader missions of</w:t>
      </w:r>
      <w:r w:rsidR="00943408">
        <w:rPr>
          <w:rFonts w:eastAsia="Calibri"/>
        </w:rPr>
        <w:t xml:space="preserve"> public higher </w:t>
      </w:r>
      <w:r w:rsidR="00943408">
        <w:rPr>
          <w:rFonts w:eastAsia="Calibri"/>
        </w:rPr>
        <w:lastRenderedPageBreak/>
        <w:t>education such as</w:t>
      </w:r>
      <w:r w:rsidR="007B28BC">
        <w:rPr>
          <w:rFonts w:eastAsia="Calibri"/>
        </w:rPr>
        <w:t xml:space="preserve"> community </w:t>
      </w:r>
      <w:r w:rsidR="00943408">
        <w:rPr>
          <w:rFonts w:eastAsia="Calibri"/>
        </w:rPr>
        <w:t>outreach, and</w:t>
      </w:r>
      <w:r w:rsidR="007B28BC">
        <w:rPr>
          <w:rFonts w:eastAsia="Calibri"/>
        </w:rPr>
        <w:t xml:space="preserve"> student discovery and enlightenment (</w:t>
      </w:r>
      <w:r w:rsidR="007B28BC" w:rsidRPr="005121EE">
        <w:rPr>
          <w:rFonts w:eastAsia="Calibri"/>
        </w:rPr>
        <w:t xml:space="preserve">Ehrenberg, 2005; </w:t>
      </w:r>
      <w:proofErr w:type="spellStart"/>
      <w:r w:rsidR="007B28BC" w:rsidRPr="005121EE">
        <w:rPr>
          <w:rFonts w:eastAsia="Calibri"/>
        </w:rPr>
        <w:t>McLendon</w:t>
      </w:r>
      <w:proofErr w:type="spellEnd"/>
      <w:r w:rsidR="007B28BC" w:rsidRPr="005121EE">
        <w:rPr>
          <w:rFonts w:eastAsia="Calibri"/>
        </w:rPr>
        <w:t xml:space="preserve"> et al., 2006</w:t>
      </w:r>
      <w:r w:rsidR="007B28BC">
        <w:rPr>
          <w:rFonts w:eastAsia="Calibri"/>
        </w:rPr>
        <w:t xml:space="preserve">; </w:t>
      </w:r>
      <w:r w:rsidR="007B28BC" w:rsidRPr="005121EE">
        <w:rPr>
          <w:rFonts w:eastAsia="Calibri"/>
        </w:rPr>
        <w:t>Bogue and Johnson, 2010</w:t>
      </w:r>
      <w:r w:rsidR="007B28BC">
        <w:rPr>
          <w:rFonts w:eastAsia="Calibri"/>
        </w:rPr>
        <w:t xml:space="preserve">; </w:t>
      </w:r>
      <w:r w:rsidR="007B28BC" w:rsidRPr="005121EE">
        <w:rPr>
          <w:rFonts w:eastAsia="Calibri"/>
        </w:rPr>
        <w:t>Miao, 2012</w:t>
      </w:r>
      <w:r w:rsidR="007B28BC">
        <w:rPr>
          <w:rFonts w:eastAsia="Calibri"/>
        </w:rPr>
        <w:t xml:space="preserve">; </w:t>
      </w:r>
      <w:r w:rsidR="007B28BC" w:rsidRPr="005121EE">
        <w:rPr>
          <w:rFonts w:eastAsia="Calibri"/>
        </w:rPr>
        <w:t xml:space="preserve">Dougherty, Jones, Lahr, </w:t>
      </w:r>
      <w:proofErr w:type="spellStart"/>
      <w:r w:rsidR="007B28BC" w:rsidRPr="005121EE">
        <w:rPr>
          <w:rFonts w:eastAsia="Calibri"/>
        </w:rPr>
        <w:t>Natow</w:t>
      </w:r>
      <w:proofErr w:type="spellEnd"/>
      <w:r w:rsidR="007B28BC" w:rsidRPr="005121EE">
        <w:rPr>
          <w:rFonts w:eastAsia="Calibri"/>
        </w:rPr>
        <w:t xml:space="preserve">, </w:t>
      </w:r>
      <w:proofErr w:type="spellStart"/>
      <w:r w:rsidR="007B28BC" w:rsidRPr="005121EE">
        <w:rPr>
          <w:rFonts w:eastAsia="Calibri"/>
        </w:rPr>
        <w:t>Pheatt</w:t>
      </w:r>
      <w:proofErr w:type="spellEnd"/>
      <w:r w:rsidR="007B28BC" w:rsidRPr="005121EE">
        <w:rPr>
          <w:rFonts w:eastAsia="Calibri"/>
        </w:rPr>
        <w:t>, and Reddy, 2014</w:t>
      </w:r>
      <w:r w:rsidR="007B28BC">
        <w:rPr>
          <w:rFonts w:eastAsia="Calibri"/>
        </w:rPr>
        <w:t xml:space="preserve">).  </w:t>
      </w:r>
      <w:r w:rsidR="00EA3876" w:rsidRPr="00DF02DB">
        <w:rPr>
          <w:rFonts w:eastAsia="Calibri"/>
        </w:rPr>
        <w:t xml:space="preserve">Informed decision making also applies to asset allocation.  Shrinking </w:t>
      </w:r>
      <w:r w:rsidR="004C4DCC" w:rsidRPr="00DF02DB">
        <w:rPr>
          <w:rFonts w:eastAsia="Calibri"/>
        </w:rPr>
        <w:t>state financial resources</w:t>
      </w:r>
      <w:r w:rsidR="00EA3876" w:rsidRPr="00DF02DB">
        <w:rPr>
          <w:rFonts w:eastAsia="Calibri"/>
        </w:rPr>
        <w:t xml:space="preserve"> </w:t>
      </w:r>
      <w:r w:rsidR="00943408" w:rsidRPr="00DF02DB">
        <w:rPr>
          <w:rFonts w:eastAsia="Calibri"/>
        </w:rPr>
        <w:t>necessitate</w:t>
      </w:r>
      <w:r w:rsidR="00DF02DB" w:rsidRPr="00DF02DB">
        <w:rPr>
          <w:rFonts w:eastAsia="Calibri"/>
        </w:rPr>
        <w:t xml:space="preserve"> </w:t>
      </w:r>
      <w:r w:rsidR="004C4DCC" w:rsidRPr="00DF02DB">
        <w:rPr>
          <w:rFonts w:eastAsia="Calibri"/>
        </w:rPr>
        <w:t xml:space="preserve">academic leaders to </w:t>
      </w:r>
      <w:r w:rsidR="00512CA3">
        <w:rPr>
          <w:rFonts w:eastAsia="Calibri"/>
        </w:rPr>
        <w:t>such limited</w:t>
      </w:r>
      <w:r w:rsidR="006F418B" w:rsidRPr="00DF02DB">
        <w:rPr>
          <w:rFonts w:eastAsia="Calibri"/>
        </w:rPr>
        <w:t xml:space="preserve"> </w:t>
      </w:r>
      <w:r w:rsidR="00512CA3">
        <w:rPr>
          <w:rFonts w:eastAsia="Calibri"/>
        </w:rPr>
        <w:t>resources most</w:t>
      </w:r>
      <w:r w:rsidR="006F418B" w:rsidRPr="00DF02DB">
        <w:rPr>
          <w:rFonts w:eastAsia="Calibri"/>
        </w:rPr>
        <w:t xml:space="preserve"> efficiently and effectively.</w:t>
      </w:r>
      <w:r w:rsidR="004C4DCC">
        <w:rPr>
          <w:rFonts w:eastAsia="Calibri"/>
        </w:rPr>
        <w:t xml:space="preserve"> </w:t>
      </w:r>
    </w:p>
    <w:p w14:paraId="01C7EA62" w14:textId="77777777" w:rsidR="004F4DC3" w:rsidRDefault="00A02AAF" w:rsidP="006F418B">
      <w:pPr>
        <w:spacing w:after="160" w:line="480" w:lineRule="auto"/>
        <w:rPr>
          <w:rFonts w:eastAsia="Calibri"/>
        </w:rPr>
      </w:pPr>
      <w:r>
        <w:rPr>
          <w:rFonts w:eastAsia="Calibri"/>
        </w:rPr>
        <w:tab/>
      </w:r>
      <w:r w:rsidR="006F418B">
        <w:rPr>
          <w:rFonts w:eastAsia="Calibri"/>
        </w:rPr>
        <w:t>Yet e</w:t>
      </w:r>
      <w:r w:rsidR="00370BF4" w:rsidRPr="005121EE">
        <w:rPr>
          <w:rFonts w:eastAsia="Calibri"/>
        </w:rPr>
        <w:t xml:space="preserve">ven as the measures of student outcomes have grown in importance, linking these outcomes to public institutional spending has not been extensively researched.  The few studies that have examined </w:t>
      </w:r>
      <w:r w:rsidR="009C53F3">
        <w:rPr>
          <w:rFonts w:eastAsia="Calibri"/>
        </w:rPr>
        <w:t>the</w:t>
      </w:r>
      <w:r w:rsidR="00370BF4" w:rsidRPr="005121EE">
        <w:rPr>
          <w:rFonts w:eastAsia="Calibri"/>
        </w:rPr>
        <w:t xml:space="preserve"> linkage have </w:t>
      </w:r>
      <w:r w:rsidR="009C53F3">
        <w:rPr>
          <w:rFonts w:eastAsia="Calibri"/>
        </w:rPr>
        <w:t xml:space="preserve">been limited by </w:t>
      </w:r>
      <w:r w:rsidR="009C53F3" w:rsidRPr="00B52F0F">
        <w:rPr>
          <w:rFonts w:eastAsia="Calibri"/>
        </w:rPr>
        <w:t>their scope:  including</w:t>
      </w:r>
      <w:r w:rsidR="009C53F3">
        <w:rPr>
          <w:rFonts w:eastAsia="Calibri"/>
        </w:rPr>
        <w:t xml:space="preserve"> s</w:t>
      </w:r>
      <w:r w:rsidR="00370BF4" w:rsidRPr="005121EE">
        <w:rPr>
          <w:rFonts w:eastAsia="Calibri"/>
        </w:rPr>
        <w:t xml:space="preserve">chools with wide ranging differences in sources of funding, enrollment size, missions, </w:t>
      </w:r>
      <w:r w:rsidR="000851E9">
        <w:rPr>
          <w:rFonts w:eastAsia="Calibri"/>
        </w:rPr>
        <w:t xml:space="preserve">and </w:t>
      </w:r>
      <w:r w:rsidR="00370BF4" w:rsidRPr="005121EE">
        <w:rPr>
          <w:rFonts w:eastAsia="Calibri"/>
        </w:rPr>
        <w:t xml:space="preserve">types of degrees produced.  Perhaps as a consequence of their </w:t>
      </w:r>
      <w:r w:rsidR="00A264AC">
        <w:rPr>
          <w:rFonts w:eastAsia="Calibri"/>
        </w:rPr>
        <w:t>latitude</w:t>
      </w:r>
      <w:r w:rsidR="00370BF4" w:rsidRPr="005121EE">
        <w:rPr>
          <w:rFonts w:eastAsia="Calibri"/>
        </w:rPr>
        <w:t>, these studies have yielded inconsistent results (</w:t>
      </w:r>
      <w:r w:rsidR="003B288B" w:rsidRPr="005121EE">
        <w:rPr>
          <w:rFonts w:eastAsia="Calibri"/>
        </w:rPr>
        <w:t xml:space="preserve">Pike, </w:t>
      </w:r>
      <w:proofErr w:type="spellStart"/>
      <w:r w:rsidR="00370BF4" w:rsidRPr="005121EE">
        <w:rPr>
          <w:rFonts w:eastAsia="Calibri"/>
        </w:rPr>
        <w:t>Kuh</w:t>
      </w:r>
      <w:proofErr w:type="spellEnd"/>
      <w:r w:rsidR="00370BF4" w:rsidRPr="005121EE">
        <w:rPr>
          <w:rFonts w:eastAsia="Calibri"/>
        </w:rPr>
        <w:t xml:space="preserve">, McCormick, Ethington, and Smart, </w:t>
      </w:r>
      <w:r w:rsidR="00370BF4" w:rsidRPr="005B3935">
        <w:rPr>
          <w:rFonts w:eastAsia="Calibri"/>
        </w:rPr>
        <w:t>201</w:t>
      </w:r>
      <w:r w:rsidR="003B288B" w:rsidRPr="005B3935">
        <w:rPr>
          <w:rFonts w:eastAsia="Calibri"/>
        </w:rPr>
        <w:t>1</w:t>
      </w:r>
      <w:r w:rsidR="00370BF4" w:rsidRPr="005B3935">
        <w:rPr>
          <w:rFonts w:eastAsia="Calibri"/>
        </w:rPr>
        <w:t xml:space="preserve">).  </w:t>
      </w:r>
    </w:p>
    <w:p w14:paraId="6D775C29" w14:textId="77777777" w:rsidR="00370BF4" w:rsidRPr="005121EE" w:rsidRDefault="004F4DC3" w:rsidP="004F4DC3">
      <w:pPr>
        <w:spacing w:after="160" w:line="480" w:lineRule="auto"/>
        <w:ind w:firstLine="720"/>
        <w:rPr>
          <w:rFonts w:eastAsia="Calibri"/>
        </w:rPr>
      </w:pPr>
      <w:r w:rsidRPr="004F4DC3">
        <w:rPr>
          <w:rFonts w:eastAsia="Calibri"/>
        </w:rPr>
        <w:t xml:space="preserve">These inconsistences have occurred both within the same study as well as </w:t>
      </w:r>
      <w:r w:rsidR="000851E9">
        <w:rPr>
          <w:rFonts w:eastAsia="Calibri"/>
        </w:rPr>
        <w:t>across</w:t>
      </w:r>
      <w:r w:rsidRPr="004F4DC3">
        <w:rPr>
          <w:rFonts w:eastAsia="Calibri"/>
        </w:rPr>
        <w:t xml:space="preserve"> studies.  For example, Rock, Baird, and Linn (1972) did not find significant relationships between institutional expenditures and post-graduate income.   </w:t>
      </w:r>
      <w:r>
        <w:rPr>
          <w:rFonts w:eastAsia="Calibri"/>
        </w:rPr>
        <w:t>Conversely,</w:t>
      </w:r>
      <w:r w:rsidRPr="004F4DC3">
        <w:rPr>
          <w:rFonts w:eastAsia="Calibri"/>
        </w:rPr>
        <w:t xml:space="preserve"> other studies have found significant relationships between expenditures and student outcomes</w:t>
      </w:r>
      <w:r w:rsidR="000851E9">
        <w:rPr>
          <w:rFonts w:eastAsia="Calibri"/>
        </w:rPr>
        <w:t xml:space="preserve"> (</w:t>
      </w:r>
      <w:proofErr w:type="spellStart"/>
      <w:r w:rsidRPr="004F4DC3">
        <w:rPr>
          <w:rFonts w:eastAsia="Calibri"/>
        </w:rPr>
        <w:t>Astin</w:t>
      </w:r>
      <w:proofErr w:type="spellEnd"/>
      <w:r w:rsidRPr="004F4DC3">
        <w:rPr>
          <w:rFonts w:eastAsia="Calibri"/>
        </w:rPr>
        <w:t xml:space="preserve"> 1993; Hayek 2001; </w:t>
      </w:r>
      <w:proofErr w:type="spellStart"/>
      <w:r w:rsidRPr="004F4DC3">
        <w:rPr>
          <w:rFonts w:eastAsia="Calibri"/>
        </w:rPr>
        <w:t>Toutkoushian</w:t>
      </w:r>
      <w:proofErr w:type="spellEnd"/>
      <w:r w:rsidRPr="004F4DC3">
        <w:rPr>
          <w:rFonts w:eastAsia="Calibri"/>
        </w:rPr>
        <w:t xml:space="preserve"> and Smart 2001; Smart, Ethington, Riggs, and Thompson 2002; Ryan 2004; </w:t>
      </w:r>
      <w:proofErr w:type="spellStart"/>
      <w:r w:rsidRPr="004F4DC3">
        <w:rPr>
          <w:rFonts w:eastAsia="Calibri"/>
        </w:rPr>
        <w:t>Gansemer-Topf</w:t>
      </w:r>
      <w:proofErr w:type="spellEnd"/>
      <w:r w:rsidRPr="004F4DC3">
        <w:rPr>
          <w:rFonts w:eastAsia="Calibri"/>
        </w:rPr>
        <w:t xml:space="preserve"> and </w:t>
      </w:r>
      <w:proofErr w:type="spellStart"/>
      <w:r w:rsidRPr="004F4DC3">
        <w:rPr>
          <w:rFonts w:eastAsia="Calibri"/>
        </w:rPr>
        <w:t>Schuh</w:t>
      </w:r>
      <w:proofErr w:type="spellEnd"/>
      <w:r w:rsidRPr="004F4DC3">
        <w:rPr>
          <w:rFonts w:eastAsia="Calibri"/>
        </w:rPr>
        <w:t xml:space="preserve"> 2006; Powell et al. 2012</w:t>
      </w:r>
      <w:r w:rsidR="000851E9">
        <w:rPr>
          <w:rFonts w:eastAsia="Calibri"/>
        </w:rPr>
        <w:t>)</w:t>
      </w:r>
      <w:r w:rsidRPr="004F4DC3">
        <w:rPr>
          <w:rFonts w:eastAsia="Calibri"/>
        </w:rPr>
        <w:t>.</w:t>
      </w:r>
      <w:r>
        <w:rPr>
          <w:rFonts w:eastAsia="Calibri"/>
        </w:rPr>
        <w:t xml:space="preserve">  </w:t>
      </w:r>
      <w:r w:rsidR="000851E9">
        <w:rPr>
          <w:rFonts w:eastAsia="Calibri"/>
        </w:rPr>
        <w:t>To date</w:t>
      </w:r>
      <w:r>
        <w:rPr>
          <w:rFonts w:eastAsia="Calibri"/>
        </w:rPr>
        <w:t xml:space="preserve">, </w:t>
      </w:r>
      <w:r w:rsidR="000851E9">
        <w:rPr>
          <w:rFonts w:eastAsia="Calibri"/>
        </w:rPr>
        <w:t>no</w:t>
      </w:r>
      <w:r>
        <w:rPr>
          <w:rFonts w:eastAsia="Calibri"/>
        </w:rPr>
        <w:t xml:space="preserve"> studies have exclusively focused on public, four-year universities</w:t>
      </w:r>
      <w:r w:rsidR="007A4933">
        <w:rPr>
          <w:rFonts w:eastAsia="Calibri"/>
        </w:rPr>
        <w:t xml:space="preserve"> or </w:t>
      </w:r>
      <w:r w:rsidR="00BB19B2">
        <w:rPr>
          <w:rFonts w:eastAsia="Calibri"/>
        </w:rPr>
        <w:t>investigated the</w:t>
      </w:r>
      <w:r w:rsidR="007A4933">
        <w:rPr>
          <w:rFonts w:eastAsia="Calibri"/>
        </w:rPr>
        <w:t xml:space="preserve"> influenc</w:t>
      </w:r>
      <w:r w:rsidR="00BB19B2">
        <w:rPr>
          <w:rFonts w:eastAsia="Calibri"/>
        </w:rPr>
        <w:t>e of</w:t>
      </w:r>
      <w:r w:rsidR="007A4933">
        <w:rPr>
          <w:rFonts w:eastAsia="Calibri"/>
        </w:rPr>
        <w:t xml:space="preserve"> regional economies </w:t>
      </w:r>
      <w:r w:rsidR="00BB19B2">
        <w:rPr>
          <w:rFonts w:eastAsia="Calibri"/>
        </w:rPr>
        <w:t>o</w:t>
      </w:r>
      <w:r w:rsidR="007A4933">
        <w:rPr>
          <w:rFonts w:eastAsia="Calibri"/>
        </w:rPr>
        <w:t>n graduation rates.  As a result</w:t>
      </w:r>
      <w:r w:rsidR="009C76D8" w:rsidRPr="005B3935">
        <w:rPr>
          <w:rFonts w:eastAsia="Calibri"/>
        </w:rPr>
        <w:t>,</w:t>
      </w:r>
      <w:r w:rsidR="00370BF4" w:rsidRPr="005B3935">
        <w:rPr>
          <w:rFonts w:eastAsia="Calibri"/>
        </w:rPr>
        <w:t xml:space="preserve"> no clear spending recommendations exist that provide public</w:t>
      </w:r>
      <w:r w:rsidR="007A4933">
        <w:rPr>
          <w:rFonts w:eastAsia="Calibri"/>
        </w:rPr>
        <w:t>, four-year institutions</w:t>
      </w:r>
      <w:r w:rsidR="00370BF4" w:rsidRPr="005B3935">
        <w:rPr>
          <w:rFonts w:eastAsia="Calibri"/>
        </w:rPr>
        <w:t xml:space="preserve"> </w:t>
      </w:r>
      <w:r w:rsidR="00370BF4" w:rsidRPr="005121EE">
        <w:rPr>
          <w:rFonts w:eastAsia="Calibri"/>
        </w:rPr>
        <w:t xml:space="preserve">the means to most efficiently improve graduation rates, as financial resources continue to decrease. </w:t>
      </w:r>
    </w:p>
    <w:p w14:paraId="17177155" w14:textId="77777777" w:rsidR="00370BF4" w:rsidRPr="005121EE" w:rsidRDefault="00370BF4" w:rsidP="00370BF4">
      <w:pPr>
        <w:keepNext/>
        <w:spacing w:after="160" w:line="480" w:lineRule="auto"/>
        <w:jc w:val="center"/>
        <w:rPr>
          <w:rFonts w:eastAsia="Calibri"/>
          <w:b/>
        </w:rPr>
      </w:pPr>
      <w:r w:rsidRPr="005121EE">
        <w:rPr>
          <w:rFonts w:eastAsia="Calibri"/>
          <w:b/>
        </w:rPr>
        <w:lastRenderedPageBreak/>
        <w:t>Statement of the Problem</w:t>
      </w:r>
    </w:p>
    <w:p w14:paraId="79638B96" w14:textId="2A3A3C70" w:rsidR="00370BF4" w:rsidRPr="005121EE" w:rsidRDefault="00370BF4" w:rsidP="00370BF4">
      <w:pPr>
        <w:keepNext/>
        <w:spacing w:after="160" w:line="480" w:lineRule="auto"/>
        <w:rPr>
          <w:rFonts w:eastAsia="Calibri"/>
        </w:rPr>
      </w:pPr>
      <w:r w:rsidRPr="005121EE">
        <w:rPr>
          <w:rFonts w:eastAsia="Calibri"/>
        </w:rPr>
        <w:tab/>
      </w:r>
      <w:r w:rsidR="002B63B5">
        <w:rPr>
          <w:rFonts w:eastAsia="Calibri"/>
        </w:rPr>
        <w:t xml:space="preserve">Six-year graduation rates </w:t>
      </w:r>
      <w:r w:rsidR="00BA16BA">
        <w:rPr>
          <w:rFonts w:eastAsia="Calibri"/>
        </w:rPr>
        <w:t>are a primary measure</w:t>
      </w:r>
      <w:r w:rsidR="00E71421">
        <w:rPr>
          <w:rFonts w:eastAsia="Calibri"/>
        </w:rPr>
        <w:t xml:space="preserve"> of success </w:t>
      </w:r>
      <w:r w:rsidR="00BA16BA">
        <w:rPr>
          <w:rFonts w:eastAsia="Calibri"/>
        </w:rPr>
        <w:t xml:space="preserve">amongst the various groups of stakeholders in public higher education, including the public, the policymakers, and within the academic community itself.  </w:t>
      </w:r>
      <w:r w:rsidR="000B6E0B">
        <w:rPr>
          <w:rFonts w:eastAsia="Calibri"/>
        </w:rPr>
        <w:t>Increasing</w:t>
      </w:r>
      <w:r w:rsidR="00D83081">
        <w:rPr>
          <w:rFonts w:eastAsia="Calibri"/>
        </w:rPr>
        <w:t xml:space="preserve"> </w:t>
      </w:r>
      <w:r w:rsidR="00B76E6E">
        <w:rPr>
          <w:rFonts w:eastAsia="Calibri"/>
        </w:rPr>
        <w:t xml:space="preserve">graduation rates directly </w:t>
      </w:r>
      <w:r w:rsidR="00BB2E0D">
        <w:rPr>
          <w:rFonts w:eastAsia="Calibri"/>
        </w:rPr>
        <w:t xml:space="preserve">benefit public colleges and universities with </w:t>
      </w:r>
      <w:r w:rsidR="00B20AFC">
        <w:rPr>
          <w:rFonts w:eastAsia="Calibri"/>
        </w:rPr>
        <w:t>better</w:t>
      </w:r>
      <w:r w:rsidR="00B76E6E">
        <w:rPr>
          <w:rFonts w:eastAsia="Calibri"/>
        </w:rPr>
        <w:t xml:space="preserve"> scores in college ranking publications and to larger amounts of performance-based state funding revenue.  </w:t>
      </w:r>
      <w:r w:rsidR="00B20AFC" w:rsidRPr="000B6E0B">
        <w:rPr>
          <w:rFonts w:eastAsia="Calibri"/>
        </w:rPr>
        <w:t>I</w:t>
      </w:r>
      <w:r w:rsidR="0066342A" w:rsidRPr="000B6E0B">
        <w:rPr>
          <w:rFonts w:eastAsia="Calibri"/>
        </w:rPr>
        <w:t xml:space="preserve">n order to meet the increasing demand for optimal student graduation rates, </w:t>
      </w:r>
      <w:r w:rsidR="00D83081" w:rsidRPr="000B6E0B">
        <w:rPr>
          <w:rFonts w:eastAsia="Calibri"/>
        </w:rPr>
        <w:t>public colleges and universities</w:t>
      </w:r>
      <w:r w:rsidR="0066342A" w:rsidRPr="000B6E0B">
        <w:rPr>
          <w:rFonts w:eastAsia="Calibri"/>
        </w:rPr>
        <w:t xml:space="preserve"> need a better understanding of how </w:t>
      </w:r>
      <w:r w:rsidR="00BB2E0D" w:rsidRPr="000B6E0B">
        <w:rPr>
          <w:rFonts w:eastAsia="Calibri"/>
        </w:rPr>
        <w:t xml:space="preserve">to </w:t>
      </w:r>
      <w:r w:rsidR="00BA16BA">
        <w:rPr>
          <w:rFonts w:eastAsia="Calibri"/>
        </w:rPr>
        <w:t>allocate</w:t>
      </w:r>
      <w:r w:rsidR="00BB2E0D" w:rsidRPr="000B6E0B">
        <w:rPr>
          <w:rFonts w:eastAsia="Calibri"/>
        </w:rPr>
        <w:t xml:space="preserve"> institutional expenditures for best effect</w:t>
      </w:r>
      <w:r w:rsidR="0066342A" w:rsidRPr="000B6E0B">
        <w:rPr>
          <w:rFonts w:eastAsia="Calibri"/>
        </w:rPr>
        <w:t xml:space="preserve"> </w:t>
      </w:r>
      <w:r w:rsidR="00BB2E0D" w:rsidRPr="000B6E0B">
        <w:rPr>
          <w:rFonts w:eastAsia="Calibri"/>
        </w:rPr>
        <w:t xml:space="preserve">on </w:t>
      </w:r>
      <w:r w:rsidR="0066342A" w:rsidRPr="000B6E0B">
        <w:rPr>
          <w:rFonts w:eastAsia="Calibri"/>
        </w:rPr>
        <w:t>graduation rates.</w:t>
      </w:r>
      <w:r w:rsidR="00BB2E0D">
        <w:rPr>
          <w:rFonts w:eastAsia="Calibri"/>
        </w:rPr>
        <w:t xml:space="preserve">  </w:t>
      </w:r>
      <w:r w:rsidR="00B52F0F" w:rsidRPr="00B52F0F">
        <w:rPr>
          <w:rFonts w:eastAsia="Calibri"/>
        </w:rPr>
        <w:t>This study</w:t>
      </w:r>
      <w:r w:rsidR="00BA16BA" w:rsidRPr="00B52F0F">
        <w:rPr>
          <w:rFonts w:eastAsia="Calibri"/>
        </w:rPr>
        <w:t xml:space="preserve"> hypothesize</w:t>
      </w:r>
      <w:r w:rsidR="00B52F0F" w:rsidRPr="00B52F0F">
        <w:rPr>
          <w:rFonts w:eastAsia="Calibri"/>
        </w:rPr>
        <w:t>s</w:t>
      </w:r>
      <w:r w:rsidR="00BA16BA" w:rsidRPr="00B52F0F">
        <w:rPr>
          <w:rFonts w:eastAsia="Calibri"/>
        </w:rPr>
        <w:t xml:space="preserve"> that </w:t>
      </w:r>
      <w:r w:rsidR="0027281A" w:rsidRPr="00B52F0F">
        <w:rPr>
          <w:rFonts w:eastAsia="Calibri"/>
        </w:rPr>
        <w:t xml:space="preserve">higher </w:t>
      </w:r>
      <w:r w:rsidR="00BA16BA" w:rsidRPr="00B52F0F">
        <w:rPr>
          <w:rFonts w:eastAsia="Calibri"/>
        </w:rPr>
        <w:t>expenditures positively</w:t>
      </w:r>
      <w:r w:rsidR="0027281A">
        <w:rPr>
          <w:rFonts w:eastAsia="Calibri"/>
        </w:rPr>
        <w:t xml:space="preserve"> associate with higher six-</w:t>
      </w:r>
      <w:r w:rsidR="004029EB">
        <w:rPr>
          <w:rFonts w:eastAsia="Calibri"/>
        </w:rPr>
        <w:t xml:space="preserve">year </w:t>
      </w:r>
      <w:r w:rsidR="0027281A">
        <w:rPr>
          <w:rFonts w:eastAsia="Calibri"/>
        </w:rPr>
        <w:t>graduation rates.</w:t>
      </w:r>
      <w:r w:rsidR="00BA16BA">
        <w:rPr>
          <w:rFonts w:eastAsia="Calibri"/>
        </w:rPr>
        <w:t xml:space="preserve"> </w:t>
      </w:r>
      <w:r w:rsidR="00BB2E0D">
        <w:rPr>
          <w:rFonts w:eastAsia="Calibri"/>
        </w:rPr>
        <w:t>Yet</w:t>
      </w:r>
      <w:r w:rsidR="000B6E0B">
        <w:rPr>
          <w:rFonts w:eastAsia="Calibri"/>
        </w:rPr>
        <w:t>,</w:t>
      </w:r>
      <w:r w:rsidR="00BB2E0D">
        <w:rPr>
          <w:rFonts w:eastAsia="Calibri"/>
        </w:rPr>
        <w:t xml:space="preserve"> there exists an information vacuum regarding </w:t>
      </w:r>
      <w:r w:rsidR="004029EB">
        <w:rPr>
          <w:rFonts w:eastAsia="Calibri"/>
        </w:rPr>
        <w:t>what</w:t>
      </w:r>
      <w:r w:rsidR="00BB2E0D">
        <w:rPr>
          <w:rFonts w:eastAsia="Calibri"/>
        </w:rPr>
        <w:t xml:space="preserve"> </w:t>
      </w:r>
      <w:r w:rsidR="000B6E0B">
        <w:rPr>
          <w:rFonts w:eastAsia="Calibri"/>
        </w:rPr>
        <w:t>effect</w:t>
      </w:r>
      <w:r w:rsidR="00BB2E0D">
        <w:rPr>
          <w:rFonts w:eastAsia="Calibri"/>
        </w:rPr>
        <w:t xml:space="preserve"> </w:t>
      </w:r>
      <w:r w:rsidR="00A634D1">
        <w:rPr>
          <w:rFonts w:eastAsia="Calibri"/>
        </w:rPr>
        <w:t>directing</w:t>
      </w:r>
      <w:r w:rsidR="00BB2E0D">
        <w:rPr>
          <w:rFonts w:eastAsia="Calibri"/>
        </w:rPr>
        <w:t xml:space="preserve"> public higher education expenditures</w:t>
      </w:r>
      <w:r w:rsidR="000B6E0B">
        <w:rPr>
          <w:rFonts w:eastAsia="Calibri"/>
        </w:rPr>
        <w:t xml:space="preserve"> </w:t>
      </w:r>
      <w:r w:rsidR="004029EB">
        <w:rPr>
          <w:rFonts w:eastAsia="Calibri"/>
        </w:rPr>
        <w:t>will have on</w:t>
      </w:r>
      <w:r w:rsidR="000B6E0B">
        <w:rPr>
          <w:rFonts w:eastAsia="Calibri"/>
        </w:rPr>
        <w:t xml:space="preserve"> graduation rates.</w:t>
      </w:r>
    </w:p>
    <w:p w14:paraId="7AEF0528" w14:textId="77777777" w:rsidR="00370BF4" w:rsidRPr="005121EE" w:rsidRDefault="00370BF4" w:rsidP="00370BF4">
      <w:pPr>
        <w:spacing w:after="160" w:line="480" w:lineRule="auto"/>
        <w:jc w:val="center"/>
        <w:rPr>
          <w:rFonts w:eastAsia="Calibri"/>
          <w:b/>
        </w:rPr>
      </w:pPr>
      <w:r w:rsidRPr="005121EE">
        <w:rPr>
          <w:rFonts w:eastAsia="Calibri"/>
          <w:b/>
        </w:rPr>
        <w:t>Purpose of the Study</w:t>
      </w:r>
    </w:p>
    <w:p w14:paraId="3EA5BF8D" w14:textId="595F2DA7" w:rsidR="00370BF4" w:rsidRPr="005121EE" w:rsidRDefault="00370BF4" w:rsidP="00370BF4">
      <w:pPr>
        <w:spacing w:after="160" w:line="480" w:lineRule="auto"/>
        <w:rPr>
          <w:rFonts w:eastAsia="Calibri"/>
        </w:rPr>
      </w:pPr>
      <w:r w:rsidRPr="005121EE">
        <w:rPr>
          <w:rFonts w:eastAsia="Calibri"/>
        </w:rPr>
        <w:tab/>
        <w:t xml:space="preserve">The </w:t>
      </w:r>
      <w:r w:rsidR="005714F9" w:rsidRPr="00232FD3">
        <w:rPr>
          <w:rFonts w:eastAsia="Calibri"/>
        </w:rPr>
        <w:t xml:space="preserve">purpose of this study is to analyze the relationship institutional expenditures have on graduation rates in public higher education institutions – when accounting for </w:t>
      </w:r>
      <w:r w:rsidR="005714F9">
        <w:rPr>
          <w:rFonts w:eastAsia="Calibri"/>
        </w:rPr>
        <w:t xml:space="preserve">both </w:t>
      </w:r>
      <w:r w:rsidR="005714F9" w:rsidRPr="00232FD3">
        <w:rPr>
          <w:rFonts w:eastAsia="Calibri"/>
        </w:rPr>
        <w:t xml:space="preserve">institutional </w:t>
      </w:r>
      <w:r w:rsidR="005714F9">
        <w:rPr>
          <w:rFonts w:eastAsia="Calibri"/>
        </w:rPr>
        <w:t>and state level differences</w:t>
      </w:r>
      <w:r w:rsidR="00077ECA">
        <w:rPr>
          <w:rFonts w:eastAsia="Calibri"/>
        </w:rPr>
        <w:t>.</w:t>
      </w:r>
    </w:p>
    <w:p w14:paraId="77B24CFA" w14:textId="77777777" w:rsidR="00370BF4" w:rsidRPr="005121EE" w:rsidRDefault="00370BF4" w:rsidP="00FC6B53">
      <w:pPr>
        <w:keepNext/>
        <w:spacing w:after="160" w:line="480" w:lineRule="auto"/>
        <w:jc w:val="center"/>
        <w:rPr>
          <w:rFonts w:eastAsia="Calibri"/>
          <w:b/>
        </w:rPr>
      </w:pPr>
      <w:r w:rsidRPr="005121EE">
        <w:rPr>
          <w:rFonts w:eastAsia="Calibri"/>
          <w:b/>
        </w:rPr>
        <w:lastRenderedPageBreak/>
        <w:t>Research Questions</w:t>
      </w:r>
    </w:p>
    <w:p w14:paraId="0E3FFAF9" w14:textId="77777777" w:rsidR="00370BF4" w:rsidRPr="005121EE" w:rsidRDefault="00370BF4" w:rsidP="00FC6B53">
      <w:pPr>
        <w:keepNext/>
        <w:spacing w:after="160" w:line="480" w:lineRule="auto"/>
        <w:ind w:firstLine="720"/>
        <w:rPr>
          <w:rFonts w:eastAsia="Calibri"/>
        </w:rPr>
      </w:pPr>
      <w:r w:rsidRPr="005121EE">
        <w:rPr>
          <w:rFonts w:eastAsia="Calibri"/>
        </w:rPr>
        <w:t xml:space="preserve">This study seeks answers to the following questions: </w:t>
      </w:r>
    </w:p>
    <w:p w14:paraId="478BE884" w14:textId="77777777" w:rsidR="00370BF4" w:rsidRPr="005121EE" w:rsidRDefault="00370BF4" w:rsidP="00FC6B53">
      <w:pPr>
        <w:keepNext/>
        <w:spacing w:after="160" w:line="480" w:lineRule="auto"/>
        <w:ind w:left="1080" w:hanging="360"/>
        <w:rPr>
          <w:rFonts w:eastAsia="Calibri"/>
        </w:rPr>
      </w:pPr>
      <w:r w:rsidRPr="005121EE">
        <w:rPr>
          <w:rFonts w:eastAsia="Calibri"/>
        </w:rPr>
        <w:t xml:space="preserve">1.  </w:t>
      </w:r>
      <w:r w:rsidR="00BD15E7">
        <w:rPr>
          <w:rFonts w:eastAsia="Calibri"/>
        </w:rPr>
        <w:t>What are the</w:t>
      </w:r>
      <w:r w:rsidRPr="005121EE">
        <w:rPr>
          <w:rFonts w:eastAsia="Calibri"/>
        </w:rPr>
        <w:t xml:space="preserve"> effects of </w:t>
      </w:r>
      <w:r w:rsidR="00BD15E7">
        <w:rPr>
          <w:rFonts w:eastAsia="Calibri"/>
        </w:rPr>
        <w:t xml:space="preserve">institutional </w:t>
      </w:r>
      <w:r w:rsidRPr="005121EE">
        <w:rPr>
          <w:rFonts w:eastAsia="Calibri"/>
        </w:rPr>
        <w:t>expenditures on graduation rates after controlling for institutional characteristics?</w:t>
      </w:r>
    </w:p>
    <w:p w14:paraId="5D63E36C" w14:textId="77777777" w:rsidR="00370BF4" w:rsidRPr="005121EE" w:rsidRDefault="00370BF4" w:rsidP="00FC6B53">
      <w:pPr>
        <w:keepNext/>
        <w:spacing w:after="160" w:line="480" w:lineRule="auto"/>
        <w:ind w:left="1170" w:hanging="450"/>
        <w:rPr>
          <w:rFonts w:eastAsia="Calibri"/>
        </w:rPr>
      </w:pPr>
      <w:r w:rsidRPr="005121EE">
        <w:rPr>
          <w:rFonts w:eastAsia="Calibri"/>
        </w:rPr>
        <w:t xml:space="preserve">2.   </w:t>
      </w:r>
      <w:r w:rsidR="00BD15E7">
        <w:rPr>
          <w:rFonts w:eastAsia="Calibri"/>
        </w:rPr>
        <w:t>What are the</w:t>
      </w:r>
      <w:r w:rsidR="00BD15E7" w:rsidRPr="005121EE">
        <w:rPr>
          <w:rFonts w:eastAsia="Calibri"/>
        </w:rPr>
        <w:t xml:space="preserve"> effects of </w:t>
      </w:r>
      <w:r w:rsidR="00BD15E7">
        <w:rPr>
          <w:rFonts w:eastAsia="Calibri"/>
        </w:rPr>
        <w:t xml:space="preserve">institutional </w:t>
      </w:r>
      <w:r w:rsidR="00BD15E7" w:rsidRPr="005121EE">
        <w:rPr>
          <w:rFonts w:eastAsia="Calibri"/>
        </w:rPr>
        <w:t>expenditures</w:t>
      </w:r>
      <w:r w:rsidRPr="005121EE">
        <w:rPr>
          <w:rFonts w:eastAsia="Calibri"/>
        </w:rPr>
        <w:t xml:space="preserve"> on graduation rates after controlling for </w:t>
      </w:r>
      <w:r w:rsidR="006F6906">
        <w:rPr>
          <w:rFonts w:eastAsia="Calibri"/>
        </w:rPr>
        <w:t>regional</w:t>
      </w:r>
      <w:r w:rsidRPr="005121EE">
        <w:rPr>
          <w:rFonts w:eastAsia="Calibri"/>
        </w:rPr>
        <w:t xml:space="preserve"> </w:t>
      </w:r>
      <w:r w:rsidR="006F6906">
        <w:rPr>
          <w:rFonts w:eastAsia="Calibri"/>
        </w:rPr>
        <w:t>economic indicators</w:t>
      </w:r>
      <w:r w:rsidRPr="005121EE">
        <w:rPr>
          <w:rFonts w:eastAsia="Calibri"/>
        </w:rPr>
        <w:t xml:space="preserve">?  </w:t>
      </w:r>
    </w:p>
    <w:p w14:paraId="5C188D69" w14:textId="77777777" w:rsidR="00370BF4" w:rsidRPr="005121EE" w:rsidRDefault="00370BF4" w:rsidP="00FC6B53">
      <w:pPr>
        <w:keepNext/>
        <w:spacing w:after="160" w:line="480" w:lineRule="auto"/>
        <w:ind w:left="1170" w:hanging="450"/>
        <w:rPr>
          <w:rFonts w:eastAsia="Calibri"/>
        </w:rPr>
      </w:pPr>
      <w:r w:rsidRPr="005121EE">
        <w:rPr>
          <w:rFonts w:eastAsia="Calibri"/>
        </w:rPr>
        <w:t xml:space="preserve">3.  Are there significant differences in effect levels between institutional and </w:t>
      </w:r>
      <w:r w:rsidR="006F6906">
        <w:rPr>
          <w:rFonts w:eastAsia="Calibri"/>
        </w:rPr>
        <w:t>regional economic indicators</w:t>
      </w:r>
      <w:r w:rsidRPr="005121EE">
        <w:rPr>
          <w:rFonts w:eastAsia="Calibri"/>
        </w:rPr>
        <w:t xml:space="preserve"> on student graduation rates?</w:t>
      </w:r>
    </w:p>
    <w:p w14:paraId="34F5D38E" w14:textId="77777777" w:rsidR="00370BF4" w:rsidRPr="005121EE" w:rsidRDefault="00370BF4" w:rsidP="00A6098B">
      <w:pPr>
        <w:keepNext/>
        <w:spacing w:after="160" w:line="480" w:lineRule="auto"/>
        <w:jc w:val="center"/>
        <w:rPr>
          <w:rFonts w:eastAsia="Calibri"/>
          <w:b/>
        </w:rPr>
      </w:pPr>
      <w:r w:rsidRPr="005121EE">
        <w:rPr>
          <w:rFonts w:eastAsia="Calibri"/>
          <w:b/>
        </w:rPr>
        <w:t>Summary of Methods and Procedures</w:t>
      </w:r>
    </w:p>
    <w:p w14:paraId="55C1C354" w14:textId="77777777" w:rsidR="00370BF4" w:rsidRPr="005121EE" w:rsidRDefault="00370BF4" w:rsidP="00A6098B">
      <w:pPr>
        <w:keepNext/>
        <w:spacing w:after="160" w:line="480" w:lineRule="auto"/>
        <w:ind w:firstLine="720"/>
        <w:rPr>
          <w:rFonts w:eastAsia="Calibri"/>
        </w:rPr>
      </w:pPr>
      <w:r w:rsidRPr="005121EE">
        <w:rPr>
          <w:rFonts w:eastAsia="Calibri"/>
        </w:rPr>
        <w:t xml:space="preserve">In pursuit of further evidence for what, if any, </w:t>
      </w:r>
      <w:r w:rsidR="00E36184">
        <w:rPr>
          <w:rFonts w:eastAsia="Calibri"/>
        </w:rPr>
        <w:t>correlations</w:t>
      </w:r>
      <w:r w:rsidRPr="005121EE">
        <w:rPr>
          <w:rFonts w:eastAsia="Calibri"/>
        </w:rPr>
        <w:t xml:space="preserve"> institutional expenditures have </w:t>
      </w:r>
      <w:r w:rsidR="00E36184">
        <w:rPr>
          <w:rFonts w:eastAsia="Calibri"/>
        </w:rPr>
        <w:t>with</w:t>
      </w:r>
      <w:r w:rsidRPr="005121EE">
        <w:rPr>
          <w:rFonts w:eastAsia="Calibri"/>
        </w:rPr>
        <w:t xml:space="preserve"> student outcomes, this study will examine the most recent IPEDS data for 724 </w:t>
      </w:r>
      <w:proofErr w:type="gramStart"/>
      <w:r w:rsidRPr="005121EE">
        <w:rPr>
          <w:rFonts w:eastAsia="Calibri"/>
        </w:rPr>
        <w:t>public</w:t>
      </w:r>
      <w:proofErr w:type="gramEnd"/>
      <w:r w:rsidRPr="005121EE">
        <w:rPr>
          <w:rFonts w:eastAsia="Calibri"/>
        </w:rPr>
        <w:t xml:space="preserve">, 4 year universities.   The proposed study only explores four-year public institutions for three main reasons.  First, this study is based on framework that incorporates the greater civic accountability that public colleges face over private schools, with their reliance on public funding through state tax dollars.  Second, looking only at four year schools helps limits the range of disparate missions and organizational models that naturally influence institutional characteristics.  Two-year schools typically place more emphasis on technical and vocational training, as well as preparing students to transfer to four-year institutions, thus two-year institutions inherently would have much different financial spending and student demographic characteristics than four year schools share.  Third, public and private universities have different federal accounting </w:t>
      </w:r>
      <w:r w:rsidRPr="005121EE">
        <w:rPr>
          <w:rFonts w:eastAsia="Calibri"/>
        </w:rPr>
        <w:lastRenderedPageBreak/>
        <w:t xml:space="preserve">systems they must follow when compiling annual financial reports, and these differences could distort assumptions made about how consistent expenditure categories, such as instruction, or research are reported between institutions.   Public schools follow the Governmental Accounting Standards Board (GASB) standards, while private schools use the Financial Accounting Standards Board (FASB) standards.  These two methods create differences in how certain revenue and expenses are reported, and therefore these differences would similarly potentially distort assumptions made about financial variables when conducting statistical analysis. </w:t>
      </w:r>
    </w:p>
    <w:p w14:paraId="056F5811" w14:textId="77777777" w:rsidR="00370BF4" w:rsidRPr="005121EE" w:rsidRDefault="002059AD" w:rsidP="00370BF4">
      <w:pPr>
        <w:keepNext/>
        <w:spacing w:after="160" w:line="480" w:lineRule="auto"/>
        <w:ind w:firstLine="720"/>
        <w:rPr>
          <w:rFonts w:eastAsia="Calibri"/>
        </w:rPr>
      </w:pPr>
      <w:r>
        <w:rPr>
          <w:rFonts w:eastAsia="Calibri"/>
        </w:rPr>
        <w:t xml:space="preserve">This study will use as inputs </w:t>
      </w:r>
      <w:r w:rsidR="00370BF4" w:rsidRPr="005121EE">
        <w:rPr>
          <w:rFonts w:eastAsia="Calibri"/>
        </w:rPr>
        <w:t>the following institutional variables</w:t>
      </w:r>
      <w:r>
        <w:rPr>
          <w:rFonts w:eastAsia="Calibri"/>
        </w:rPr>
        <w:t>, averaged over the three</w:t>
      </w:r>
      <w:r w:rsidR="00370BF4" w:rsidRPr="005121EE">
        <w:rPr>
          <w:rFonts w:eastAsia="Calibri"/>
        </w:rPr>
        <w:t xml:space="preserve"> academic year</w:t>
      </w:r>
      <w:r w:rsidR="00D93A91" w:rsidRPr="005121EE">
        <w:rPr>
          <w:rFonts w:eastAsia="Calibri"/>
        </w:rPr>
        <w:t>s</w:t>
      </w:r>
      <w:r w:rsidR="00370BF4" w:rsidRPr="005121EE">
        <w:rPr>
          <w:rFonts w:eastAsia="Calibri"/>
        </w:rPr>
        <w:t xml:space="preserve"> of 200</w:t>
      </w:r>
      <w:r w:rsidR="00D93A91" w:rsidRPr="005121EE">
        <w:rPr>
          <w:rFonts w:eastAsia="Calibri"/>
        </w:rPr>
        <w:t>6, 2007, and 2008</w:t>
      </w:r>
      <w:r w:rsidR="00370BF4" w:rsidRPr="005121EE">
        <w:rPr>
          <w:rFonts w:eastAsia="Calibri"/>
        </w:rPr>
        <w:t xml:space="preserve">:  </w:t>
      </w:r>
      <w:r w:rsidR="00370BF4" w:rsidRPr="002059AD">
        <w:rPr>
          <w:rFonts w:eastAsia="Calibri"/>
          <w:i/>
        </w:rPr>
        <w:t>instructional expenditures, research expenditures, academic support expenditures, student services expenditures</w:t>
      </w:r>
      <w:r w:rsidR="00370BF4" w:rsidRPr="005121EE">
        <w:rPr>
          <w:rFonts w:eastAsia="Calibri"/>
        </w:rPr>
        <w:t xml:space="preserve">, and </w:t>
      </w:r>
      <w:r w:rsidR="00370BF4" w:rsidRPr="002059AD">
        <w:rPr>
          <w:rFonts w:eastAsia="Calibri"/>
          <w:i/>
        </w:rPr>
        <w:t>institutional support expenditures</w:t>
      </w:r>
      <w:r>
        <w:rPr>
          <w:rFonts w:eastAsia="Calibri"/>
          <w:i/>
        </w:rPr>
        <w:t xml:space="preserve">, </w:t>
      </w:r>
      <w:r w:rsidRPr="002059AD">
        <w:rPr>
          <w:rFonts w:eastAsia="Calibri"/>
        </w:rPr>
        <w:t>as defined by IPEDS</w:t>
      </w:r>
      <w:r>
        <w:rPr>
          <w:rFonts w:eastAsia="Calibri"/>
        </w:rPr>
        <w:t>.</w:t>
      </w:r>
      <w:r w:rsidR="00370BF4" w:rsidRPr="005121EE">
        <w:rPr>
          <w:rFonts w:eastAsia="Calibri"/>
        </w:rPr>
        <w:t xml:space="preserve"> </w:t>
      </w:r>
      <w:r>
        <w:rPr>
          <w:rFonts w:eastAsia="Calibri"/>
        </w:rPr>
        <w:t xml:space="preserve"> </w:t>
      </w:r>
      <w:r w:rsidR="00EE255E" w:rsidRPr="005121EE">
        <w:rPr>
          <w:rFonts w:eastAsia="Calibri"/>
        </w:rPr>
        <w:t xml:space="preserve">These academic years represent the beginning semester (years) of the first time undergraduate students who will subsequently earn their bachelor’s degrees by August of 2012, 2013, 2014 – that is, within six years of entering college. </w:t>
      </w:r>
      <w:r w:rsidR="00370BF4" w:rsidRPr="005121EE">
        <w:rPr>
          <w:rFonts w:eastAsia="Calibri"/>
        </w:rPr>
        <w:t xml:space="preserve">Additionally, institutional data will be collected from IPEDS for the same academic year </w:t>
      </w:r>
      <w:r w:rsidR="00DE56F8">
        <w:rPr>
          <w:rFonts w:eastAsia="Calibri"/>
        </w:rPr>
        <w:t>controlling for</w:t>
      </w:r>
      <w:r w:rsidR="00370BF4" w:rsidRPr="005121EE">
        <w:rPr>
          <w:rFonts w:eastAsia="Calibri"/>
        </w:rPr>
        <w:t xml:space="preserve"> student ethnicity and gender headcounts.  </w:t>
      </w:r>
      <w:r w:rsidR="00DE56F8">
        <w:rPr>
          <w:rFonts w:eastAsia="Calibri"/>
        </w:rPr>
        <w:t xml:space="preserve">State economic variables, of </w:t>
      </w:r>
      <w:r w:rsidR="00DE56F8" w:rsidRPr="00DE56F8">
        <w:rPr>
          <w:rFonts w:eastAsia="Calibri"/>
          <w:i/>
        </w:rPr>
        <w:t>unemployment rate</w:t>
      </w:r>
      <w:r w:rsidR="00DE56F8">
        <w:rPr>
          <w:rFonts w:eastAsia="Calibri"/>
        </w:rPr>
        <w:t xml:space="preserve"> and </w:t>
      </w:r>
      <w:r w:rsidR="00DE56F8" w:rsidRPr="00DE56F8">
        <w:rPr>
          <w:rFonts w:eastAsia="Calibri"/>
          <w:i/>
        </w:rPr>
        <w:t>average household income</w:t>
      </w:r>
      <w:r w:rsidR="00DE56F8">
        <w:rPr>
          <w:rFonts w:eastAsia="Calibri"/>
        </w:rPr>
        <w:t xml:space="preserve"> will be aggregated to four geographical regions and similarly examined for correlations with institution graduation rates. </w:t>
      </w:r>
      <w:r w:rsidR="00370BF4" w:rsidRPr="005121EE">
        <w:rPr>
          <w:rFonts w:eastAsia="Calibri"/>
        </w:rPr>
        <w:t xml:space="preserve">These </w:t>
      </w:r>
      <w:r w:rsidR="00DE56F8">
        <w:rPr>
          <w:rFonts w:eastAsia="Calibri"/>
        </w:rPr>
        <w:t xml:space="preserve">input </w:t>
      </w:r>
      <w:r w:rsidR="00370BF4" w:rsidRPr="005121EE">
        <w:rPr>
          <w:rFonts w:eastAsia="Calibri"/>
        </w:rPr>
        <w:t xml:space="preserve">variables will be examined for any effects on </w:t>
      </w:r>
      <w:r>
        <w:rPr>
          <w:rFonts w:eastAsia="Calibri"/>
        </w:rPr>
        <w:t>s</w:t>
      </w:r>
      <w:r w:rsidR="00370BF4" w:rsidRPr="005121EE">
        <w:rPr>
          <w:rFonts w:eastAsia="Calibri"/>
        </w:rPr>
        <w:t xml:space="preserve">tudent graduation rates at the same institutions, specifically the </w:t>
      </w:r>
      <w:r w:rsidR="00DE56F8">
        <w:rPr>
          <w:rFonts w:eastAsia="Calibri"/>
        </w:rPr>
        <w:t xml:space="preserve">study’s </w:t>
      </w:r>
      <w:r w:rsidR="00DE56F8">
        <w:rPr>
          <w:rFonts w:eastAsia="Calibri"/>
        </w:rPr>
        <w:lastRenderedPageBreak/>
        <w:t xml:space="preserve">dependent variable will be the </w:t>
      </w:r>
      <w:r>
        <w:rPr>
          <w:rFonts w:eastAsia="Calibri"/>
        </w:rPr>
        <w:t xml:space="preserve">average of </w:t>
      </w:r>
      <w:r w:rsidR="00370BF4" w:rsidRPr="005121EE">
        <w:rPr>
          <w:rFonts w:eastAsia="Calibri"/>
        </w:rPr>
        <w:t>2012</w:t>
      </w:r>
      <w:r w:rsidR="00EE255E" w:rsidRPr="005121EE">
        <w:rPr>
          <w:rFonts w:eastAsia="Calibri"/>
        </w:rPr>
        <w:t>, 2013, and 2014</w:t>
      </w:r>
      <w:r w:rsidR="00370BF4" w:rsidRPr="005121EE">
        <w:rPr>
          <w:rFonts w:eastAsia="Calibri"/>
        </w:rPr>
        <w:t xml:space="preserve"> </w:t>
      </w:r>
      <w:r w:rsidR="00EE255E" w:rsidRPr="00DE56F8">
        <w:rPr>
          <w:rFonts w:eastAsia="Calibri"/>
          <w:i/>
        </w:rPr>
        <w:t>6</w:t>
      </w:r>
      <w:r w:rsidR="00370BF4" w:rsidRPr="00DE56F8">
        <w:rPr>
          <w:rFonts w:eastAsia="Calibri"/>
          <w:i/>
        </w:rPr>
        <w:t>-year graduation rate</w:t>
      </w:r>
      <w:r w:rsidR="00EE255E" w:rsidRPr="00DE56F8">
        <w:rPr>
          <w:rFonts w:eastAsia="Calibri"/>
          <w:i/>
        </w:rPr>
        <w:t>s</w:t>
      </w:r>
      <w:r w:rsidR="00370BF4" w:rsidRPr="005121EE">
        <w:rPr>
          <w:rFonts w:eastAsia="Calibri"/>
        </w:rPr>
        <w:t xml:space="preserve"> of the 200</w:t>
      </w:r>
      <w:r w:rsidR="00EE255E" w:rsidRPr="005121EE">
        <w:rPr>
          <w:rFonts w:eastAsia="Calibri"/>
        </w:rPr>
        <w:t>6 through 2008</w:t>
      </w:r>
      <w:r w:rsidR="00370BF4" w:rsidRPr="005121EE">
        <w:rPr>
          <w:rFonts w:eastAsia="Calibri"/>
        </w:rPr>
        <w:t xml:space="preserve"> entering freshmen cohort</w:t>
      </w:r>
      <w:r w:rsidR="00EE255E" w:rsidRPr="005121EE">
        <w:rPr>
          <w:rFonts w:eastAsia="Calibri"/>
        </w:rPr>
        <w:t>s</w:t>
      </w:r>
      <w:r w:rsidR="00370BF4" w:rsidRPr="005121EE">
        <w:rPr>
          <w:rFonts w:eastAsia="Calibri"/>
        </w:rPr>
        <w:t>.</w:t>
      </w:r>
      <w:r>
        <w:rPr>
          <w:rFonts w:eastAsia="Calibri"/>
        </w:rPr>
        <w:t xml:space="preserve">  </w:t>
      </w:r>
    </w:p>
    <w:p w14:paraId="1B9242E5" w14:textId="77777777" w:rsidR="00FC6B53" w:rsidRDefault="00370BF4" w:rsidP="00FC6B53">
      <w:pPr>
        <w:keepNext/>
        <w:keepLines/>
        <w:spacing w:after="160" w:line="480" w:lineRule="auto"/>
        <w:jc w:val="center"/>
        <w:rPr>
          <w:rFonts w:eastAsia="Calibri"/>
          <w:b/>
        </w:rPr>
      </w:pPr>
      <w:r w:rsidRPr="005121EE">
        <w:rPr>
          <w:rFonts w:eastAsia="Calibri"/>
          <w:b/>
        </w:rPr>
        <w:t>Significance</w:t>
      </w:r>
    </w:p>
    <w:p w14:paraId="551CFFF1" w14:textId="38EE1F16" w:rsidR="00370BF4" w:rsidRPr="005121EE" w:rsidRDefault="002059AD" w:rsidP="00FC6B53">
      <w:pPr>
        <w:keepNext/>
        <w:keepLines/>
        <w:spacing w:after="160" w:line="480" w:lineRule="auto"/>
        <w:ind w:firstLine="720"/>
        <w:jc w:val="center"/>
        <w:rPr>
          <w:rFonts w:eastAsia="Calibri"/>
        </w:rPr>
      </w:pPr>
      <w:r>
        <w:rPr>
          <w:rFonts w:eastAsia="Calibri"/>
        </w:rPr>
        <w:t>M</w:t>
      </w:r>
      <w:r w:rsidR="00370BF4" w:rsidRPr="005121EE">
        <w:rPr>
          <w:rFonts w:eastAsia="Calibri"/>
        </w:rPr>
        <w:t xml:space="preserve">y proposed study attempts to mitigate inconsistent findings in previous research and attain a more comprehensive and applicable information for budgetary allocation. When accounting for institutional </w:t>
      </w:r>
      <w:r w:rsidR="00A6098B">
        <w:rPr>
          <w:rFonts w:eastAsia="Calibri"/>
        </w:rPr>
        <w:t>characteristics</w:t>
      </w:r>
      <w:r w:rsidR="00370BF4" w:rsidRPr="005121EE">
        <w:rPr>
          <w:rFonts w:eastAsia="Calibri"/>
        </w:rPr>
        <w:t xml:space="preserve"> and aggregate student characteristics, as well as state employment rates and average income, this research hopes to </w:t>
      </w:r>
      <w:r w:rsidR="00EE255E" w:rsidRPr="005121EE">
        <w:rPr>
          <w:rFonts w:eastAsia="Calibri"/>
        </w:rPr>
        <w:t>provide a reliable means for adjusting institutional expenses to most positively affect undergraduate student graduation rates.</w:t>
      </w:r>
      <w:r w:rsidR="00370BF4" w:rsidRPr="005121EE">
        <w:rPr>
          <w:rFonts w:eastAsia="Calibri"/>
        </w:rPr>
        <w:t xml:space="preserve">   Thus, this study signifies </w:t>
      </w:r>
      <w:r w:rsidR="00E36184">
        <w:rPr>
          <w:rFonts w:eastAsia="Calibri"/>
        </w:rPr>
        <w:t xml:space="preserve">that its findings will serve </w:t>
      </w:r>
      <w:r w:rsidR="005F2A38">
        <w:rPr>
          <w:rFonts w:eastAsia="Calibri"/>
        </w:rPr>
        <w:t xml:space="preserve">as </w:t>
      </w:r>
      <w:r w:rsidR="00E36184">
        <w:rPr>
          <w:rFonts w:eastAsia="Calibri"/>
        </w:rPr>
        <w:t>guid</w:t>
      </w:r>
      <w:r w:rsidR="005F2A38">
        <w:rPr>
          <w:rFonts w:eastAsia="Calibri"/>
        </w:rPr>
        <w:t>ance</w:t>
      </w:r>
      <w:r w:rsidR="00E36184">
        <w:rPr>
          <w:rFonts w:eastAsia="Calibri"/>
        </w:rPr>
        <w:t xml:space="preserve"> for</w:t>
      </w:r>
      <w:r w:rsidR="005F2A38">
        <w:rPr>
          <w:rFonts w:eastAsia="Calibri"/>
        </w:rPr>
        <w:t xml:space="preserve"> state policy makers when</w:t>
      </w:r>
      <w:r w:rsidR="00E36184">
        <w:rPr>
          <w:rFonts w:eastAsia="Calibri"/>
        </w:rPr>
        <w:t xml:space="preserve"> </w:t>
      </w:r>
      <w:r w:rsidR="005F2A38" w:rsidRPr="005F2A38">
        <w:rPr>
          <w:rFonts w:eastAsia="Calibri"/>
        </w:rPr>
        <w:t>regulating</w:t>
      </w:r>
      <w:r w:rsidR="00370BF4" w:rsidRPr="005F2A38">
        <w:rPr>
          <w:rFonts w:eastAsia="Calibri"/>
        </w:rPr>
        <w:t xml:space="preserve"> university expenditure levels</w:t>
      </w:r>
      <w:r w:rsidR="00370BF4" w:rsidRPr="005121EE">
        <w:rPr>
          <w:rFonts w:eastAsia="Calibri"/>
        </w:rPr>
        <w:t xml:space="preserve">, particularly in states with performance funding policies that aim to establish spending targets for their publicly-funded colleges and universities.      </w:t>
      </w:r>
    </w:p>
    <w:p w14:paraId="54939598" w14:textId="77777777" w:rsidR="00370BF4" w:rsidRPr="005121EE" w:rsidRDefault="00370BF4" w:rsidP="00370BF4">
      <w:pPr>
        <w:spacing w:after="160" w:line="480" w:lineRule="auto"/>
        <w:jc w:val="center"/>
        <w:rPr>
          <w:rFonts w:eastAsia="Calibri"/>
          <w:b/>
        </w:rPr>
      </w:pPr>
      <w:r w:rsidRPr="005121EE">
        <w:rPr>
          <w:rFonts w:eastAsia="Calibri"/>
          <w:b/>
        </w:rPr>
        <w:t>Delimitations</w:t>
      </w:r>
    </w:p>
    <w:p w14:paraId="3CDEC847" w14:textId="57C449C7" w:rsidR="00370BF4" w:rsidRPr="005121EE" w:rsidRDefault="00370BF4" w:rsidP="00370BF4">
      <w:pPr>
        <w:spacing w:after="160" w:line="480" w:lineRule="auto"/>
        <w:ind w:firstLine="720"/>
        <w:rPr>
          <w:rFonts w:eastAsia="Calibri"/>
        </w:rPr>
      </w:pPr>
      <w:r w:rsidRPr="005121EE">
        <w:rPr>
          <w:rFonts w:eastAsia="Calibri"/>
        </w:rPr>
        <w:t xml:space="preserve">In pursuit of further evidence for what, if any, effects institutional expenditures have on student outcomes, this study will examine the most recent IPEDS data for </w:t>
      </w:r>
      <w:r w:rsidR="00793853">
        <w:rPr>
          <w:rFonts w:eastAsia="Calibri"/>
        </w:rPr>
        <w:t>564</w:t>
      </w:r>
      <w:r w:rsidRPr="005121EE">
        <w:rPr>
          <w:rFonts w:eastAsia="Calibri"/>
        </w:rPr>
        <w:t xml:space="preserve"> </w:t>
      </w:r>
      <w:proofErr w:type="gramStart"/>
      <w:r w:rsidRPr="005121EE">
        <w:rPr>
          <w:rFonts w:eastAsia="Calibri"/>
        </w:rPr>
        <w:t>public</w:t>
      </w:r>
      <w:proofErr w:type="gramEnd"/>
      <w:r w:rsidRPr="005121EE">
        <w:rPr>
          <w:rFonts w:eastAsia="Calibri"/>
        </w:rPr>
        <w:t xml:space="preserve">, 4 year universities.   The proposed study is delimited to public, four-year institutions for three main reasons.  First, this study is based on framework that incorporates the greater civic accountability that public colleges face over private schools, with their reliance on public funding through state tax dollars.  Second, looking only at four year schools helps limits the range of disparate missions and organizational models that naturally influence institutional characteristics.  Two-year schools typically </w:t>
      </w:r>
      <w:r w:rsidRPr="005121EE">
        <w:rPr>
          <w:rFonts w:eastAsia="Calibri"/>
        </w:rPr>
        <w:lastRenderedPageBreak/>
        <w:t>place more emphasis on technical and vocational training, as well as preparing students to transfer to four-year institutions, thus two-year institutions inherently would have much different financial spending and student demographic characteristics than four year schools share.  Third, public and private universities have different federal accounting systems they must follow when compiling annual financial reports, and these differences could distort assumptions made about how consistent expenditure categories, such as instruction, or research are reported between institutions.  As stated earlier, public schools follow the Governmental Accounting Standards Board (GASB) standards, while private schools use the Financial Accounting Standards Board (FASB) standards.  These two methods create differences in how certain revenue and expenses are reported, and therefore these differences would similarly potentially distort assumptions made about financial variables when conducting statistical analysis.</w:t>
      </w:r>
    </w:p>
    <w:p w14:paraId="49B62063" w14:textId="77777777" w:rsidR="00370BF4" w:rsidRPr="005121EE" w:rsidRDefault="00370BF4" w:rsidP="00370BF4">
      <w:pPr>
        <w:spacing w:after="160" w:line="480" w:lineRule="auto"/>
        <w:jc w:val="center"/>
        <w:rPr>
          <w:rFonts w:eastAsia="Calibri"/>
          <w:b/>
        </w:rPr>
      </w:pPr>
      <w:r w:rsidRPr="005121EE">
        <w:rPr>
          <w:rFonts w:eastAsia="Calibri"/>
          <w:b/>
        </w:rPr>
        <w:t>Limitations</w:t>
      </w:r>
    </w:p>
    <w:p w14:paraId="6B055293" w14:textId="77777777" w:rsidR="000D73C2" w:rsidRDefault="00370BF4" w:rsidP="00370BF4">
      <w:pPr>
        <w:spacing w:after="160" w:line="480" w:lineRule="auto"/>
        <w:ind w:firstLine="720"/>
        <w:rPr>
          <w:rFonts w:eastAsia="Calibri"/>
        </w:rPr>
      </w:pPr>
      <w:r w:rsidRPr="005121EE">
        <w:rPr>
          <w:rFonts w:eastAsia="Calibri"/>
        </w:rPr>
        <w:t xml:space="preserve">A primary limitation of the study could result from the fact that the data constituting institutional expenditures varies from institution to institution in how it is collected and reported (Pike et al., 2011).  For example, one school may consider a different set of sources when collecting and reporting annual expenditures on student instruction than another school in the same study.  IPEDS reporting definitions allow for these differences in institutional interpretations.  Thus, these differences make it difficult to establish robust and consistent relationships between expenditures and outcomes (Pike et al., 2011).   </w:t>
      </w:r>
    </w:p>
    <w:p w14:paraId="463DBEB9" w14:textId="77777777" w:rsidR="00370BF4" w:rsidRPr="005121EE" w:rsidRDefault="00370BF4" w:rsidP="00370BF4">
      <w:pPr>
        <w:spacing w:after="160" w:line="480" w:lineRule="auto"/>
        <w:ind w:firstLine="720"/>
        <w:rPr>
          <w:rFonts w:eastAsia="Calibri"/>
        </w:rPr>
      </w:pPr>
      <w:r w:rsidRPr="005121EE">
        <w:rPr>
          <w:rFonts w:eastAsia="Calibri"/>
        </w:rPr>
        <w:lastRenderedPageBreak/>
        <w:t xml:space="preserve">Another limitation involving the use of IPEDS data is the </w:t>
      </w:r>
      <w:r w:rsidR="000D73C2">
        <w:rPr>
          <w:rFonts w:eastAsia="Calibri"/>
        </w:rPr>
        <w:t>variability</w:t>
      </w:r>
      <w:r w:rsidRPr="005121EE">
        <w:rPr>
          <w:rFonts w:eastAsia="Calibri"/>
        </w:rPr>
        <w:t xml:space="preserve"> </w:t>
      </w:r>
      <w:r w:rsidR="000D73C2">
        <w:rPr>
          <w:rFonts w:eastAsia="Calibri"/>
        </w:rPr>
        <w:t>within instructional and research expenditures categories</w:t>
      </w:r>
      <w:r w:rsidRPr="005121EE">
        <w:rPr>
          <w:rFonts w:eastAsia="Calibri"/>
        </w:rPr>
        <w:t xml:space="preserve">, </w:t>
      </w:r>
      <w:r w:rsidR="000D73C2">
        <w:rPr>
          <w:rFonts w:eastAsia="Calibri"/>
        </w:rPr>
        <w:t>as reported by</w:t>
      </w:r>
      <w:r w:rsidRPr="005121EE">
        <w:rPr>
          <w:rFonts w:eastAsia="Calibri"/>
        </w:rPr>
        <w:t xml:space="preserve"> each institution.  </w:t>
      </w:r>
      <w:r w:rsidR="000D73C2">
        <w:rPr>
          <w:rFonts w:eastAsia="Calibri"/>
        </w:rPr>
        <w:t>Specifically, d</w:t>
      </w:r>
      <w:r w:rsidRPr="005121EE">
        <w:rPr>
          <w:rFonts w:eastAsia="Calibri"/>
        </w:rPr>
        <w:t xml:space="preserve">epartmental research </w:t>
      </w:r>
      <w:r w:rsidR="000D73C2">
        <w:rPr>
          <w:rFonts w:eastAsia="Calibri"/>
        </w:rPr>
        <w:t xml:space="preserve">expenditures </w:t>
      </w:r>
      <w:r w:rsidRPr="005121EE">
        <w:rPr>
          <w:rFonts w:eastAsia="Calibri"/>
        </w:rPr>
        <w:t xml:space="preserve">that </w:t>
      </w:r>
      <w:r w:rsidR="000D73C2">
        <w:rPr>
          <w:rFonts w:eastAsia="Calibri"/>
        </w:rPr>
        <w:t>are not</w:t>
      </w:r>
      <w:r w:rsidRPr="005121EE">
        <w:rPr>
          <w:rFonts w:eastAsia="Calibri"/>
        </w:rPr>
        <w:t xml:space="preserve"> externally funded </w:t>
      </w:r>
      <w:r w:rsidR="000D73C2">
        <w:rPr>
          <w:rFonts w:eastAsia="Calibri"/>
        </w:rPr>
        <w:t xml:space="preserve">may be reported by an institution </w:t>
      </w:r>
      <w:r w:rsidRPr="005121EE">
        <w:rPr>
          <w:rFonts w:eastAsia="Calibri"/>
        </w:rPr>
        <w:t>within th</w:t>
      </w:r>
      <w:r w:rsidR="000D73C2">
        <w:rPr>
          <w:rFonts w:eastAsia="Calibri"/>
        </w:rPr>
        <w:t>e</w:t>
      </w:r>
      <w:r w:rsidRPr="005121EE">
        <w:rPr>
          <w:rFonts w:eastAsia="Calibri"/>
        </w:rPr>
        <w:t xml:space="preserve"> IPEDS </w:t>
      </w:r>
      <w:r w:rsidR="000D73C2" w:rsidRPr="000D73C2">
        <w:rPr>
          <w:rFonts w:eastAsia="Calibri"/>
          <w:i/>
        </w:rPr>
        <w:t>instructional</w:t>
      </w:r>
      <w:r w:rsidR="000D73C2">
        <w:rPr>
          <w:rFonts w:eastAsia="Calibri"/>
        </w:rPr>
        <w:t xml:space="preserve"> </w:t>
      </w:r>
      <w:r w:rsidRPr="005121EE">
        <w:rPr>
          <w:rFonts w:eastAsia="Calibri"/>
        </w:rPr>
        <w:t>exp</w:t>
      </w:r>
      <w:r w:rsidR="000D73C2">
        <w:rPr>
          <w:rFonts w:eastAsia="Calibri"/>
        </w:rPr>
        <w:t>enditures</w:t>
      </w:r>
      <w:r w:rsidRPr="005121EE">
        <w:rPr>
          <w:rFonts w:eastAsia="Calibri"/>
        </w:rPr>
        <w:t xml:space="preserve"> category</w:t>
      </w:r>
      <w:r w:rsidR="000D73C2">
        <w:rPr>
          <w:rFonts w:eastAsia="Calibri"/>
        </w:rPr>
        <w:t xml:space="preserve">, whereas another institution may report this type of research expense within the </w:t>
      </w:r>
      <w:r w:rsidR="000D73C2" w:rsidRPr="000D73C2">
        <w:rPr>
          <w:rFonts w:eastAsia="Calibri"/>
          <w:i/>
        </w:rPr>
        <w:t>research expenditures</w:t>
      </w:r>
      <w:r w:rsidR="000D73C2">
        <w:rPr>
          <w:rFonts w:eastAsia="Calibri"/>
        </w:rPr>
        <w:t xml:space="preserve"> category (</w:t>
      </w:r>
      <w:r w:rsidR="00FC6B53" w:rsidRPr="00FC6B53">
        <w:rPr>
          <w:rFonts w:eastAsia="Calibri"/>
        </w:rPr>
        <w:t>Webber</w:t>
      </w:r>
      <w:r w:rsidR="00FC6B53">
        <w:rPr>
          <w:rFonts w:eastAsia="Calibri"/>
        </w:rPr>
        <w:t xml:space="preserve"> and </w:t>
      </w:r>
      <w:r w:rsidR="00FC6B53" w:rsidRPr="00FC6B53">
        <w:rPr>
          <w:rFonts w:eastAsia="Calibri"/>
        </w:rPr>
        <w:t>Ehrenberg, 2010).</w:t>
      </w:r>
    </w:p>
    <w:p w14:paraId="49CA99A5" w14:textId="77777777" w:rsidR="00370BF4" w:rsidRPr="005121EE" w:rsidRDefault="00187AF7" w:rsidP="00187AF7">
      <w:pPr>
        <w:spacing w:after="160" w:line="480" w:lineRule="auto"/>
        <w:ind w:firstLine="720"/>
        <w:rPr>
          <w:rFonts w:eastAsia="Calibri"/>
        </w:rPr>
      </w:pPr>
      <w:r>
        <w:rPr>
          <w:rFonts w:eastAsia="Calibri"/>
        </w:rPr>
        <w:t>Finally,</w:t>
      </w:r>
      <w:r w:rsidR="00370BF4" w:rsidRPr="005121EE">
        <w:rPr>
          <w:rFonts w:eastAsia="Calibri"/>
        </w:rPr>
        <w:t xml:space="preserve"> only a small </w:t>
      </w:r>
      <w:r>
        <w:rPr>
          <w:rFonts w:eastAsia="Calibri"/>
        </w:rPr>
        <w:t>amount</w:t>
      </w:r>
      <w:r w:rsidR="00370BF4" w:rsidRPr="005121EE">
        <w:rPr>
          <w:rFonts w:eastAsia="Calibri"/>
        </w:rPr>
        <w:t xml:space="preserve"> of the variance in student outcomes </w:t>
      </w:r>
      <w:r>
        <w:rPr>
          <w:rFonts w:eastAsia="Calibri"/>
        </w:rPr>
        <w:t>is likely</w:t>
      </w:r>
      <w:r w:rsidR="00370BF4" w:rsidRPr="005121EE">
        <w:rPr>
          <w:rFonts w:eastAsia="Calibri"/>
        </w:rPr>
        <w:t xml:space="preserve"> </w:t>
      </w:r>
      <w:r>
        <w:rPr>
          <w:rFonts w:eastAsia="Calibri"/>
        </w:rPr>
        <w:t xml:space="preserve">to </w:t>
      </w:r>
      <w:r w:rsidR="00370BF4" w:rsidRPr="005121EE">
        <w:rPr>
          <w:rFonts w:eastAsia="Calibri"/>
        </w:rPr>
        <w:t xml:space="preserve">be explained by </w:t>
      </w:r>
      <w:r>
        <w:rPr>
          <w:rFonts w:eastAsia="Calibri"/>
        </w:rPr>
        <w:t>differences between institutions</w:t>
      </w:r>
      <w:r w:rsidR="00370BF4" w:rsidRPr="005121EE">
        <w:rPr>
          <w:rFonts w:eastAsia="Calibri"/>
        </w:rPr>
        <w:t xml:space="preserve">.  </w:t>
      </w:r>
      <w:proofErr w:type="spellStart"/>
      <w:r w:rsidR="00370BF4" w:rsidRPr="005121EE">
        <w:rPr>
          <w:rFonts w:eastAsia="Calibri"/>
        </w:rPr>
        <w:t>Pascarella</w:t>
      </w:r>
      <w:proofErr w:type="spellEnd"/>
      <w:r w:rsidR="00370BF4" w:rsidRPr="005121EE">
        <w:rPr>
          <w:rFonts w:eastAsia="Calibri"/>
        </w:rPr>
        <w:t xml:space="preserve"> and </w:t>
      </w:r>
      <w:proofErr w:type="spellStart"/>
      <w:r w:rsidR="00370BF4" w:rsidRPr="005121EE">
        <w:rPr>
          <w:rFonts w:eastAsia="Calibri"/>
        </w:rPr>
        <w:t>Terenzini</w:t>
      </w:r>
      <w:proofErr w:type="spellEnd"/>
      <w:r w:rsidR="00370BF4" w:rsidRPr="005121EE">
        <w:rPr>
          <w:rFonts w:eastAsia="Calibri"/>
        </w:rPr>
        <w:t xml:space="preserve"> (1991, 2005) and </w:t>
      </w:r>
      <w:proofErr w:type="spellStart"/>
      <w:r w:rsidR="00370BF4" w:rsidRPr="005121EE">
        <w:rPr>
          <w:rFonts w:eastAsia="Calibri"/>
        </w:rPr>
        <w:t>Kuh</w:t>
      </w:r>
      <w:proofErr w:type="spellEnd"/>
      <w:r w:rsidR="00370BF4" w:rsidRPr="005121EE">
        <w:rPr>
          <w:rFonts w:eastAsia="Calibri"/>
        </w:rPr>
        <w:t xml:space="preserve">, </w:t>
      </w:r>
      <w:proofErr w:type="spellStart"/>
      <w:r w:rsidR="00370BF4" w:rsidRPr="005121EE">
        <w:rPr>
          <w:rFonts w:eastAsia="Calibri"/>
        </w:rPr>
        <w:t>Kinzie</w:t>
      </w:r>
      <w:proofErr w:type="spellEnd"/>
      <w:r w:rsidR="00370BF4" w:rsidRPr="005121EE">
        <w:rPr>
          <w:rFonts w:eastAsia="Calibri"/>
        </w:rPr>
        <w:t xml:space="preserve">, </w:t>
      </w:r>
      <w:proofErr w:type="spellStart"/>
      <w:r w:rsidR="00370BF4" w:rsidRPr="005121EE">
        <w:rPr>
          <w:rFonts w:eastAsia="Calibri"/>
        </w:rPr>
        <w:t>Cruce</w:t>
      </w:r>
      <w:proofErr w:type="spellEnd"/>
      <w:r w:rsidR="00370BF4" w:rsidRPr="005121EE">
        <w:rPr>
          <w:rFonts w:eastAsia="Calibri"/>
        </w:rPr>
        <w:t xml:space="preserve">, </w:t>
      </w:r>
      <w:proofErr w:type="spellStart"/>
      <w:r w:rsidR="00370BF4" w:rsidRPr="005121EE">
        <w:rPr>
          <w:rFonts w:eastAsia="Calibri"/>
        </w:rPr>
        <w:t>Shoup</w:t>
      </w:r>
      <w:proofErr w:type="spellEnd"/>
      <w:r w:rsidR="00370BF4" w:rsidRPr="005121EE">
        <w:rPr>
          <w:rFonts w:eastAsia="Calibri"/>
        </w:rPr>
        <w:t xml:space="preserve">, and </w:t>
      </w:r>
      <w:proofErr w:type="spellStart"/>
      <w:r w:rsidR="00370BF4" w:rsidRPr="005121EE">
        <w:rPr>
          <w:rFonts w:eastAsia="Calibri"/>
        </w:rPr>
        <w:t>Gonyea</w:t>
      </w:r>
      <w:proofErr w:type="spellEnd"/>
      <w:r w:rsidR="00370BF4" w:rsidRPr="005121EE">
        <w:rPr>
          <w:rFonts w:eastAsia="Calibri"/>
        </w:rPr>
        <w:t xml:space="preserve"> (2007) </w:t>
      </w:r>
      <w:r>
        <w:rPr>
          <w:rFonts w:eastAsia="Calibri"/>
        </w:rPr>
        <w:t>found</w:t>
      </w:r>
      <w:r w:rsidR="00370BF4" w:rsidRPr="005121EE">
        <w:rPr>
          <w:rFonts w:eastAsia="Calibri"/>
        </w:rPr>
        <w:t xml:space="preserve"> the differences between students within each institution are much larger than differences </w:t>
      </w:r>
      <w:r>
        <w:rPr>
          <w:rFonts w:eastAsia="Calibri"/>
        </w:rPr>
        <w:t>among</w:t>
      </w:r>
      <w:r w:rsidR="00370BF4" w:rsidRPr="005121EE">
        <w:rPr>
          <w:rFonts w:eastAsia="Calibri"/>
        </w:rPr>
        <w:t xml:space="preserve"> institutions (Pike et al., 2011).  Other studies point out how institutional expenditures are only marginally related to student outcomes, where student-based characteristics such as test scores, grades, or family background interfere with any institutional effects being measured (</w:t>
      </w:r>
      <w:proofErr w:type="spellStart"/>
      <w:r w:rsidR="00370BF4" w:rsidRPr="005121EE">
        <w:rPr>
          <w:rFonts w:eastAsia="Calibri"/>
        </w:rPr>
        <w:t>Astin</w:t>
      </w:r>
      <w:proofErr w:type="spellEnd"/>
      <w:r w:rsidR="00370BF4" w:rsidRPr="005121EE">
        <w:rPr>
          <w:rFonts w:eastAsia="Calibri"/>
        </w:rPr>
        <w:t xml:space="preserve"> 1984, 1985; </w:t>
      </w:r>
      <w:proofErr w:type="spellStart"/>
      <w:r w:rsidR="00370BF4" w:rsidRPr="005121EE">
        <w:rPr>
          <w:rFonts w:eastAsia="Calibri"/>
        </w:rPr>
        <w:t>Kuh</w:t>
      </w:r>
      <w:proofErr w:type="spellEnd"/>
      <w:r w:rsidR="00370BF4" w:rsidRPr="005121EE">
        <w:rPr>
          <w:rFonts w:eastAsia="Calibri"/>
        </w:rPr>
        <w:t xml:space="preserve"> 2001, 2003; Webber and Ehrenberg, 2010).     </w:t>
      </w:r>
    </w:p>
    <w:p w14:paraId="7C7531FE" w14:textId="77777777" w:rsidR="00370BF4" w:rsidRPr="005121EE" w:rsidRDefault="00370BF4" w:rsidP="00370BF4">
      <w:pPr>
        <w:spacing w:after="160" w:line="480" w:lineRule="auto"/>
        <w:jc w:val="center"/>
        <w:rPr>
          <w:rFonts w:eastAsia="Calibri"/>
          <w:b/>
        </w:rPr>
      </w:pPr>
      <w:r w:rsidRPr="005121EE">
        <w:rPr>
          <w:rFonts w:eastAsia="Calibri"/>
          <w:b/>
        </w:rPr>
        <w:t>Organization of the Study</w:t>
      </w:r>
    </w:p>
    <w:p w14:paraId="370BE26C" w14:textId="77777777" w:rsidR="00370BF4" w:rsidRPr="005121EE" w:rsidRDefault="00370BF4" w:rsidP="00370BF4">
      <w:pPr>
        <w:spacing w:after="160" w:line="480" w:lineRule="auto"/>
        <w:ind w:firstLine="720"/>
        <w:rPr>
          <w:rFonts w:eastAsia="Calibri"/>
        </w:rPr>
      </w:pPr>
      <w:r w:rsidRPr="005121EE">
        <w:rPr>
          <w:rFonts w:eastAsia="Calibri"/>
        </w:rPr>
        <w:t xml:space="preserve">This study will consist of five chapters.  Chapter 1 will introduce the study and highlight the statement of the problem, the research questions, the purpose and significance of the study, the delimitations and limitations of the study, as well as provide definitions of key terms used within the study.  Chapter 2 will review the foundational research and literature this study is based on.  First, a review of literature associated with the conceptual frameworks will be given, followed by a review of previous research that bears significance to any study of higher educational spending and subsequent effects on </w:t>
      </w:r>
      <w:r w:rsidRPr="005121EE">
        <w:rPr>
          <w:rFonts w:eastAsia="Calibri"/>
        </w:rPr>
        <w:lastRenderedPageBreak/>
        <w:t xml:space="preserve">student outcomes.  Chapter 3 will detail the methods used in the study, encompassing the research design, population to be analyzed, data collection and analysis, and all steps taken to ensure validity and reliability.  Chapter 4 will outline any resultant findings of the analyses and hope to answer the study’s research questions.   Chapter 5 will provide a commentary and summation of the analyses, particularly in relation to the general topic of higher education student outcomes and efficient and effective usage of higher educational resources, with recommendations and benchmark figures for higher education policymakers.  </w:t>
      </w:r>
    </w:p>
    <w:p w14:paraId="5DFA1A88" w14:textId="77777777" w:rsidR="006B68B0" w:rsidRPr="003E1CE3" w:rsidRDefault="00236E6D" w:rsidP="006B68B0">
      <w:pPr>
        <w:spacing w:line="480" w:lineRule="auto"/>
        <w:jc w:val="center"/>
        <w:rPr>
          <w:rFonts w:eastAsia="Calibri"/>
          <w:b/>
        </w:rPr>
      </w:pPr>
      <w:r w:rsidRPr="005121EE">
        <w:br w:type="page"/>
      </w:r>
      <w:bookmarkStart w:id="0" w:name="_Toc420996085"/>
      <w:r w:rsidR="006B68B0" w:rsidRPr="003E1CE3">
        <w:rPr>
          <w:rFonts w:eastAsia="Calibri"/>
          <w:b/>
        </w:rPr>
        <w:lastRenderedPageBreak/>
        <w:t>CHAPTER II</w:t>
      </w:r>
    </w:p>
    <w:p w14:paraId="5ED8B051" w14:textId="77777777" w:rsidR="006B68B0" w:rsidRPr="003E1CE3" w:rsidRDefault="006B68B0" w:rsidP="006B68B0">
      <w:pPr>
        <w:spacing w:after="160" w:line="480" w:lineRule="auto"/>
        <w:jc w:val="center"/>
        <w:rPr>
          <w:rFonts w:eastAsia="Calibri"/>
          <w:b/>
        </w:rPr>
      </w:pPr>
      <w:r w:rsidRPr="003E1CE3">
        <w:rPr>
          <w:rFonts w:eastAsia="Calibri"/>
          <w:b/>
        </w:rPr>
        <w:t>LITERATURE REVIEW</w:t>
      </w:r>
    </w:p>
    <w:p w14:paraId="39F0F642" w14:textId="77777777" w:rsidR="006B68B0" w:rsidRPr="005121EE" w:rsidRDefault="006B68B0" w:rsidP="006B68B0">
      <w:pPr>
        <w:spacing w:after="160" w:line="480" w:lineRule="auto"/>
        <w:jc w:val="center"/>
        <w:rPr>
          <w:rFonts w:eastAsia="Calibri"/>
          <w:b/>
        </w:rPr>
      </w:pPr>
      <w:r w:rsidRPr="005121EE">
        <w:rPr>
          <w:rFonts w:eastAsia="Calibri"/>
          <w:b/>
        </w:rPr>
        <w:t>Introduction</w:t>
      </w:r>
    </w:p>
    <w:p w14:paraId="6C240BDA" w14:textId="47DF66D9" w:rsidR="006B68B0" w:rsidRPr="005121EE" w:rsidRDefault="006B68B0" w:rsidP="006B68B0">
      <w:pPr>
        <w:spacing w:after="160" w:line="480" w:lineRule="auto"/>
        <w:ind w:firstLine="720"/>
        <w:rPr>
          <w:rFonts w:eastAsia="Calibri"/>
        </w:rPr>
      </w:pPr>
      <w:r w:rsidRPr="005121EE">
        <w:rPr>
          <w:rFonts w:eastAsia="Calibri"/>
        </w:rPr>
        <w:t xml:space="preserve">The </w:t>
      </w:r>
      <w:r w:rsidR="005714F9" w:rsidRPr="00232FD3">
        <w:rPr>
          <w:rFonts w:eastAsia="Calibri"/>
        </w:rPr>
        <w:t xml:space="preserve">purpose of this study is to analyze the relationship institutional expenditures have on graduation rates in public higher education institutions – when accounting for </w:t>
      </w:r>
      <w:r w:rsidR="005714F9">
        <w:rPr>
          <w:rFonts w:eastAsia="Calibri"/>
        </w:rPr>
        <w:t xml:space="preserve">both </w:t>
      </w:r>
      <w:r w:rsidR="005714F9" w:rsidRPr="00232FD3">
        <w:rPr>
          <w:rFonts w:eastAsia="Calibri"/>
        </w:rPr>
        <w:t xml:space="preserve">institutional </w:t>
      </w:r>
      <w:r w:rsidR="005714F9">
        <w:rPr>
          <w:rFonts w:eastAsia="Calibri"/>
        </w:rPr>
        <w:t>and state level differences</w:t>
      </w:r>
      <w:r w:rsidRPr="005121EE">
        <w:rPr>
          <w:rFonts w:eastAsia="Calibri"/>
        </w:rPr>
        <w:t xml:space="preserve">.  This chapter will present a review of the research that has been conducted within the specific areas of public higher education spending and any relationships of this spending on student retention and graduation rates.  This review is segmented into three sections.  The first section begins with an overview of the reasons behind the increase in student outcomes accountability in public higher education over the last few decades – including a look at the stakeholders involved, incentives used to increase student outcomes accountability, potential disadvantages of outcomes-focused accountability, and how outcomes accountability aligns with the overall mission of public higher education in the United States.  The next section offers a summary of relevant research on higher education expenditures and their relationships to student outcomes.  The final section concludes with a look at the theoretical frameworks chosen from the relevant research my study will follow.    </w:t>
      </w:r>
    </w:p>
    <w:p w14:paraId="3DE7AE25" w14:textId="77777777" w:rsidR="006B68B0" w:rsidRPr="005121EE" w:rsidRDefault="0084776B" w:rsidP="00394877">
      <w:pPr>
        <w:keepNext/>
        <w:spacing w:after="160" w:line="480" w:lineRule="auto"/>
        <w:jc w:val="center"/>
        <w:rPr>
          <w:rFonts w:eastAsia="Calibri"/>
          <w:b/>
        </w:rPr>
      </w:pPr>
      <w:r>
        <w:rPr>
          <w:rFonts w:eastAsia="Calibri"/>
          <w:b/>
        </w:rPr>
        <w:t>Increase in</w:t>
      </w:r>
      <w:r w:rsidR="006B68B0" w:rsidRPr="005121EE">
        <w:rPr>
          <w:rFonts w:eastAsia="Calibri"/>
          <w:b/>
        </w:rPr>
        <w:t xml:space="preserve"> Student Outcomes </w:t>
      </w:r>
      <w:r>
        <w:rPr>
          <w:rFonts w:eastAsia="Calibri"/>
          <w:b/>
        </w:rPr>
        <w:t>Accountability</w:t>
      </w:r>
    </w:p>
    <w:p w14:paraId="7C109655" w14:textId="77777777" w:rsidR="006B68B0" w:rsidRDefault="006B68B0" w:rsidP="006B68B0">
      <w:pPr>
        <w:keepNext/>
        <w:spacing w:after="160" w:line="480" w:lineRule="auto"/>
        <w:ind w:firstLine="720"/>
        <w:rPr>
          <w:rFonts w:eastAsia="Calibri"/>
        </w:rPr>
      </w:pPr>
      <w:r w:rsidRPr="005121EE">
        <w:rPr>
          <w:rFonts w:eastAsia="Calibri"/>
        </w:rPr>
        <w:t xml:space="preserve">While an increase in the focus on student outcomes – namely student retention and graduation rates – in U.S. higher education accountability was clearly evident over the past ten years, the seeds of this movement were taking root over the roughly </w:t>
      </w:r>
      <w:proofErr w:type="gramStart"/>
      <w:r w:rsidRPr="005121EE">
        <w:rPr>
          <w:rFonts w:eastAsia="Calibri"/>
        </w:rPr>
        <w:t xml:space="preserve">twenty </w:t>
      </w:r>
      <w:r w:rsidRPr="005121EE">
        <w:rPr>
          <w:rFonts w:eastAsia="Calibri"/>
        </w:rPr>
        <w:lastRenderedPageBreak/>
        <w:t>year</w:t>
      </w:r>
      <w:proofErr w:type="gramEnd"/>
      <w:r w:rsidRPr="005121EE">
        <w:rPr>
          <w:rFonts w:eastAsia="Calibri"/>
        </w:rPr>
        <w:t xml:space="preserve"> time period just prior; through the 1980s and 1990s.  </w:t>
      </w:r>
      <w:r w:rsidR="0056765D">
        <w:rPr>
          <w:rFonts w:eastAsia="Calibri"/>
        </w:rPr>
        <w:t>Researchers</w:t>
      </w:r>
      <w:r w:rsidRPr="005121EE">
        <w:rPr>
          <w:rFonts w:eastAsia="Calibri"/>
        </w:rPr>
        <w:t xml:space="preserve"> have </w:t>
      </w:r>
      <w:r w:rsidR="0056765D">
        <w:rPr>
          <w:rFonts w:eastAsia="Calibri"/>
        </w:rPr>
        <w:t>suggested</w:t>
      </w:r>
      <w:r w:rsidRPr="005121EE">
        <w:rPr>
          <w:rFonts w:eastAsia="Calibri"/>
        </w:rPr>
        <w:t xml:space="preserve"> various causes and driving forces behind this movement.  Consistent among these studies are three overarching causes behind the increased calls for student outcomes accountability:  economic recessions; management practices adopted from the business sector; and changing state political characteristics (Burke and </w:t>
      </w:r>
      <w:proofErr w:type="spellStart"/>
      <w:r w:rsidRPr="005121EE">
        <w:rPr>
          <w:rFonts w:eastAsia="Calibri"/>
        </w:rPr>
        <w:t>Minassians</w:t>
      </w:r>
      <w:proofErr w:type="spellEnd"/>
      <w:r w:rsidRPr="005121EE">
        <w:rPr>
          <w:rFonts w:eastAsia="Calibri"/>
        </w:rPr>
        <w:t xml:space="preserve">, 2002; </w:t>
      </w:r>
      <w:proofErr w:type="spellStart"/>
      <w:r w:rsidRPr="005121EE">
        <w:rPr>
          <w:rFonts w:eastAsia="Calibri"/>
        </w:rPr>
        <w:t>Ewell</w:t>
      </w:r>
      <w:proofErr w:type="spellEnd"/>
      <w:r w:rsidRPr="005121EE">
        <w:rPr>
          <w:rFonts w:eastAsia="Calibri"/>
        </w:rPr>
        <w:t xml:space="preserve"> and Jones, 2006; </w:t>
      </w:r>
      <w:proofErr w:type="spellStart"/>
      <w:r w:rsidRPr="005121EE">
        <w:rPr>
          <w:rFonts w:eastAsia="Calibri"/>
        </w:rPr>
        <w:t>McLendon</w:t>
      </w:r>
      <w:proofErr w:type="spellEnd"/>
      <w:r w:rsidRPr="005121EE">
        <w:rPr>
          <w:rFonts w:eastAsia="Calibri"/>
        </w:rPr>
        <w:t xml:space="preserve">, Hearn, and Deaton, 2006; Kazin, Edwards, and Rothman, 2009; </w:t>
      </w:r>
      <w:proofErr w:type="spellStart"/>
      <w:r w:rsidRPr="005121EE">
        <w:rPr>
          <w:rFonts w:eastAsia="Calibri"/>
        </w:rPr>
        <w:t>Zumeta</w:t>
      </w:r>
      <w:proofErr w:type="spellEnd"/>
      <w:r w:rsidRPr="005121EE">
        <w:rPr>
          <w:rFonts w:eastAsia="Calibri"/>
        </w:rPr>
        <w:t xml:space="preserve">, 2011).   </w:t>
      </w:r>
    </w:p>
    <w:p w14:paraId="2364335E" w14:textId="77777777" w:rsidR="00394877" w:rsidRDefault="00AD0FB5" w:rsidP="00394877">
      <w:pPr>
        <w:spacing w:after="160" w:line="480" w:lineRule="auto"/>
        <w:rPr>
          <w:rFonts w:eastAsia="Calibri"/>
          <w:b/>
        </w:rPr>
      </w:pPr>
      <w:r w:rsidRPr="00394877">
        <w:rPr>
          <w:rFonts w:eastAsia="Calibri"/>
          <w:b/>
        </w:rPr>
        <w:t>Economic Recession</w:t>
      </w:r>
      <w:r w:rsidR="00394877">
        <w:rPr>
          <w:rFonts w:eastAsia="Calibri"/>
          <w:b/>
        </w:rPr>
        <w:t>s</w:t>
      </w:r>
    </w:p>
    <w:p w14:paraId="5613539F" w14:textId="77777777" w:rsidR="006B68B0" w:rsidRPr="005121EE" w:rsidRDefault="00AD0FB5" w:rsidP="006B68B0">
      <w:pPr>
        <w:spacing w:after="160" w:line="480" w:lineRule="auto"/>
        <w:ind w:firstLine="720"/>
        <w:rPr>
          <w:rFonts w:eastAsia="Calibri"/>
        </w:rPr>
      </w:pPr>
      <w:r>
        <w:rPr>
          <w:rFonts w:eastAsia="Calibri"/>
        </w:rPr>
        <w:t xml:space="preserve">  </w:t>
      </w:r>
      <w:r w:rsidR="006B68B0" w:rsidRPr="005121EE">
        <w:rPr>
          <w:rFonts w:eastAsia="Calibri"/>
        </w:rPr>
        <w:t xml:space="preserve">During the 1980s and 1990s, at least two major economic downturns </w:t>
      </w:r>
      <w:r w:rsidR="003B13BD">
        <w:rPr>
          <w:rFonts w:eastAsia="Calibri"/>
        </w:rPr>
        <w:t xml:space="preserve">occurred </w:t>
      </w:r>
      <w:r w:rsidR="006B68B0" w:rsidRPr="005121EE">
        <w:rPr>
          <w:rFonts w:eastAsia="Calibri"/>
        </w:rPr>
        <w:t xml:space="preserve">in </w:t>
      </w:r>
      <w:r w:rsidR="00936A49">
        <w:rPr>
          <w:rFonts w:eastAsia="Calibri"/>
        </w:rPr>
        <w:t xml:space="preserve">the overall </w:t>
      </w:r>
      <w:r w:rsidR="006B68B0" w:rsidRPr="005121EE">
        <w:rPr>
          <w:rFonts w:eastAsia="Calibri"/>
        </w:rPr>
        <w:t>U.S. economy</w:t>
      </w:r>
      <w:r w:rsidR="00936A49">
        <w:rPr>
          <w:rFonts w:eastAsia="Calibri"/>
        </w:rPr>
        <w:t>.</w:t>
      </w:r>
      <w:r w:rsidR="006B68B0" w:rsidRPr="005121EE">
        <w:rPr>
          <w:rFonts w:eastAsia="Calibri"/>
        </w:rPr>
        <w:t xml:space="preserve"> </w:t>
      </w:r>
      <w:r w:rsidR="00936A49">
        <w:rPr>
          <w:rFonts w:eastAsia="Calibri"/>
        </w:rPr>
        <w:t xml:space="preserve"> In turn, </w:t>
      </w:r>
      <w:r w:rsidR="006B68B0" w:rsidRPr="005121EE">
        <w:rPr>
          <w:rFonts w:eastAsia="Calibri"/>
        </w:rPr>
        <w:t xml:space="preserve">these financial </w:t>
      </w:r>
      <w:r w:rsidR="003B13BD">
        <w:rPr>
          <w:rFonts w:eastAsia="Calibri"/>
        </w:rPr>
        <w:t>hardships</w:t>
      </w:r>
      <w:r w:rsidR="006B68B0" w:rsidRPr="005121EE">
        <w:rPr>
          <w:rFonts w:eastAsia="Calibri"/>
        </w:rPr>
        <w:t xml:space="preserve"> affect</w:t>
      </w:r>
      <w:r w:rsidR="0056765D">
        <w:rPr>
          <w:rFonts w:eastAsia="Calibri"/>
        </w:rPr>
        <w:t>ed</w:t>
      </w:r>
      <w:r w:rsidR="006B68B0" w:rsidRPr="005121EE">
        <w:rPr>
          <w:rFonts w:eastAsia="Calibri"/>
        </w:rPr>
        <w:t xml:space="preserve"> state budgets</w:t>
      </w:r>
      <w:r w:rsidR="00936A49" w:rsidRPr="005121EE">
        <w:rPr>
          <w:rFonts w:eastAsia="Calibri"/>
        </w:rPr>
        <w:t>,</w:t>
      </w:r>
      <w:r w:rsidR="00936A49">
        <w:rPr>
          <w:rFonts w:eastAsia="Calibri"/>
        </w:rPr>
        <w:t xml:space="preserve"> motivating</w:t>
      </w:r>
      <w:r w:rsidR="006B68B0" w:rsidRPr="005121EE">
        <w:rPr>
          <w:rFonts w:eastAsia="Calibri"/>
        </w:rPr>
        <w:t xml:space="preserve"> governors and state lawmakers to </w:t>
      </w:r>
      <w:r w:rsidR="00936A49">
        <w:rPr>
          <w:rFonts w:eastAsia="Calibri"/>
        </w:rPr>
        <w:t xml:space="preserve">seek </w:t>
      </w:r>
      <w:r w:rsidR="006B68B0" w:rsidRPr="005121EE">
        <w:rPr>
          <w:rFonts w:eastAsia="Calibri"/>
        </w:rPr>
        <w:t>improv</w:t>
      </w:r>
      <w:r w:rsidR="00936A49">
        <w:rPr>
          <w:rFonts w:eastAsia="Calibri"/>
        </w:rPr>
        <w:t>ements</w:t>
      </w:r>
      <w:r w:rsidR="006B68B0" w:rsidRPr="005121EE">
        <w:rPr>
          <w:rFonts w:eastAsia="Calibri"/>
        </w:rPr>
        <w:t xml:space="preserve"> </w:t>
      </w:r>
      <w:r w:rsidR="00936A49">
        <w:rPr>
          <w:rFonts w:eastAsia="Calibri"/>
        </w:rPr>
        <w:t xml:space="preserve">in </w:t>
      </w:r>
      <w:r w:rsidR="006B68B0" w:rsidRPr="005121EE">
        <w:rPr>
          <w:rFonts w:eastAsia="Calibri"/>
        </w:rPr>
        <w:t>the efficiencies of all government agencies, including higher education (</w:t>
      </w:r>
      <w:r w:rsidR="00936A49" w:rsidRPr="005121EE">
        <w:rPr>
          <w:rFonts w:eastAsia="Calibri"/>
        </w:rPr>
        <w:t>Burke, 2005</w:t>
      </w:r>
      <w:r w:rsidR="00936A49">
        <w:rPr>
          <w:rFonts w:eastAsia="Calibri"/>
        </w:rPr>
        <w:t xml:space="preserve">; </w:t>
      </w:r>
      <w:proofErr w:type="spellStart"/>
      <w:r w:rsidR="006B68B0" w:rsidRPr="005121EE">
        <w:rPr>
          <w:rFonts w:eastAsia="Calibri"/>
        </w:rPr>
        <w:t>McLendon</w:t>
      </w:r>
      <w:proofErr w:type="spellEnd"/>
      <w:r w:rsidR="006B68B0" w:rsidRPr="005121EE">
        <w:rPr>
          <w:rFonts w:eastAsia="Calibri"/>
        </w:rPr>
        <w:t xml:space="preserve"> et al., 2006).</w:t>
      </w:r>
    </w:p>
    <w:p w14:paraId="3E7BD6A0" w14:textId="77777777" w:rsidR="006B68B0" w:rsidRDefault="007C195C" w:rsidP="006B68B0">
      <w:pPr>
        <w:spacing w:after="160" w:line="480" w:lineRule="auto"/>
        <w:ind w:firstLine="720"/>
        <w:rPr>
          <w:rFonts w:eastAsia="Calibri"/>
        </w:rPr>
      </w:pPr>
      <w:r>
        <w:rPr>
          <w:rFonts w:eastAsia="Calibri"/>
        </w:rPr>
        <w:t>S</w:t>
      </w:r>
      <w:r w:rsidR="006B68B0" w:rsidRPr="005121EE">
        <w:rPr>
          <w:rFonts w:eastAsia="Calibri"/>
        </w:rPr>
        <w:t xml:space="preserve">tates most affected by economic recession </w:t>
      </w:r>
      <w:r w:rsidR="00257B3B">
        <w:rPr>
          <w:rFonts w:eastAsia="Calibri"/>
        </w:rPr>
        <w:t>were</w:t>
      </w:r>
      <w:r w:rsidR="006B68B0" w:rsidRPr="005121EE">
        <w:rPr>
          <w:rFonts w:eastAsia="Calibri"/>
        </w:rPr>
        <w:t xml:space="preserve"> </w:t>
      </w:r>
      <w:r w:rsidR="0056765D">
        <w:rPr>
          <w:rFonts w:eastAsia="Calibri"/>
        </w:rPr>
        <w:t>those</w:t>
      </w:r>
      <w:r w:rsidR="006B68B0" w:rsidRPr="005121EE">
        <w:rPr>
          <w:rFonts w:eastAsia="Calibri"/>
        </w:rPr>
        <w:t xml:space="preserve"> states with lower levels of educational attainment per capita, relative to other states</w:t>
      </w:r>
      <w:r w:rsidR="0056765D">
        <w:rPr>
          <w:rFonts w:eastAsia="Calibri"/>
        </w:rPr>
        <w:t xml:space="preserve"> (</w:t>
      </w:r>
      <w:proofErr w:type="spellStart"/>
      <w:r w:rsidR="0056765D" w:rsidRPr="005121EE">
        <w:rPr>
          <w:rFonts w:eastAsia="Calibri"/>
        </w:rPr>
        <w:t>McLendon</w:t>
      </w:r>
      <w:proofErr w:type="spellEnd"/>
      <w:r w:rsidR="0056765D" w:rsidRPr="005121EE">
        <w:rPr>
          <w:rFonts w:eastAsia="Calibri"/>
        </w:rPr>
        <w:t xml:space="preserve"> et al., 2006</w:t>
      </w:r>
      <w:r w:rsidR="0056765D">
        <w:rPr>
          <w:rFonts w:eastAsia="Calibri"/>
        </w:rPr>
        <w:t>)</w:t>
      </w:r>
      <w:r w:rsidR="006B68B0" w:rsidRPr="005121EE">
        <w:rPr>
          <w:rFonts w:eastAsia="Calibri"/>
        </w:rPr>
        <w:t>.</w:t>
      </w:r>
      <w:r>
        <w:rPr>
          <w:rFonts w:eastAsia="Calibri"/>
        </w:rPr>
        <w:t xml:space="preserve">  </w:t>
      </w:r>
      <w:r w:rsidR="003B13BD">
        <w:rPr>
          <w:rFonts w:eastAsia="Calibri"/>
        </w:rPr>
        <w:t xml:space="preserve"> Subsequently, policymakers looked to improve their state’s </w:t>
      </w:r>
      <w:r w:rsidR="00257B3B">
        <w:rPr>
          <w:rFonts w:eastAsia="Calibri"/>
        </w:rPr>
        <w:t>economy</w:t>
      </w:r>
      <w:r w:rsidR="003B13BD">
        <w:rPr>
          <w:rFonts w:eastAsia="Calibri"/>
        </w:rPr>
        <w:t xml:space="preserve"> by </w:t>
      </w:r>
      <w:r w:rsidR="00936A49">
        <w:rPr>
          <w:rFonts w:eastAsia="Calibri"/>
        </w:rPr>
        <w:t xml:space="preserve">increasing </w:t>
      </w:r>
      <w:r w:rsidR="00257B3B">
        <w:rPr>
          <w:rFonts w:eastAsia="Calibri"/>
        </w:rPr>
        <w:t xml:space="preserve">the state’s </w:t>
      </w:r>
      <w:r w:rsidR="00EB33EB">
        <w:rPr>
          <w:rFonts w:eastAsia="Calibri"/>
        </w:rPr>
        <w:t xml:space="preserve">output of </w:t>
      </w:r>
      <w:r w:rsidR="00936A49">
        <w:rPr>
          <w:rFonts w:eastAsia="Calibri"/>
        </w:rPr>
        <w:t xml:space="preserve">college </w:t>
      </w:r>
      <w:r w:rsidR="00257B3B">
        <w:rPr>
          <w:rFonts w:eastAsia="Calibri"/>
        </w:rPr>
        <w:t>graduates</w:t>
      </w:r>
      <w:r w:rsidR="00936A49">
        <w:rPr>
          <w:rFonts w:eastAsia="Calibri"/>
        </w:rPr>
        <w:t>.  The rational</w:t>
      </w:r>
      <w:r w:rsidR="00257B3B">
        <w:rPr>
          <w:rFonts w:eastAsia="Calibri"/>
        </w:rPr>
        <w:t>e was that a more college-educated workforce</w:t>
      </w:r>
      <w:r w:rsidR="00936A49">
        <w:rPr>
          <w:rFonts w:eastAsia="Calibri"/>
        </w:rPr>
        <w:t xml:space="preserve"> wo</w:t>
      </w:r>
      <w:r w:rsidR="00257B3B">
        <w:rPr>
          <w:rFonts w:eastAsia="Calibri"/>
        </w:rPr>
        <w:t>uld lead to increased employment and corporate investment that, in turn, would lead to greater state tax revenues</w:t>
      </w:r>
      <w:r w:rsidR="00EB33EB">
        <w:rPr>
          <w:rFonts w:eastAsia="Calibri"/>
        </w:rPr>
        <w:t xml:space="preserve"> (</w:t>
      </w:r>
      <w:proofErr w:type="spellStart"/>
      <w:r w:rsidR="00EB33EB" w:rsidRPr="005121EE">
        <w:rPr>
          <w:rFonts w:eastAsia="Calibri"/>
        </w:rPr>
        <w:t>McLendon</w:t>
      </w:r>
      <w:proofErr w:type="spellEnd"/>
      <w:r w:rsidR="00EB33EB" w:rsidRPr="005121EE">
        <w:rPr>
          <w:rFonts w:eastAsia="Calibri"/>
        </w:rPr>
        <w:t xml:space="preserve"> et al., 2006</w:t>
      </w:r>
      <w:r w:rsidR="00EB33EB">
        <w:rPr>
          <w:rFonts w:eastAsia="Calibri"/>
        </w:rPr>
        <w:t>)</w:t>
      </w:r>
      <w:r w:rsidR="00257B3B">
        <w:rPr>
          <w:rFonts w:eastAsia="Calibri"/>
        </w:rPr>
        <w:t xml:space="preserve">.  </w:t>
      </w:r>
      <w:r w:rsidR="003B13BD">
        <w:rPr>
          <w:rFonts w:eastAsia="Calibri"/>
        </w:rPr>
        <w:t xml:space="preserve"> </w:t>
      </w:r>
      <w:r w:rsidR="006B68B0" w:rsidRPr="005121EE">
        <w:rPr>
          <w:rFonts w:eastAsia="Calibri"/>
        </w:rPr>
        <w:t xml:space="preserve"> </w:t>
      </w:r>
      <w:r w:rsidR="00EB33EB">
        <w:rPr>
          <w:rFonts w:eastAsia="Calibri"/>
        </w:rPr>
        <w:t>Thus, p</w:t>
      </w:r>
      <w:r w:rsidR="00EB33EB" w:rsidRPr="005121EE">
        <w:rPr>
          <w:rFonts w:eastAsia="Calibri"/>
        </w:rPr>
        <w:t xml:space="preserve">ublic </w:t>
      </w:r>
      <w:r w:rsidR="00EB33EB">
        <w:rPr>
          <w:rFonts w:eastAsia="Calibri"/>
        </w:rPr>
        <w:t>p</w:t>
      </w:r>
      <w:r w:rsidR="00EB33EB" w:rsidRPr="005121EE">
        <w:rPr>
          <w:rFonts w:eastAsia="Calibri"/>
        </w:rPr>
        <w:t>ostsecondary institutions were viewed by policymakers in these states as the drivers of increasing the state’s human capital, and in turn, the state’s economic growth (</w:t>
      </w:r>
      <w:r w:rsidR="007F192A" w:rsidRPr="007F192A">
        <w:rPr>
          <w:rFonts w:eastAsia="Calibri"/>
        </w:rPr>
        <w:t xml:space="preserve">Becker, 1964; Freeman, 1976; Manski and Wise, 1983; Volkwein, </w:t>
      </w:r>
      <w:proofErr w:type="spellStart"/>
      <w:r w:rsidR="007F192A" w:rsidRPr="007F192A">
        <w:rPr>
          <w:rFonts w:eastAsia="Calibri"/>
        </w:rPr>
        <w:t>Szelest</w:t>
      </w:r>
      <w:proofErr w:type="spellEnd"/>
      <w:r w:rsidR="007F192A" w:rsidRPr="007F192A">
        <w:rPr>
          <w:rFonts w:eastAsia="Calibri"/>
        </w:rPr>
        <w:t xml:space="preserve">, Cabrera, and </w:t>
      </w:r>
      <w:proofErr w:type="spellStart"/>
      <w:r w:rsidR="007F192A" w:rsidRPr="007F192A">
        <w:rPr>
          <w:rFonts w:eastAsia="Calibri"/>
        </w:rPr>
        <w:t>Napierski-Prancl</w:t>
      </w:r>
      <w:proofErr w:type="spellEnd"/>
      <w:r w:rsidR="007F192A" w:rsidRPr="007F192A">
        <w:rPr>
          <w:rFonts w:eastAsia="Calibri"/>
        </w:rPr>
        <w:t xml:space="preserve">, 1998; </w:t>
      </w:r>
      <w:proofErr w:type="spellStart"/>
      <w:r w:rsidR="00EB33EB" w:rsidRPr="007F192A">
        <w:rPr>
          <w:rFonts w:eastAsia="Calibri"/>
        </w:rPr>
        <w:t>McLendon</w:t>
      </w:r>
      <w:proofErr w:type="spellEnd"/>
      <w:r w:rsidR="00EB33EB" w:rsidRPr="007F192A">
        <w:rPr>
          <w:rFonts w:eastAsia="Calibri"/>
        </w:rPr>
        <w:t xml:space="preserve"> et al.,</w:t>
      </w:r>
      <w:r w:rsidR="00EB33EB" w:rsidRPr="005121EE">
        <w:rPr>
          <w:rFonts w:eastAsia="Calibri"/>
        </w:rPr>
        <w:t xml:space="preserve"> 2006)</w:t>
      </w:r>
      <w:r w:rsidR="00EB33EB">
        <w:rPr>
          <w:rFonts w:eastAsia="Calibri"/>
        </w:rPr>
        <w:t xml:space="preserve">.  </w:t>
      </w:r>
      <w:r w:rsidRPr="00EB33EB">
        <w:rPr>
          <w:rFonts w:eastAsia="Calibri"/>
        </w:rPr>
        <w:t>As a result, t</w:t>
      </w:r>
      <w:r w:rsidR="006B68B0" w:rsidRPr="00EB33EB">
        <w:rPr>
          <w:rFonts w:eastAsia="Calibri"/>
        </w:rPr>
        <w:t xml:space="preserve">hese would be the states </w:t>
      </w:r>
      <w:r w:rsidR="00EB33EB" w:rsidRPr="00EB33EB">
        <w:rPr>
          <w:rFonts w:eastAsia="Calibri"/>
        </w:rPr>
        <w:lastRenderedPageBreak/>
        <w:t xml:space="preserve">with legislatures </w:t>
      </w:r>
      <w:r w:rsidR="006B68B0" w:rsidRPr="00EB33EB">
        <w:rPr>
          <w:rFonts w:eastAsia="Calibri"/>
        </w:rPr>
        <w:t xml:space="preserve">most likely to </w:t>
      </w:r>
      <w:r w:rsidR="00E01965">
        <w:rPr>
          <w:rFonts w:eastAsia="Calibri"/>
        </w:rPr>
        <w:t xml:space="preserve">develop and </w:t>
      </w:r>
      <w:r w:rsidR="006B68B0" w:rsidRPr="00EB33EB">
        <w:rPr>
          <w:rFonts w:eastAsia="Calibri"/>
        </w:rPr>
        <w:t>adopt higher education performance</w:t>
      </w:r>
      <w:r w:rsidR="00E01965">
        <w:rPr>
          <w:rFonts w:eastAsia="Calibri"/>
        </w:rPr>
        <w:t>-based</w:t>
      </w:r>
      <w:r w:rsidR="006B68B0" w:rsidRPr="00EB33EB">
        <w:rPr>
          <w:rFonts w:eastAsia="Calibri"/>
        </w:rPr>
        <w:t xml:space="preserve"> polic</w:t>
      </w:r>
      <w:r w:rsidR="00E01965">
        <w:rPr>
          <w:rFonts w:eastAsia="Calibri"/>
        </w:rPr>
        <w:t>ie</w:t>
      </w:r>
      <w:r w:rsidR="006B68B0" w:rsidRPr="00EB33EB">
        <w:rPr>
          <w:rFonts w:eastAsia="Calibri"/>
        </w:rPr>
        <w:t>s</w:t>
      </w:r>
      <w:r w:rsidR="00E01965">
        <w:rPr>
          <w:rFonts w:eastAsia="Calibri"/>
        </w:rPr>
        <w:t xml:space="preserve"> that awarded more funding to schools with higher percentages of graduates </w:t>
      </w:r>
      <w:r w:rsidR="006B68B0" w:rsidRPr="00EB33EB">
        <w:rPr>
          <w:rFonts w:eastAsia="Calibri"/>
        </w:rPr>
        <w:t>(</w:t>
      </w:r>
      <w:proofErr w:type="spellStart"/>
      <w:r w:rsidR="006B68B0" w:rsidRPr="00EB33EB">
        <w:rPr>
          <w:rFonts w:eastAsia="Calibri"/>
        </w:rPr>
        <w:t>McLendon</w:t>
      </w:r>
      <w:proofErr w:type="spellEnd"/>
      <w:r w:rsidR="006B68B0" w:rsidRPr="00EB33EB">
        <w:rPr>
          <w:rFonts w:eastAsia="Calibri"/>
        </w:rPr>
        <w:t xml:space="preserve"> et al., 2006).</w:t>
      </w:r>
      <w:r w:rsidR="006B68B0" w:rsidRPr="005121EE">
        <w:rPr>
          <w:rFonts w:eastAsia="Calibri"/>
        </w:rPr>
        <w:t xml:space="preserve">  </w:t>
      </w:r>
    </w:p>
    <w:p w14:paraId="2FE58620" w14:textId="77777777" w:rsidR="00394877" w:rsidRPr="00394877" w:rsidRDefault="00394877" w:rsidP="00394877">
      <w:pPr>
        <w:spacing w:after="160" w:line="480" w:lineRule="auto"/>
        <w:rPr>
          <w:rFonts w:eastAsia="Calibri"/>
          <w:b/>
        </w:rPr>
      </w:pPr>
      <w:r w:rsidRPr="00394877">
        <w:rPr>
          <w:rFonts w:eastAsia="Calibri"/>
          <w:b/>
        </w:rPr>
        <w:t>Management Practices Adopted from Business Sector</w:t>
      </w:r>
    </w:p>
    <w:p w14:paraId="135756D7" w14:textId="77777777" w:rsidR="006B68B0" w:rsidRPr="005121EE" w:rsidRDefault="00556EE4" w:rsidP="00556EE4">
      <w:pPr>
        <w:spacing w:after="160" w:line="480" w:lineRule="auto"/>
        <w:ind w:firstLine="720"/>
        <w:rPr>
          <w:rFonts w:eastAsia="Calibri"/>
        </w:rPr>
      </w:pPr>
      <w:r>
        <w:rPr>
          <w:rFonts w:eastAsia="Calibri"/>
        </w:rPr>
        <w:t>T</w:t>
      </w:r>
      <w:r w:rsidR="006B68B0" w:rsidRPr="005121EE">
        <w:rPr>
          <w:rFonts w:eastAsia="Calibri"/>
        </w:rPr>
        <w:t xml:space="preserve">he economic downturn </w:t>
      </w:r>
      <w:r>
        <w:rPr>
          <w:rFonts w:eastAsia="Calibri"/>
        </w:rPr>
        <w:t>of</w:t>
      </w:r>
      <w:r w:rsidR="006B68B0" w:rsidRPr="005121EE">
        <w:rPr>
          <w:rFonts w:eastAsia="Calibri"/>
        </w:rPr>
        <w:t xml:space="preserve"> the 1980s </w:t>
      </w:r>
      <w:r>
        <w:rPr>
          <w:rFonts w:eastAsia="Calibri"/>
        </w:rPr>
        <w:t xml:space="preserve">combined with </w:t>
      </w:r>
      <w:r w:rsidR="00F55B91">
        <w:rPr>
          <w:rFonts w:eastAsia="Calibri"/>
        </w:rPr>
        <w:t>rapid</w:t>
      </w:r>
      <w:r w:rsidR="006B68B0" w:rsidRPr="005121EE">
        <w:rPr>
          <w:rFonts w:eastAsia="Calibri"/>
        </w:rPr>
        <w:t xml:space="preserve"> growth in size and costs of higher education </w:t>
      </w:r>
      <w:r w:rsidR="004C5A2A">
        <w:rPr>
          <w:rFonts w:eastAsia="Calibri"/>
        </w:rPr>
        <w:t xml:space="preserve">resulted in public demands to legislatures to </w:t>
      </w:r>
      <w:r w:rsidR="00F55B91">
        <w:rPr>
          <w:rFonts w:eastAsia="Calibri"/>
        </w:rPr>
        <w:t>push colleges for better efficiency and measured proof</w:t>
      </w:r>
      <w:r w:rsidR="004C5A2A">
        <w:rPr>
          <w:rFonts w:eastAsia="Calibri"/>
        </w:rPr>
        <w:t xml:space="preserve"> of </w:t>
      </w:r>
      <w:r w:rsidR="00F55B91">
        <w:rPr>
          <w:rFonts w:eastAsia="Calibri"/>
        </w:rPr>
        <w:t>improving</w:t>
      </w:r>
      <w:r w:rsidR="004C5A2A">
        <w:rPr>
          <w:rFonts w:eastAsia="Calibri"/>
        </w:rPr>
        <w:t xml:space="preserve"> student outcomes</w:t>
      </w:r>
      <w:r w:rsidR="00F55B91">
        <w:rPr>
          <w:rFonts w:eastAsia="Calibri"/>
        </w:rPr>
        <w:t xml:space="preserve"> (</w:t>
      </w:r>
      <w:proofErr w:type="spellStart"/>
      <w:r w:rsidR="00F55B91">
        <w:rPr>
          <w:rFonts w:eastAsia="Calibri"/>
        </w:rPr>
        <w:t>Ewell</w:t>
      </w:r>
      <w:proofErr w:type="spellEnd"/>
      <w:r w:rsidR="00F55B91">
        <w:rPr>
          <w:rFonts w:eastAsia="Calibri"/>
        </w:rPr>
        <w:t xml:space="preserve"> and Jones, 2006)</w:t>
      </w:r>
      <w:r w:rsidR="004C5A2A">
        <w:rPr>
          <w:rFonts w:eastAsia="Calibri"/>
        </w:rPr>
        <w:t xml:space="preserve">.  </w:t>
      </w:r>
      <w:r w:rsidR="006B68B0" w:rsidRPr="005121EE">
        <w:rPr>
          <w:rFonts w:eastAsia="Calibri"/>
        </w:rPr>
        <w:t>As a result, a number of commission reports began calling for higher education reform, such as A Nation at Risk, published in 1983, which focused on inadequate skill levels of the U.S. workfo</w:t>
      </w:r>
      <w:r w:rsidR="007C195C">
        <w:rPr>
          <w:rFonts w:eastAsia="Calibri"/>
        </w:rPr>
        <w:t>r</w:t>
      </w:r>
      <w:r w:rsidR="006B68B0" w:rsidRPr="005121EE">
        <w:rPr>
          <w:rFonts w:eastAsia="Calibri"/>
        </w:rPr>
        <w:t>ce and the causes of this being linked to inadequacies in all levels of American schooling (</w:t>
      </w:r>
      <w:proofErr w:type="spellStart"/>
      <w:r w:rsidR="006B68B0" w:rsidRPr="005121EE">
        <w:rPr>
          <w:rFonts w:eastAsia="Calibri"/>
        </w:rPr>
        <w:t>Zumeta</w:t>
      </w:r>
      <w:proofErr w:type="spellEnd"/>
      <w:r w:rsidR="006B68B0" w:rsidRPr="005121EE">
        <w:rPr>
          <w:rFonts w:eastAsia="Calibri"/>
        </w:rPr>
        <w:t xml:space="preserve">, 2011).   </w:t>
      </w:r>
    </w:p>
    <w:p w14:paraId="18AB2816" w14:textId="77777777" w:rsidR="006B68B0" w:rsidRPr="005121EE" w:rsidRDefault="006B68B0" w:rsidP="006B68B0">
      <w:pPr>
        <w:spacing w:after="160" w:line="480" w:lineRule="auto"/>
        <w:ind w:firstLine="720"/>
        <w:rPr>
          <w:rFonts w:eastAsia="Calibri"/>
        </w:rPr>
      </w:pPr>
      <w:r w:rsidRPr="005121EE">
        <w:rPr>
          <w:rFonts w:eastAsia="Calibri"/>
        </w:rPr>
        <w:t xml:space="preserve">One source of inspiration for lawmakers on how to meet this public call for accountability in higher education came from the private sector (Burke and </w:t>
      </w:r>
      <w:proofErr w:type="spellStart"/>
      <w:r w:rsidRPr="005121EE">
        <w:rPr>
          <w:rFonts w:eastAsia="Calibri"/>
        </w:rPr>
        <w:t>Minassians</w:t>
      </w:r>
      <w:proofErr w:type="spellEnd"/>
      <w:r w:rsidRPr="005121EE">
        <w:rPr>
          <w:rFonts w:eastAsia="Calibri"/>
        </w:rPr>
        <w:t xml:space="preserve">, 2002).  The recent economic recession had brought both a public awareness of and favorable attitudes toward business-based methods of </w:t>
      </w:r>
      <w:r w:rsidR="00F55B91">
        <w:rPr>
          <w:rFonts w:eastAsia="Calibri"/>
        </w:rPr>
        <w:t xml:space="preserve">measuring </w:t>
      </w:r>
      <w:r w:rsidRPr="005121EE">
        <w:rPr>
          <w:rFonts w:eastAsia="Calibri"/>
        </w:rPr>
        <w:t>quality improvement and cost control as those found in successful Japanese automobile manufacturers like Honda and Toyota (</w:t>
      </w:r>
      <w:proofErr w:type="spellStart"/>
      <w:r w:rsidRPr="005121EE">
        <w:rPr>
          <w:rFonts w:eastAsia="Calibri"/>
        </w:rPr>
        <w:t>Zumeta</w:t>
      </w:r>
      <w:proofErr w:type="spellEnd"/>
      <w:r w:rsidRPr="005121EE">
        <w:rPr>
          <w:rFonts w:eastAsia="Calibri"/>
        </w:rPr>
        <w:t xml:space="preserve">, 2011).  </w:t>
      </w:r>
    </w:p>
    <w:p w14:paraId="792D8D62" w14:textId="77777777" w:rsidR="006B68B0" w:rsidRPr="005121EE" w:rsidRDefault="006B68B0" w:rsidP="006B68B0">
      <w:pPr>
        <w:spacing w:after="160" w:line="480" w:lineRule="auto"/>
        <w:ind w:firstLine="720"/>
        <w:rPr>
          <w:rFonts w:eastAsia="Calibri"/>
        </w:rPr>
      </w:pPr>
      <w:r w:rsidRPr="005121EE">
        <w:rPr>
          <w:rFonts w:eastAsia="Calibri"/>
        </w:rPr>
        <w:t xml:space="preserve">Similar emphasis on </w:t>
      </w:r>
      <w:r w:rsidR="00F55B91">
        <w:rPr>
          <w:rFonts w:eastAsia="Calibri"/>
        </w:rPr>
        <w:t xml:space="preserve">metrics </w:t>
      </w:r>
      <w:r w:rsidRPr="005121EE">
        <w:rPr>
          <w:rFonts w:eastAsia="Calibri"/>
        </w:rPr>
        <w:t xml:space="preserve">outcomes from business management came during the early and mid-1990s.  </w:t>
      </w:r>
      <w:r w:rsidR="004B313C">
        <w:rPr>
          <w:rFonts w:eastAsia="Calibri"/>
        </w:rPr>
        <w:t>M</w:t>
      </w:r>
      <w:r w:rsidR="00F55B91">
        <w:rPr>
          <w:rFonts w:eastAsia="Calibri"/>
        </w:rPr>
        <w:t xml:space="preserve">anagement based on measuring </w:t>
      </w:r>
      <w:r w:rsidRPr="005121EE">
        <w:rPr>
          <w:rFonts w:eastAsia="Calibri"/>
        </w:rPr>
        <w:t xml:space="preserve">performance outcomes </w:t>
      </w:r>
      <w:r w:rsidR="00F55B91">
        <w:rPr>
          <w:rFonts w:eastAsia="Calibri"/>
        </w:rPr>
        <w:t xml:space="preserve">versus adherence to </w:t>
      </w:r>
      <w:r w:rsidR="004B313C">
        <w:rPr>
          <w:rFonts w:eastAsia="Calibri"/>
        </w:rPr>
        <w:t>traditional</w:t>
      </w:r>
      <w:r w:rsidRPr="005121EE">
        <w:rPr>
          <w:rFonts w:eastAsia="Calibri"/>
        </w:rPr>
        <w:t xml:space="preserve"> budget</w:t>
      </w:r>
      <w:r w:rsidR="004B313C">
        <w:rPr>
          <w:rFonts w:eastAsia="Calibri"/>
        </w:rPr>
        <w:t xml:space="preserve">-based </w:t>
      </w:r>
      <w:r w:rsidRPr="005121EE">
        <w:rPr>
          <w:rFonts w:eastAsia="Calibri"/>
        </w:rPr>
        <w:t xml:space="preserve">principles was a public governance takeaway from Osborne and </w:t>
      </w:r>
      <w:proofErr w:type="spellStart"/>
      <w:r w:rsidRPr="005121EE">
        <w:rPr>
          <w:rFonts w:eastAsia="Calibri"/>
        </w:rPr>
        <w:t>Gaebler</w:t>
      </w:r>
      <w:proofErr w:type="spellEnd"/>
      <w:r w:rsidRPr="005121EE">
        <w:rPr>
          <w:rFonts w:eastAsia="Calibri"/>
        </w:rPr>
        <w:t xml:space="preserve"> </w:t>
      </w:r>
      <w:r w:rsidRPr="00B573B4">
        <w:rPr>
          <w:rFonts w:eastAsia="Calibri"/>
        </w:rPr>
        <w:t xml:space="preserve">in </w:t>
      </w:r>
      <w:r w:rsidRPr="005121EE">
        <w:rPr>
          <w:rFonts w:eastAsia="Calibri"/>
          <w:i/>
        </w:rPr>
        <w:t>Reinventing Government</w:t>
      </w:r>
      <w:r w:rsidRPr="005121EE">
        <w:rPr>
          <w:rFonts w:eastAsia="Calibri"/>
        </w:rPr>
        <w:t xml:space="preserve">.   </w:t>
      </w:r>
      <w:r w:rsidR="004B313C">
        <w:rPr>
          <w:rFonts w:eastAsia="Calibri"/>
        </w:rPr>
        <w:t>Attention to c</w:t>
      </w:r>
      <w:r w:rsidRPr="005121EE">
        <w:rPr>
          <w:rFonts w:eastAsia="Calibri"/>
        </w:rPr>
        <w:t xml:space="preserve">ustomer </w:t>
      </w:r>
      <w:r w:rsidRPr="005121EE">
        <w:rPr>
          <w:rFonts w:eastAsia="Calibri"/>
        </w:rPr>
        <w:lastRenderedPageBreak/>
        <w:t xml:space="preserve">needs and output quality were highlights of Hammer and </w:t>
      </w:r>
      <w:proofErr w:type="spellStart"/>
      <w:r w:rsidRPr="005121EE">
        <w:rPr>
          <w:rFonts w:eastAsia="Calibri"/>
        </w:rPr>
        <w:t>Champy’s</w:t>
      </w:r>
      <w:proofErr w:type="spellEnd"/>
      <w:r w:rsidRPr="005121EE">
        <w:rPr>
          <w:rFonts w:eastAsia="Calibri"/>
        </w:rPr>
        <w:t xml:space="preserve"> popular </w:t>
      </w:r>
      <w:r w:rsidRPr="005121EE">
        <w:rPr>
          <w:rFonts w:eastAsia="Calibri"/>
          <w:i/>
        </w:rPr>
        <w:t>Reengineering the Corporation</w:t>
      </w:r>
      <w:r w:rsidRPr="005121EE">
        <w:rPr>
          <w:rFonts w:eastAsia="Calibri"/>
        </w:rPr>
        <w:t xml:space="preserve"> (Burke and </w:t>
      </w:r>
      <w:proofErr w:type="spellStart"/>
      <w:r w:rsidRPr="005121EE">
        <w:rPr>
          <w:rFonts w:eastAsia="Calibri"/>
        </w:rPr>
        <w:t>Minassians</w:t>
      </w:r>
      <w:proofErr w:type="spellEnd"/>
      <w:r w:rsidRPr="005121EE">
        <w:rPr>
          <w:rFonts w:eastAsia="Calibri"/>
        </w:rPr>
        <w:t xml:space="preserve">, 2002). </w:t>
      </w:r>
    </w:p>
    <w:p w14:paraId="6395EE0C" w14:textId="77777777" w:rsidR="006B68B0" w:rsidRPr="005121EE" w:rsidRDefault="006B68B0" w:rsidP="006B68B0">
      <w:pPr>
        <w:spacing w:after="160" w:line="480" w:lineRule="auto"/>
        <w:ind w:firstLine="720"/>
        <w:rPr>
          <w:rFonts w:eastAsia="Calibri"/>
        </w:rPr>
      </w:pPr>
      <w:r w:rsidRPr="005121EE">
        <w:rPr>
          <w:rFonts w:eastAsia="Calibri"/>
        </w:rPr>
        <w:t xml:space="preserve">State legislatures, governors, </w:t>
      </w:r>
      <w:r w:rsidR="004B313C">
        <w:rPr>
          <w:rFonts w:eastAsia="Calibri"/>
        </w:rPr>
        <w:t>and</w:t>
      </w:r>
      <w:r w:rsidRPr="005121EE">
        <w:rPr>
          <w:rFonts w:eastAsia="Calibri"/>
        </w:rPr>
        <w:t xml:space="preserve"> coordinating boards readily embraced these business management practices and subsequently implemented similar assessment policies for higher education</w:t>
      </w:r>
      <w:r w:rsidR="004B313C">
        <w:rPr>
          <w:rFonts w:eastAsia="Calibri"/>
        </w:rPr>
        <w:t>.</w:t>
      </w:r>
      <w:r w:rsidRPr="005121EE">
        <w:rPr>
          <w:rFonts w:eastAsia="Calibri"/>
        </w:rPr>
        <w:t xml:space="preserve"> </w:t>
      </w:r>
      <w:r w:rsidR="004B313C">
        <w:rPr>
          <w:rFonts w:eastAsia="Calibri"/>
        </w:rPr>
        <w:t xml:space="preserve"> </w:t>
      </w:r>
      <w:r w:rsidR="00557F59">
        <w:rPr>
          <w:rFonts w:eastAsia="Calibri"/>
        </w:rPr>
        <w:t>Yet these</w:t>
      </w:r>
      <w:r w:rsidRPr="005121EE">
        <w:rPr>
          <w:rFonts w:eastAsia="Calibri"/>
        </w:rPr>
        <w:t xml:space="preserve"> policies </w:t>
      </w:r>
      <w:r w:rsidR="00557F59">
        <w:rPr>
          <w:rFonts w:eastAsia="Calibri"/>
        </w:rPr>
        <w:t xml:space="preserve">were typically </w:t>
      </w:r>
      <w:r w:rsidRPr="005121EE">
        <w:rPr>
          <w:rFonts w:eastAsia="Calibri"/>
        </w:rPr>
        <w:t>set up</w:t>
      </w:r>
      <w:r w:rsidR="00557F59">
        <w:rPr>
          <w:rFonts w:eastAsia="Calibri"/>
        </w:rPr>
        <w:t xml:space="preserve"> by lawmakers</w:t>
      </w:r>
      <w:r w:rsidRPr="005121EE">
        <w:rPr>
          <w:rFonts w:eastAsia="Calibri"/>
        </w:rPr>
        <w:t xml:space="preserve"> to allow </w:t>
      </w:r>
      <w:r w:rsidR="00557F59">
        <w:rPr>
          <w:rFonts w:eastAsia="Calibri"/>
        </w:rPr>
        <w:t xml:space="preserve">the </w:t>
      </w:r>
      <w:r w:rsidRPr="005121EE">
        <w:rPr>
          <w:rFonts w:eastAsia="Calibri"/>
        </w:rPr>
        <w:t>c</w:t>
      </w:r>
      <w:r w:rsidR="00557F59">
        <w:rPr>
          <w:rFonts w:eastAsia="Calibri"/>
        </w:rPr>
        <w:t>ollege leaders</w:t>
      </w:r>
      <w:r w:rsidRPr="005121EE">
        <w:rPr>
          <w:rFonts w:eastAsia="Calibri"/>
        </w:rPr>
        <w:t xml:space="preserve"> </w:t>
      </w:r>
      <w:r w:rsidR="00557F59">
        <w:rPr>
          <w:rFonts w:eastAsia="Calibri"/>
        </w:rPr>
        <w:t xml:space="preserve">themselves the control </w:t>
      </w:r>
      <w:r w:rsidRPr="005121EE">
        <w:rPr>
          <w:rFonts w:eastAsia="Calibri"/>
        </w:rPr>
        <w:t>to determine how and what the</w:t>
      </w:r>
      <w:r w:rsidR="00557F59">
        <w:rPr>
          <w:rFonts w:eastAsia="Calibri"/>
        </w:rPr>
        <w:t xml:space="preserve"> policies were measuring</w:t>
      </w:r>
      <w:r w:rsidR="004B313C">
        <w:rPr>
          <w:rFonts w:eastAsia="Calibri"/>
        </w:rPr>
        <w:t xml:space="preserve"> </w:t>
      </w:r>
      <w:r w:rsidR="004B313C" w:rsidRPr="005121EE">
        <w:rPr>
          <w:rFonts w:eastAsia="Calibri"/>
        </w:rPr>
        <w:t xml:space="preserve">(Burke and </w:t>
      </w:r>
      <w:proofErr w:type="spellStart"/>
      <w:r w:rsidR="004B313C" w:rsidRPr="005121EE">
        <w:rPr>
          <w:rFonts w:eastAsia="Calibri"/>
        </w:rPr>
        <w:t>Minassians</w:t>
      </w:r>
      <w:proofErr w:type="spellEnd"/>
      <w:r w:rsidR="004B313C" w:rsidRPr="005121EE">
        <w:rPr>
          <w:rFonts w:eastAsia="Calibri"/>
        </w:rPr>
        <w:t>, 2002).</w:t>
      </w:r>
      <w:r w:rsidRPr="005121EE">
        <w:rPr>
          <w:rFonts w:eastAsia="Calibri"/>
        </w:rPr>
        <w:t xml:space="preserve">  This </w:t>
      </w:r>
      <w:r w:rsidR="009A610F">
        <w:rPr>
          <w:rFonts w:eastAsia="Calibri"/>
        </w:rPr>
        <w:t xml:space="preserve">autonomy was a </w:t>
      </w:r>
      <w:r w:rsidRPr="005121EE">
        <w:rPr>
          <w:rFonts w:eastAsia="Calibri"/>
        </w:rPr>
        <w:t xml:space="preserve">move by state government to show the public quick action </w:t>
      </w:r>
      <w:r w:rsidR="009A610F">
        <w:rPr>
          <w:rFonts w:eastAsia="Calibri"/>
        </w:rPr>
        <w:t>in</w:t>
      </w:r>
      <w:r w:rsidRPr="005121EE">
        <w:rPr>
          <w:rFonts w:eastAsia="Calibri"/>
        </w:rPr>
        <w:t xml:space="preserve"> applying accountability policies</w:t>
      </w:r>
      <w:r w:rsidR="00557F59">
        <w:rPr>
          <w:rFonts w:eastAsia="Calibri"/>
        </w:rPr>
        <w:t>,</w:t>
      </w:r>
      <w:r w:rsidRPr="005121EE">
        <w:rPr>
          <w:rFonts w:eastAsia="Calibri"/>
        </w:rPr>
        <w:t xml:space="preserve"> </w:t>
      </w:r>
      <w:r w:rsidR="009A610F">
        <w:rPr>
          <w:rFonts w:eastAsia="Calibri"/>
        </w:rPr>
        <w:t>while</w:t>
      </w:r>
      <w:r w:rsidRPr="005121EE">
        <w:rPr>
          <w:rFonts w:eastAsia="Calibri"/>
        </w:rPr>
        <w:t xml:space="preserve"> making colleges more likely to </w:t>
      </w:r>
      <w:r w:rsidR="009A610F">
        <w:rPr>
          <w:rFonts w:eastAsia="Calibri"/>
        </w:rPr>
        <w:t xml:space="preserve">approve the </w:t>
      </w:r>
      <w:r w:rsidRPr="005121EE">
        <w:rPr>
          <w:rFonts w:eastAsia="Calibri"/>
        </w:rPr>
        <w:t>mandate</w:t>
      </w:r>
      <w:r w:rsidR="009A610F">
        <w:rPr>
          <w:rFonts w:eastAsia="Calibri"/>
        </w:rPr>
        <w:t>d</w:t>
      </w:r>
      <w:r w:rsidRPr="005121EE">
        <w:rPr>
          <w:rFonts w:eastAsia="Calibri"/>
        </w:rPr>
        <w:t xml:space="preserve"> </w:t>
      </w:r>
      <w:r w:rsidR="009A610F">
        <w:rPr>
          <w:rFonts w:eastAsia="Calibri"/>
        </w:rPr>
        <w:t xml:space="preserve">metrics </w:t>
      </w:r>
      <w:r w:rsidR="00557F59">
        <w:rPr>
          <w:rFonts w:eastAsia="Calibri"/>
        </w:rPr>
        <w:t>by allowing them to be self-regulated (</w:t>
      </w:r>
      <w:r w:rsidRPr="005121EE">
        <w:rPr>
          <w:rFonts w:eastAsia="Calibri"/>
        </w:rPr>
        <w:t xml:space="preserve">Burke and </w:t>
      </w:r>
      <w:proofErr w:type="spellStart"/>
      <w:r w:rsidRPr="005121EE">
        <w:rPr>
          <w:rFonts w:eastAsia="Calibri"/>
        </w:rPr>
        <w:t>Minassians</w:t>
      </w:r>
      <w:proofErr w:type="spellEnd"/>
      <w:r w:rsidRPr="005121EE">
        <w:rPr>
          <w:rFonts w:eastAsia="Calibri"/>
        </w:rPr>
        <w:t xml:space="preserve">, 2002).   </w:t>
      </w:r>
    </w:p>
    <w:p w14:paraId="09DA2F89" w14:textId="77777777" w:rsidR="006B68B0" w:rsidRDefault="006B68B0" w:rsidP="006B68B0">
      <w:pPr>
        <w:spacing w:after="160" w:line="480" w:lineRule="auto"/>
        <w:ind w:firstLine="720"/>
        <w:rPr>
          <w:rFonts w:eastAsia="Calibri"/>
        </w:rPr>
      </w:pPr>
      <w:r w:rsidRPr="005121EE">
        <w:rPr>
          <w:rFonts w:eastAsia="Calibri"/>
        </w:rPr>
        <w:t>Following state government</w:t>
      </w:r>
      <w:r w:rsidR="004B313C">
        <w:rPr>
          <w:rFonts w:eastAsia="Calibri"/>
        </w:rPr>
        <w:t>’s lead</w:t>
      </w:r>
      <w:r w:rsidRPr="005121EE">
        <w:rPr>
          <w:rFonts w:eastAsia="Calibri"/>
        </w:rPr>
        <w:t xml:space="preserve">, through the 1980s and 1990s, all of the regional accrediting agencies also moved from looking at traditional process indicators to adopting student outcomes and effectiveness measures as criteria for college accreditation (Bogue and Hall, 2003).  The traditional accreditation process had been focused on inputs from student entrance exam scores, number of books held in libraries, faculty credentials, and campus governance processes (Burke and </w:t>
      </w:r>
      <w:proofErr w:type="spellStart"/>
      <w:r w:rsidRPr="005121EE">
        <w:rPr>
          <w:rFonts w:eastAsia="Calibri"/>
        </w:rPr>
        <w:t>Minassians</w:t>
      </w:r>
      <w:proofErr w:type="spellEnd"/>
      <w:r w:rsidRPr="005121EE">
        <w:rPr>
          <w:rFonts w:eastAsia="Calibri"/>
        </w:rPr>
        <w:t xml:space="preserve">, 2002).   Ultimately, all six regional accrediting agencies would require educational outcomes for accreditation (Burke and </w:t>
      </w:r>
      <w:proofErr w:type="spellStart"/>
      <w:r w:rsidRPr="005121EE">
        <w:rPr>
          <w:rFonts w:eastAsia="Calibri"/>
        </w:rPr>
        <w:t>Minassians</w:t>
      </w:r>
      <w:proofErr w:type="spellEnd"/>
      <w:r w:rsidRPr="005121EE">
        <w:rPr>
          <w:rFonts w:eastAsia="Calibri"/>
        </w:rPr>
        <w:t>, 2002).</w:t>
      </w:r>
      <w:r w:rsidR="00182317">
        <w:rPr>
          <w:rFonts w:eastAsia="Calibri"/>
        </w:rPr>
        <w:t xml:space="preserve">  </w:t>
      </w:r>
    </w:p>
    <w:p w14:paraId="125E40D6" w14:textId="77777777" w:rsidR="00394877" w:rsidRPr="00394877" w:rsidRDefault="00394877" w:rsidP="00394877">
      <w:pPr>
        <w:spacing w:after="160" w:line="480" w:lineRule="auto"/>
        <w:rPr>
          <w:rFonts w:eastAsia="Calibri"/>
          <w:b/>
        </w:rPr>
      </w:pPr>
      <w:r w:rsidRPr="00394877">
        <w:rPr>
          <w:rFonts w:eastAsia="Calibri"/>
          <w:b/>
        </w:rPr>
        <w:t>Changing State Political Characteristics</w:t>
      </w:r>
    </w:p>
    <w:p w14:paraId="44EA0FB5" w14:textId="77777777" w:rsidR="006B68B0" w:rsidRPr="005121EE" w:rsidRDefault="006B68B0" w:rsidP="006B68B0">
      <w:pPr>
        <w:spacing w:after="160" w:line="480" w:lineRule="auto"/>
        <w:ind w:firstLine="720"/>
        <w:rPr>
          <w:rFonts w:eastAsia="Calibri"/>
        </w:rPr>
      </w:pPr>
      <w:r w:rsidRPr="005121EE">
        <w:rPr>
          <w:rFonts w:eastAsia="Calibri"/>
        </w:rPr>
        <w:t>During this same time period, major changes were taking place in the characteristics and political makeup of state policymakers</w:t>
      </w:r>
      <w:r w:rsidR="00182317">
        <w:rPr>
          <w:rFonts w:eastAsia="Calibri"/>
        </w:rPr>
        <w:t xml:space="preserve"> that would </w:t>
      </w:r>
      <w:r w:rsidR="00A11B70">
        <w:rPr>
          <w:rFonts w:eastAsia="Calibri"/>
        </w:rPr>
        <w:t>further</w:t>
      </w:r>
      <w:r w:rsidR="00182317">
        <w:rPr>
          <w:rFonts w:eastAsia="Calibri"/>
        </w:rPr>
        <w:t xml:space="preserve"> i</w:t>
      </w:r>
      <w:r w:rsidR="00A11B70">
        <w:rPr>
          <w:rFonts w:eastAsia="Calibri"/>
        </w:rPr>
        <w:t xml:space="preserve">ncrease </w:t>
      </w:r>
      <w:r w:rsidR="00A11B70">
        <w:rPr>
          <w:rFonts w:eastAsia="Calibri"/>
        </w:rPr>
        <w:lastRenderedPageBreak/>
        <w:t>focus on public higher education outcomes</w:t>
      </w:r>
      <w:r w:rsidRPr="005121EE">
        <w:rPr>
          <w:rFonts w:eastAsia="Calibri"/>
        </w:rPr>
        <w:t>.  Elected governing officials were embracing the rapid advances in information and technology, were becoming better educated, and also were increasingly being elected from within the ranks of the Republican party (</w:t>
      </w:r>
      <w:proofErr w:type="spellStart"/>
      <w:r w:rsidRPr="005121EE">
        <w:rPr>
          <w:rFonts w:eastAsia="Calibri"/>
        </w:rPr>
        <w:t>McLendon</w:t>
      </w:r>
      <w:proofErr w:type="spellEnd"/>
      <w:r w:rsidRPr="005121EE">
        <w:rPr>
          <w:rFonts w:eastAsia="Calibri"/>
        </w:rPr>
        <w:t xml:space="preserve"> et al., 2006; Kazin et al., 2009; </w:t>
      </w:r>
      <w:proofErr w:type="spellStart"/>
      <w:r w:rsidRPr="005121EE">
        <w:rPr>
          <w:rFonts w:eastAsia="Calibri"/>
        </w:rPr>
        <w:t>Zumeta</w:t>
      </w:r>
      <w:proofErr w:type="spellEnd"/>
      <w:r w:rsidRPr="005121EE">
        <w:rPr>
          <w:rFonts w:eastAsia="Calibri"/>
        </w:rPr>
        <w:t>, 2011).</w:t>
      </w:r>
    </w:p>
    <w:p w14:paraId="626974E8" w14:textId="77777777" w:rsidR="006B68B0" w:rsidRPr="005121EE" w:rsidRDefault="006B68B0" w:rsidP="006B68B0">
      <w:pPr>
        <w:spacing w:after="160" w:line="480" w:lineRule="auto"/>
        <w:ind w:firstLine="720"/>
        <w:rPr>
          <w:rFonts w:eastAsia="Calibri"/>
        </w:rPr>
      </w:pPr>
      <w:r w:rsidRPr="005121EE">
        <w:rPr>
          <w:rFonts w:eastAsia="Calibri"/>
        </w:rPr>
        <w:t xml:space="preserve"> </w:t>
      </w:r>
      <w:r w:rsidR="00182317" w:rsidRPr="005121EE">
        <w:rPr>
          <w:rFonts w:eastAsia="Calibri"/>
        </w:rPr>
        <w:t>As compared to previous decades, the 1980s and 1990s state legislative bodies were much more professionalized, better educated, and had the technological means to analyze larger amounts of information in a shorter time period (</w:t>
      </w:r>
      <w:proofErr w:type="spellStart"/>
      <w:r w:rsidR="00182317" w:rsidRPr="005121EE">
        <w:rPr>
          <w:rFonts w:eastAsia="Calibri"/>
        </w:rPr>
        <w:t>McLendon</w:t>
      </w:r>
      <w:proofErr w:type="spellEnd"/>
      <w:r w:rsidR="00182317" w:rsidRPr="005121EE">
        <w:rPr>
          <w:rFonts w:eastAsia="Calibri"/>
        </w:rPr>
        <w:t xml:space="preserve"> et al., 2006; </w:t>
      </w:r>
      <w:proofErr w:type="spellStart"/>
      <w:r w:rsidR="00182317" w:rsidRPr="005121EE">
        <w:rPr>
          <w:rFonts w:eastAsia="Calibri"/>
        </w:rPr>
        <w:t>Zumeta</w:t>
      </w:r>
      <w:proofErr w:type="spellEnd"/>
      <w:r w:rsidR="00182317" w:rsidRPr="005121EE">
        <w:rPr>
          <w:rFonts w:eastAsia="Calibri"/>
        </w:rPr>
        <w:t xml:space="preserve">, 2011).  </w:t>
      </w:r>
      <w:r w:rsidR="00A11B70">
        <w:rPr>
          <w:rFonts w:eastAsia="Calibri"/>
        </w:rPr>
        <w:t>Along with</w:t>
      </w:r>
      <w:r w:rsidR="00182317">
        <w:rPr>
          <w:rFonts w:eastAsia="Calibri"/>
        </w:rPr>
        <w:t xml:space="preserve"> the </w:t>
      </w:r>
      <w:r w:rsidRPr="005121EE">
        <w:rPr>
          <w:rFonts w:eastAsia="Calibri"/>
        </w:rPr>
        <w:t xml:space="preserve">ability to take advantage of the analytical power from new technology tools such as desktop computers, </w:t>
      </w:r>
      <w:r w:rsidR="00A11B70">
        <w:rPr>
          <w:rFonts w:eastAsia="Calibri"/>
        </w:rPr>
        <w:t>a</w:t>
      </w:r>
      <w:r w:rsidR="00182317">
        <w:rPr>
          <w:rFonts w:eastAsia="Calibri"/>
        </w:rPr>
        <w:t>n</w:t>
      </w:r>
      <w:r w:rsidRPr="005121EE">
        <w:rPr>
          <w:rFonts w:eastAsia="Calibri"/>
        </w:rPr>
        <w:t xml:space="preserve"> increasingly larger number of lawmakers and their supporting staff were holding college degrees</w:t>
      </w:r>
      <w:r w:rsidR="00A11B70">
        <w:rPr>
          <w:rFonts w:eastAsia="Calibri"/>
        </w:rPr>
        <w:t>.  Computers and m</w:t>
      </w:r>
      <w:r w:rsidRPr="005121EE">
        <w:rPr>
          <w:rFonts w:eastAsia="Calibri"/>
        </w:rPr>
        <w:t xml:space="preserve">ore </w:t>
      </w:r>
      <w:r w:rsidR="00A11B70">
        <w:rPr>
          <w:rFonts w:eastAsia="Calibri"/>
        </w:rPr>
        <w:t xml:space="preserve">educated </w:t>
      </w:r>
      <w:r w:rsidRPr="005121EE">
        <w:rPr>
          <w:rFonts w:eastAsia="Calibri"/>
        </w:rPr>
        <w:t xml:space="preserve">staff </w:t>
      </w:r>
      <w:r w:rsidR="005402B2">
        <w:rPr>
          <w:rFonts w:eastAsia="Calibri"/>
        </w:rPr>
        <w:t xml:space="preserve">support </w:t>
      </w:r>
      <w:r w:rsidRPr="005121EE">
        <w:rPr>
          <w:rFonts w:eastAsia="Calibri"/>
        </w:rPr>
        <w:t xml:space="preserve">allowed for greater analysis of higher educational data, where </w:t>
      </w:r>
      <w:r w:rsidR="00A11B70">
        <w:rPr>
          <w:rFonts w:eastAsia="Calibri"/>
        </w:rPr>
        <w:t xml:space="preserve">college and university </w:t>
      </w:r>
      <w:r w:rsidRPr="005121EE">
        <w:rPr>
          <w:rFonts w:eastAsia="Calibri"/>
        </w:rPr>
        <w:t>efficiency problems could be analyzed and solutions proposed (</w:t>
      </w:r>
      <w:proofErr w:type="spellStart"/>
      <w:r w:rsidRPr="005121EE">
        <w:rPr>
          <w:rFonts w:eastAsia="Calibri"/>
        </w:rPr>
        <w:t>McLendon</w:t>
      </w:r>
      <w:proofErr w:type="spellEnd"/>
      <w:r w:rsidRPr="005121EE">
        <w:rPr>
          <w:rFonts w:eastAsia="Calibri"/>
        </w:rPr>
        <w:t xml:space="preserve"> et al., 2006; </w:t>
      </w:r>
      <w:proofErr w:type="spellStart"/>
      <w:r w:rsidRPr="005121EE">
        <w:rPr>
          <w:rFonts w:eastAsia="Calibri"/>
        </w:rPr>
        <w:t>Zumeta</w:t>
      </w:r>
      <w:proofErr w:type="spellEnd"/>
      <w:r w:rsidRPr="005121EE">
        <w:rPr>
          <w:rFonts w:eastAsia="Calibri"/>
        </w:rPr>
        <w:t xml:space="preserve">, 2011).   </w:t>
      </w:r>
    </w:p>
    <w:p w14:paraId="02B6E68A" w14:textId="77777777" w:rsidR="006B68B0" w:rsidRPr="005121EE" w:rsidRDefault="006B68B0" w:rsidP="006B68B0">
      <w:pPr>
        <w:spacing w:after="160" w:line="480" w:lineRule="auto"/>
        <w:ind w:firstLine="720"/>
        <w:rPr>
          <w:rFonts w:eastAsia="Calibri"/>
        </w:rPr>
      </w:pPr>
      <w:r w:rsidRPr="005121EE">
        <w:rPr>
          <w:rFonts w:eastAsia="Calibri"/>
        </w:rPr>
        <w:t>Additionally, with more legislators and their staffs being more educated and having earned college degrees, they had become less inclined to be submissive to academic leaders and trustees than had been the case in the past (</w:t>
      </w:r>
      <w:proofErr w:type="spellStart"/>
      <w:r w:rsidRPr="005121EE">
        <w:rPr>
          <w:rFonts w:eastAsia="Calibri"/>
        </w:rPr>
        <w:t>McLendon</w:t>
      </w:r>
      <w:proofErr w:type="spellEnd"/>
      <w:r w:rsidRPr="005121EE">
        <w:rPr>
          <w:rFonts w:eastAsia="Calibri"/>
        </w:rPr>
        <w:t xml:space="preserve"> et al., 2006; </w:t>
      </w:r>
      <w:proofErr w:type="spellStart"/>
      <w:r w:rsidRPr="005121EE">
        <w:rPr>
          <w:rFonts w:eastAsia="Calibri"/>
        </w:rPr>
        <w:t>Zumeta</w:t>
      </w:r>
      <w:proofErr w:type="spellEnd"/>
      <w:r w:rsidRPr="005121EE">
        <w:rPr>
          <w:rFonts w:eastAsia="Calibri"/>
        </w:rPr>
        <w:t>, 2011).  Thus, legislators who had become frustrated with escalating costs of higher education now had the means and disposition to investigate deeper into the administrative processes of institutions (</w:t>
      </w:r>
      <w:proofErr w:type="spellStart"/>
      <w:r w:rsidRPr="005121EE">
        <w:rPr>
          <w:rFonts w:eastAsia="Calibri"/>
        </w:rPr>
        <w:t>McLendon</w:t>
      </w:r>
      <w:proofErr w:type="spellEnd"/>
      <w:r w:rsidRPr="005121EE">
        <w:rPr>
          <w:rFonts w:eastAsia="Calibri"/>
        </w:rPr>
        <w:t xml:space="preserve"> et al., 2006; </w:t>
      </w:r>
      <w:proofErr w:type="spellStart"/>
      <w:r w:rsidRPr="005121EE">
        <w:rPr>
          <w:rFonts w:eastAsia="Calibri"/>
        </w:rPr>
        <w:t>Zumeta</w:t>
      </w:r>
      <w:proofErr w:type="spellEnd"/>
      <w:r w:rsidRPr="005121EE">
        <w:rPr>
          <w:rFonts w:eastAsia="Calibri"/>
        </w:rPr>
        <w:t xml:space="preserve">, 2011).  Accompanying this elevation in education, many states were beginning to see a majority swing toward conservatism in the makeup of their legislative and executive government offices (Kazin et al., 2009).      </w:t>
      </w:r>
    </w:p>
    <w:p w14:paraId="3DB6F215" w14:textId="77777777" w:rsidR="006B68B0" w:rsidRPr="005121EE" w:rsidRDefault="006B68B0" w:rsidP="006B68B0">
      <w:pPr>
        <w:spacing w:after="160" w:line="480" w:lineRule="auto"/>
        <w:ind w:firstLine="720"/>
        <w:rPr>
          <w:rFonts w:eastAsia="Calibri"/>
        </w:rPr>
      </w:pPr>
      <w:r w:rsidRPr="005121EE">
        <w:rPr>
          <w:rFonts w:eastAsia="Calibri"/>
        </w:rPr>
        <w:lastRenderedPageBreak/>
        <w:t>The 1980s were also the time from which many states were seeing growing public support of conservative values and a subsequent shift in political party rule from Democrats to Republicans (Kazin et al., 2009).  As a hallmark example of this shift, Ronald Reagan’s charm followed from his role governor of California to becoming President of the United States (Kazin et al., 2009).  During his time as governor of California from the late 1960s through mid-1970s, Reagan had pushed back against student protests on Vietnam and calls for affirmative action, and thus he was a champion in the movement for closer scrutiny of higher education and moving away from the traditional deference to higher education academia by state government (</w:t>
      </w:r>
      <w:proofErr w:type="spellStart"/>
      <w:r w:rsidRPr="005121EE">
        <w:rPr>
          <w:rFonts w:eastAsia="Calibri"/>
        </w:rPr>
        <w:t>Zumeta</w:t>
      </w:r>
      <w:proofErr w:type="spellEnd"/>
      <w:r w:rsidRPr="005121EE">
        <w:rPr>
          <w:rFonts w:eastAsia="Calibri"/>
        </w:rPr>
        <w:t xml:space="preserve">, 2011).  </w:t>
      </w:r>
    </w:p>
    <w:p w14:paraId="2E71E114" w14:textId="77777777" w:rsidR="006B68B0" w:rsidRPr="005121EE" w:rsidRDefault="006B68B0" w:rsidP="006B68B0">
      <w:pPr>
        <w:spacing w:after="160" w:line="480" w:lineRule="auto"/>
        <w:ind w:firstLine="720"/>
        <w:rPr>
          <w:rFonts w:eastAsia="Calibri"/>
        </w:rPr>
      </w:pPr>
      <w:r w:rsidRPr="005121EE">
        <w:rPr>
          <w:rFonts w:eastAsia="Calibri"/>
        </w:rPr>
        <w:t>This movement would play an important role in higher education</w:t>
      </w:r>
      <w:r w:rsidR="00A11B70">
        <w:rPr>
          <w:rFonts w:eastAsia="Calibri"/>
        </w:rPr>
        <w:t>,</w:t>
      </w:r>
      <w:r w:rsidRPr="005121EE">
        <w:rPr>
          <w:rFonts w:eastAsia="Calibri"/>
        </w:rPr>
        <w:t xml:space="preserve"> </w:t>
      </w:r>
      <w:r w:rsidR="00A11B70">
        <w:rPr>
          <w:rFonts w:eastAsia="Calibri"/>
        </w:rPr>
        <w:t>p</w:t>
      </w:r>
      <w:r w:rsidRPr="005121EE">
        <w:rPr>
          <w:rFonts w:eastAsia="Calibri"/>
        </w:rPr>
        <w:t xml:space="preserve">articularly with regard to student outcomes.  </w:t>
      </w:r>
      <w:r w:rsidR="00161412">
        <w:rPr>
          <w:rFonts w:eastAsia="Calibri"/>
        </w:rPr>
        <w:t>T</w:t>
      </w:r>
      <w:r w:rsidRPr="005121EE">
        <w:rPr>
          <w:rFonts w:eastAsia="Calibri"/>
        </w:rPr>
        <w:t>he higher the proportion of seats in a legislature that were held by Republicans, the more likely a state would adopt higher education performance policies (</w:t>
      </w:r>
      <w:proofErr w:type="spellStart"/>
      <w:r w:rsidRPr="005121EE">
        <w:rPr>
          <w:rFonts w:eastAsia="Calibri"/>
        </w:rPr>
        <w:t>McLendon</w:t>
      </w:r>
      <w:proofErr w:type="spellEnd"/>
      <w:r w:rsidRPr="005121EE">
        <w:rPr>
          <w:rFonts w:eastAsia="Calibri"/>
        </w:rPr>
        <w:t xml:space="preserve"> et al., 2006). Democratic strength, on the other hand, had been </w:t>
      </w:r>
      <w:r w:rsidR="00161412">
        <w:rPr>
          <w:rFonts w:eastAsia="Calibri"/>
        </w:rPr>
        <w:t xml:space="preserve">traditionally </w:t>
      </w:r>
      <w:r w:rsidRPr="005121EE">
        <w:rPr>
          <w:rFonts w:eastAsia="Calibri"/>
        </w:rPr>
        <w:t>associated with higher levels of state spending, including higher levels of spending on education (</w:t>
      </w:r>
      <w:proofErr w:type="spellStart"/>
      <w:r w:rsidRPr="005121EE">
        <w:rPr>
          <w:rFonts w:eastAsia="Calibri"/>
        </w:rPr>
        <w:t>McLendon</w:t>
      </w:r>
      <w:proofErr w:type="spellEnd"/>
      <w:r w:rsidRPr="005121EE">
        <w:rPr>
          <w:rFonts w:eastAsia="Calibri"/>
        </w:rPr>
        <w:t xml:space="preserve"> et al., 2006).  The Republican-led legislatures, for the most part, had been linked with implementing more tax policies that were seen as favorable to private businesses, and Republican legislatures were also more often found to be distrustful of public bureaucracy and of holding government entities more accountable regarding funding and purpose.  As performance policies in higher education align more closely with these bureaucratic suspicions and calls for accountability, it was </w:t>
      </w:r>
      <w:r w:rsidR="00161412">
        <w:rPr>
          <w:rFonts w:eastAsia="Calibri"/>
        </w:rPr>
        <w:t>not surprising</w:t>
      </w:r>
      <w:r w:rsidRPr="005121EE">
        <w:rPr>
          <w:rFonts w:eastAsia="Calibri"/>
        </w:rPr>
        <w:t xml:space="preserve"> that Republican led legislatures would more often implement such policies (</w:t>
      </w:r>
      <w:proofErr w:type="spellStart"/>
      <w:r w:rsidRPr="005121EE">
        <w:rPr>
          <w:rFonts w:eastAsia="Calibri"/>
        </w:rPr>
        <w:t>McLendon</w:t>
      </w:r>
      <w:proofErr w:type="spellEnd"/>
      <w:r w:rsidRPr="005121EE">
        <w:rPr>
          <w:rFonts w:eastAsia="Calibri"/>
        </w:rPr>
        <w:t xml:space="preserve"> et al., 2006).</w:t>
      </w:r>
    </w:p>
    <w:p w14:paraId="61D497C0" w14:textId="77777777" w:rsidR="006B68B0" w:rsidRPr="005121EE" w:rsidRDefault="006B68B0" w:rsidP="006B68B0">
      <w:pPr>
        <w:spacing w:after="160" w:line="480" w:lineRule="auto"/>
        <w:ind w:firstLine="720"/>
        <w:rPr>
          <w:rFonts w:eastAsia="Calibri"/>
        </w:rPr>
      </w:pPr>
      <w:r w:rsidRPr="005121EE">
        <w:rPr>
          <w:rFonts w:eastAsia="Calibri"/>
        </w:rPr>
        <w:lastRenderedPageBreak/>
        <w:t xml:space="preserve">Additionally, tuition </w:t>
      </w:r>
      <w:r w:rsidR="00161412">
        <w:rPr>
          <w:rFonts w:eastAsia="Calibri"/>
        </w:rPr>
        <w:t>costs</w:t>
      </w:r>
      <w:r w:rsidRPr="005121EE">
        <w:rPr>
          <w:rFonts w:eastAsia="Calibri"/>
        </w:rPr>
        <w:t xml:space="preserve"> during the 80’s and 90’s had been rising across the nation, in both public and private schools.  </w:t>
      </w:r>
      <w:r w:rsidR="00B7312B">
        <w:rPr>
          <w:rFonts w:eastAsia="Calibri"/>
        </w:rPr>
        <w:t>In search of cause for these cost increases, m</w:t>
      </w:r>
      <w:r w:rsidRPr="005121EE">
        <w:rPr>
          <w:rFonts w:eastAsia="Calibri"/>
        </w:rPr>
        <w:t xml:space="preserve">any state lawmakers, particularly those following the traditional Republican philosophies, would have an inherent distrust of public entities, and therefore more </w:t>
      </w:r>
      <w:r w:rsidR="00B7312B">
        <w:rPr>
          <w:rFonts w:eastAsia="Calibri"/>
        </w:rPr>
        <w:t xml:space="preserve">likely </w:t>
      </w:r>
      <w:r w:rsidRPr="005121EE">
        <w:rPr>
          <w:rFonts w:eastAsia="Calibri"/>
        </w:rPr>
        <w:t>to attribute rising tuition as an indication of bureaucratic inefficiencies (</w:t>
      </w:r>
      <w:proofErr w:type="spellStart"/>
      <w:r w:rsidRPr="005121EE">
        <w:rPr>
          <w:rFonts w:eastAsia="Calibri"/>
        </w:rPr>
        <w:t>McLendon</w:t>
      </w:r>
      <w:proofErr w:type="spellEnd"/>
      <w:r w:rsidRPr="005121EE">
        <w:rPr>
          <w:rFonts w:eastAsia="Calibri"/>
        </w:rPr>
        <w:t xml:space="preserve"> et al., 2006).  As such, these rising tuition charges would motivate these policymakers to push for performance accountability measures (</w:t>
      </w:r>
      <w:proofErr w:type="spellStart"/>
      <w:r w:rsidRPr="005121EE">
        <w:rPr>
          <w:rFonts w:eastAsia="Calibri"/>
        </w:rPr>
        <w:t>McLendon</w:t>
      </w:r>
      <w:proofErr w:type="spellEnd"/>
      <w:r w:rsidRPr="005121EE">
        <w:rPr>
          <w:rFonts w:eastAsia="Calibri"/>
        </w:rPr>
        <w:t xml:space="preserve"> et al., 2006).   </w:t>
      </w:r>
    </w:p>
    <w:p w14:paraId="33CE98A3" w14:textId="77777777" w:rsidR="006B68B0" w:rsidRPr="005121EE" w:rsidRDefault="006B68B0" w:rsidP="00394877">
      <w:pPr>
        <w:keepNext/>
        <w:spacing w:after="160" w:line="480" w:lineRule="auto"/>
        <w:jc w:val="center"/>
        <w:rPr>
          <w:rFonts w:eastAsia="Calibri"/>
          <w:b/>
        </w:rPr>
      </w:pPr>
      <w:r w:rsidRPr="005121EE">
        <w:rPr>
          <w:rFonts w:eastAsia="Calibri"/>
          <w:b/>
        </w:rPr>
        <w:t>Stakeholders</w:t>
      </w:r>
      <w:r w:rsidR="0069557D">
        <w:rPr>
          <w:rFonts w:eastAsia="Calibri"/>
          <w:b/>
        </w:rPr>
        <w:t xml:space="preserve"> </w:t>
      </w:r>
      <w:r w:rsidR="0084776B">
        <w:rPr>
          <w:rFonts w:eastAsia="Calibri"/>
          <w:b/>
        </w:rPr>
        <w:t>Perspectives of Student</w:t>
      </w:r>
      <w:r w:rsidR="0069557D">
        <w:rPr>
          <w:rFonts w:eastAsia="Calibri"/>
          <w:b/>
        </w:rPr>
        <w:t xml:space="preserve"> Outcomes</w:t>
      </w:r>
    </w:p>
    <w:p w14:paraId="17C270AC" w14:textId="77777777" w:rsidR="006B68B0" w:rsidRPr="005121EE" w:rsidRDefault="006B68B0" w:rsidP="00E73810">
      <w:pPr>
        <w:keepNext/>
        <w:spacing w:after="160" w:line="480" w:lineRule="auto"/>
        <w:ind w:firstLine="720"/>
        <w:rPr>
          <w:rFonts w:eastAsia="Calibri"/>
        </w:rPr>
      </w:pPr>
      <w:r w:rsidRPr="005121EE">
        <w:rPr>
          <w:rFonts w:eastAsia="Calibri"/>
        </w:rPr>
        <w:t xml:space="preserve">The key stakeholders involved in the outcomes focus include college students and their parents; alumni; state and federal government; college governing boards and accrediting agencies; non-profit organizations focused on higher education outcomes; and the </w:t>
      </w:r>
      <w:r w:rsidR="00D96866">
        <w:rPr>
          <w:rFonts w:eastAsia="Calibri"/>
        </w:rPr>
        <w:t>employers who</w:t>
      </w:r>
      <w:r w:rsidRPr="005121EE">
        <w:rPr>
          <w:rFonts w:eastAsia="Calibri"/>
        </w:rPr>
        <w:t xml:space="preserve"> rel</w:t>
      </w:r>
      <w:r w:rsidR="00D96866">
        <w:rPr>
          <w:rFonts w:eastAsia="Calibri"/>
        </w:rPr>
        <w:t>y</w:t>
      </w:r>
      <w:r w:rsidRPr="005121EE">
        <w:rPr>
          <w:rFonts w:eastAsia="Calibri"/>
        </w:rPr>
        <w:t xml:space="preserve"> on college graduates for filling positions within their organizations and that provide income directly to individuals through salaries and indirectly through tax dollars.  How these stakeholders are affected by the outcomes accountability can be better understood when grouping them into three broad categories:  academic; political; and corporate; as originally conceived by researcher Burton Clark (1983) and further refined by Joseph Burke (2005) and labeled “the Accountability Triangle”.  </w:t>
      </w:r>
    </w:p>
    <w:p w14:paraId="19692697" w14:textId="77777777" w:rsidR="006B68B0" w:rsidRPr="005121EE" w:rsidRDefault="00D96866" w:rsidP="006B68B0">
      <w:pPr>
        <w:spacing w:after="160" w:line="480" w:lineRule="auto"/>
        <w:ind w:firstLine="720"/>
        <w:rPr>
          <w:rFonts w:eastAsia="Calibri"/>
        </w:rPr>
      </w:pPr>
      <w:r>
        <w:rPr>
          <w:rFonts w:eastAsia="Calibri"/>
        </w:rPr>
        <w:t>As discussed, t</w:t>
      </w:r>
      <w:r w:rsidR="006B68B0" w:rsidRPr="005121EE">
        <w:rPr>
          <w:rFonts w:eastAsia="Calibri"/>
        </w:rPr>
        <w:t>he political corner of the triangle represents the “state priorities” and characterizes the public needs for higher education services.</w:t>
      </w:r>
      <w:r w:rsidR="00D021A0">
        <w:rPr>
          <w:rFonts w:eastAsia="Calibri"/>
        </w:rPr>
        <w:t xml:space="preserve">  </w:t>
      </w:r>
      <w:r w:rsidR="006B68B0" w:rsidRPr="005121EE">
        <w:rPr>
          <w:rFonts w:eastAsia="Calibri"/>
        </w:rPr>
        <w:t xml:space="preserve">This group consists of state and federal government officials but also of civic leaders outside government, such as heads of humanitarian organizations like the Lumina or Gates Foundations. </w:t>
      </w:r>
      <w:r w:rsidR="00D021A0">
        <w:rPr>
          <w:rFonts w:eastAsia="Calibri"/>
        </w:rPr>
        <w:t xml:space="preserve"> Outcomes </w:t>
      </w:r>
      <w:r w:rsidR="00D021A0">
        <w:rPr>
          <w:rFonts w:eastAsia="Calibri"/>
        </w:rPr>
        <w:lastRenderedPageBreak/>
        <w:t>accountability within the political corner are often used as a means for determining financial appropriation</w:t>
      </w:r>
      <w:r w:rsidR="00F776F0">
        <w:rPr>
          <w:rFonts w:eastAsia="Calibri"/>
        </w:rPr>
        <w:t xml:space="preserve"> to public colleges</w:t>
      </w:r>
      <w:r w:rsidR="00D021A0">
        <w:rPr>
          <w:rFonts w:eastAsia="Calibri"/>
        </w:rPr>
        <w:t xml:space="preserve"> </w:t>
      </w:r>
      <w:r w:rsidR="00F776F0" w:rsidRPr="005121EE">
        <w:rPr>
          <w:rFonts w:eastAsia="Calibri"/>
        </w:rPr>
        <w:t xml:space="preserve">(Ehrenberg, 2005; Dougherty, Jones, Lahr, </w:t>
      </w:r>
      <w:proofErr w:type="spellStart"/>
      <w:r w:rsidR="00F776F0" w:rsidRPr="005121EE">
        <w:rPr>
          <w:rFonts w:eastAsia="Calibri"/>
        </w:rPr>
        <w:t>Natow</w:t>
      </w:r>
      <w:proofErr w:type="spellEnd"/>
      <w:r w:rsidR="00F776F0" w:rsidRPr="005121EE">
        <w:rPr>
          <w:rFonts w:eastAsia="Calibri"/>
        </w:rPr>
        <w:t xml:space="preserve">, </w:t>
      </w:r>
      <w:proofErr w:type="spellStart"/>
      <w:r w:rsidR="00F776F0" w:rsidRPr="005121EE">
        <w:rPr>
          <w:rFonts w:eastAsia="Calibri"/>
        </w:rPr>
        <w:t>Pheatt</w:t>
      </w:r>
      <w:proofErr w:type="spellEnd"/>
      <w:r w:rsidR="00F776F0" w:rsidRPr="005121EE">
        <w:rPr>
          <w:rFonts w:eastAsia="Calibri"/>
        </w:rPr>
        <w:t>, and Reddy, 2014)</w:t>
      </w:r>
      <w:r w:rsidR="00D021A0">
        <w:rPr>
          <w:rFonts w:eastAsia="Calibri"/>
        </w:rPr>
        <w:t xml:space="preserve">. </w:t>
      </w:r>
      <w:r w:rsidR="006B68B0" w:rsidRPr="005121EE">
        <w:rPr>
          <w:rFonts w:eastAsia="Calibri"/>
        </w:rPr>
        <w:t>The academic corner is made up of the academic community, primarily faculty and administrators.</w:t>
      </w:r>
      <w:r w:rsidR="00D021A0">
        <w:rPr>
          <w:rFonts w:eastAsia="Calibri"/>
        </w:rPr>
        <w:t xml:space="preserve">  Here, student outcomes help</w:t>
      </w:r>
      <w:r w:rsidR="0070682A">
        <w:rPr>
          <w:rFonts w:eastAsia="Calibri"/>
        </w:rPr>
        <w:t xml:space="preserve"> faculty in assessing student learning outcomes and provide college boards and administrators measures of performance as gauged by timely degree completion </w:t>
      </w:r>
      <w:r w:rsidR="0070682A" w:rsidRPr="005121EE">
        <w:rPr>
          <w:rFonts w:eastAsia="Calibri"/>
        </w:rPr>
        <w:t>(</w:t>
      </w:r>
      <w:proofErr w:type="spellStart"/>
      <w:r w:rsidR="0070682A" w:rsidRPr="005121EE">
        <w:rPr>
          <w:rFonts w:eastAsia="Calibri"/>
        </w:rPr>
        <w:t>McLendon</w:t>
      </w:r>
      <w:proofErr w:type="spellEnd"/>
      <w:r w:rsidR="0070682A" w:rsidRPr="005121EE">
        <w:rPr>
          <w:rFonts w:eastAsia="Calibri"/>
        </w:rPr>
        <w:t xml:space="preserve"> et al., 2006; </w:t>
      </w:r>
      <w:proofErr w:type="spellStart"/>
      <w:r w:rsidR="0070682A" w:rsidRPr="005121EE">
        <w:rPr>
          <w:rFonts w:eastAsia="Calibri"/>
        </w:rPr>
        <w:t>Maio</w:t>
      </w:r>
      <w:proofErr w:type="spellEnd"/>
      <w:r w:rsidR="0070682A" w:rsidRPr="005121EE">
        <w:rPr>
          <w:rFonts w:eastAsia="Calibri"/>
        </w:rPr>
        <w:t>, 2012</w:t>
      </w:r>
      <w:proofErr w:type="gramStart"/>
      <w:r w:rsidR="0070682A" w:rsidRPr="005121EE">
        <w:rPr>
          <w:rFonts w:eastAsia="Calibri"/>
        </w:rPr>
        <w:t>)</w:t>
      </w:r>
      <w:r w:rsidR="0070682A">
        <w:rPr>
          <w:rFonts w:eastAsia="Calibri"/>
        </w:rPr>
        <w:t xml:space="preserve"> .</w:t>
      </w:r>
      <w:proofErr w:type="gramEnd"/>
      <w:r w:rsidR="00D021A0">
        <w:rPr>
          <w:rFonts w:eastAsia="Calibri"/>
        </w:rPr>
        <w:t xml:space="preserve"> </w:t>
      </w:r>
      <w:r w:rsidR="006B68B0" w:rsidRPr="005121EE">
        <w:rPr>
          <w:rFonts w:eastAsia="Calibri"/>
        </w:rPr>
        <w:t xml:space="preserve"> The market corner contains all college students, parents, and businesses, as well as other clients of colleges and universities (Burke, 2005).</w:t>
      </w:r>
      <w:r w:rsidR="00D021A0">
        <w:rPr>
          <w:rFonts w:eastAsia="Calibri"/>
        </w:rPr>
        <w:t xml:space="preserve">  </w:t>
      </w:r>
      <w:r w:rsidR="0070682A">
        <w:rPr>
          <w:rFonts w:eastAsia="Calibri"/>
        </w:rPr>
        <w:t>Popular college ranking publications</w:t>
      </w:r>
      <w:r w:rsidR="00D021A0">
        <w:rPr>
          <w:rFonts w:eastAsia="Calibri"/>
        </w:rPr>
        <w:t xml:space="preserve"> are </w:t>
      </w:r>
      <w:r w:rsidR="0070682A">
        <w:rPr>
          <w:rFonts w:eastAsia="Calibri"/>
        </w:rPr>
        <w:t xml:space="preserve">a </w:t>
      </w:r>
      <w:r w:rsidR="00D021A0">
        <w:rPr>
          <w:rFonts w:eastAsia="Calibri"/>
        </w:rPr>
        <w:t xml:space="preserve">primary </w:t>
      </w:r>
      <w:r w:rsidR="00F776F0">
        <w:rPr>
          <w:rFonts w:eastAsia="Calibri"/>
        </w:rPr>
        <w:t xml:space="preserve">tool of the market corner in utilizing </w:t>
      </w:r>
      <w:r w:rsidR="00D021A0">
        <w:rPr>
          <w:rFonts w:eastAsia="Calibri"/>
        </w:rPr>
        <w:t>student outcomes</w:t>
      </w:r>
      <w:r w:rsidR="00F776F0">
        <w:rPr>
          <w:rFonts w:eastAsia="Calibri"/>
        </w:rPr>
        <w:t xml:space="preserve"> such as graduation rates </w:t>
      </w:r>
      <w:r w:rsidR="00F776F0" w:rsidRPr="005121EE">
        <w:rPr>
          <w:rFonts w:eastAsia="Calibri"/>
        </w:rPr>
        <w:t xml:space="preserve">(McDonough, Antonio, and </w:t>
      </w:r>
      <w:proofErr w:type="spellStart"/>
      <w:r w:rsidR="00F776F0" w:rsidRPr="005121EE">
        <w:rPr>
          <w:rFonts w:eastAsia="Calibri"/>
        </w:rPr>
        <w:t>Horvat</w:t>
      </w:r>
      <w:proofErr w:type="spellEnd"/>
      <w:r w:rsidR="00F776F0" w:rsidRPr="005121EE">
        <w:rPr>
          <w:rFonts w:eastAsia="Calibri"/>
        </w:rPr>
        <w:t>, 1996)</w:t>
      </w:r>
      <w:r w:rsidR="00F776F0">
        <w:rPr>
          <w:rFonts w:eastAsia="Calibri"/>
        </w:rPr>
        <w:t>.</w:t>
      </w:r>
      <w:r w:rsidR="006B68B0" w:rsidRPr="005121EE">
        <w:rPr>
          <w:rFonts w:eastAsia="Calibri"/>
        </w:rPr>
        <w:t xml:space="preserve">     </w:t>
      </w:r>
    </w:p>
    <w:p w14:paraId="71FA39DB" w14:textId="77777777" w:rsidR="006B68B0" w:rsidRPr="005121EE" w:rsidRDefault="006B68B0" w:rsidP="00394877">
      <w:pPr>
        <w:spacing w:after="160" w:line="480" w:lineRule="auto"/>
        <w:jc w:val="center"/>
        <w:rPr>
          <w:rFonts w:eastAsia="Calibri"/>
          <w:b/>
        </w:rPr>
      </w:pPr>
      <w:r w:rsidRPr="005121EE">
        <w:rPr>
          <w:rFonts w:eastAsia="Calibri"/>
          <w:b/>
        </w:rPr>
        <w:t xml:space="preserve">Incentives and Methods Used to Increase Focus on Outcomes </w:t>
      </w:r>
      <w:proofErr w:type="gramStart"/>
      <w:r w:rsidRPr="005121EE">
        <w:rPr>
          <w:rFonts w:eastAsia="Calibri"/>
          <w:b/>
        </w:rPr>
        <w:t>vs</w:t>
      </w:r>
      <w:proofErr w:type="gramEnd"/>
      <w:r w:rsidRPr="005121EE">
        <w:rPr>
          <w:rFonts w:eastAsia="Calibri"/>
          <w:b/>
        </w:rPr>
        <w:t xml:space="preserve"> Enrollment</w:t>
      </w:r>
    </w:p>
    <w:p w14:paraId="278A7FF2" w14:textId="77777777" w:rsidR="006B68B0" w:rsidRPr="005121EE" w:rsidRDefault="006B68B0" w:rsidP="006B68B0">
      <w:pPr>
        <w:spacing w:after="160" w:line="480" w:lineRule="auto"/>
        <w:ind w:firstLine="720"/>
        <w:rPr>
          <w:rFonts w:eastAsia="Calibri"/>
        </w:rPr>
      </w:pPr>
      <w:r w:rsidRPr="005121EE">
        <w:rPr>
          <w:rFonts w:eastAsia="Calibri"/>
        </w:rPr>
        <w:t xml:space="preserve">While there </w:t>
      </w:r>
      <w:proofErr w:type="gramStart"/>
      <w:r w:rsidRPr="005121EE">
        <w:rPr>
          <w:rFonts w:eastAsia="Calibri"/>
        </w:rPr>
        <w:t>are</w:t>
      </w:r>
      <w:proofErr w:type="gramEnd"/>
      <w:r w:rsidRPr="005121EE">
        <w:rPr>
          <w:rFonts w:eastAsia="Calibri"/>
        </w:rPr>
        <w:t xml:space="preserve"> a wide array of instruments, incentives, and methods used over the past decade for attempting to measure assessment and provide public accountability among higher education institutions, those that primarily focus on, or are scored most heavily on, retention and graduation rates as student outcomes will be discussed here.</w:t>
      </w:r>
    </w:p>
    <w:p w14:paraId="075B2449" w14:textId="77777777" w:rsidR="006B68B0" w:rsidRPr="005121EE" w:rsidRDefault="006B68B0" w:rsidP="006B68B0">
      <w:pPr>
        <w:spacing w:after="160" w:line="480" w:lineRule="auto"/>
        <w:ind w:firstLine="720"/>
        <w:rPr>
          <w:rFonts w:eastAsia="Calibri"/>
        </w:rPr>
      </w:pPr>
      <w:r w:rsidRPr="005121EE">
        <w:rPr>
          <w:rFonts w:eastAsia="Calibri"/>
        </w:rPr>
        <w:t xml:space="preserve">Some of the more recent and prominent examples of outcomes focused accountability methods – created by both public and private agencies – are: performance funding policies found in a number of states; the College Affordability and Transparency Center and its “College Scorecard”; Education Trust and its “CollegeResults.org”; National Center for Educational Statistics (NCES) and its Integrated Postsecondary Education Data System (IPEDS); and U.S. News and World Report’s (USNWR) America’s Best Colleges annual print and online ranking of colleges and universities.  </w:t>
      </w:r>
      <w:r w:rsidRPr="005121EE">
        <w:rPr>
          <w:rFonts w:eastAsia="Calibri"/>
        </w:rPr>
        <w:lastRenderedPageBreak/>
        <w:t xml:space="preserve">These measures of output achievement were created for various audiences, and they each serve a specific purpose to one or more of the three corners of the stakeholder accountability triangle (Burke, 2005; Campbell 2015).  Each stakeholder group has its distinctive reasons for using these incentives, as an example of a method from each corner will highlight.  </w:t>
      </w:r>
    </w:p>
    <w:p w14:paraId="4E8BAEEE" w14:textId="77777777" w:rsidR="00394877" w:rsidRDefault="006B68B0" w:rsidP="00394877">
      <w:pPr>
        <w:spacing w:after="160" w:line="480" w:lineRule="auto"/>
        <w:rPr>
          <w:rFonts w:eastAsia="Calibri"/>
        </w:rPr>
      </w:pPr>
      <w:r w:rsidRPr="005121EE">
        <w:rPr>
          <w:rFonts w:eastAsia="Calibri"/>
          <w:b/>
        </w:rPr>
        <w:t>P</w:t>
      </w:r>
      <w:r w:rsidR="00394877">
        <w:rPr>
          <w:rFonts w:eastAsia="Calibri"/>
          <w:b/>
        </w:rPr>
        <w:t>olitical - Performance Funding</w:t>
      </w:r>
    </w:p>
    <w:p w14:paraId="5FC2B2F5" w14:textId="77777777" w:rsidR="006B68B0" w:rsidRPr="005121EE" w:rsidRDefault="006B68B0" w:rsidP="006B68B0">
      <w:pPr>
        <w:spacing w:after="160" w:line="480" w:lineRule="auto"/>
        <w:ind w:firstLine="720"/>
        <w:rPr>
          <w:rFonts w:eastAsia="Calibri"/>
        </w:rPr>
      </w:pPr>
      <w:r w:rsidRPr="005121EE">
        <w:rPr>
          <w:rFonts w:eastAsia="Calibri"/>
        </w:rPr>
        <w:t xml:space="preserve">Mounting constituent </w:t>
      </w:r>
      <w:r w:rsidR="006B271C">
        <w:rPr>
          <w:rFonts w:eastAsia="Calibri"/>
        </w:rPr>
        <w:t>pressure</w:t>
      </w:r>
      <w:r w:rsidRPr="005121EE">
        <w:rPr>
          <w:rFonts w:eastAsia="Calibri"/>
        </w:rPr>
        <w:t xml:space="preserve"> for state government to hold public higher education accountable led to the design and practice of student outcomes-based performance funding. First implemented in Tennessee in 1979, the objective of these policies was to give authority to state legislatures to mandate higher education institutions collect and report student outcomes information as the basis for receiving state funding.  A greater percentage of state appropriations was to flow to institutions with the highest measures of student outcomes</w:t>
      </w:r>
      <w:r w:rsidR="00DA33ED">
        <w:rPr>
          <w:rFonts w:eastAsia="Calibri"/>
        </w:rPr>
        <w:t>;</w:t>
      </w:r>
      <w:r w:rsidRPr="005121EE">
        <w:rPr>
          <w:rFonts w:eastAsia="Calibri"/>
        </w:rPr>
        <w:t xml:space="preserve"> particularly student retention, graduation rates</w:t>
      </w:r>
      <w:r w:rsidR="00DA33ED">
        <w:rPr>
          <w:rFonts w:eastAsia="Calibri"/>
        </w:rPr>
        <w:t>,</w:t>
      </w:r>
      <w:r w:rsidRPr="005121EE">
        <w:rPr>
          <w:rFonts w:eastAsia="Calibri"/>
        </w:rPr>
        <w:t xml:space="preserve"> and degree</w:t>
      </w:r>
      <w:r w:rsidR="00DA33ED">
        <w:rPr>
          <w:rFonts w:eastAsia="Calibri"/>
        </w:rPr>
        <w:t>s</w:t>
      </w:r>
      <w:r w:rsidRPr="005121EE">
        <w:rPr>
          <w:rFonts w:eastAsia="Calibri"/>
        </w:rPr>
        <w:t xml:space="preserve"> </w:t>
      </w:r>
      <w:r w:rsidR="00DA33ED">
        <w:rPr>
          <w:rFonts w:eastAsia="Calibri"/>
        </w:rPr>
        <w:t>awarded</w:t>
      </w:r>
      <w:r w:rsidRPr="005121EE">
        <w:rPr>
          <w:rFonts w:eastAsia="Calibri"/>
        </w:rPr>
        <w:t xml:space="preserve">.  In </w:t>
      </w:r>
      <w:r w:rsidRPr="007D19F6">
        <w:rPr>
          <w:rFonts w:eastAsia="Calibri"/>
        </w:rPr>
        <w:t xml:space="preserve">contrast, the customary method of higher education funding had been tied to enrollment levels – the schools with the most students were given the most money (Dumont, 1980; Miao, 2012).  </w:t>
      </w:r>
    </w:p>
    <w:p w14:paraId="4B583A51" w14:textId="77777777" w:rsidR="006B68B0" w:rsidRPr="005121EE" w:rsidRDefault="006B68B0" w:rsidP="006B68B0">
      <w:pPr>
        <w:spacing w:after="160" w:line="480" w:lineRule="auto"/>
        <w:ind w:firstLine="720"/>
        <w:rPr>
          <w:rFonts w:eastAsia="Calibri"/>
        </w:rPr>
      </w:pPr>
      <w:r w:rsidRPr="005121EE">
        <w:rPr>
          <w:rFonts w:eastAsia="Calibri"/>
        </w:rPr>
        <w:t xml:space="preserve">The initial versions of these performance-based polices were ultimately found to be too generally defined; not structured to allow for different mission types and student population differences within the different state public institutions.  </w:t>
      </w:r>
      <w:proofErr w:type="gramStart"/>
      <w:r w:rsidRPr="005121EE">
        <w:rPr>
          <w:rFonts w:eastAsia="Calibri"/>
        </w:rPr>
        <w:t>Therefore</w:t>
      </w:r>
      <w:proofErr w:type="gramEnd"/>
      <w:r w:rsidRPr="005121EE">
        <w:rPr>
          <w:rFonts w:eastAsia="Calibri"/>
        </w:rPr>
        <w:t xml:space="preserve"> some schools were being penalized that were inherently perpetually bound to have lower graduation rates due to their student populations, such as community colleges and 4-year schools that drew students from low-income areas.   </w:t>
      </w:r>
      <w:r w:rsidR="00697AC2">
        <w:rPr>
          <w:rFonts w:eastAsia="Calibri"/>
        </w:rPr>
        <w:t>N</w:t>
      </w:r>
      <w:r w:rsidRPr="005121EE">
        <w:rPr>
          <w:rFonts w:eastAsia="Calibri"/>
        </w:rPr>
        <w:t xml:space="preserve">ewer models of performance </w:t>
      </w:r>
      <w:r w:rsidRPr="005121EE">
        <w:rPr>
          <w:rFonts w:eastAsia="Calibri"/>
        </w:rPr>
        <w:lastRenderedPageBreak/>
        <w:t xml:space="preserve">funding </w:t>
      </w:r>
      <w:r w:rsidR="00697AC2">
        <w:rPr>
          <w:rFonts w:eastAsia="Calibri"/>
        </w:rPr>
        <w:t>place</w:t>
      </w:r>
      <w:r w:rsidRPr="005121EE">
        <w:rPr>
          <w:rFonts w:eastAsia="Calibri"/>
        </w:rPr>
        <w:t xml:space="preserve"> a greater emphasis on progress indicators, such as course completion and credits earned.  This has rewarded schools for showing progress performance versus having to achieve a one-size-fits-all benchmark figure (</w:t>
      </w:r>
      <w:proofErr w:type="spellStart"/>
      <w:r w:rsidRPr="005121EE">
        <w:rPr>
          <w:rFonts w:eastAsia="Calibri"/>
        </w:rPr>
        <w:t>Harnisch</w:t>
      </w:r>
      <w:proofErr w:type="spellEnd"/>
      <w:r w:rsidRPr="005121EE">
        <w:rPr>
          <w:rFonts w:eastAsia="Calibri"/>
        </w:rPr>
        <w:t xml:space="preserve">, 2011; Miao, 2012; Rutherford and </w:t>
      </w:r>
      <w:proofErr w:type="spellStart"/>
      <w:r w:rsidRPr="005121EE">
        <w:rPr>
          <w:rFonts w:eastAsia="Calibri"/>
        </w:rPr>
        <w:t>Rabovsky</w:t>
      </w:r>
      <w:proofErr w:type="spellEnd"/>
      <w:r w:rsidRPr="005121EE">
        <w:rPr>
          <w:rFonts w:eastAsia="Calibri"/>
        </w:rPr>
        <w:t xml:space="preserve">, 2014).   </w:t>
      </w:r>
    </w:p>
    <w:p w14:paraId="12C2230D" w14:textId="77777777" w:rsidR="00394877" w:rsidRDefault="006B68B0" w:rsidP="00394877">
      <w:pPr>
        <w:spacing w:after="160" w:line="480" w:lineRule="auto"/>
        <w:rPr>
          <w:rFonts w:eastAsia="Calibri"/>
          <w:b/>
        </w:rPr>
      </w:pPr>
      <w:r w:rsidRPr="005121EE">
        <w:rPr>
          <w:rFonts w:eastAsia="Calibri"/>
          <w:b/>
        </w:rPr>
        <w:t xml:space="preserve">Market - Public Rankings  </w:t>
      </w:r>
    </w:p>
    <w:p w14:paraId="3CC7533C" w14:textId="77777777" w:rsidR="006B68B0" w:rsidRPr="005121EE" w:rsidRDefault="006B68B0" w:rsidP="006B68B0">
      <w:pPr>
        <w:spacing w:after="160" w:line="480" w:lineRule="auto"/>
        <w:ind w:firstLine="720"/>
        <w:rPr>
          <w:rFonts w:eastAsia="Calibri"/>
        </w:rPr>
      </w:pPr>
      <w:r w:rsidRPr="005121EE">
        <w:rPr>
          <w:rFonts w:eastAsia="Calibri"/>
        </w:rPr>
        <w:t xml:space="preserve">Student retention and graduation rates collectively represent the largest sub-score percentage (25%) of the </w:t>
      </w:r>
      <w:r w:rsidR="00697AC2">
        <w:rPr>
          <w:rFonts w:eastAsia="Calibri"/>
        </w:rPr>
        <w:t xml:space="preserve">analysis used for the </w:t>
      </w:r>
      <w:r w:rsidRPr="005121EE">
        <w:rPr>
          <w:rFonts w:eastAsia="Calibri"/>
        </w:rPr>
        <w:t>U.S. News and World Report’s (USNWR) America’s Best Colleges ranking</w:t>
      </w:r>
      <w:r w:rsidR="00697AC2">
        <w:rPr>
          <w:rFonts w:eastAsia="Calibri"/>
        </w:rPr>
        <w:t>s</w:t>
      </w:r>
      <w:r w:rsidRPr="005121EE">
        <w:rPr>
          <w:rFonts w:eastAsia="Calibri"/>
        </w:rPr>
        <w:t xml:space="preserve">.  As noted by Patricia McDonough in her 1998 study, “College Rankings:  Democratized College Knowledge for Whom?”, there is no surprise that in an age </w:t>
      </w:r>
      <w:r w:rsidR="005729FA">
        <w:rPr>
          <w:rFonts w:eastAsia="Calibri"/>
        </w:rPr>
        <w:t xml:space="preserve">of </w:t>
      </w:r>
      <w:r w:rsidRPr="005121EE">
        <w:rPr>
          <w:rFonts w:eastAsia="Calibri"/>
        </w:rPr>
        <w:t xml:space="preserve">instant access to information, there is </w:t>
      </w:r>
      <w:r w:rsidR="005729FA">
        <w:rPr>
          <w:rFonts w:eastAsia="Calibri"/>
        </w:rPr>
        <w:t xml:space="preserve">a </w:t>
      </w:r>
      <w:r w:rsidR="00D6422D">
        <w:rPr>
          <w:rFonts w:eastAsia="Calibri"/>
        </w:rPr>
        <w:t xml:space="preserve">demand for </w:t>
      </w:r>
      <w:r w:rsidR="005729FA">
        <w:rPr>
          <w:rFonts w:eastAsia="Calibri"/>
        </w:rPr>
        <w:t xml:space="preserve">quick and easy data to </w:t>
      </w:r>
      <w:r w:rsidRPr="005121EE">
        <w:rPr>
          <w:rFonts w:eastAsia="Calibri"/>
        </w:rPr>
        <w:t xml:space="preserve">help </w:t>
      </w:r>
      <w:r w:rsidR="005729FA">
        <w:rPr>
          <w:rFonts w:eastAsia="Calibri"/>
        </w:rPr>
        <w:t>students and parents</w:t>
      </w:r>
      <w:r w:rsidRPr="005121EE">
        <w:rPr>
          <w:rFonts w:eastAsia="Calibri"/>
        </w:rPr>
        <w:t xml:space="preserve"> determin</w:t>
      </w:r>
      <w:r w:rsidR="005729FA">
        <w:rPr>
          <w:rFonts w:eastAsia="Calibri"/>
        </w:rPr>
        <w:t>e a</w:t>
      </w:r>
      <w:r w:rsidRPr="005121EE">
        <w:rPr>
          <w:rFonts w:eastAsia="Calibri"/>
        </w:rPr>
        <w:t xml:space="preserve"> college</w:t>
      </w:r>
      <w:r w:rsidR="005729FA">
        <w:rPr>
          <w:rFonts w:eastAsia="Calibri"/>
        </w:rPr>
        <w:t>’s</w:t>
      </w:r>
      <w:r w:rsidRPr="005121EE">
        <w:rPr>
          <w:rFonts w:eastAsia="Calibri"/>
        </w:rPr>
        <w:t xml:space="preserve"> perceived quality and value (McDonough</w:t>
      </w:r>
      <w:r w:rsidR="001A3218" w:rsidRPr="005121EE">
        <w:rPr>
          <w:rFonts w:eastAsia="Calibri"/>
        </w:rPr>
        <w:t>, Antonio,</w:t>
      </w:r>
      <w:r w:rsidRPr="005121EE">
        <w:rPr>
          <w:rFonts w:eastAsia="Calibri"/>
        </w:rPr>
        <w:t xml:space="preserve"> and </w:t>
      </w:r>
      <w:proofErr w:type="spellStart"/>
      <w:r w:rsidRPr="005121EE">
        <w:rPr>
          <w:rFonts w:eastAsia="Calibri"/>
        </w:rPr>
        <w:t>Horvat</w:t>
      </w:r>
      <w:proofErr w:type="spellEnd"/>
      <w:r w:rsidRPr="005121EE">
        <w:rPr>
          <w:rFonts w:eastAsia="Calibri"/>
        </w:rPr>
        <w:t xml:space="preserve">, 1996).   </w:t>
      </w:r>
    </w:p>
    <w:p w14:paraId="45D0F066" w14:textId="77777777" w:rsidR="006B68B0" w:rsidRPr="005121EE" w:rsidRDefault="005729FA" w:rsidP="006B68B0">
      <w:pPr>
        <w:spacing w:after="160" w:line="480" w:lineRule="auto"/>
        <w:ind w:firstLine="720"/>
        <w:rPr>
          <w:rFonts w:eastAsia="Calibri"/>
        </w:rPr>
      </w:pPr>
      <w:r>
        <w:rPr>
          <w:rFonts w:eastAsia="Calibri"/>
        </w:rPr>
        <w:t>Filling this need, a</w:t>
      </w:r>
      <w:r w:rsidR="006B68B0" w:rsidRPr="005121EE">
        <w:rPr>
          <w:rFonts w:eastAsia="Calibri"/>
        </w:rPr>
        <w:t xml:space="preserve"> college’s ranked score can be an easy way to judge its reputation</w:t>
      </w:r>
      <w:r>
        <w:rPr>
          <w:rFonts w:eastAsia="Calibri"/>
        </w:rPr>
        <w:t xml:space="preserve"> and, right or wrong, its quality and value</w:t>
      </w:r>
      <w:r w:rsidR="006B68B0" w:rsidRPr="005121EE">
        <w:rPr>
          <w:rFonts w:eastAsia="Calibri"/>
        </w:rPr>
        <w:t>.  This perceived reputation serves as a hopeful guarantee of quality to the prospective student and their parents (</w:t>
      </w:r>
      <w:proofErr w:type="spellStart"/>
      <w:r w:rsidR="006B68B0" w:rsidRPr="005121EE">
        <w:rPr>
          <w:rFonts w:eastAsia="Calibri"/>
        </w:rPr>
        <w:t>Fombrun</w:t>
      </w:r>
      <w:proofErr w:type="spellEnd"/>
      <w:r w:rsidR="006B68B0" w:rsidRPr="005121EE">
        <w:rPr>
          <w:rFonts w:eastAsia="Calibri"/>
        </w:rPr>
        <w:t xml:space="preserve">, 1996).  The </w:t>
      </w:r>
      <w:r>
        <w:rPr>
          <w:rFonts w:eastAsia="Calibri"/>
        </w:rPr>
        <w:t>college</w:t>
      </w:r>
      <w:r w:rsidR="006B68B0" w:rsidRPr="005121EE">
        <w:rPr>
          <w:rFonts w:eastAsia="Calibri"/>
        </w:rPr>
        <w:t xml:space="preserve"> will</w:t>
      </w:r>
      <w:r>
        <w:rPr>
          <w:rFonts w:eastAsia="Calibri"/>
        </w:rPr>
        <w:t>,</w:t>
      </w:r>
      <w:r w:rsidR="006B68B0" w:rsidRPr="005121EE">
        <w:rPr>
          <w:rFonts w:eastAsia="Calibri"/>
        </w:rPr>
        <w:t xml:space="preserve"> in turn</w:t>
      </w:r>
      <w:r>
        <w:rPr>
          <w:rFonts w:eastAsia="Calibri"/>
        </w:rPr>
        <w:t>,</w:t>
      </w:r>
      <w:r w:rsidR="006B68B0" w:rsidRPr="005121EE">
        <w:rPr>
          <w:rFonts w:eastAsia="Calibri"/>
        </w:rPr>
        <w:t xml:space="preserve"> competitively market this perceived reputation to maximize its effect.  Without the benefit of an easy-to-compare measure such as USNWR’s rankings, the public has a difficult time trying to evaluate the relative services of universities</w:t>
      </w:r>
      <w:r>
        <w:rPr>
          <w:rFonts w:eastAsia="Calibri"/>
        </w:rPr>
        <w:t>,</w:t>
      </w:r>
      <w:r w:rsidR="006B68B0" w:rsidRPr="005121EE">
        <w:rPr>
          <w:rFonts w:eastAsia="Calibri"/>
        </w:rPr>
        <w:t xml:space="preserve"> and the universities have a hard time trying to promote their product and their relative merits over other similar schools with similar products.  </w:t>
      </w:r>
      <w:r>
        <w:rPr>
          <w:rFonts w:eastAsia="Calibri"/>
        </w:rPr>
        <w:t>M</w:t>
      </w:r>
      <w:r w:rsidR="006B68B0" w:rsidRPr="005121EE">
        <w:rPr>
          <w:rFonts w:eastAsia="Calibri"/>
        </w:rPr>
        <w:t xml:space="preserve">arketing </w:t>
      </w:r>
      <w:r>
        <w:rPr>
          <w:rFonts w:eastAsia="Calibri"/>
        </w:rPr>
        <w:t>research</w:t>
      </w:r>
      <w:r w:rsidR="006B68B0" w:rsidRPr="005121EE">
        <w:rPr>
          <w:rFonts w:eastAsia="Calibri"/>
        </w:rPr>
        <w:t xml:space="preserve"> </w:t>
      </w:r>
      <w:r>
        <w:rPr>
          <w:rFonts w:eastAsia="Calibri"/>
        </w:rPr>
        <w:t>indicates</w:t>
      </w:r>
      <w:r w:rsidR="006B68B0" w:rsidRPr="005121EE">
        <w:rPr>
          <w:rFonts w:eastAsia="Calibri"/>
        </w:rPr>
        <w:t xml:space="preserve"> that these types of published rankings help the public reduce the </w:t>
      </w:r>
      <w:r>
        <w:rPr>
          <w:rFonts w:eastAsia="Calibri"/>
        </w:rPr>
        <w:t>efforts spent</w:t>
      </w:r>
      <w:r w:rsidR="006B68B0" w:rsidRPr="005121EE">
        <w:rPr>
          <w:rFonts w:eastAsia="Calibri"/>
        </w:rPr>
        <w:t xml:space="preserve"> in </w:t>
      </w:r>
      <w:r w:rsidR="006B68B0" w:rsidRPr="005121EE">
        <w:rPr>
          <w:rFonts w:eastAsia="Calibri"/>
        </w:rPr>
        <w:lastRenderedPageBreak/>
        <w:t xml:space="preserve">evaluating schools and feel more comfortable when </w:t>
      </w:r>
      <w:r w:rsidR="000E1A40">
        <w:rPr>
          <w:rFonts w:eastAsia="Calibri"/>
        </w:rPr>
        <w:t xml:space="preserve">ultimately </w:t>
      </w:r>
      <w:r w:rsidR="006B68B0" w:rsidRPr="005121EE">
        <w:rPr>
          <w:rFonts w:eastAsia="Calibri"/>
        </w:rPr>
        <w:t>deciding on wh</w:t>
      </w:r>
      <w:r w:rsidR="000E1A40">
        <w:rPr>
          <w:rFonts w:eastAsia="Calibri"/>
        </w:rPr>
        <w:t>ich</w:t>
      </w:r>
      <w:r w:rsidR="006B68B0" w:rsidRPr="005121EE">
        <w:rPr>
          <w:rFonts w:eastAsia="Calibri"/>
        </w:rPr>
        <w:t xml:space="preserve"> colleges to apply to (</w:t>
      </w:r>
      <w:proofErr w:type="spellStart"/>
      <w:r w:rsidR="006B68B0" w:rsidRPr="005121EE">
        <w:rPr>
          <w:rFonts w:eastAsia="Calibri"/>
        </w:rPr>
        <w:t>Litten</w:t>
      </w:r>
      <w:proofErr w:type="spellEnd"/>
      <w:r w:rsidR="006B68B0" w:rsidRPr="005121EE">
        <w:rPr>
          <w:rFonts w:eastAsia="Calibri"/>
        </w:rPr>
        <w:t>, 1986).</w:t>
      </w:r>
    </w:p>
    <w:p w14:paraId="7BA35D75" w14:textId="77777777" w:rsidR="00394877" w:rsidRDefault="006B68B0" w:rsidP="00394877">
      <w:pPr>
        <w:spacing w:after="160" w:line="480" w:lineRule="auto"/>
        <w:rPr>
          <w:rFonts w:eastAsia="Calibri"/>
        </w:rPr>
      </w:pPr>
      <w:r w:rsidRPr="00E73810">
        <w:rPr>
          <w:rFonts w:eastAsia="Calibri"/>
          <w:b/>
        </w:rPr>
        <w:t>Academic – IPEDS National Datasets</w:t>
      </w:r>
      <w:r w:rsidRPr="000A6447">
        <w:rPr>
          <w:rFonts w:eastAsia="Calibri"/>
        </w:rPr>
        <w:t xml:space="preserve">  </w:t>
      </w:r>
    </w:p>
    <w:p w14:paraId="45453AA1" w14:textId="77777777" w:rsidR="006B68B0" w:rsidRPr="005121EE" w:rsidRDefault="006B68B0" w:rsidP="000A6447">
      <w:pPr>
        <w:spacing w:after="160" w:line="480" w:lineRule="auto"/>
        <w:ind w:firstLine="720"/>
        <w:rPr>
          <w:rFonts w:eastAsia="Calibri"/>
        </w:rPr>
      </w:pPr>
      <w:r w:rsidRPr="005121EE">
        <w:rPr>
          <w:rFonts w:eastAsia="Calibri"/>
        </w:rPr>
        <w:t>While public rankings have a particular purpose and serve their intended audience, they do not typically provide specific data variables that allow universities to measure their performance over time and against similar universities.  Such trend and peer comparisons allow college administrators the evidence necessary to justify taking steps necessary to remain competitive for both student and state financial resources, as noted above.  To this end, the Integrated Postsecondary Education Data System (IPEDS) provides an easily accessible and comprehensive means to retrieving institutional data.  IPEDS is the primary postsecondary education data collection and public reporting service sponsored by the National Center for Education Statistics, a part of the Institute for Education Sciences within the United States Department of Education.  Reporting annual IPEDS data, by means of annual surveys specific to enrollment, human resources, financial revenues and expenses, and student outcomes, is mandatory for all institutions that participate in any federal financial assistance program authorized by Title IV of the Higher Education Act of 1965 (Department of Education, 2015</w:t>
      </w:r>
      <w:r w:rsidR="000A7EEF">
        <w:rPr>
          <w:rFonts w:eastAsia="Calibri"/>
        </w:rPr>
        <w:t xml:space="preserve">, </w:t>
      </w:r>
      <w:r w:rsidR="000A7EEF" w:rsidRPr="00865F3D">
        <w:rPr>
          <w:rFonts w:eastAsia="Calibri"/>
        </w:rPr>
        <w:t>National Center for Education Statistics</w:t>
      </w:r>
      <w:r w:rsidR="000A7EEF">
        <w:rPr>
          <w:rFonts w:eastAsia="Calibri"/>
        </w:rPr>
        <w:t>, 2016</w:t>
      </w:r>
      <w:r w:rsidRPr="005121EE">
        <w:rPr>
          <w:rFonts w:eastAsia="Calibri"/>
        </w:rPr>
        <w:t xml:space="preserve">).  </w:t>
      </w:r>
    </w:p>
    <w:p w14:paraId="0BE70656" w14:textId="77777777" w:rsidR="006B68B0" w:rsidRPr="005121EE" w:rsidRDefault="006B68B0" w:rsidP="00394877">
      <w:pPr>
        <w:keepNext/>
        <w:spacing w:after="160" w:line="480" w:lineRule="auto"/>
        <w:jc w:val="center"/>
        <w:rPr>
          <w:rFonts w:eastAsia="Calibri"/>
          <w:b/>
        </w:rPr>
      </w:pPr>
      <w:r w:rsidRPr="005121EE">
        <w:rPr>
          <w:rFonts w:eastAsia="Calibri"/>
          <w:b/>
        </w:rPr>
        <w:lastRenderedPageBreak/>
        <w:t>Disadvantages of Outcomes-Focused Accountability</w:t>
      </w:r>
    </w:p>
    <w:p w14:paraId="38EACE89" w14:textId="77777777" w:rsidR="00394877" w:rsidRDefault="00394877" w:rsidP="00394877">
      <w:pPr>
        <w:keepNext/>
        <w:spacing w:after="160" w:line="480" w:lineRule="auto"/>
        <w:rPr>
          <w:rFonts w:eastAsia="Calibri"/>
        </w:rPr>
      </w:pPr>
      <w:r>
        <w:rPr>
          <w:rFonts w:eastAsia="Calibri"/>
          <w:b/>
        </w:rPr>
        <w:t>Disadvantages to Students</w:t>
      </w:r>
    </w:p>
    <w:p w14:paraId="23022793" w14:textId="77777777" w:rsidR="006B68B0" w:rsidRPr="005121EE" w:rsidRDefault="006B68B0" w:rsidP="00394877">
      <w:pPr>
        <w:keepNext/>
        <w:spacing w:after="160" w:line="480" w:lineRule="auto"/>
        <w:ind w:firstLine="720"/>
        <w:rPr>
          <w:rFonts w:eastAsia="Calibri"/>
        </w:rPr>
      </w:pPr>
      <w:r w:rsidRPr="005121EE">
        <w:rPr>
          <w:rFonts w:eastAsia="Calibri"/>
        </w:rPr>
        <w:t xml:space="preserve">One frequently noted consequence of these efforts to incentivize student outcomes is that colleges may become less inclined to enroll students from disadvantaged backgrounds, as they would be perceived to be less likely to succeed in college and graduate. This also lends itself to competition amongst schools for students perceived to have the best background for persisting and graduating.  Public universities typically have a mission to provide education to a broad range of students from their states, and often the incentives focused on retention and graduation do not give credit for public schools taking a chance on these types of students (Ehrenberg, 2005; </w:t>
      </w:r>
      <w:r w:rsidR="00F776F0" w:rsidRPr="005121EE">
        <w:rPr>
          <w:rFonts w:eastAsia="Calibri"/>
        </w:rPr>
        <w:t>Dougherty et al., 2014</w:t>
      </w:r>
      <w:r w:rsidRPr="005121EE">
        <w:rPr>
          <w:rFonts w:eastAsia="Calibri"/>
        </w:rPr>
        <w:t>).</w:t>
      </w:r>
    </w:p>
    <w:p w14:paraId="24B50905" w14:textId="77777777" w:rsidR="006B68B0" w:rsidRPr="005121EE" w:rsidRDefault="006B68B0" w:rsidP="006B68B0">
      <w:pPr>
        <w:spacing w:after="160" w:line="480" w:lineRule="auto"/>
        <w:ind w:firstLine="720"/>
        <w:rPr>
          <w:rFonts w:eastAsia="Calibri"/>
        </w:rPr>
      </w:pPr>
      <w:r w:rsidRPr="005121EE">
        <w:rPr>
          <w:rFonts w:eastAsia="Calibri"/>
        </w:rPr>
        <w:t xml:space="preserve">Another way students may be hurt by these incentives is with the process that most graduation rates are calculated.  Often these rates only include those students who had enrolled as first-time freshmen and graduated at the same school within six years.  No credit is typically given to colleges for students who transfer to another school but still graduate within six years.  Thus, if a school for whatever reason anticipated an applicant may intend to transfer at some point after enrolling, that student may not be accepted due to the potential hit to the school’s graduation rate (Ehrenberg, 2005). </w:t>
      </w:r>
    </w:p>
    <w:p w14:paraId="5027DDC1" w14:textId="77777777" w:rsidR="006B68B0" w:rsidRPr="005121EE" w:rsidRDefault="006B68B0" w:rsidP="006B68B0">
      <w:pPr>
        <w:spacing w:after="160" w:line="480" w:lineRule="auto"/>
        <w:ind w:firstLine="720"/>
        <w:rPr>
          <w:rFonts w:eastAsia="Calibri"/>
        </w:rPr>
      </w:pPr>
      <w:r w:rsidRPr="005121EE">
        <w:rPr>
          <w:rFonts w:eastAsia="Calibri"/>
        </w:rPr>
        <w:t xml:space="preserve">Both students and institutions may be disadvantaged from the potential effect that some researchers have noted – a reduction of academic standards.  This unintended consequence of outcomes emphasis might arise if a school believed that a greater reward </w:t>
      </w:r>
      <w:r w:rsidRPr="005121EE">
        <w:rPr>
          <w:rFonts w:eastAsia="Calibri"/>
        </w:rPr>
        <w:lastRenderedPageBreak/>
        <w:t xml:space="preserve">would come if more students were shown to graduate, even if that meant faculty were persuaded to grade more leniently or school personnel steering students into easier degree programs (Dougherty et al., 2014). </w:t>
      </w:r>
    </w:p>
    <w:p w14:paraId="24732642" w14:textId="77777777" w:rsidR="00394877" w:rsidRDefault="006B68B0" w:rsidP="00394877">
      <w:pPr>
        <w:spacing w:after="160" w:line="480" w:lineRule="auto"/>
        <w:rPr>
          <w:rFonts w:eastAsia="Calibri"/>
          <w:b/>
        </w:rPr>
      </w:pPr>
      <w:r w:rsidRPr="005121EE">
        <w:rPr>
          <w:rFonts w:eastAsia="Calibri"/>
          <w:b/>
        </w:rPr>
        <w:t xml:space="preserve">Disadvantages to Institutions  </w:t>
      </w:r>
    </w:p>
    <w:p w14:paraId="708F7017" w14:textId="77777777" w:rsidR="006B68B0" w:rsidRPr="005121EE" w:rsidRDefault="006B68B0" w:rsidP="006B68B0">
      <w:pPr>
        <w:spacing w:after="160" w:line="480" w:lineRule="auto"/>
        <w:ind w:firstLine="720"/>
        <w:rPr>
          <w:rFonts w:eastAsia="Calibri"/>
        </w:rPr>
      </w:pPr>
      <w:r w:rsidRPr="005121EE">
        <w:rPr>
          <w:rFonts w:eastAsia="Calibri"/>
        </w:rPr>
        <w:t>A prominent disadvantage to institutions with regard to performance funding is the unfairness for schools to compete for state dollars based on the same set of measures when their missions and populations are naturally different.  Pennsylvania and Tennessee have attempted to account for differences in students and missions per institutional types by weighting certain measures differently, and Ohio has used a different funding formula entirely for differing types of schools.  Another institutional performance funding concern is the difficulty in anticipating state appropriations when budgeting.  Some states have tried to address issue by either making gradual increases to the percent of funds based on performance, year by year, or by averaging the performance funding effects over multiple years.  Some states have even built in a lag year between measuring and awarding dollars, to help prepare schools for expected increases or decreases in funding (</w:t>
      </w:r>
      <w:proofErr w:type="spellStart"/>
      <w:r w:rsidRPr="005121EE">
        <w:rPr>
          <w:rFonts w:eastAsia="Calibri"/>
        </w:rPr>
        <w:t>McLendon</w:t>
      </w:r>
      <w:proofErr w:type="spellEnd"/>
      <w:r w:rsidRPr="005121EE">
        <w:rPr>
          <w:rFonts w:eastAsia="Calibri"/>
        </w:rPr>
        <w:t xml:space="preserve"> et al., 2006; </w:t>
      </w:r>
      <w:proofErr w:type="spellStart"/>
      <w:r w:rsidRPr="005121EE">
        <w:rPr>
          <w:rFonts w:eastAsia="Calibri"/>
        </w:rPr>
        <w:t>Maio</w:t>
      </w:r>
      <w:proofErr w:type="spellEnd"/>
      <w:r w:rsidRPr="005121EE">
        <w:rPr>
          <w:rFonts w:eastAsia="Calibri"/>
        </w:rPr>
        <w:t xml:space="preserve">, 2012).    </w:t>
      </w:r>
    </w:p>
    <w:p w14:paraId="49CC1273" w14:textId="77777777" w:rsidR="006B68B0" w:rsidRPr="005121EE" w:rsidRDefault="006B68B0" w:rsidP="006B68B0">
      <w:pPr>
        <w:spacing w:after="160" w:line="480" w:lineRule="auto"/>
        <w:ind w:firstLine="720"/>
        <w:rPr>
          <w:rFonts w:eastAsia="Calibri"/>
        </w:rPr>
      </w:pPr>
      <w:r w:rsidRPr="005121EE">
        <w:rPr>
          <w:rFonts w:eastAsia="Calibri"/>
        </w:rPr>
        <w:t xml:space="preserve">Additionally, some research has shown that schools may concentrate so much on student outcomes that a resultant increase in spending on instruction prevents adequate funding to other areas relevant to mission.  For example, </w:t>
      </w:r>
      <w:proofErr w:type="spellStart"/>
      <w:r w:rsidRPr="005121EE">
        <w:rPr>
          <w:rFonts w:eastAsia="Calibri"/>
        </w:rPr>
        <w:t>Rabovsky</w:t>
      </w:r>
      <w:proofErr w:type="spellEnd"/>
      <w:r w:rsidRPr="005121EE">
        <w:rPr>
          <w:rFonts w:eastAsia="Calibri"/>
        </w:rPr>
        <w:t xml:space="preserve"> found that some schools became so focused on outcomes that they began spending less on research related activities (</w:t>
      </w:r>
      <w:proofErr w:type="spellStart"/>
      <w:r w:rsidRPr="005121EE">
        <w:rPr>
          <w:rFonts w:eastAsia="Calibri"/>
        </w:rPr>
        <w:t>Rabovsky</w:t>
      </w:r>
      <w:proofErr w:type="spellEnd"/>
      <w:r w:rsidRPr="005121EE">
        <w:rPr>
          <w:rFonts w:eastAsia="Calibri"/>
        </w:rPr>
        <w:t xml:space="preserve">, 2012).  Depending on mission and institutional aspirations this may be an unintended and disadvantageous consequence for some schools. </w:t>
      </w:r>
    </w:p>
    <w:p w14:paraId="34EC956D" w14:textId="77777777" w:rsidR="006B68B0" w:rsidRPr="005121EE" w:rsidRDefault="006B68B0" w:rsidP="00394877">
      <w:pPr>
        <w:keepNext/>
        <w:spacing w:after="160" w:line="480" w:lineRule="auto"/>
        <w:jc w:val="center"/>
        <w:rPr>
          <w:rFonts w:eastAsia="Calibri"/>
          <w:b/>
        </w:rPr>
      </w:pPr>
      <w:r w:rsidRPr="005121EE">
        <w:rPr>
          <w:rFonts w:eastAsia="Calibri"/>
          <w:b/>
        </w:rPr>
        <w:lastRenderedPageBreak/>
        <w:t>Alignment with Mission and Spirit of Public Higher Education</w:t>
      </w:r>
    </w:p>
    <w:p w14:paraId="732D53A8" w14:textId="77777777" w:rsidR="006B68B0" w:rsidRPr="005121EE" w:rsidRDefault="006B68B0" w:rsidP="006B68B0">
      <w:pPr>
        <w:keepNext/>
        <w:spacing w:after="160" w:line="480" w:lineRule="auto"/>
        <w:ind w:firstLine="720"/>
        <w:rPr>
          <w:rFonts w:eastAsia="Calibri"/>
        </w:rPr>
      </w:pPr>
      <w:r w:rsidRPr="005121EE">
        <w:rPr>
          <w:rFonts w:eastAsia="Calibri"/>
        </w:rPr>
        <w:t>Some researchers have contended that forcing institutions to compete with each other on the basis of retention and graduation rates leads to a one-size-fits-all type of monolithic mission for colleges and universities.  This outcomes emphasis results in a “mission creep” away from the intended purpose for establishing certain types of institutions in the first place.  Community and technical colleges serve a certain type of student and fulfill a certain mission in higher education versus the missions of liberal arts colleges or research universities.  Performance funding may reward retention and graduation rates, but fail to credit schools for “other important purposes of higher education such as personal discovery, civic awareness and responsibility, the pursuit of social justice, and search for new and basic truths” (Bogue</w:t>
      </w:r>
      <w:r w:rsidR="001A3218" w:rsidRPr="005121EE">
        <w:rPr>
          <w:rFonts w:eastAsia="Calibri"/>
        </w:rPr>
        <w:t xml:space="preserve"> and Johnson</w:t>
      </w:r>
      <w:r w:rsidRPr="005121EE">
        <w:rPr>
          <w:rFonts w:eastAsia="Calibri"/>
        </w:rPr>
        <w:t xml:space="preserve">, 2010).  Such rankings as USNWR make an effort to separate types of colleges from each other, but the ranking criteria (graduation rates) are still fundamentally the same in each group, and so subtle differences in student populations and unique college missions are still not being accounted for when ranking a school higher or lower than another (Burke, 2005).      </w:t>
      </w:r>
    </w:p>
    <w:p w14:paraId="2CEF44CD" w14:textId="77777777" w:rsidR="006B68B0" w:rsidRPr="00A8693F" w:rsidRDefault="006B68B0" w:rsidP="006B68B0">
      <w:pPr>
        <w:spacing w:after="160" w:line="480" w:lineRule="auto"/>
        <w:ind w:firstLine="720"/>
        <w:rPr>
          <w:rFonts w:eastAsia="Calibri"/>
        </w:rPr>
      </w:pPr>
      <w:r w:rsidRPr="005121EE">
        <w:rPr>
          <w:rFonts w:eastAsia="Calibri"/>
        </w:rPr>
        <w:t xml:space="preserve">Research has also shown that mission is often defined differently between the academic, political, and market perspectives, and only with the political view does the accountability of student outcomes align with the mission of higher education.  Based on survey results from a 2010 study, Dr. Grady Bogue and colleagues found that:  political leaders largely see the college mission as one to contribute to economic and workforce development – which student retention and graduation rates could adequately measure;  academic leaders see the mission as more linked with encouraging student discovery; and </w:t>
      </w:r>
      <w:r w:rsidRPr="005121EE">
        <w:rPr>
          <w:rFonts w:eastAsia="Calibri"/>
        </w:rPr>
        <w:lastRenderedPageBreak/>
        <w:t>corporate leaders (market) tend to see college missions more wholly – as a combination of economic development and student discovery, or even less quantifiable, as an “unimpeded search for truth” (</w:t>
      </w:r>
      <w:r w:rsidRPr="00A8693F">
        <w:rPr>
          <w:rFonts w:eastAsia="Calibri"/>
        </w:rPr>
        <w:t xml:space="preserve">Bogue </w:t>
      </w:r>
      <w:r w:rsidR="001A3218" w:rsidRPr="00A8693F">
        <w:rPr>
          <w:rFonts w:eastAsia="Calibri"/>
        </w:rPr>
        <w:t>and Johnson</w:t>
      </w:r>
      <w:r w:rsidRPr="00A8693F">
        <w:rPr>
          <w:rFonts w:eastAsia="Calibri"/>
        </w:rPr>
        <w:t>, 2010).</w:t>
      </w:r>
    </w:p>
    <w:p w14:paraId="722F2E2F" w14:textId="77777777" w:rsidR="006B68B0" w:rsidRPr="005121EE" w:rsidRDefault="006B68B0" w:rsidP="006B68B0">
      <w:pPr>
        <w:spacing w:after="160" w:line="480" w:lineRule="auto"/>
        <w:jc w:val="center"/>
        <w:rPr>
          <w:rFonts w:eastAsia="Calibri"/>
          <w:b/>
        </w:rPr>
      </w:pPr>
      <w:r w:rsidRPr="005121EE">
        <w:rPr>
          <w:rFonts w:eastAsia="Calibri"/>
          <w:b/>
        </w:rPr>
        <w:t>Relevant Research Related to This Study</w:t>
      </w:r>
    </w:p>
    <w:p w14:paraId="170BA661" w14:textId="77777777" w:rsidR="006B68B0" w:rsidRPr="005121EE" w:rsidRDefault="006B68B0" w:rsidP="006B68B0">
      <w:pPr>
        <w:spacing w:after="160" w:line="480" w:lineRule="auto"/>
        <w:ind w:firstLine="720"/>
        <w:rPr>
          <w:rFonts w:eastAsia="Calibri"/>
        </w:rPr>
      </w:pPr>
      <w:r w:rsidRPr="005121EE">
        <w:rPr>
          <w:rFonts w:eastAsia="Calibri"/>
        </w:rPr>
        <w:t xml:space="preserve">As noted above, prior studies have shown inconsistent results with regard to relationships between institutional expenditures and student outcomes.  These inconsistences have occurred both within the same study as well as between similar studies.  For example, Rock, Baird, and Linn, (1972) did not find </w:t>
      </w:r>
      <w:r w:rsidR="00FE47EC">
        <w:rPr>
          <w:rFonts w:eastAsia="Calibri"/>
        </w:rPr>
        <w:t xml:space="preserve">a </w:t>
      </w:r>
      <w:r w:rsidRPr="005121EE">
        <w:rPr>
          <w:rFonts w:eastAsia="Calibri"/>
        </w:rPr>
        <w:t xml:space="preserve">significant relationship between institutional expenditures and </w:t>
      </w:r>
      <w:r w:rsidR="00FE47EC">
        <w:rPr>
          <w:rFonts w:eastAsia="Calibri"/>
        </w:rPr>
        <w:t xml:space="preserve">the </w:t>
      </w:r>
      <w:r w:rsidRPr="005121EE">
        <w:rPr>
          <w:rFonts w:eastAsia="Calibri"/>
        </w:rPr>
        <w:t xml:space="preserve">student outcome of post-graduate income.   However, </w:t>
      </w:r>
      <w:r w:rsidR="00FE47EC">
        <w:rPr>
          <w:rFonts w:eastAsia="Calibri"/>
        </w:rPr>
        <w:t>others</w:t>
      </w:r>
      <w:r w:rsidRPr="005121EE">
        <w:rPr>
          <w:rFonts w:eastAsia="Calibri"/>
        </w:rPr>
        <w:t xml:space="preserve"> studies have found significant relationships between expenditures and student outcomes (</w:t>
      </w:r>
      <w:proofErr w:type="spellStart"/>
      <w:r w:rsidRPr="005121EE">
        <w:rPr>
          <w:rFonts w:eastAsia="Calibri"/>
        </w:rPr>
        <w:t>Astin</w:t>
      </w:r>
      <w:proofErr w:type="spellEnd"/>
      <w:r w:rsidRPr="005121EE">
        <w:rPr>
          <w:rFonts w:eastAsia="Calibri"/>
        </w:rPr>
        <w:t xml:space="preserve"> 1993; Hayek 2001; </w:t>
      </w:r>
      <w:proofErr w:type="spellStart"/>
      <w:r w:rsidRPr="005121EE">
        <w:rPr>
          <w:rFonts w:eastAsia="Calibri"/>
        </w:rPr>
        <w:t>Toutkoushian</w:t>
      </w:r>
      <w:proofErr w:type="spellEnd"/>
      <w:r w:rsidRPr="005121EE">
        <w:rPr>
          <w:rFonts w:eastAsia="Calibri"/>
        </w:rPr>
        <w:t xml:space="preserve"> and Smart 2001; Smart et al.  2002; Ryan 2004; </w:t>
      </w:r>
      <w:proofErr w:type="spellStart"/>
      <w:r w:rsidRPr="005121EE">
        <w:rPr>
          <w:rFonts w:eastAsia="Calibri"/>
        </w:rPr>
        <w:t>Gansemer-Topf</w:t>
      </w:r>
      <w:proofErr w:type="spellEnd"/>
      <w:r w:rsidRPr="005121EE">
        <w:rPr>
          <w:rFonts w:eastAsia="Calibri"/>
        </w:rPr>
        <w:t xml:space="preserve"> and </w:t>
      </w:r>
      <w:proofErr w:type="spellStart"/>
      <w:r w:rsidRPr="005121EE">
        <w:rPr>
          <w:rFonts w:eastAsia="Calibri"/>
        </w:rPr>
        <w:t>Schuh</w:t>
      </w:r>
      <w:proofErr w:type="spellEnd"/>
      <w:r w:rsidRPr="005121EE">
        <w:rPr>
          <w:rFonts w:eastAsia="Calibri"/>
        </w:rPr>
        <w:t xml:space="preserve"> 2006; Powell et al. 2012). </w:t>
      </w:r>
    </w:p>
    <w:p w14:paraId="34FAA0E5" w14:textId="77777777" w:rsidR="006B68B0" w:rsidRPr="005121EE" w:rsidRDefault="006B68B0" w:rsidP="006B68B0">
      <w:pPr>
        <w:spacing w:after="160" w:line="480" w:lineRule="auto"/>
        <w:ind w:firstLine="720"/>
        <w:rPr>
          <w:rFonts w:eastAsia="Calibri"/>
        </w:rPr>
      </w:pPr>
      <w:r w:rsidRPr="005121EE">
        <w:rPr>
          <w:rFonts w:eastAsia="Calibri"/>
        </w:rPr>
        <w:t>One reason for the contradictory findings may be due to the fact that the data constituting institutional expenditures varies from institution to institution in how it is collected and reported (Pike et al., 2011).  For example, one school may consider a different set of sources when collecting and reporting annual expenditures on student instruction than another school in the same study.  IPEDS reporting definitions allow for these differences in institutional interpretations.  Thus, these differences make it difficult to establish robust and consistent relationships between expenditures and outcomes (Pike et al., 2011).</w:t>
      </w:r>
      <w:r w:rsidR="00FE47EC">
        <w:rPr>
          <w:rFonts w:eastAsia="Calibri"/>
        </w:rPr>
        <w:t xml:space="preserve">   </w:t>
      </w:r>
      <w:r w:rsidRPr="005121EE">
        <w:rPr>
          <w:rFonts w:eastAsia="Calibri"/>
        </w:rPr>
        <w:t xml:space="preserve">  </w:t>
      </w:r>
    </w:p>
    <w:p w14:paraId="0DFB39E0" w14:textId="77777777" w:rsidR="006B68B0" w:rsidRPr="005121EE" w:rsidRDefault="006B68B0" w:rsidP="006B68B0">
      <w:pPr>
        <w:spacing w:after="160" w:line="480" w:lineRule="auto"/>
        <w:ind w:firstLine="720"/>
        <w:rPr>
          <w:rFonts w:eastAsia="Calibri"/>
        </w:rPr>
      </w:pPr>
      <w:r w:rsidRPr="005121EE">
        <w:rPr>
          <w:rFonts w:eastAsia="Calibri"/>
        </w:rPr>
        <w:lastRenderedPageBreak/>
        <w:t xml:space="preserve">Another reason for these inconsistent results in linking institutional spending to student outcomes is that only a small level of the variance in student outcomes can be explained by any differences between institutions versus differences between students.  </w:t>
      </w:r>
      <w:proofErr w:type="spellStart"/>
      <w:r w:rsidRPr="005121EE">
        <w:rPr>
          <w:rFonts w:eastAsia="Calibri"/>
        </w:rPr>
        <w:t>Pascarella</w:t>
      </w:r>
      <w:proofErr w:type="spellEnd"/>
      <w:r w:rsidRPr="005121EE">
        <w:rPr>
          <w:rFonts w:eastAsia="Calibri"/>
        </w:rPr>
        <w:t xml:space="preserve"> and </w:t>
      </w:r>
      <w:proofErr w:type="spellStart"/>
      <w:r w:rsidRPr="005121EE">
        <w:rPr>
          <w:rFonts w:eastAsia="Calibri"/>
        </w:rPr>
        <w:t>Terenzini</w:t>
      </w:r>
      <w:proofErr w:type="spellEnd"/>
      <w:r w:rsidRPr="005121EE">
        <w:rPr>
          <w:rFonts w:eastAsia="Calibri"/>
        </w:rPr>
        <w:t xml:space="preserve"> (1991, 2005) and </w:t>
      </w:r>
      <w:proofErr w:type="spellStart"/>
      <w:r w:rsidRPr="005121EE">
        <w:rPr>
          <w:rFonts w:eastAsia="Calibri"/>
        </w:rPr>
        <w:t>Kuh</w:t>
      </w:r>
      <w:proofErr w:type="spellEnd"/>
      <w:r w:rsidRPr="005121EE">
        <w:rPr>
          <w:rFonts w:eastAsia="Calibri"/>
        </w:rPr>
        <w:t xml:space="preserve">, </w:t>
      </w:r>
      <w:proofErr w:type="spellStart"/>
      <w:r w:rsidRPr="005121EE">
        <w:rPr>
          <w:rFonts w:eastAsia="Calibri"/>
        </w:rPr>
        <w:t>Kinzie</w:t>
      </w:r>
      <w:proofErr w:type="spellEnd"/>
      <w:r w:rsidRPr="005121EE">
        <w:rPr>
          <w:rFonts w:eastAsia="Calibri"/>
        </w:rPr>
        <w:t xml:space="preserve">, </w:t>
      </w:r>
      <w:proofErr w:type="spellStart"/>
      <w:r w:rsidRPr="005121EE">
        <w:rPr>
          <w:rFonts w:eastAsia="Calibri"/>
        </w:rPr>
        <w:t>Cruce</w:t>
      </w:r>
      <w:proofErr w:type="spellEnd"/>
      <w:r w:rsidRPr="005121EE">
        <w:rPr>
          <w:rFonts w:eastAsia="Calibri"/>
        </w:rPr>
        <w:t xml:space="preserve">, </w:t>
      </w:r>
      <w:proofErr w:type="spellStart"/>
      <w:r w:rsidRPr="005121EE">
        <w:rPr>
          <w:rFonts w:eastAsia="Calibri"/>
        </w:rPr>
        <w:t>Shoup</w:t>
      </w:r>
      <w:proofErr w:type="spellEnd"/>
      <w:r w:rsidRPr="005121EE">
        <w:rPr>
          <w:rFonts w:eastAsia="Calibri"/>
        </w:rPr>
        <w:t xml:space="preserve">, and </w:t>
      </w:r>
      <w:proofErr w:type="spellStart"/>
      <w:r w:rsidRPr="005121EE">
        <w:rPr>
          <w:rFonts w:eastAsia="Calibri"/>
        </w:rPr>
        <w:t>Gonyea</w:t>
      </w:r>
      <w:proofErr w:type="spellEnd"/>
      <w:r w:rsidRPr="005121EE">
        <w:rPr>
          <w:rFonts w:eastAsia="Calibri"/>
        </w:rPr>
        <w:t xml:space="preserve"> (2007) studies reflect that the differences between students within each institution are much larger than differences between the institutions (Pike et al., 2011).  Other studies point out how institutional expenditures are only marginally related to student outcomes, where student-based characteristics such as test scores, grades, or family background interfere with any institutional effects being measured (</w:t>
      </w:r>
      <w:proofErr w:type="spellStart"/>
      <w:r w:rsidRPr="005121EE">
        <w:rPr>
          <w:rFonts w:eastAsia="Calibri"/>
        </w:rPr>
        <w:t>Astin</w:t>
      </w:r>
      <w:proofErr w:type="spellEnd"/>
      <w:r w:rsidRPr="005121EE">
        <w:rPr>
          <w:rFonts w:eastAsia="Calibri"/>
        </w:rPr>
        <w:t xml:space="preserve"> 1984, 1985; </w:t>
      </w:r>
      <w:proofErr w:type="spellStart"/>
      <w:r w:rsidRPr="005121EE">
        <w:rPr>
          <w:rFonts w:eastAsia="Calibri"/>
        </w:rPr>
        <w:t>Kuh</w:t>
      </w:r>
      <w:proofErr w:type="spellEnd"/>
      <w:r w:rsidRPr="005121EE">
        <w:rPr>
          <w:rFonts w:eastAsia="Calibri"/>
        </w:rPr>
        <w:t xml:space="preserve"> 2001, 2003; Webber and Ehrenberg, 2010).     </w:t>
      </w:r>
    </w:p>
    <w:p w14:paraId="79E80131" w14:textId="567ECE5A" w:rsidR="006B68B0" w:rsidRPr="005121EE" w:rsidRDefault="006B68B0" w:rsidP="006B68B0">
      <w:pPr>
        <w:spacing w:after="160" w:line="480" w:lineRule="auto"/>
        <w:ind w:firstLine="720"/>
        <w:rPr>
          <w:rFonts w:eastAsia="Calibri"/>
        </w:rPr>
      </w:pPr>
      <w:r w:rsidRPr="00C131E5">
        <w:rPr>
          <w:rFonts w:eastAsia="Calibri"/>
        </w:rPr>
        <w:t>Titus (2006) used institutional expenditures</w:t>
      </w:r>
      <w:r w:rsidRPr="005121EE">
        <w:rPr>
          <w:rFonts w:eastAsia="Calibri"/>
        </w:rPr>
        <w:t xml:space="preserve"> data as controls to adjust for specific student and institutional characteristics while looking for statistically significant effects on student college completion.  Using IPEDS data, institutional expenditures were collected from 400 public and private 4-year institutions for the fiscal year of 1996.  The independent </w:t>
      </w:r>
      <w:r w:rsidR="005B2014">
        <w:rPr>
          <w:rFonts w:eastAsia="Calibri"/>
        </w:rPr>
        <w:t>institution level</w:t>
      </w:r>
      <w:r w:rsidRPr="005121EE">
        <w:rPr>
          <w:rFonts w:eastAsia="Calibri"/>
        </w:rPr>
        <w:t xml:space="preserve"> variables from IPEDS included: student peer group characteristics (i.e. percent female, racial/ethnic diversity, and average SES of full-time freshmen attending each institution), structural-demographic characteristics (i.e. public vs private, enrollment size, and average SAT of full-time freshmen attending each institution), as well as revenues and expenses measures.  Specifically, the revenues and expenses measures included:  percent of total revenues from tuition, state appropriations, grants and contracts, endowments; and percent of total expenditures on instruction, research, administration, student services, grants and scholarships, and percent of </w:t>
      </w:r>
      <w:r w:rsidRPr="005121EE">
        <w:rPr>
          <w:rFonts w:eastAsia="Calibri"/>
        </w:rPr>
        <w:lastRenderedPageBreak/>
        <w:t xml:space="preserve">expenditures per full-time equivalent (FTE) student.   The dependent variable in this study was completion of a bachelor’s degree within six </w:t>
      </w:r>
      <w:r w:rsidRPr="00C131E5">
        <w:rPr>
          <w:rFonts w:eastAsia="Calibri"/>
        </w:rPr>
        <w:t xml:space="preserve">years after first enrolling at the same college or university.  </w:t>
      </w:r>
      <w:r w:rsidR="001F4751" w:rsidRPr="00C131E5">
        <w:rPr>
          <w:rFonts w:eastAsia="Calibri"/>
        </w:rPr>
        <w:t xml:space="preserve">As with </w:t>
      </w:r>
      <w:r w:rsidR="00C131E5">
        <w:rPr>
          <w:rFonts w:eastAsia="Calibri"/>
        </w:rPr>
        <w:t>my</w:t>
      </w:r>
      <w:r w:rsidR="001F4751" w:rsidRPr="00C131E5">
        <w:rPr>
          <w:rFonts w:eastAsia="Calibri"/>
        </w:rPr>
        <w:t xml:space="preserve"> study</w:t>
      </w:r>
      <w:r w:rsidRPr="00C131E5">
        <w:rPr>
          <w:rFonts w:eastAsia="Calibri"/>
        </w:rPr>
        <w:t xml:space="preserve">, </w:t>
      </w:r>
      <w:r w:rsidR="005E4CA8">
        <w:rPr>
          <w:rFonts w:eastAsia="Calibri"/>
        </w:rPr>
        <w:t>multilevel</w:t>
      </w:r>
      <w:r w:rsidRPr="005121EE">
        <w:rPr>
          <w:rFonts w:eastAsia="Calibri"/>
        </w:rPr>
        <w:t xml:space="preserve"> modeling was used for regression analysis, due to the student data nested within institutions</w:t>
      </w:r>
      <w:r w:rsidRPr="00C131E5">
        <w:rPr>
          <w:rFonts w:eastAsia="Calibri"/>
        </w:rPr>
        <w:t xml:space="preserve">.  The independent variables were entered sequentially in the </w:t>
      </w:r>
      <w:r w:rsidR="005E4CA8">
        <w:rPr>
          <w:rFonts w:eastAsia="Calibri"/>
        </w:rPr>
        <w:t xml:space="preserve">multilevel </w:t>
      </w:r>
      <w:r w:rsidRPr="00C131E5">
        <w:rPr>
          <w:rFonts w:eastAsia="Calibri"/>
        </w:rPr>
        <w:t>analyses in conceptually-related blocks, with only the statistically significant variables from the preceding step retained in the subsequent step.  The analyses showed that college degree completion was positively influenced by college academic performance, degree major certainty, campus residence, and student involvement and negatively influenced by being</w:t>
      </w:r>
      <w:r w:rsidRPr="005121EE">
        <w:rPr>
          <w:rFonts w:eastAsia="Calibri"/>
        </w:rPr>
        <w:t xml:space="preserve"> a member of an underrepresented minority group, unmet financial need, and working more than a certain number of hours per week (Titus, 2006).</w:t>
      </w:r>
      <w:r w:rsidR="00570AB5">
        <w:rPr>
          <w:rFonts w:eastAsia="Calibri"/>
        </w:rPr>
        <w:t xml:space="preserve"> </w:t>
      </w:r>
      <w:r w:rsidR="002B30E5">
        <w:rPr>
          <w:rFonts w:eastAsia="Calibri"/>
        </w:rPr>
        <w:t xml:space="preserve">  Notably, this study</w:t>
      </w:r>
      <w:r w:rsidRPr="005121EE">
        <w:rPr>
          <w:rFonts w:eastAsia="Calibri"/>
        </w:rPr>
        <w:t xml:space="preserve"> </w:t>
      </w:r>
      <w:r w:rsidR="002B30E5">
        <w:rPr>
          <w:rFonts w:eastAsia="Calibri"/>
        </w:rPr>
        <w:t xml:space="preserve">chose to </w:t>
      </w:r>
      <w:r w:rsidRPr="005121EE">
        <w:rPr>
          <w:rFonts w:eastAsia="Calibri"/>
        </w:rPr>
        <w:t xml:space="preserve">combine institutional expenditures into one independent aggregated variable for their statistical analyses.  Yet, some research has shown </w:t>
      </w:r>
      <w:r w:rsidR="002B30E5">
        <w:rPr>
          <w:rFonts w:eastAsia="Calibri"/>
        </w:rPr>
        <w:t xml:space="preserve">variances of expenditure effects on graduation rates </w:t>
      </w:r>
      <w:r w:rsidRPr="005121EE">
        <w:rPr>
          <w:rFonts w:eastAsia="Calibri"/>
        </w:rPr>
        <w:t xml:space="preserve">when choosing to </w:t>
      </w:r>
      <w:r w:rsidR="002B30E5">
        <w:rPr>
          <w:rFonts w:eastAsia="Calibri"/>
        </w:rPr>
        <w:t>separate</w:t>
      </w:r>
      <w:r w:rsidRPr="005121EE">
        <w:rPr>
          <w:rFonts w:eastAsia="Calibri"/>
        </w:rPr>
        <w:t xml:space="preserve"> expenditure categories </w:t>
      </w:r>
      <w:r w:rsidR="002B30E5">
        <w:rPr>
          <w:rFonts w:eastAsia="Calibri"/>
        </w:rPr>
        <w:t>into</w:t>
      </w:r>
      <w:r w:rsidRPr="005121EE">
        <w:rPr>
          <w:rFonts w:eastAsia="Calibri"/>
        </w:rPr>
        <w:t xml:space="preserve"> multiple independent variables for their analyses (Ryan, 2004; Webber and Ehrenberg, 2010</w:t>
      </w:r>
      <w:proofErr w:type="gramStart"/>
      <w:r w:rsidRPr="005121EE">
        <w:rPr>
          <w:rFonts w:eastAsia="Calibri"/>
        </w:rPr>
        <w:t>)</w:t>
      </w:r>
      <w:r w:rsidR="001F4751">
        <w:rPr>
          <w:rFonts w:eastAsia="Calibri"/>
        </w:rPr>
        <w:t xml:space="preserve">  My</w:t>
      </w:r>
      <w:proofErr w:type="gramEnd"/>
      <w:r w:rsidR="001F4751">
        <w:rPr>
          <w:rFonts w:eastAsia="Calibri"/>
        </w:rPr>
        <w:t xml:space="preserve"> study will attempt to avoid </w:t>
      </w:r>
      <w:r w:rsidR="00A2450E">
        <w:rPr>
          <w:rFonts w:eastAsia="Calibri"/>
        </w:rPr>
        <w:t>statistical inaccuracy of using a c</w:t>
      </w:r>
      <w:r w:rsidR="002B30E5">
        <w:rPr>
          <w:rFonts w:eastAsia="Calibri"/>
        </w:rPr>
        <w:t>ombin</w:t>
      </w:r>
      <w:r w:rsidR="00A2450E">
        <w:rPr>
          <w:rFonts w:eastAsia="Calibri"/>
        </w:rPr>
        <w:t>ed</w:t>
      </w:r>
      <w:r w:rsidR="002B30E5">
        <w:rPr>
          <w:rFonts w:eastAsia="Calibri"/>
        </w:rPr>
        <w:t xml:space="preserve"> expenditure variable </w:t>
      </w:r>
      <w:r w:rsidR="00A2450E">
        <w:rPr>
          <w:rFonts w:eastAsia="Calibri"/>
        </w:rPr>
        <w:t>but</w:t>
      </w:r>
      <w:r w:rsidR="002B30E5">
        <w:rPr>
          <w:rFonts w:eastAsia="Calibri"/>
        </w:rPr>
        <w:t xml:space="preserve"> instead examine effects of specific types of expenditures independently.  </w:t>
      </w:r>
    </w:p>
    <w:p w14:paraId="5482A531" w14:textId="77777777" w:rsidR="006B68B0" w:rsidRPr="00C131E5" w:rsidRDefault="002B30E5" w:rsidP="006B68B0">
      <w:pPr>
        <w:spacing w:after="160" w:line="480" w:lineRule="auto"/>
        <w:ind w:firstLine="720"/>
        <w:rPr>
          <w:rFonts w:eastAsia="Calibri"/>
        </w:rPr>
      </w:pPr>
      <w:r>
        <w:rPr>
          <w:rFonts w:eastAsia="Calibri"/>
        </w:rPr>
        <w:t xml:space="preserve">In a </w:t>
      </w:r>
      <w:r w:rsidR="006B68B0" w:rsidRPr="005121EE">
        <w:rPr>
          <w:rFonts w:eastAsia="Calibri"/>
        </w:rPr>
        <w:t>study</w:t>
      </w:r>
      <w:r>
        <w:rPr>
          <w:rFonts w:eastAsia="Calibri"/>
        </w:rPr>
        <w:t xml:space="preserve"> that did measure expenditure effects separately</w:t>
      </w:r>
      <w:r w:rsidR="006B68B0" w:rsidRPr="005121EE">
        <w:rPr>
          <w:rFonts w:eastAsia="Calibri"/>
        </w:rPr>
        <w:t xml:space="preserve">, Ryan (2004) found that four-year </w:t>
      </w:r>
      <w:r w:rsidR="00192D24">
        <w:rPr>
          <w:rFonts w:eastAsia="Calibri"/>
        </w:rPr>
        <w:t>college</w:t>
      </w:r>
      <w:r w:rsidR="006B68B0" w:rsidRPr="005121EE">
        <w:rPr>
          <w:rFonts w:eastAsia="Calibri"/>
        </w:rPr>
        <w:t xml:space="preserve"> retention and graduation rates were significantly influenced by instruction expenditures as well as by academic support expenditures, but institutional support and student services expenses were found to be insignificant on those two student outcomes.  Ryan used IPEDS data for the discrete multiple independent variables:  </w:t>
      </w:r>
      <w:r w:rsidR="006B68B0" w:rsidRPr="005121EE">
        <w:rPr>
          <w:rFonts w:eastAsia="Calibri"/>
        </w:rPr>
        <w:lastRenderedPageBreak/>
        <w:t xml:space="preserve">instruction; academic support; student services; </w:t>
      </w:r>
      <w:r w:rsidR="006B68B0" w:rsidRPr="00C131E5">
        <w:rPr>
          <w:rFonts w:eastAsia="Calibri"/>
        </w:rPr>
        <w:t>and institutional support; but further augmented these by dividing them each by the schools’ full-time equivalent student enrollment, also from IPEDS data</w:t>
      </w:r>
      <w:r w:rsidR="00495CD8" w:rsidRPr="00C131E5">
        <w:rPr>
          <w:rFonts w:eastAsia="Calibri"/>
        </w:rPr>
        <w:t xml:space="preserve"> (Ryan, 2004)</w:t>
      </w:r>
      <w:r w:rsidR="006B68B0" w:rsidRPr="00C131E5">
        <w:rPr>
          <w:rFonts w:eastAsia="Calibri"/>
        </w:rPr>
        <w:t xml:space="preserve">.   Ryan chose to </w:t>
      </w:r>
      <w:r w:rsidR="00192D24" w:rsidRPr="00C131E5">
        <w:rPr>
          <w:rFonts w:eastAsia="Calibri"/>
        </w:rPr>
        <w:t>include both</w:t>
      </w:r>
      <w:r w:rsidR="006B68B0" w:rsidRPr="00C131E5">
        <w:rPr>
          <w:rFonts w:eastAsia="Calibri"/>
        </w:rPr>
        <w:t xml:space="preserve"> </w:t>
      </w:r>
      <w:r w:rsidR="00DF0349" w:rsidRPr="00C131E5">
        <w:rPr>
          <w:rFonts w:eastAsia="Calibri"/>
        </w:rPr>
        <w:t>public and private institutions in his study</w:t>
      </w:r>
      <w:r w:rsidR="00B92805" w:rsidRPr="00C131E5">
        <w:rPr>
          <w:rFonts w:eastAsia="Calibri"/>
        </w:rPr>
        <w:t>, however</w:t>
      </w:r>
      <w:r w:rsidR="00DF0349" w:rsidRPr="00C131E5">
        <w:rPr>
          <w:rFonts w:eastAsia="Calibri"/>
        </w:rPr>
        <w:t xml:space="preserve"> m</w:t>
      </w:r>
      <w:r w:rsidR="00192D24" w:rsidRPr="00C131E5">
        <w:rPr>
          <w:rFonts w:eastAsia="Calibri"/>
        </w:rPr>
        <w:t xml:space="preserve">y study will focus </w:t>
      </w:r>
      <w:r w:rsidR="00B92805" w:rsidRPr="00C131E5">
        <w:rPr>
          <w:rFonts w:eastAsia="Calibri"/>
        </w:rPr>
        <w:t xml:space="preserve">only </w:t>
      </w:r>
      <w:r w:rsidR="00192D24" w:rsidRPr="00C131E5">
        <w:rPr>
          <w:rFonts w:eastAsia="Calibri"/>
        </w:rPr>
        <w:t xml:space="preserve">on public four-year colleges </w:t>
      </w:r>
      <w:r w:rsidR="006B68B0" w:rsidRPr="00C131E5">
        <w:rPr>
          <w:rFonts w:eastAsia="Calibri"/>
        </w:rPr>
        <w:t xml:space="preserve">to help remove any inherent differences found in </w:t>
      </w:r>
      <w:r w:rsidR="00B92805" w:rsidRPr="00C131E5">
        <w:rPr>
          <w:rFonts w:eastAsia="Calibri"/>
        </w:rPr>
        <w:t>financial</w:t>
      </w:r>
      <w:r w:rsidR="006B68B0" w:rsidRPr="00C131E5">
        <w:rPr>
          <w:rFonts w:eastAsia="Calibri"/>
        </w:rPr>
        <w:t xml:space="preserve"> </w:t>
      </w:r>
      <w:r w:rsidR="00DF0349" w:rsidRPr="00C131E5">
        <w:rPr>
          <w:rFonts w:eastAsia="Calibri"/>
        </w:rPr>
        <w:t>reporting</w:t>
      </w:r>
      <w:r w:rsidR="00B92805" w:rsidRPr="00C131E5">
        <w:rPr>
          <w:rFonts w:eastAsia="Calibri"/>
        </w:rPr>
        <w:t xml:space="preserve"> and overall missions </w:t>
      </w:r>
      <w:r w:rsidR="006B68B0" w:rsidRPr="00C131E5">
        <w:rPr>
          <w:rFonts w:eastAsia="Calibri"/>
        </w:rPr>
        <w:t xml:space="preserve">between public versus private institution types.  </w:t>
      </w:r>
    </w:p>
    <w:p w14:paraId="33083453" w14:textId="77777777" w:rsidR="006B68B0" w:rsidRPr="005121EE" w:rsidRDefault="006B68B0" w:rsidP="006B68B0">
      <w:pPr>
        <w:spacing w:after="160" w:line="480" w:lineRule="auto"/>
        <w:ind w:firstLine="720"/>
        <w:rPr>
          <w:rFonts w:eastAsia="Calibri"/>
        </w:rPr>
      </w:pPr>
      <w:r w:rsidRPr="00C131E5">
        <w:rPr>
          <w:rFonts w:eastAsia="Calibri"/>
        </w:rPr>
        <w:t>Conversely, Webber and Ehrenberg (2010) concluded that instructional</w:t>
      </w:r>
      <w:r w:rsidRPr="005121EE">
        <w:rPr>
          <w:rFonts w:eastAsia="Calibri"/>
        </w:rPr>
        <w:t>-oriented institutional expenditures have virtually no effect on student graduation and persistence, but one category of institutional expenditures – student services – did show a marginal effect on student outcomes, primarily with institutions that have lower entrance test scores and higher Pell Grant expenditures per student relative to the institutions being studie</w:t>
      </w:r>
      <w:r w:rsidR="00C947C4">
        <w:rPr>
          <w:rFonts w:eastAsia="Calibri"/>
        </w:rPr>
        <w:t xml:space="preserve">d (Webber and Ehrenberg, 2010).  </w:t>
      </w:r>
      <w:r w:rsidRPr="005121EE">
        <w:rPr>
          <w:rFonts w:eastAsia="Calibri"/>
        </w:rPr>
        <w:t xml:space="preserve">Similar to Ryan, Webber and Ehrenberg chose only to include 4-year institutions for analysis and also separately analyzed institutional expenditures as multiple independent variables (only four in this case:  instructional, academic support, student services, and research expenditures).  However, Webber and Ehrenberg also included private four-year schools in their study sample, and they logarithmically transformed the expenditure variables to create more normally distributed data.  The inclusion of private colleges and universities and skewness correction of the expenditure variables may have contributed for the different results as compared to Ryan’s study (Webber and Ehrenberg, 2010). </w:t>
      </w:r>
      <w:r w:rsidR="00570AB5">
        <w:rPr>
          <w:rFonts w:eastAsia="Calibri"/>
        </w:rPr>
        <w:t xml:space="preserve">  </w:t>
      </w:r>
      <w:r w:rsidR="009F40AC">
        <w:rPr>
          <w:rFonts w:eastAsia="Calibri"/>
        </w:rPr>
        <w:t xml:space="preserve">Again, by limiting </w:t>
      </w:r>
      <w:r w:rsidR="00495CD8">
        <w:rPr>
          <w:rFonts w:eastAsia="Calibri"/>
        </w:rPr>
        <w:t xml:space="preserve">my study </w:t>
      </w:r>
      <w:r w:rsidR="009F40AC">
        <w:rPr>
          <w:rFonts w:eastAsia="Calibri"/>
        </w:rPr>
        <w:t>to</w:t>
      </w:r>
      <w:r w:rsidR="00495CD8">
        <w:rPr>
          <w:rFonts w:eastAsia="Calibri"/>
        </w:rPr>
        <w:t xml:space="preserve"> </w:t>
      </w:r>
      <w:r w:rsidR="009F40AC">
        <w:rPr>
          <w:rFonts w:eastAsia="Calibri"/>
        </w:rPr>
        <w:t xml:space="preserve">only </w:t>
      </w:r>
      <w:r w:rsidR="00495CD8">
        <w:rPr>
          <w:rFonts w:eastAsia="Calibri"/>
        </w:rPr>
        <w:t xml:space="preserve">public </w:t>
      </w:r>
      <w:r w:rsidR="009F40AC">
        <w:rPr>
          <w:rFonts w:eastAsia="Calibri"/>
        </w:rPr>
        <w:t>schools, I</w:t>
      </w:r>
      <w:r w:rsidR="00495CD8">
        <w:rPr>
          <w:rFonts w:eastAsia="Calibri"/>
        </w:rPr>
        <w:t xml:space="preserve"> hope to </w:t>
      </w:r>
      <w:r w:rsidR="009F40AC">
        <w:rPr>
          <w:rFonts w:eastAsia="Calibri"/>
        </w:rPr>
        <w:t xml:space="preserve">add to the </w:t>
      </w:r>
      <w:r w:rsidR="009F40AC" w:rsidRPr="009F40AC">
        <w:rPr>
          <w:rFonts w:eastAsia="Calibri"/>
          <w:i/>
        </w:rPr>
        <w:t>expenditure effects on graduation rates</w:t>
      </w:r>
      <w:r w:rsidR="009F40AC">
        <w:rPr>
          <w:rFonts w:eastAsia="Calibri"/>
        </w:rPr>
        <w:t xml:space="preserve"> literature specific to this sector of higher education.  </w:t>
      </w:r>
    </w:p>
    <w:p w14:paraId="5CCC20BA" w14:textId="77777777" w:rsidR="006B68B0" w:rsidRDefault="00E929E2" w:rsidP="006B68B0">
      <w:pPr>
        <w:spacing w:after="160" w:line="480" w:lineRule="auto"/>
        <w:ind w:firstLine="720"/>
        <w:rPr>
          <w:rFonts w:eastAsia="Calibri"/>
        </w:rPr>
      </w:pPr>
      <w:r>
        <w:rPr>
          <w:rFonts w:eastAsia="Calibri"/>
        </w:rPr>
        <w:lastRenderedPageBreak/>
        <w:t xml:space="preserve">A recent </w:t>
      </w:r>
      <w:r w:rsidR="006B68B0" w:rsidRPr="00B573B4">
        <w:rPr>
          <w:rFonts w:eastAsia="Calibri"/>
        </w:rPr>
        <w:t xml:space="preserve">study that </w:t>
      </w:r>
      <w:r>
        <w:rPr>
          <w:rFonts w:eastAsia="Calibri"/>
        </w:rPr>
        <w:t xml:space="preserve">did </w:t>
      </w:r>
      <w:r w:rsidR="006B68B0" w:rsidRPr="00B573B4">
        <w:rPr>
          <w:rFonts w:eastAsia="Calibri"/>
        </w:rPr>
        <w:t xml:space="preserve">find significant influence on </w:t>
      </w:r>
      <w:r w:rsidR="00F77FA5">
        <w:rPr>
          <w:rFonts w:eastAsia="Calibri"/>
        </w:rPr>
        <w:t>six-year graduation rates</w:t>
      </w:r>
      <w:r w:rsidR="006B68B0" w:rsidRPr="00B573B4">
        <w:rPr>
          <w:rFonts w:eastAsia="Calibri"/>
        </w:rPr>
        <w:t xml:space="preserve"> when examining student as well as institutional characteristics in conjunction with institutional expenditures is “Expenditures, efficiency, and effectiveness in US undergraduate higher education: A national benchmark model”, </w:t>
      </w:r>
      <w:r w:rsidR="006B68B0" w:rsidRPr="00C131E5">
        <w:rPr>
          <w:rFonts w:eastAsia="Calibri"/>
        </w:rPr>
        <w:t xml:space="preserve">authored by Powell, </w:t>
      </w:r>
      <w:proofErr w:type="spellStart"/>
      <w:r w:rsidR="006B68B0" w:rsidRPr="00C131E5">
        <w:rPr>
          <w:rFonts w:eastAsia="Calibri"/>
        </w:rPr>
        <w:t>Gilleland</w:t>
      </w:r>
      <w:proofErr w:type="spellEnd"/>
      <w:r w:rsidR="006B68B0" w:rsidRPr="00C131E5">
        <w:rPr>
          <w:rFonts w:eastAsia="Calibri"/>
        </w:rPr>
        <w:t>, and Pearson</w:t>
      </w:r>
      <w:r w:rsidR="00FC7E7A">
        <w:rPr>
          <w:rFonts w:eastAsia="Calibri"/>
        </w:rPr>
        <w:t xml:space="preserve"> (2012)</w:t>
      </w:r>
      <w:r w:rsidR="006B68B0" w:rsidRPr="00C131E5">
        <w:rPr>
          <w:rFonts w:eastAsia="Calibri"/>
        </w:rPr>
        <w:t>.  The theoretical framework that Powell et al. employed</w:t>
      </w:r>
      <w:r w:rsidR="006B68B0" w:rsidRPr="00B573B4">
        <w:rPr>
          <w:rFonts w:eastAsia="Calibri"/>
        </w:rPr>
        <w:t xml:space="preserve"> in their study will be the theoretical basis for my proposed thesis. The focal point of their theory is that higher education institutional characteristics (i.e. enrollment size, sector, classification, grant aid) and institutional expenditures (i.e. expenses on instruction, research, </w:t>
      </w:r>
      <w:r w:rsidR="00B810EE">
        <w:rPr>
          <w:rFonts w:eastAsia="Calibri"/>
        </w:rPr>
        <w:t xml:space="preserve">public </w:t>
      </w:r>
      <w:r w:rsidR="006B68B0" w:rsidRPr="00B573B4">
        <w:rPr>
          <w:rFonts w:eastAsia="Calibri"/>
        </w:rPr>
        <w:t xml:space="preserve">service, academic support, and student services) can both independently predict an institution’s degree of efficiency and effectiveness.  Efficiency, as defined by this study, is measured collectively by class size, student-to-faculty ratios, faculty satisfaction and teaching load, and executive staff ratios variables; and effectiveness is likewise measured collectively by student retention and graduation rate variables. This paper sought to address the implications of state higher education funding cuts over the past quarter century by developing a model of the above inputs and outputs and resultant benchmarks to determine a public university’s most efficient and effective use of dwindling financial resources, and their analyses concluded that indeed expenditures and institutional characteristics predicted both efficiency and effectiveness </w:t>
      </w:r>
      <w:r w:rsidR="006B68B0" w:rsidRPr="00A8693F">
        <w:rPr>
          <w:rFonts w:eastAsia="Calibri"/>
        </w:rPr>
        <w:t>(Powell et al. 2012).</w:t>
      </w:r>
      <w:r w:rsidR="006B68B0" w:rsidRPr="00B573B4">
        <w:rPr>
          <w:rFonts w:eastAsia="Calibri"/>
        </w:rPr>
        <w:t xml:space="preserve"> </w:t>
      </w:r>
      <w:r w:rsidR="00F77FA5">
        <w:rPr>
          <w:rFonts w:eastAsia="Calibri"/>
        </w:rPr>
        <w:t xml:space="preserve"> </w:t>
      </w:r>
      <w:r>
        <w:rPr>
          <w:rFonts w:eastAsia="Calibri"/>
        </w:rPr>
        <w:t xml:space="preserve">Yet, this study noted that it could be improved on by also examining other influences on graduation rates besides just student and institutional characteristics </w:t>
      </w:r>
      <w:r w:rsidRPr="00A8693F">
        <w:rPr>
          <w:rFonts w:eastAsia="Calibri"/>
        </w:rPr>
        <w:t>(Powell et al. 2012)</w:t>
      </w:r>
      <w:r>
        <w:rPr>
          <w:rFonts w:eastAsia="Calibri"/>
        </w:rPr>
        <w:t xml:space="preserve">.  </w:t>
      </w:r>
      <w:r w:rsidRPr="00E929E2">
        <w:rPr>
          <w:rFonts w:eastAsia="Calibri"/>
        </w:rPr>
        <w:t xml:space="preserve">To build upon Powell's study, my </w:t>
      </w:r>
      <w:r>
        <w:rPr>
          <w:rFonts w:eastAsia="Calibri"/>
        </w:rPr>
        <w:t>study</w:t>
      </w:r>
      <w:r w:rsidRPr="00E929E2">
        <w:rPr>
          <w:rFonts w:eastAsia="Calibri"/>
        </w:rPr>
        <w:t xml:space="preserve"> adds regional </w:t>
      </w:r>
      <w:r w:rsidRPr="00E929E2">
        <w:rPr>
          <w:rFonts w:eastAsia="Calibri"/>
        </w:rPr>
        <w:lastRenderedPageBreak/>
        <w:t>unemployment rates and average household incomes as independent variables to determine any effects of these regional economic indicators on six-year graduation rates.</w:t>
      </w:r>
    </w:p>
    <w:p w14:paraId="1E1071D7" w14:textId="77777777" w:rsidR="00E929E2" w:rsidRPr="00B573B4" w:rsidRDefault="00E929E2" w:rsidP="006B68B0">
      <w:pPr>
        <w:spacing w:after="160" w:line="480" w:lineRule="auto"/>
        <w:ind w:firstLine="720"/>
        <w:rPr>
          <w:rFonts w:eastAsia="Calibri"/>
        </w:rPr>
      </w:pPr>
      <w:r>
        <w:rPr>
          <w:rFonts w:eastAsia="Calibri"/>
        </w:rPr>
        <w:t xml:space="preserve">Supporting the idea that regional economic conditions may effect college outcomes, </w:t>
      </w:r>
      <w:r w:rsidRPr="00E929E2">
        <w:rPr>
          <w:rFonts w:eastAsia="Calibri"/>
        </w:rPr>
        <w:t xml:space="preserve">McMillon (2004) observed that institutional degree programs that were not in sync with the employment demand of its region created a direct correlation to higher student loan default. Students were defaulting on loans at a higher rate in regions with high average unemployment than those in regions where the economy was stronger with more available job opportunities.  Research has consistently shown that completing (graduating from) a postsecondary education program is the single strongest predictor of not defaulting on a student loan (Gross, </w:t>
      </w:r>
      <w:proofErr w:type="spellStart"/>
      <w:r w:rsidRPr="00E929E2">
        <w:rPr>
          <w:rFonts w:eastAsia="Calibri"/>
        </w:rPr>
        <w:t>Cekic</w:t>
      </w:r>
      <w:proofErr w:type="spellEnd"/>
      <w:r w:rsidRPr="00E929E2">
        <w:rPr>
          <w:rFonts w:eastAsia="Calibri"/>
        </w:rPr>
        <w:t xml:space="preserve">, </w:t>
      </w:r>
      <w:proofErr w:type="spellStart"/>
      <w:r w:rsidRPr="00E929E2">
        <w:rPr>
          <w:rFonts w:eastAsia="Calibri"/>
        </w:rPr>
        <w:t>Hossler</w:t>
      </w:r>
      <w:proofErr w:type="spellEnd"/>
      <w:r w:rsidRPr="00E929E2">
        <w:rPr>
          <w:rFonts w:eastAsia="Calibri"/>
        </w:rPr>
        <w:t xml:space="preserve">, and Hillman; 2009).  This would indicate that based on the geographic region and its associated unemployment rate, an institution may be advantaged or disadvantaged versus another institution in a different region with otherwise equal educational expenditures and their connections to retention and graduation rates.   </w:t>
      </w:r>
    </w:p>
    <w:p w14:paraId="77EBF8A7" w14:textId="77777777" w:rsidR="006B68B0" w:rsidRPr="00B573B4" w:rsidRDefault="006B68B0" w:rsidP="006B68B0">
      <w:pPr>
        <w:keepNext/>
        <w:spacing w:after="160" w:line="480" w:lineRule="auto"/>
        <w:jc w:val="center"/>
        <w:rPr>
          <w:rFonts w:eastAsia="Calibri"/>
          <w:b/>
        </w:rPr>
      </w:pPr>
      <w:r w:rsidRPr="00B573B4">
        <w:rPr>
          <w:rFonts w:eastAsia="Calibri"/>
          <w:b/>
        </w:rPr>
        <w:t>Conceptual Frameworks</w:t>
      </w:r>
    </w:p>
    <w:p w14:paraId="32AF1DAC" w14:textId="77777777" w:rsidR="006B68B0" w:rsidRPr="00B573B4" w:rsidRDefault="006B68B0" w:rsidP="006B68B0">
      <w:pPr>
        <w:keepNext/>
        <w:spacing w:after="160" w:line="480" w:lineRule="auto"/>
        <w:ind w:firstLine="720"/>
        <w:rPr>
          <w:rFonts w:eastAsia="Calibri"/>
        </w:rPr>
      </w:pPr>
      <w:r w:rsidRPr="00B573B4">
        <w:rPr>
          <w:rFonts w:eastAsia="Calibri"/>
        </w:rPr>
        <w:t xml:space="preserve">In </w:t>
      </w:r>
      <w:r w:rsidRPr="002B2712">
        <w:rPr>
          <w:rFonts w:eastAsia="Calibri"/>
        </w:rPr>
        <w:t>addition to the student-institution fit model of Powell’s noted above, my study would be based upon other conceptual frameworks as were followed in the related research noted above.</w:t>
      </w:r>
      <w:r w:rsidR="00DA0E99" w:rsidRPr="002B2712">
        <w:rPr>
          <w:rFonts w:eastAsia="Calibri"/>
        </w:rPr>
        <w:tab/>
      </w:r>
      <w:r w:rsidRPr="002B2712">
        <w:rPr>
          <w:rFonts w:eastAsia="Calibri"/>
        </w:rPr>
        <w:t xml:space="preserve">  One framework embraced is human capital theory, where</w:t>
      </w:r>
      <w:r w:rsidRPr="00B573B4">
        <w:rPr>
          <w:rFonts w:eastAsia="Calibri"/>
        </w:rPr>
        <w:t xml:space="preserve"> variables are chosen on the basis of an individual’s willingness to invest in educational training in return for higher financial compensation.  Here, students chose to pursue a college degree only when the benefits of the degree are believed to outweigh the direct costs (e.g. tuition) and indirect costs (e.g. being a student instead of working and earning </w:t>
      </w:r>
      <w:r w:rsidRPr="002B2712">
        <w:rPr>
          <w:rFonts w:eastAsia="Calibri"/>
        </w:rPr>
        <w:lastRenderedPageBreak/>
        <w:t>a present income) of said degree (Becker, 1964; Freeman, 1976; Manski and Wise, 1983; Volkwein</w:t>
      </w:r>
      <w:r w:rsidR="002E68B4" w:rsidRPr="002B2712">
        <w:rPr>
          <w:rFonts w:eastAsia="Calibri"/>
        </w:rPr>
        <w:t>,</w:t>
      </w:r>
      <w:r w:rsidRPr="002B2712">
        <w:rPr>
          <w:rFonts w:eastAsia="Calibri"/>
        </w:rPr>
        <w:t xml:space="preserve"> </w:t>
      </w:r>
      <w:proofErr w:type="spellStart"/>
      <w:r w:rsidRPr="002B2712">
        <w:rPr>
          <w:rFonts w:eastAsia="Calibri"/>
        </w:rPr>
        <w:t>Szelest</w:t>
      </w:r>
      <w:proofErr w:type="spellEnd"/>
      <w:r w:rsidRPr="002B2712">
        <w:rPr>
          <w:rFonts w:eastAsia="Calibri"/>
        </w:rPr>
        <w:t>,</w:t>
      </w:r>
      <w:r w:rsidR="002E68B4" w:rsidRPr="002B2712">
        <w:rPr>
          <w:rFonts w:eastAsia="Calibri"/>
        </w:rPr>
        <w:t xml:space="preserve"> Cabrera, and </w:t>
      </w:r>
      <w:proofErr w:type="spellStart"/>
      <w:r w:rsidR="002E68B4" w:rsidRPr="002B2712">
        <w:rPr>
          <w:rFonts w:eastAsia="Calibri"/>
        </w:rPr>
        <w:t>Napierski-Prancl</w:t>
      </w:r>
      <w:proofErr w:type="spellEnd"/>
      <w:r w:rsidR="002E68B4" w:rsidRPr="002B2712">
        <w:rPr>
          <w:rFonts w:eastAsia="Calibri"/>
        </w:rPr>
        <w:t>,</w:t>
      </w:r>
      <w:r w:rsidRPr="002B2712">
        <w:rPr>
          <w:rFonts w:eastAsia="Calibri"/>
        </w:rPr>
        <w:t xml:space="preserve"> 1998).  Also incorporated in this study is organizational theory, where leaders of an organization set and pursue work-related goals of efficiency and effectiveness (</w:t>
      </w:r>
      <w:proofErr w:type="spellStart"/>
      <w:r w:rsidRPr="002B2712">
        <w:rPr>
          <w:rFonts w:eastAsia="Calibri"/>
        </w:rPr>
        <w:t>Argyris</w:t>
      </w:r>
      <w:proofErr w:type="spellEnd"/>
      <w:r w:rsidRPr="002B2712">
        <w:rPr>
          <w:rFonts w:eastAsia="Calibri"/>
        </w:rPr>
        <w:t xml:space="preserve">, 1973; Pfeffer, 1982; Webber and Rogers, 2014).  Another, the revenue theory of costs, is assumed here to influence an institution’s resource allocation, where the quest for greater prestige leads to spending all available resources, without limit (Bowen, 1980; Webber and Rogers, 2014).    </w:t>
      </w:r>
      <w:r w:rsidR="00874FC4" w:rsidRPr="002B2712">
        <w:rPr>
          <w:rFonts w:eastAsia="Calibri"/>
        </w:rPr>
        <w:t xml:space="preserve">As previously detailed, Burke’s accountability triangle will provide a theoretical basis for expectations of particular stakeholder effects from increased student outcomes accountability (Burke, 2005).  </w:t>
      </w:r>
      <w:r w:rsidRPr="002B2712">
        <w:rPr>
          <w:rFonts w:eastAsia="Calibri"/>
        </w:rPr>
        <w:t>Also followed will be Vincent Tinto’s integrated model of student retention. The basis for Powell’s institutional effectiveness and efficiency model, Tinto’s model supports the concept that students will persist and graduate in higher rates when the student’s individual characteristics best match an institution’s characteristics (Tinto, 1975, 1982).</w:t>
      </w:r>
      <w:r w:rsidRPr="00B573B4">
        <w:rPr>
          <w:rFonts w:eastAsia="Calibri"/>
        </w:rPr>
        <w:t xml:space="preserve">       </w:t>
      </w:r>
    </w:p>
    <w:p w14:paraId="031224D5" w14:textId="77777777" w:rsidR="006B68B0" w:rsidRPr="00B573B4" w:rsidRDefault="006B68B0" w:rsidP="006B68B0">
      <w:pPr>
        <w:spacing w:after="160" w:line="480" w:lineRule="auto"/>
        <w:jc w:val="center"/>
        <w:rPr>
          <w:rFonts w:eastAsia="Calibri"/>
          <w:b/>
        </w:rPr>
      </w:pPr>
      <w:r w:rsidRPr="00B573B4">
        <w:rPr>
          <w:rFonts w:eastAsia="Calibri"/>
          <w:b/>
        </w:rPr>
        <w:t>Summary</w:t>
      </w:r>
    </w:p>
    <w:p w14:paraId="6A1BAE95" w14:textId="77777777" w:rsidR="006B68B0" w:rsidRDefault="006B68B0" w:rsidP="006B68B0">
      <w:pPr>
        <w:spacing w:after="160" w:line="480" w:lineRule="auto"/>
        <w:ind w:firstLine="720"/>
        <w:rPr>
          <w:rFonts w:eastAsia="Calibri"/>
        </w:rPr>
      </w:pPr>
      <w:r w:rsidRPr="00B573B4">
        <w:rPr>
          <w:rFonts w:eastAsia="Calibri"/>
        </w:rPr>
        <w:t xml:space="preserve">As this review has highlighted, the increasing importance of student retention and graduation rates is requiring public higher education administrators and state policy makers to best align dwindling financial recourses to have the greatest effect on these student outcomes.    The better a state-funded higher education institution can align its resource usage to improve student outcomes, the greater percent of state money it will continue to be rewarded with and the greater its ability to distinguish itself amongst its many stakeholders.  Yet, public higher education leaders and administrators are being </w:t>
      </w:r>
      <w:r w:rsidRPr="00B573B4">
        <w:rPr>
          <w:rFonts w:eastAsia="Calibri"/>
        </w:rPr>
        <w:lastRenderedPageBreak/>
        <w:t xml:space="preserve">tasked with improving student retention and graduation rates with diminishing financial resources and without the benefit of well-defined spending guidelines.   To best utilize available resources in order to meet the increasing demand for optimal student outcomes, institutions need a clearer understanding of how institutional expenditures affect student retention and graduation rates.  The proposed study herein will provide university administrators and state policymakers guidance for establishing benchmark or target spending amounts for their public colleges and universities, particularly in states with student outcomes performance policies regulating the amount of higher education appropriations. </w:t>
      </w:r>
    </w:p>
    <w:p w14:paraId="4305749B" w14:textId="77777777" w:rsidR="006B68B0" w:rsidRDefault="006B68B0">
      <w:pPr>
        <w:rPr>
          <w:rFonts w:eastAsia="Calibri"/>
          <w:b/>
        </w:rPr>
      </w:pPr>
      <w:r>
        <w:rPr>
          <w:rFonts w:eastAsia="Calibri"/>
          <w:b/>
        </w:rPr>
        <w:br w:type="page"/>
      </w:r>
    </w:p>
    <w:p w14:paraId="43572D0F" w14:textId="77777777" w:rsidR="00421437" w:rsidRPr="003E1CE3" w:rsidRDefault="00421437" w:rsidP="00421437">
      <w:pPr>
        <w:spacing w:after="160" w:line="480" w:lineRule="auto"/>
        <w:jc w:val="center"/>
        <w:rPr>
          <w:rFonts w:eastAsia="Calibri"/>
          <w:b/>
        </w:rPr>
      </w:pPr>
      <w:r w:rsidRPr="003E1CE3">
        <w:rPr>
          <w:rFonts w:eastAsia="Calibri"/>
          <w:b/>
        </w:rPr>
        <w:lastRenderedPageBreak/>
        <w:t>CHAPTER III</w:t>
      </w:r>
    </w:p>
    <w:p w14:paraId="02686E9F" w14:textId="77777777" w:rsidR="00D6706B" w:rsidRPr="003E1CE3" w:rsidRDefault="00D6706B" w:rsidP="00D6706B">
      <w:pPr>
        <w:spacing w:after="160" w:line="480" w:lineRule="auto"/>
        <w:jc w:val="center"/>
        <w:rPr>
          <w:rFonts w:eastAsia="Calibri"/>
          <w:b/>
        </w:rPr>
      </w:pPr>
      <w:r w:rsidRPr="003E1CE3">
        <w:rPr>
          <w:rFonts w:eastAsia="Calibri"/>
          <w:b/>
        </w:rPr>
        <w:t>RESEARCH METHODOLOGY</w:t>
      </w:r>
    </w:p>
    <w:p w14:paraId="7B6878E3" w14:textId="77777777" w:rsidR="00D6706B" w:rsidRPr="00232FD3" w:rsidRDefault="00A46B0F" w:rsidP="00D6706B">
      <w:pPr>
        <w:spacing w:after="160" w:line="480" w:lineRule="auto"/>
        <w:jc w:val="center"/>
        <w:rPr>
          <w:rFonts w:eastAsia="Calibri"/>
          <w:b/>
        </w:rPr>
      </w:pPr>
      <w:r>
        <w:rPr>
          <w:rFonts w:eastAsia="Calibri"/>
          <w:b/>
        </w:rPr>
        <w:t>Introduction</w:t>
      </w:r>
    </w:p>
    <w:p w14:paraId="71F2A655" w14:textId="39220D67" w:rsidR="00D6706B" w:rsidRPr="00232FD3" w:rsidRDefault="00D6706B" w:rsidP="00D6706B">
      <w:pPr>
        <w:spacing w:after="160" w:line="480" w:lineRule="auto"/>
        <w:ind w:firstLine="720"/>
        <w:rPr>
          <w:rFonts w:eastAsia="Calibri"/>
        </w:rPr>
      </w:pPr>
      <w:r w:rsidRPr="00232FD3">
        <w:rPr>
          <w:rFonts w:eastAsia="Calibri"/>
        </w:rPr>
        <w:t xml:space="preserve">The purpose of this study is to analyze the relationship institutional expenditures have on graduation rates in public higher education institutions – when accounting for </w:t>
      </w:r>
      <w:r w:rsidR="005B7C62">
        <w:rPr>
          <w:rFonts w:eastAsia="Calibri"/>
        </w:rPr>
        <w:t xml:space="preserve">both </w:t>
      </w:r>
      <w:r w:rsidRPr="00232FD3">
        <w:rPr>
          <w:rFonts w:eastAsia="Calibri"/>
        </w:rPr>
        <w:t xml:space="preserve">institutional </w:t>
      </w:r>
      <w:r w:rsidR="005B7C62">
        <w:rPr>
          <w:rFonts w:eastAsia="Calibri"/>
        </w:rPr>
        <w:t>and state level differences</w:t>
      </w:r>
      <w:r w:rsidRPr="00232FD3">
        <w:rPr>
          <w:rFonts w:eastAsia="Calibri"/>
        </w:rPr>
        <w:t xml:space="preserve">.  Specific to these intentions, this study seeks answers to the following questions: </w:t>
      </w:r>
    </w:p>
    <w:p w14:paraId="04E40431" w14:textId="77777777" w:rsidR="00D6706B" w:rsidRPr="00232FD3" w:rsidRDefault="00D6706B" w:rsidP="00D6706B">
      <w:pPr>
        <w:spacing w:after="160" w:line="480" w:lineRule="auto"/>
        <w:ind w:firstLine="720"/>
        <w:rPr>
          <w:rFonts w:eastAsia="Calibri"/>
        </w:rPr>
      </w:pPr>
      <w:r w:rsidRPr="00232FD3">
        <w:rPr>
          <w:rFonts w:eastAsia="Calibri"/>
        </w:rPr>
        <w:t xml:space="preserve">1.  </w:t>
      </w:r>
      <w:r>
        <w:rPr>
          <w:rFonts w:eastAsia="Calibri"/>
        </w:rPr>
        <w:t>What are the</w:t>
      </w:r>
      <w:r w:rsidRPr="00232FD3">
        <w:rPr>
          <w:rFonts w:eastAsia="Calibri"/>
        </w:rPr>
        <w:t xml:space="preserve"> associations between different types of higher education institution expenditures and graduation rates after controlling for institutional characteristics?</w:t>
      </w:r>
    </w:p>
    <w:p w14:paraId="3A818246" w14:textId="77777777" w:rsidR="00D6706B" w:rsidRPr="00232FD3" w:rsidRDefault="00D6706B" w:rsidP="00D6706B">
      <w:pPr>
        <w:spacing w:after="160" w:line="480" w:lineRule="auto"/>
        <w:ind w:firstLine="720"/>
        <w:rPr>
          <w:rFonts w:eastAsia="Calibri"/>
        </w:rPr>
      </w:pPr>
      <w:r w:rsidRPr="00232FD3">
        <w:rPr>
          <w:rFonts w:eastAsia="Calibri"/>
        </w:rPr>
        <w:t xml:space="preserve">2.   </w:t>
      </w:r>
      <w:r>
        <w:rPr>
          <w:rFonts w:eastAsia="Calibri"/>
        </w:rPr>
        <w:t>What are the</w:t>
      </w:r>
      <w:r w:rsidRPr="00232FD3">
        <w:rPr>
          <w:rFonts w:eastAsia="Calibri"/>
        </w:rPr>
        <w:t xml:space="preserve"> associations between different types of higher education institution expenditures and graduation rates after controlling for state level variables?  </w:t>
      </w:r>
    </w:p>
    <w:p w14:paraId="156F934B" w14:textId="77777777" w:rsidR="00D6706B" w:rsidRPr="00232FD3" w:rsidRDefault="00D6706B" w:rsidP="00D6706B">
      <w:pPr>
        <w:spacing w:after="160" w:line="480" w:lineRule="auto"/>
        <w:ind w:firstLine="720"/>
        <w:rPr>
          <w:rFonts w:eastAsia="Calibri"/>
        </w:rPr>
      </w:pPr>
      <w:r w:rsidRPr="00232FD3">
        <w:rPr>
          <w:rFonts w:eastAsia="Calibri"/>
        </w:rPr>
        <w:t xml:space="preserve">3.  </w:t>
      </w:r>
      <w:r>
        <w:rPr>
          <w:rFonts w:eastAsia="Calibri"/>
        </w:rPr>
        <w:t>What are the</w:t>
      </w:r>
      <w:r w:rsidRPr="00232FD3">
        <w:rPr>
          <w:rFonts w:eastAsia="Calibri"/>
        </w:rPr>
        <w:t xml:space="preserve"> differences in effect levels between higher education institution level factors and state level factors on graduation rates?</w:t>
      </w:r>
    </w:p>
    <w:p w14:paraId="7472723E" w14:textId="77777777" w:rsidR="00D6706B" w:rsidRPr="00232FD3" w:rsidRDefault="00D6706B" w:rsidP="00D6706B">
      <w:pPr>
        <w:spacing w:after="160" w:line="480" w:lineRule="auto"/>
        <w:ind w:firstLine="720"/>
        <w:rPr>
          <w:rFonts w:eastAsia="Calibri"/>
        </w:rPr>
      </w:pPr>
      <w:r w:rsidRPr="00232FD3">
        <w:rPr>
          <w:rFonts w:eastAsia="Calibri"/>
        </w:rPr>
        <w:t>As an overview of the steps taken in accomplishing this study’s purpose and in pursuit of the answers to the questions above, this chapter aims to:  provide a detailed description of the research data sources to be accessed; give an introduction and summary of the research variables selected for evaluation; provide general characterizations on the specific types of data analyses to be conducted, including the primary statistical procedure employed in the study – multilevel modeling.</w:t>
      </w:r>
    </w:p>
    <w:p w14:paraId="6595B818" w14:textId="77777777" w:rsidR="00D6706B" w:rsidRPr="00232FD3" w:rsidRDefault="00D6706B" w:rsidP="00D6706B">
      <w:pPr>
        <w:keepNext/>
        <w:spacing w:after="160" w:line="480" w:lineRule="auto"/>
        <w:jc w:val="center"/>
        <w:rPr>
          <w:rFonts w:eastAsia="Calibri"/>
          <w:b/>
        </w:rPr>
      </w:pPr>
      <w:r w:rsidRPr="00232FD3">
        <w:rPr>
          <w:rFonts w:eastAsia="Calibri"/>
          <w:b/>
        </w:rPr>
        <w:lastRenderedPageBreak/>
        <w:t>Data Sources</w:t>
      </w:r>
    </w:p>
    <w:p w14:paraId="3BC46F6C" w14:textId="2FFC9969" w:rsidR="00D6706B" w:rsidRPr="00232FD3" w:rsidRDefault="00D6706B" w:rsidP="00D6706B">
      <w:pPr>
        <w:keepNext/>
        <w:spacing w:after="160" w:line="480" w:lineRule="auto"/>
        <w:ind w:firstLine="720"/>
        <w:rPr>
          <w:rFonts w:eastAsia="Calibri"/>
        </w:rPr>
      </w:pPr>
      <w:r w:rsidRPr="00232FD3">
        <w:rPr>
          <w:rFonts w:eastAsia="Calibri"/>
        </w:rPr>
        <w:t xml:space="preserve">In pursuit of further evidence for the effects institutional expenditures have on student outcomes and finding an optimum level for such expenditures to student outcomes, this quantitative, non-experimental, correlational study will examine financial expenditures of </w:t>
      </w:r>
      <w:r w:rsidR="00AB1A1E">
        <w:rPr>
          <w:rFonts w:eastAsia="Calibri"/>
        </w:rPr>
        <w:t>564</w:t>
      </w:r>
      <w:r w:rsidRPr="00232FD3">
        <w:rPr>
          <w:rFonts w:eastAsia="Calibri"/>
        </w:rPr>
        <w:t xml:space="preserve"> public 4-year universities, adjusted by their </w:t>
      </w:r>
      <w:r w:rsidR="00AB1A1E">
        <w:rPr>
          <w:rFonts w:eastAsia="Calibri"/>
        </w:rPr>
        <w:t>institutional and state level characteristics</w:t>
      </w:r>
      <w:r w:rsidRPr="00232FD3">
        <w:rPr>
          <w:rFonts w:eastAsia="Calibri"/>
        </w:rPr>
        <w:t xml:space="preserve">, in relation to those universities six-year graduation rates.   The input, mediating, and </w:t>
      </w:r>
      <w:r w:rsidRPr="00377A12">
        <w:rPr>
          <w:rFonts w:eastAsia="Calibri"/>
        </w:rPr>
        <w:t>output variables to be used in the study will come from data obtained from three sources:  the Integrated Postsecondary Data System (IPEDS), the Bureau of Labor Statistics within the United States (U.S.) Department of Labor, and</w:t>
      </w:r>
      <w:r w:rsidRPr="00377A12">
        <w:t xml:space="preserve"> </w:t>
      </w:r>
      <w:r w:rsidRPr="00377A12">
        <w:rPr>
          <w:rFonts w:eastAsia="Calibri"/>
        </w:rPr>
        <w:t>the National Center for Higher Education Management Systems (NCHEMS).</w:t>
      </w:r>
    </w:p>
    <w:p w14:paraId="79F361FD" w14:textId="77777777" w:rsidR="00D6706B" w:rsidRDefault="00D6706B" w:rsidP="00D6706B">
      <w:pPr>
        <w:spacing w:after="160" w:line="480" w:lineRule="auto"/>
        <w:rPr>
          <w:rFonts w:eastAsia="Calibri"/>
          <w:b/>
        </w:rPr>
      </w:pPr>
      <w:r w:rsidRPr="00232FD3">
        <w:rPr>
          <w:rFonts w:eastAsia="Calibri"/>
          <w:b/>
        </w:rPr>
        <w:t>The Integrated Postsecondary Data System (IPEDS)</w:t>
      </w:r>
      <w:r>
        <w:rPr>
          <w:rFonts w:eastAsia="Calibri"/>
          <w:b/>
        </w:rPr>
        <w:t xml:space="preserve">  </w:t>
      </w:r>
    </w:p>
    <w:p w14:paraId="09032C5C" w14:textId="77777777" w:rsidR="00D6706B" w:rsidRPr="00232FD3" w:rsidRDefault="00D6706B" w:rsidP="00D6706B">
      <w:pPr>
        <w:spacing w:after="160" w:line="480" w:lineRule="auto"/>
        <w:ind w:firstLine="720"/>
        <w:rPr>
          <w:rFonts w:eastAsia="Calibri"/>
        </w:rPr>
      </w:pPr>
      <w:r w:rsidRPr="00232FD3">
        <w:rPr>
          <w:rFonts w:eastAsia="Calibri"/>
        </w:rPr>
        <w:t xml:space="preserve">The historical roots of the Integrated Postsecondary Data System (IPEDS) extend all the way back to the foundation of the United States Department of Education.  As such, collecting institutional higher education data in the United States has been conducted by various federal agencies in some form since the late 1860s.  Beginning in 1867,  the U.S. Department of Education was created for the purpose of  “collecting such statistics and facts as shall show the condition and progress of education in the several States and territories, and of diffusing such information respecting the organization and management of schools and school systems, and methods of teaching, as shall aid the people of the United States in the establishment and maintenance of efficient school systems, and otherwise promote the cause of education throughout the United </w:t>
      </w:r>
      <w:r w:rsidRPr="00393A20">
        <w:rPr>
          <w:rFonts w:eastAsia="Calibri"/>
        </w:rPr>
        <w:t>States” (Fuller, 2011).</w:t>
      </w:r>
      <w:r w:rsidRPr="00232FD3">
        <w:rPr>
          <w:rFonts w:eastAsia="Calibri"/>
        </w:rPr>
        <w:t xml:space="preserve">  </w:t>
      </w:r>
    </w:p>
    <w:p w14:paraId="59C98C3A" w14:textId="77777777" w:rsidR="00D6706B" w:rsidRPr="00933C2A" w:rsidRDefault="00D6706B" w:rsidP="00D6706B">
      <w:pPr>
        <w:spacing w:after="160" w:line="480" w:lineRule="auto"/>
        <w:ind w:firstLine="720"/>
        <w:rPr>
          <w:rFonts w:eastAsia="Calibri"/>
        </w:rPr>
      </w:pPr>
      <w:r w:rsidRPr="00232FD3">
        <w:rPr>
          <w:rFonts w:eastAsia="Calibri"/>
        </w:rPr>
        <w:lastRenderedPageBreak/>
        <w:t>The National Center for Education Statistics (NCES) was established in 1974 as part of the Education Division of the U.S. Department of Health, Education, and Welfare for the purpose of col</w:t>
      </w:r>
      <w:r w:rsidRPr="00933C2A">
        <w:rPr>
          <w:rFonts w:eastAsia="Calibri"/>
        </w:rPr>
        <w:t xml:space="preserve">lecting and providing statistics related to education in the United States.  NCES was incorporated into the Office of Educational Research and Improvement with the establishment of the current U.S. Department of Education in 1979 (Fuller, 2011).  In 1985, NCES developed and began phasing in the Integrated Postsecondary Data System, IPEDS, beginning with the 1985-86 “Institutional Characteristics” survey, with subsequent surveys introduced over the following two years including “Fall Enrollment”, “Residence of First-Time Students”, “Total Institutional Activity”, “Degree Completions”, “Finance”, “Staff Salaries of Full-Time Instructional Faculty”, and the “Enrollment in Occupationally Specific Programs (academic concentrations and majors)”. The “Graduation Rates” survey was added in 1997-98, after the enactment of the Student Right-to-Know and Campus Security Act in 1990 (Fuller, 2011).    </w:t>
      </w:r>
    </w:p>
    <w:p w14:paraId="24157FDD" w14:textId="77777777" w:rsidR="00D6706B" w:rsidRPr="00232FD3" w:rsidRDefault="00D6706B" w:rsidP="00D6706B">
      <w:pPr>
        <w:spacing w:after="160" w:line="480" w:lineRule="auto"/>
        <w:ind w:firstLine="720"/>
        <w:rPr>
          <w:rFonts w:eastAsia="Calibri"/>
        </w:rPr>
      </w:pPr>
      <w:r w:rsidRPr="00933C2A">
        <w:rPr>
          <w:rFonts w:eastAsia="Calibri"/>
        </w:rPr>
        <w:t>Amendments in 1992 to the Higher Education Act added a provision requiring the reporting of annual IPEDS data – by means of these surveys – to be mandatory for all institutions that participate in any federal financial assistance program as authorized by Title IV of the original Higher Education Act of 1965 (Fuller, 2011).  Therefore</w:t>
      </w:r>
      <w:r w:rsidRPr="00232FD3">
        <w:rPr>
          <w:rFonts w:eastAsia="Calibri"/>
        </w:rPr>
        <w:t xml:space="preserve">, all higher education institutions wishing to receive federal financial dollars for student financial aid are subsequently completing and submitting to IPEDS these survey data every year.   The IPEDS Data Center online information retrieval website provides access to all of this historical institutional survey information and allows for bulk downloading </w:t>
      </w:r>
      <w:r w:rsidRPr="00232FD3">
        <w:rPr>
          <w:rFonts w:eastAsia="Calibri"/>
        </w:rPr>
        <w:lastRenderedPageBreak/>
        <w:t xml:space="preserve">any current and longitudinal IPEDS collected data.  As a result, most public universities should have reported the selected years’ IPEDS surveys and have the data publicly available for the variables chosen in this research.  </w:t>
      </w:r>
    </w:p>
    <w:p w14:paraId="67D6FF40" w14:textId="77777777" w:rsidR="00D6706B" w:rsidRDefault="00D6706B" w:rsidP="00D6706B">
      <w:pPr>
        <w:spacing w:after="160" w:line="480" w:lineRule="auto"/>
        <w:rPr>
          <w:rFonts w:eastAsia="Calibri"/>
          <w:b/>
        </w:rPr>
      </w:pPr>
      <w:r w:rsidRPr="00232FD3">
        <w:rPr>
          <w:rFonts w:eastAsia="Calibri"/>
          <w:b/>
        </w:rPr>
        <w:t>U.S. Bureau of Labor Statistics</w:t>
      </w:r>
      <w:r>
        <w:rPr>
          <w:rFonts w:eastAsia="Calibri"/>
          <w:b/>
        </w:rPr>
        <w:t xml:space="preserve">  </w:t>
      </w:r>
    </w:p>
    <w:p w14:paraId="3E0B1C68" w14:textId="77777777" w:rsidR="00D6706B" w:rsidRDefault="00D6706B" w:rsidP="00D6706B">
      <w:pPr>
        <w:spacing w:after="160" w:line="480" w:lineRule="auto"/>
        <w:ind w:firstLine="720"/>
        <w:rPr>
          <w:rFonts w:eastAsia="Calibri"/>
        </w:rPr>
      </w:pPr>
      <w:r w:rsidRPr="00232FD3">
        <w:rPr>
          <w:rFonts w:eastAsia="Calibri"/>
        </w:rPr>
        <w:t xml:space="preserve">The United States Bureau of Labor was established in 1884 within the U.S. Department of Interior. It served as an independent department before being incorporated into the Department of Commerce and Labor in 1903. In 1913, the Bureau of Labor Statistics (BLS) was transferred to the newly created Department of Labor.  In 1915, the BLS began conducting monthly nation-wide surveys on income and employment, which has carried on to today as the “Quarterly Census of Employment and Wages”.  By 1995, this employment and wage data was publicly available online at www.bls.gov.  U.S. Bureau of Labor Statistics data </w:t>
      </w:r>
      <w:r>
        <w:rPr>
          <w:rFonts w:eastAsia="Calibri"/>
        </w:rPr>
        <w:t>for</w:t>
      </w:r>
      <w:r w:rsidRPr="00232FD3">
        <w:rPr>
          <w:rFonts w:eastAsia="Calibri"/>
        </w:rPr>
        <w:t xml:space="preserve"> years of 2008 through 2014 </w:t>
      </w:r>
      <w:r>
        <w:rPr>
          <w:rFonts w:eastAsia="Calibri"/>
        </w:rPr>
        <w:t>will</w:t>
      </w:r>
      <w:r w:rsidRPr="00232FD3">
        <w:rPr>
          <w:rFonts w:eastAsia="Calibri"/>
        </w:rPr>
        <w:t xml:space="preserve"> provide mediating variables for average household income, unemployment rates to serve as a proxy for a state’s financial health.  </w:t>
      </w:r>
      <w:r>
        <w:rPr>
          <w:rFonts w:eastAsia="Calibri"/>
        </w:rPr>
        <w:t>These</w:t>
      </w:r>
      <w:r w:rsidRPr="00232FD3">
        <w:rPr>
          <w:rFonts w:eastAsia="Calibri"/>
        </w:rPr>
        <w:t xml:space="preserve"> variables will aggregat</w:t>
      </w:r>
      <w:r>
        <w:rPr>
          <w:rFonts w:eastAsia="Calibri"/>
        </w:rPr>
        <w:t>e</w:t>
      </w:r>
      <w:r w:rsidRPr="00232FD3">
        <w:rPr>
          <w:rFonts w:eastAsia="Calibri"/>
        </w:rPr>
        <w:t xml:space="preserve"> state data </w:t>
      </w:r>
      <w:r>
        <w:rPr>
          <w:rFonts w:eastAsia="Calibri"/>
        </w:rPr>
        <w:t>in</w:t>
      </w:r>
      <w:r w:rsidRPr="00232FD3">
        <w:rPr>
          <w:rFonts w:eastAsia="Calibri"/>
        </w:rPr>
        <w:t>to four (U.S.) regions: “Northeast”, “Midwest”, “South”, and “West”</w:t>
      </w:r>
      <w:r>
        <w:rPr>
          <w:rFonts w:eastAsia="Calibri"/>
        </w:rPr>
        <w:t xml:space="preserve">, as defined by the </w:t>
      </w:r>
      <w:r w:rsidRPr="00C44071">
        <w:rPr>
          <w:rFonts w:eastAsia="Calibri"/>
        </w:rPr>
        <w:t>U.S. Bureau of Labor Statistics.</w:t>
      </w:r>
      <w:r w:rsidRPr="00232FD3">
        <w:rPr>
          <w:rFonts w:eastAsia="Calibri"/>
        </w:rPr>
        <w:t xml:space="preserve"> </w:t>
      </w:r>
    </w:p>
    <w:p w14:paraId="4B4D99AC" w14:textId="77777777" w:rsidR="00D6706B" w:rsidRDefault="00D6706B" w:rsidP="00D6706B">
      <w:pPr>
        <w:keepNext/>
        <w:spacing w:after="160" w:line="480" w:lineRule="auto"/>
        <w:rPr>
          <w:rFonts w:eastAsia="Calibri"/>
          <w:b/>
        </w:rPr>
      </w:pPr>
      <w:r w:rsidRPr="007717B5">
        <w:rPr>
          <w:rFonts w:eastAsia="Calibri"/>
          <w:b/>
        </w:rPr>
        <w:t xml:space="preserve">The National Center for Higher Education Management Systems (NCHEMS) </w:t>
      </w:r>
    </w:p>
    <w:p w14:paraId="0318C36D" w14:textId="77777777" w:rsidR="001347E1" w:rsidRDefault="00D6706B" w:rsidP="001347E1">
      <w:pPr>
        <w:keepNext/>
        <w:spacing w:after="160" w:line="480" w:lineRule="auto"/>
        <w:ind w:firstLine="720"/>
        <w:rPr>
          <w:rFonts w:eastAsia="Calibri"/>
        </w:rPr>
      </w:pPr>
      <w:r w:rsidRPr="007717B5">
        <w:rPr>
          <w:rFonts w:eastAsia="Calibri"/>
        </w:rPr>
        <w:t>The National Center for Higher Education Management Systems (NCHEMS)</w:t>
      </w:r>
      <w:r>
        <w:rPr>
          <w:rFonts w:eastAsia="Calibri"/>
        </w:rPr>
        <w:t xml:space="preserve"> is a private nonprofit organization,</w:t>
      </w:r>
      <w:r w:rsidRPr="007717B5">
        <w:rPr>
          <w:rFonts w:eastAsia="Calibri"/>
        </w:rPr>
        <w:t xml:space="preserve"> </w:t>
      </w:r>
      <w:r>
        <w:rPr>
          <w:rFonts w:eastAsia="Calibri"/>
        </w:rPr>
        <w:t>established in 1969, for the purpose of providing resources to help facilitate higher education research and policy making, according to www.nchems.org</w:t>
      </w:r>
      <w:r w:rsidRPr="007717B5">
        <w:rPr>
          <w:rFonts w:eastAsia="Calibri"/>
        </w:rPr>
        <w:t xml:space="preserve">. </w:t>
      </w:r>
      <w:r>
        <w:rPr>
          <w:rFonts w:eastAsia="Calibri"/>
        </w:rPr>
        <w:t xml:space="preserve"> Public higher education expenditures per state data will be obtained </w:t>
      </w:r>
      <w:r>
        <w:rPr>
          <w:rFonts w:eastAsia="Calibri"/>
        </w:rPr>
        <w:lastRenderedPageBreak/>
        <w:t xml:space="preserve">from NCHMES website for the years of 2006, 2007, and 2008.  These expenditures will be averaged over the three years and aggregated to the same U.S. regions as defined with the U.S Bureau of Labor and Statistics data.  </w:t>
      </w:r>
      <w:r w:rsidRPr="007717B5">
        <w:rPr>
          <w:rFonts w:eastAsia="Calibri"/>
        </w:rPr>
        <w:t xml:space="preserve"> </w:t>
      </w:r>
    </w:p>
    <w:p w14:paraId="27DD49D2" w14:textId="5EC69396" w:rsidR="00421437" w:rsidRPr="00232FD3" w:rsidRDefault="00421437" w:rsidP="001347E1">
      <w:pPr>
        <w:keepNext/>
        <w:spacing w:after="160" w:line="480" w:lineRule="auto"/>
        <w:ind w:firstLine="720"/>
        <w:jc w:val="center"/>
        <w:rPr>
          <w:rFonts w:eastAsia="Calibri"/>
          <w:b/>
        </w:rPr>
      </w:pPr>
      <w:r w:rsidRPr="00232FD3">
        <w:rPr>
          <w:rFonts w:eastAsia="Calibri"/>
          <w:b/>
        </w:rPr>
        <w:t>Variables</w:t>
      </w:r>
    </w:p>
    <w:p w14:paraId="6F65B795" w14:textId="2B9EAAA4" w:rsidR="006B4781" w:rsidRPr="00232FD3" w:rsidRDefault="006B4781" w:rsidP="006B4781">
      <w:pPr>
        <w:keepNext/>
        <w:spacing w:after="160" w:line="480" w:lineRule="auto"/>
        <w:ind w:firstLine="720"/>
        <w:rPr>
          <w:rFonts w:eastAsia="Calibri"/>
        </w:rPr>
      </w:pPr>
      <w:r w:rsidRPr="00232FD3">
        <w:rPr>
          <w:rFonts w:eastAsia="Calibri"/>
        </w:rPr>
        <w:t>Data collected from IPEDS</w:t>
      </w:r>
      <w:r>
        <w:rPr>
          <w:rFonts w:eastAsia="Calibri"/>
        </w:rPr>
        <w:t xml:space="preserve"> and</w:t>
      </w:r>
      <w:r w:rsidRPr="00232FD3">
        <w:rPr>
          <w:rFonts w:eastAsia="Calibri"/>
        </w:rPr>
        <w:t xml:space="preserve"> the </w:t>
      </w:r>
      <w:r>
        <w:rPr>
          <w:rFonts w:eastAsia="Calibri"/>
        </w:rPr>
        <w:t xml:space="preserve">U.S. </w:t>
      </w:r>
      <w:r w:rsidRPr="00232FD3">
        <w:rPr>
          <w:rFonts w:eastAsia="Calibri"/>
        </w:rPr>
        <w:t>Bureau of Labor Statistics – for the academic and calendar years of 200</w:t>
      </w:r>
      <w:r>
        <w:rPr>
          <w:rFonts w:eastAsia="Calibri"/>
        </w:rPr>
        <w:t>6</w:t>
      </w:r>
      <w:r w:rsidRPr="00232FD3">
        <w:rPr>
          <w:rFonts w:eastAsia="Calibri"/>
        </w:rPr>
        <w:t xml:space="preserve"> through 2014 – will be used to represent:  a.) this study’s input variables:  instructional expenditures, research expenditures, </w:t>
      </w:r>
      <w:r>
        <w:rPr>
          <w:rFonts w:eastAsia="Calibri"/>
        </w:rPr>
        <w:t xml:space="preserve">public service expenditures, </w:t>
      </w:r>
      <w:r w:rsidRPr="00232FD3">
        <w:rPr>
          <w:rFonts w:eastAsia="Calibri"/>
        </w:rPr>
        <w:t xml:space="preserve">academic support expenditures, </w:t>
      </w:r>
      <w:r>
        <w:rPr>
          <w:rFonts w:eastAsia="Calibri"/>
        </w:rPr>
        <w:t xml:space="preserve">and </w:t>
      </w:r>
      <w:r w:rsidRPr="00232FD3">
        <w:rPr>
          <w:rFonts w:eastAsia="Calibri"/>
        </w:rPr>
        <w:t xml:space="preserve">student services expenditures; b.) the study’s various mediating variables, detailed below; and c.) the study’s </w:t>
      </w:r>
      <w:r>
        <w:rPr>
          <w:rFonts w:eastAsia="Calibri"/>
        </w:rPr>
        <w:t>dependent</w:t>
      </w:r>
      <w:r w:rsidRPr="00232FD3">
        <w:rPr>
          <w:rFonts w:eastAsia="Calibri"/>
        </w:rPr>
        <w:t xml:space="preserve"> variable </w:t>
      </w:r>
      <w:r>
        <w:rPr>
          <w:rFonts w:eastAsia="Calibri"/>
        </w:rPr>
        <w:t xml:space="preserve">– the three-year average of the </w:t>
      </w:r>
      <w:r w:rsidRPr="00232FD3">
        <w:rPr>
          <w:rFonts w:eastAsia="Calibri"/>
        </w:rPr>
        <w:t>six-year graduation rate</w:t>
      </w:r>
      <w:r>
        <w:rPr>
          <w:rFonts w:eastAsia="Calibri"/>
        </w:rPr>
        <w:t>s</w:t>
      </w:r>
      <w:r w:rsidRPr="00232FD3">
        <w:rPr>
          <w:rFonts w:eastAsia="Calibri"/>
        </w:rPr>
        <w:t xml:space="preserve"> of the </w:t>
      </w:r>
      <w:r>
        <w:rPr>
          <w:rFonts w:eastAsia="Calibri"/>
        </w:rPr>
        <w:t>2006, 2007, and 2</w:t>
      </w:r>
      <w:r w:rsidRPr="00232FD3">
        <w:rPr>
          <w:rFonts w:eastAsia="Calibri"/>
        </w:rPr>
        <w:t xml:space="preserve">008 </w:t>
      </w:r>
      <w:r>
        <w:rPr>
          <w:rFonts w:eastAsia="Calibri"/>
        </w:rPr>
        <w:t xml:space="preserve">first time undergraduate student </w:t>
      </w:r>
      <w:r w:rsidRPr="00232FD3">
        <w:rPr>
          <w:rFonts w:eastAsia="Calibri"/>
        </w:rPr>
        <w:t>cohort</w:t>
      </w:r>
      <w:r>
        <w:rPr>
          <w:rFonts w:eastAsia="Calibri"/>
        </w:rPr>
        <w:t>s</w:t>
      </w:r>
      <w:r w:rsidRPr="00232FD3">
        <w:rPr>
          <w:rFonts w:eastAsia="Calibri"/>
        </w:rPr>
        <w:t xml:space="preserve">.  Table </w:t>
      </w:r>
      <w:r>
        <w:rPr>
          <w:rFonts w:eastAsia="Calibri"/>
        </w:rPr>
        <w:t>3.</w:t>
      </w:r>
      <w:r w:rsidRPr="00232FD3">
        <w:rPr>
          <w:rFonts w:eastAsia="Calibri"/>
        </w:rPr>
        <w:t xml:space="preserve">1 provides a complete list of the variables to be used in this study.  </w:t>
      </w:r>
    </w:p>
    <w:p w14:paraId="2C40B51C" w14:textId="77777777" w:rsidR="006B4781" w:rsidRDefault="006B4781" w:rsidP="006B4781">
      <w:pPr>
        <w:spacing w:after="160" w:line="480" w:lineRule="auto"/>
        <w:rPr>
          <w:rFonts w:eastAsia="Calibri"/>
          <w:b/>
        </w:rPr>
      </w:pPr>
      <w:r w:rsidRPr="00C30120">
        <w:rPr>
          <w:rFonts w:eastAsia="Calibri"/>
          <w:b/>
        </w:rPr>
        <w:t>Input Variables</w:t>
      </w:r>
      <w:r>
        <w:rPr>
          <w:rFonts w:eastAsia="Calibri"/>
          <w:b/>
        </w:rPr>
        <w:t xml:space="preserve">  </w:t>
      </w:r>
    </w:p>
    <w:p w14:paraId="616391AC" w14:textId="6C5238B0" w:rsidR="001347E1" w:rsidRDefault="006B4781" w:rsidP="006B4781">
      <w:pPr>
        <w:spacing w:after="160" w:line="480" w:lineRule="auto"/>
        <w:ind w:firstLine="720"/>
        <w:rPr>
          <w:rFonts w:eastAsia="Calibri"/>
        </w:rPr>
      </w:pPr>
      <w:r w:rsidRPr="00232FD3">
        <w:rPr>
          <w:rFonts w:eastAsia="Calibri"/>
        </w:rPr>
        <w:t>This study will use a</w:t>
      </w:r>
      <w:r>
        <w:rPr>
          <w:rFonts w:eastAsia="Calibri"/>
        </w:rPr>
        <w:t>n average of 3</w:t>
      </w:r>
      <w:r w:rsidRPr="00232FD3">
        <w:rPr>
          <w:rFonts w:eastAsia="Calibri"/>
        </w:rPr>
        <w:t xml:space="preserve"> years IPEDS data </w:t>
      </w:r>
      <w:r>
        <w:rPr>
          <w:rFonts w:eastAsia="Calibri"/>
        </w:rPr>
        <w:t xml:space="preserve">- </w:t>
      </w:r>
      <w:r w:rsidRPr="00232FD3">
        <w:rPr>
          <w:rFonts w:eastAsia="Calibri"/>
        </w:rPr>
        <w:t>200</w:t>
      </w:r>
      <w:r>
        <w:rPr>
          <w:rFonts w:eastAsia="Calibri"/>
        </w:rPr>
        <w:t>6, 2007, and 2008 – f</w:t>
      </w:r>
      <w:r w:rsidRPr="00232FD3">
        <w:rPr>
          <w:rFonts w:eastAsia="Calibri"/>
        </w:rPr>
        <w:t xml:space="preserve">or </w:t>
      </w:r>
      <w:r w:rsidR="00793853">
        <w:rPr>
          <w:rFonts w:eastAsia="Calibri"/>
        </w:rPr>
        <w:t>564</w:t>
      </w:r>
      <w:r w:rsidRPr="00232FD3">
        <w:rPr>
          <w:rFonts w:eastAsia="Calibri"/>
        </w:rPr>
        <w:t xml:space="preserve"> public institutions that will include data on institutional expenditures, student and institutional characteristics and graduation rates.  The four institutional expenditures categories focused on in this study represent the </w:t>
      </w:r>
      <w:r>
        <w:rPr>
          <w:rFonts w:eastAsia="Calibri"/>
        </w:rPr>
        <w:t>five</w:t>
      </w:r>
      <w:r w:rsidRPr="00232FD3">
        <w:rPr>
          <w:rFonts w:eastAsia="Calibri"/>
        </w:rPr>
        <w:t xml:space="preserve"> main input variables: “Instruction Expen</w:t>
      </w:r>
      <w:r>
        <w:rPr>
          <w:rFonts w:eastAsia="Calibri"/>
        </w:rPr>
        <w:t>s</w:t>
      </w:r>
      <w:r w:rsidRPr="00232FD3">
        <w:rPr>
          <w:rFonts w:eastAsia="Calibri"/>
        </w:rPr>
        <w:t>es</w:t>
      </w:r>
      <w:r>
        <w:rPr>
          <w:rFonts w:eastAsia="Calibri"/>
        </w:rPr>
        <w:t xml:space="preserve"> per Student FTE</w:t>
      </w:r>
      <w:r w:rsidRPr="00232FD3">
        <w:rPr>
          <w:rFonts w:eastAsia="Calibri"/>
        </w:rPr>
        <w:t>”, “Research Expen</w:t>
      </w:r>
      <w:r>
        <w:rPr>
          <w:rFonts w:eastAsia="Calibri"/>
        </w:rPr>
        <w:t>s</w:t>
      </w:r>
      <w:r w:rsidRPr="00232FD3">
        <w:rPr>
          <w:rFonts w:eastAsia="Calibri"/>
        </w:rPr>
        <w:t>es</w:t>
      </w:r>
      <w:r>
        <w:rPr>
          <w:rFonts w:eastAsia="Calibri"/>
        </w:rPr>
        <w:t xml:space="preserve"> per Student FTE</w:t>
      </w:r>
      <w:r w:rsidRPr="00232FD3">
        <w:rPr>
          <w:rFonts w:eastAsia="Calibri"/>
        </w:rPr>
        <w:t>”</w:t>
      </w:r>
      <w:r>
        <w:rPr>
          <w:rFonts w:eastAsia="Calibri"/>
        </w:rPr>
        <w:t>,</w:t>
      </w:r>
      <w:r w:rsidRPr="00232FD3">
        <w:rPr>
          <w:rFonts w:eastAsia="Calibri"/>
        </w:rPr>
        <w:t xml:space="preserve"> “</w:t>
      </w:r>
      <w:r>
        <w:rPr>
          <w:rFonts w:eastAsia="Calibri"/>
        </w:rPr>
        <w:t xml:space="preserve">Public </w:t>
      </w:r>
      <w:r w:rsidRPr="00232FD3">
        <w:rPr>
          <w:rFonts w:eastAsia="Calibri"/>
        </w:rPr>
        <w:t>Service Expen</w:t>
      </w:r>
      <w:r>
        <w:rPr>
          <w:rFonts w:eastAsia="Calibri"/>
        </w:rPr>
        <w:t>s</w:t>
      </w:r>
      <w:r w:rsidRPr="00232FD3">
        <w:rPr>
          <w:rFonts w:eastAsia="Calibri"/>
        </w:rPr>
        <w:t>es</w:t>
      </w:r>
      <w:r>
        <w:rPr>
          <w:rFonts w:eastAsia="Calibri"/>
        </w:rPr>
        <w:t xml:space="preserve"> per Student FTE</w:t>
      </w:r>
      <w:r w:rsidRPr="00232FD3">
        <w:rPr>
          <w:rFonts w:eastAsia="Calibri"/>
        </w:rPr>
        <w:t>”, “Academic Support Expen</w:t>
      </w:r>
      <w:r>
        <w:rPr>
          <w:rFonts w:eastAsia="Calibri"/>
        </w:rPr>
        <w:t>s</w:t>
      </w:r>
      <w:r w:rsidRPr="00232FD3">
        <w:rPr>
          <w:rFonts w:eastAsia="Calibri"/>
        </w:rPr>
        <w:t>es</w:t>
      </w:r>
      <w:r>
        <w:rPr>
          <w:rFonts w:eastAsia="Calibri"/>
        </w:rPr>
        <w:t xml:space="preserve"> per Student FTE</w:t>
      </w:r>
      <w:r w:rsidRPr="00232FD3">
        <w:rPr>
          <w:rFonts w:eastAsia="Calibri"/>
        </w:rPr>
        <w:t>”</w:t>
      </w:r>
      <w:r>
        <w:rPr>
          <w:rFonts w:eastAsia="Calibri"/>
        </w:rPr>
        <w:t xml:space="preserve">, and “Student Services Expenses per Student FTE” </w:t>
      </w:r>
      <w:r w:rsidRPr="00232FD3">
        <w:rPr>
          <w:rFonts w:eastAsia="Calibri"/>
        </w:rPr>
        <w:t xml:space="preserve">for </w:t>
      </w:r>
      <w:r>
        <w:rPr>
          <w:rFonts w:eastAsia="Calibri"/>
        </w:rPr>
        <w:t>520</w:t>
      </w:r>
      <w:r w:rsidRPr="00232FD3">
        <w:rPr>
          <w:rFonts w:eastAsia="Calibri"/>
        </w:rPr>
        <w:t xml:space="preserve"> public universities as rep</w:t>
      </w:r>
      <w:r>
        <w:rPr>
          <w:rFonts w:eastAsia="Calibri"/>
        </w:rPr>
        <w:t xml:space="preserve">orted to IPEDS, averaged over the three years of 2006, 2007, and 2008.  This averaging will help </w:t>
      </w:r>
    </w:p>
    <w:p w14:paraId="43B8A2C3" w14:textId="77777777" w:rsidR="001347E1" w:rsidRPr="00012C04" w:rsidRDefault="001347E1" w:rsidP="001347E1">
      <w:pPr>
        <w:keepNext/>
        <w:spacing w:before="120" w:after="120" w:line="480" w:lineRule="auto"/>
        <w:ind w:right="360"/>
        <w:rPr>
          <w:rFonts w:eastAsia="Calibri"/>
        </w:rPr>
      </w:pPr>
      <w:r w:rsidRPr="009224EB">
        <w:rPr>
          <w:bCs/>
        </w:rPr>
        <w:lastRenderedPageBreak/>
        <w:t xml:space="preserve">Table </w:t>
      </w:r>
      <w:r>
        <w:rPr>
          <w:bCs/>
        </w:rPr>
        <w:t>3</w:t>
      </w:r>
      <w:r w:rsidRPr="009224EB">
        <w:rPr>
          <w:bCs/>
        </w:rPr>
        <w:t>.</w:t>
      </w:r>
      <w:r>
        <w:rPr>
          <w:bCs/>
        </w:rPr>
        <w:t>1</w:t>
      </w:r>
      <w:r w:rsidRPr="009224EB">
        <w:rPr>
          <w:bCs/>
        </w:rPr>
        <w:t xml:space="preserve"> Study Data Descriptive Statistics</w:t>
      </w:r>
      <w:r w:rsidRPr="00012C04">
        <w:rPr>
          <w:bCs/>
        </w:rPr>
        <w:tab/>
      </w:r>
      <w:r>
        <w:rPr>
          <w:rStyle w:val="CommentReference"/>
        </w:rPr>
        <w:commentReference w:id="1"/>
      </w:r>
    </w:p>
    <w:tbl>
      <w:tblPr>
        <w:tblW w:w="8732" w:type="dxa"/>
        <w:tblLook w:val="04A0" w:firstRow="1" w:lastRow="0" w:firstColumn="1" w:lastColumn="0" w:noHBand="0" w:noVBand="1"/>
      </w:tblPr>
      <w:tblGrid>
        <w:gridCol w:w="672"/>
        <w:gridCol w:w="666"/>
        <w:gridCol w:w="3520"/>
        <w:gridCol w:w="1254"/>
        <w:gridCol w:w="908"/>
        <w:gridCol w:w="866"/>
        <w:gridCol w:w="953"/>
      </w:tblGrid>
      <w:tr w:rsidR="001347E1" w14:paraId="6716752B" w14:textId="77777777" w:rsidTr="006C433E">
        <w:trPr>
          <w:trHeight w:val="315"/>
        </w:trPr>
        <w:tc>
          <w:tcPr>
            <w:tcW w:w="1338" w:type="dxa"/>
            <w:gridSpan w:val="2"/>
            <w:tcBorders>
              <w:top w:val="single" w:sz="4" w:space="0" w:color="auto"/>
              <w:left w:val="nil"/>
              <w:bottom w:val="single" w:sz="4" w:space="0" w:color="auto"/>
              <w:right w:val="nil"/>
            </w:tcBorders>
            <w:shd w:val="clear" w:color="000000" w:fill="FFFFFF"/>
            <w:noWrap/>
            <w:vAlign w:val="bottom"/>
            <w:hideMark/>
          </w:tcPr>
          <w:p w14:paraId="1D48F479" w14:textId="77777777" w:rsidR="001347E1" w:rsidRDefault="001347E1" w:rsidP="006C433E">
            <w:pPr>
              <w:jc w:val="center"/>
              <w:rPr>
                <w:color w:val="000000"/>
                <w:sz w:val="20"/>
                <w:szCs w:val="20"/>
              </w:rPr>
            </w:pPr>
            <w:r>
              <w:rPr>
                <w:color w:val="000000"/>
                <w:sz w:val="20"/>
                <w:szCs w:val="20"/>
              </w:rPr>
              <w:t> </w:t>
            </w:r>
          </w:p>
        </w:tc>
        <w:tc>
          <w:tcPr>
            <w:tcW w:w="3520" w:type="dxa"/>
            <w:tcBorders>
              <w:top w:val="single" w:sz="4" w:space="0" w:color="auto"/>
              <w:left w:val="nil"/>
              <w:bottom w:val="single" w:sz="4" w:space="0" w:color="auto"/>
              <w:right w:val="nil"/>
            </w:tcBorders>
            <w:shd w:val="clear" w:color="000000" w:fill="FFFFFF"/>
            <w:noWrap/>
            <w:vAlign w:val="bottom"/>
            <w:hideMark/>
          </w:tcPr>
          <w:p w14:paraId="12D79370" w14:textId="77777777" w:rsidR="001347E1" w:rsidRDefault="001347E1" w:rsidP="006C433E">
            <w:pPr>
              <w:rPr>
                <w:color w:val="000000"/>
                <w:sz w:val="20"/>
                <w:szCs w:val="20"/>
              </w:rPr>
            </w:pPr>
            <w:r>
              <w:rPr>
                <w:color w:val="000000"/>
                <w:sz w:val="20"/>
                <w:szCs w:val="20"/>
              </w:rPr>
              <w:t>Variable Label</w:t>
            </w:r>
          </w:p>
        </w:tc>
        <w:tc>
          <w:tcPr>
            <w:tcW w:w="1254" w:type="dxa"/>
            <w:tcBorders>
              <w:top w:val="single" w:sz="4" w:space="0" w:color="auto"/>
              <w:left w:val="nil"/>
              <w:bottom w:val="single" w:sz="4" w:space="0" w:color="auto"/>
              <w:right w:val="nil"/>
            </w:tcBorders>
            <w:shd w:val="clear" w:color="000000" w:fill="FFFFFF"/>
            <w:noWrap/>
            <w:vAlign w:val="bottom"/>
            <w:hideMark/>
          </w:tcPr>
          <w:p w14:paraId="733FDC1E" w14:textId="77777777" w:rsidR="001347E1" w:rsidRDefault="001347E1" w:rsidP="006C433E">
            <w:pPr>
              <w:jc w:val="center"/>
              <w:rPr>
                <w:color w:val="000000"/>
                <w:sz w:val="20"/>
                <w:szCs w:val="20"/>
              </w:rPr>
            </w:pPr>
            <w:r>
              <w:rPr>
                <w:color w:val="000000"/>
                <w:sz w:val="20"/>
                <w:szCs w:val="20"/>
              </w:rPr>
              <w:t xml:space="preserve">Mean </w:t>
            </w:r>
          </w:p>
        </w:tc>
        <w:tc>
          <w:tcPr>
            <w:tcW w:w="908" w:type="dxa"/>
            <w:tcBorders>
              <w:top w:val="single" w:sz="4" w:space="0" w:color="auto"/>
              <w:left w:val="nil"/>
              <w:bottom w:val="single" w:sz="4" w:space="0" w:color="auto"/>
              <w:right w:val="nil"/>
            </w:tcBorders>
            <w:shd w:val="clear" w:color="000000" w:fill="FFFFFF"/>
            <w:vAlign w:val="bottom"/>
            <w:hideMark/>
          </w:tcPr>
          <w:p w14:paraId="73EC6015" w14:textId="77777777" w:rsidR="001347E1" w:rsidRDefault="001347E1" w:rsidP="006C433E">
            <w:pPr>
              <w:jc w:val="center"/>
              <w:rPr>
                <w:color w:val="000000"/>
                <w:sz w:val="20"/>
                <w:szCs w:val="20"/>
              </w:rPr>
            </w:pPr>
            <w:proofErr w:type="spellStart"/>
            <w:r>
              <w:rPr>
                <w:color w:val="000000"/>
                <w:sz w:val="20"/>
                <w:szCs w:val="20"/>
              </w:rPr>
              <w:t>Std</w:t>
            </w:r>
            <w:proofErr w:type="spellEnd"/>
            <w:r>
              <w:rPr>
                <w:color w:val="000000"/>
                <w:sz w:val="20"/>
                <w:szCs w:val="20"/>
              </w:rPr>
              <w:t xml:space="preserve"> Dev</w:t>
            </w:r>
          </w:p>
        </w:tc>
        <w:tc>
          <w:tcPr>
            <w:tcW w:w="759" w:type="dxa"/>
            <w:tcBorders>
              <w:top w:val="single" w:sz="4" w:space="0" w:color="auto"/>
              <w:left w:val="nil"/>
              <w:bottom w:val="single" w:sz="4" w:space="0" w:color="auto"/>
              <w:right w:val="nil"/>
            </w:tcBorders>
            <w:shd w:val="clear" w:color="000000" w:fill="FFFFFF"/>
            <w:vAlign w:val="bottom"/>
            <w:hideMark/>
          </w:tcPr>
          <w:p w14:paraId="4E2F0921" w14:textId="77777777" w:rsidR="001347E1" w:rsidRDefault="001347E1" w:rsidP="006C433E">
            <w:pPr>
              <w:jc w:val="center"/>
              <w:rPr>
                <w:color w:val="000000"/>
                <w:sz w:val="20"/>
                <w:szCs w:val="20"/>
              </w:rPr>
            </w:pPr>
            <w:r>
              <w:rPr>
                <w:color w:val="000000"/>
                <w:sz w:val="20"/>
                <w:szCs w:val="20"/>
              </w:rPr>
              <w:t>Max</w:t>
            </w:r>
          </w:p>
        </w:tc>
        <w:tc>
          <w:tcPr>
            <w:tcW w:w="953" w:type="dxa"/>
            <w:tcBorders>
              <w:top w:val="single" w:sz="4" w:space="0" w:color="auto"/>
              <w:left w:val="nil"/>
              <w:bottom w:val="single" w:sz="4" w:space="0" w:color="auto"/>
              <w:right w:val="nil"/>
            </w:tcBorders>
            <w:shd w:val="clear" w:color="000000" w:fill="FFFFFF"/>
            <w:vAlign w:val="bottom"/>
            <w:hideMark/>
          </w:tcPr>
          <w:p w14:paraId="7D7E086F" w14:textId="77777777" w:rsidR="001347E1" w:rsidRDefault="001347E1" w:rsidP="006C433E">
            <w:pPr>
              <w:jc w:val="center"/>
              <w:rPr>
                <w:color w:val="000000"/>
                <w:sz w:val="20"/>
                <w:szCs w:val="20"/>
              </w:rPr>
            </w:pPr>
            <w:r>
              <w:rPr>
                <w:color w:val="000000"/>
                <w:sz w:val="20"/>
                <w:szCs w:val="20"/>
              </w:rPr>
              <w:t>Min</w:t>
            </w:r>
          </w:p>
        </w:tc>
      </w:tr>
      <w:tr w:rsidR="001347E1" w14:paraId="40BC50CB" w14:textId="77777777" w:rsidTr="006C433E">
        <w:trPr>
          <w:trHeight w:val="180"/>
        </w:trPr>
        <w:tc>
          <w:tcPr>
            <w:tcW w:w="672" w:type="dxa"/>
            <w:tcBorders>
              <w:top w:val="nil"/>
              <w:left w:val="nil"/>
              <w:bottom w:val="nil"/>
              <w:right w:val="nil"/>
            </w:tcBorders>
            <w:shd w:val="clear" w:color="000000" w:fill="FFFFFF"/>
            <w:noWrap/>
            <w:vAlign w:val="bottom"/>
            <w:hideMark/>
          </w:tcPr>
          <w:p w14:paraId="6399F3B8" w14:textId="77777777" w:rsidR="001347E1" w:rsidRDefault="001347E1" w:rsidP="006C433E">
            <w:pPr>
              <w:rPr>
                <w:i/>
                <w:iCs/>
                <w:color w:val="000000"/>
                <w:sz w:val="20"/>
                <w:szCs w:val="20"/>
              </w:rPr>
            </w:pPr>
            <w:r>
              <w:rPr>
                <w:i/>
                <w:iCs/>
                <w:color w:val="000000"/>
                <w:sz w:val="20"/>
                <w:szCs w:val="20"/>
              </w:rPr>
              <w:t> </w:t>
            </w:r>
          </w:p>
        </w:tc>
        <w:tc>
          <w:tcPr>
            <w:tcW w:w="666" w:type="dxa"/>
            <w:tcBorders>
              <w:top w:val="nil"/>
              <w:left w:val="nil"/>
              <w:bottom w:val="nil"/>
              <w:right w:val="nil"/>
            </w:tcBorders>
            <w:shd w:val="clear" w:color="000000" w:fill="FFFFFF"/>
            <w:noWrap/>
            <w:vAlign w:val="bottom"/>
            <w:hideMark/>
          </w:tcPr>
          <w:p w14:paraId="2427D8C6" w14:textId="77777777" w:rsidR="001347E1" w:rsidRDefault="001347E1" w:rsidP="006C433E">
            <w:pPr>
              <w:rPr>
                <w:i/>
                <w:iCs/>
                <w:color w:val="000000"/>
                <w:sz w:val="20"/>
                <w:szCs w:val="20"/>
              </w:rPr>
            </w:pPr>
            <w:r>
              <w:rPr>
                <w:i/>
                <w:iCs/>
                <w:color w:val="000000"/>
                <w:sz w:val="20"/>
                <w:szCs w:val="20"/>
              </w:rPr>
              <w:t> </w:t>
            </w:r>
          </w:p>
        </w:tc>
        <w:tc>
          <w:tcPr>
            <w:tcW w:w="3520" w:type="dxa"/>
            <w:tcBorders>
              <w:top w:val="nil"/>
              <w:left w:val="nil"/>
              <w:bottom w:val="nil"/>
              <w:right w:val="nil"/>
            </w:tcBorders>
            <w:shd w:val="clear" w:color="000000" w:fill="FFFFFF"/>
            <w:noWrap/>
            <w:vAlign w:val="bottom"/>
            <w:hideMark/>
          </w:tcPr>
          <w:p w14:paraId="27B3F23B" w14:textId="77777777" w:rsidR="001347E1" w:rsidRDefault="001347E1" w:rsidP="006C433E">
            <w:pPr>
              <w:rPr>
                <w:color w:val="000000"/>
                <w:sz w:val="20"/>
                <w:szCs w:val="20"/>
              </w:rPr>
            </w:pPr>
            <w:r>
              <w:rPr>
                <w:color w:val="000000"/>
                <w:sz w:val="20"/>
                <w:szCs w:val="20"/>
              </w:rPr>
              <w:t> </w:t>
            </w:r>
          </w:p>
        </w:tc>
        <w:tc>
          <w:tcPr>
            <w:tcW w:w="1254" w:type="dxa"/>
            <w:tcBorders>
              <w:top w:val="nil"/>
              <w:left w:val="nil"/>
              <w:bottom w:val="nil"/>
              <w:right w:val="nil"/>
            </w:tcBorders>
            <w:shd w:val="clear" w:color="000000" w:fill="FFFFFF"/>
            <w:noWrap/>
            <w:vAlign w:val="bottom"/>
            <w:hideMark/>
          </w:tcPr>
          <w:p w14:paraId="3D609428" w14:textId="77777777" w:rsidR="001347E1" w:rsidRDefault="001347E1" w:rsidP="006C433E">
            <w:pPr>
              <w:jc w:val="center"/>
              <w:rPr>
                <w:color w:val="000000"/>
                <w:sz w:val="20"/>
                <w:szCs w:val="20"/>
              </w:rPr>
            </w:pPr>
            <w:r>
              <w:rPr>
                <w:color w:val="000000"/>
                <w:sz w:val="20"/>
                <w:szCs w:val="20"/>
              </w:rPr>
              <w:t> </w:t>
            </w:r>
          </w:p>
        </w:tc>
        <w:tc>
          <w:tcPr>
            <w:tcW w:w="908" w:type="dxa"/>
            <w:tcBorders>
              <w:top w:val="nil"/>
              <w:left w:val="nil"/>
              <w:bottom w:val="nil"/>
              <w:right w:val="nil"/>
            </w:tcBorders>
            <w:shd w:val="clear" w:color="000000" w:fill="FFFFFF"/>
            <w:noWrap/>
            <w:vAlign w:val="bottom"/>
            <w:hideMark/>
          </w:tcPr>
          <w:p w14:paraId="3D208A63"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2469D939"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0BBF30B5" w14:textId="77777777" w:rsidR="001347E1" w:rsidRDefault="001347E1" w:rsidP="006C433E">
            <w:pPr>
              <w:jc w:val="center"/>
              <w:rPr>
                <w:color w:val="000000"/>
                <w:sz w:val="20"/>
                <w:szCs w:val="20"/>
              </w:rPr>
            </w:pPr>
            <w:r>
              <w:rPr>
                <w:color w:val="000000"/>
                <w:sz w:val="20"/>
                <w:szCs w:val="20"/>
              </w:rPr>
              <w:t> </w:t>
            </w:r>
          </w:p>
        </w:tc>
      </w:tr>
      <w:tr w:rsidR="001347E1" w14:paraId="5A6ECEDA" w14:textId="77777777" w:rsidTr="006C433E">
        <w:trPr>
          <w:trHeight w:val="210"/>
        </w:trPr>
        <w:tc>
          <w:tcPr>
            <w:tcW w:w="4858" w:type="dxa"/>
            <w:gridSpan w:val="3"/>
            <w:tcBorders>
              <w:top w:val="nil"/>
              <w:left w:val="nil"/>
              <w:bottom w:val="nil"/>
              <w:right w:val="nil"/>
            </w:tcBorders>
            <w:shd w:val="clear" w:color="000000" w:fill="FFFFFF"/>
            <w:noWrap/>
            <w:vAlign w:val="bottom"/>
            <w:hideMark/>
          </w:tcPr>
          <w:p w14:paraId="137448B3" w14:textId="77777777" w:rsidR="001347E1" w:rsidRDefault="001347E1" w:rsidP="006C433E">
            <w:pPr>
              <w:rPr>
                <w:color w:val="000000"/>
                <w:sz w:val="20"/>
                <w:szCs w:val="20"/>
              </w:rPr>
            </w:pPr>
            <w:r>
              <w:rPr>
                <w:color w:val="000000"/>
                <w:sz w:val="20"/>
                <w:szCs w:val="20"/>
              </w:rPr>
              <w:t>DEPENDENT VARIABLE</w:t>
            </w:r>
          </w:p>
        </w:tc>
        <w:tc>
          <w:tcPr>
            <w:tcW w:w="1254" w:type="dxa"/>
            <w:tcBorders>
              <w:top w:val="nil"/>
              <w:left w:val="nil"/>
              <w:bottom w:val="nil"/>
              <w:right w:val="nil"/>
            </w:tcBorders>
            <w:shd w:val="clear" w:color="000000" w:fill="FFFFFF"/>
            <w:noWrap/>
            <w:vAlign w:val="bottom"/>
            <w:hideMark/>
          </w:tcPr>
          <w:p w14:paraId="6F15C368" w14:textId="77777777" w:rsidR="001347E1" w:rsidRDefault="001347E1" w:rsidP="006C433E">
            <w:pPr>
              <w:jc w:val="center"/>
              <w:rPr>
                <w:color w:val="000000"/>
                <w:sz w:val="20"/>
                <w:szCs w:val="20"/>
              </w:rPr>
            </w:pPr>
            <w:r>
              <w:rPr>
                <w:color w:val="000000"/>
                <w:sz w:val="20"/>
                <w:szCs w:val="20"/>
              </w:rPr>
              <w:t> </w:t>
            </w:r>
          </w:p>
        </w:tc>
        <w:tc>
          <w:tcPr>
            <w:tcW w:w="908" w:type="dxa"/>
            <w:tcBorders>
              <w:top w:val="nil"/>
              <w:left w:val="nil"/>
              <w:bottom w:val="nil"/>
              <w:right w:val="nil"/>
            </w:tcBorders>
            <w:shd w:val="clear" w:color="000000" w:fill="FFFFFF"/>
            <w:vAlign w:val="bottom"/>
            <w:hideMark/>
          </w:tcPr>
          <w:p w14:paraId="30F65874"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vAlign w:val="bottom"/>
            <w:hideMark/>
          </w:tcPr>
          <w:p w14:paraId="75AC34BA"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vAlign w:val="bottom"/>
            <w:hideMark/>
          </w:tcPr>
          <w:p w14:paraId="6A6FB48F" w14:textId="77777777" w:rsidR="001347E1" w:rsidRDefault="001347E1" w:rsidP="006C433E">
            <w:pPr>
              <w:jc w:val="center"/>
              <w:rPr>
                <w:color w:val="000000"/>
                <w:sz w:val="20"/>
                <w:szCs w:val="20"/>
              </w:rPr>
            </w:pPr>
            <w:r>
              <w:rPr>
                <w:color w:val="000000"/>
                <w:sz w:val="20"/>
                <w:szCs w:val="20"/>
              </w:rPr>
              <w:t> </w:t>
            </w:r>
          </w:p>
        </w:tc>
      </w:tr>
      <w:tr w:rsidR="001347E1" w14:paraId="63AFBAFD" w14:textId="77777777" w:rsidTr="006C433E">
        <w:trPr>
          <w:trHeight w:val="255"/>
        </w:trPr>
        <w:tc>
          <w:tcPr>
            <w:tcW w:w="672" w:type="dxa"/>
            <w:tcBorders>
              <w:top w:val="nil"/>
              <w:left w:val="nil"/>
              <w:bottom w:val="nil"/>
              <w:right w:val="nil"/>
            </w:tcBorders>
            <w:shd w:val="clear" w:color="000000" w:fill="FFFFFF"/>
            <w:noWrap/>
            <w:vAlign w:val="bottom"/>
            <w:hideMark/>
          </w:tcPr>
          <w:p w14:paraId="68027987" w14:textId="77777777" w:rsidR="001347E1" w:rsidRDefault="001347E1" w:rsidP="006C433E">
            <w:pPr>
              <w:rPr>
                <w:color w:val="000000"/>
                <w:sz w:val="20"/>
                <w:szCs w:val="20"/>
              </w:rPr>
            </w:pPr>
            <w:r>
              <w:rPr>
                <w:color w:val="000000"/>
                <w:sz w:val="20"/>
                <w:szCs w:val="20"/>
              </w:rPr>
              <w:t> </w:t>
            </w:r>
          </w:p>
        </w:tc>
        <w:tc>
          <w:tcPr>
            <w:tcW w:w="4186" w:type="dxa"/>
            <w:gridSpan w:val="2"/>
            <w:tcBorders>
              <w:top w:val="nil"/>
              <w:left w:val="nil"/>
              <w:bottom w:val="nil"/>
              <w:right w:val="nil"/>
            </w:tcBorders>
            <w:shd w:val="clear" w:color="000000" w:fill="FFFFFF"/>
            <w:noWrap/>
            <w:vAlign w:val="bottom"/>
            <w:hideMark/>
          </w:tcPr>
          <w:p w14:paraId="41FD254E" w14:textId="77777777" w:rsidR="001347E1" w:rsidRDefault="001347E1" w:rsidP="006C433E">
            <w:pPr>
              <w:ind w:firstLineChars="200" w:firstLine="400"/>
              <w:rPr>
                <w:color w:val="000000"/>
                <w:sz w:val="20"/>
                <w:szCs w:val="20"/>
              </w:rPr>
            </w:pPr>
            <w:r>
              <w:rPr>
                <w:color w:val="000000"/>
                <w:sz w:val="20"/>
                <w:szCs w:val="20"/>
              </w:rPr>
              <w:t>Six-Year Graduation Rate</w:t>
            </w:r>
          </w:p>
        </w:tc>
        <w:tc>
          <w:tcPr>
            <w:tcW w:w="1254" w:type="dxa"/>
            <w:tcBorders>
              <w:top w:val="nil"/>
              <w:left w:val="nil"/>
              <w:bottom w:val="nil"/>
              <w:right w:val="nil"/>
            </w:tcBorders>
            <w:shd w:val="clear" w:color="000000" w:fill="FFFFFF"/>
            <w:noWrap/>
            <w:vAlign w:val="bottom"/>
            <w:hideMark/>
          </w:tcPr>
          <w:p w14:paraId="278D0571" w14:textId="77777777" w:rsidR="001347E1" w:rsidRDefault="001347E1" w:rsidP="006C433E">
            <w:pPr>
              <w:jc w:val="center"/>
              <w:rPr>
                <w:color w:val="000000"/>
                <w:sz w:val="20"/>
                <w:szCs w:val="20"/>
              </w:rPr>
            </w:pPr>
            <w:r>
              <w:rPr>
                <w:color w:val="000000"/>
                <w:sz w:val="20"/>
                <w:szCs w:val="20"/>
              </w:rPr>
              <w:t>45.6%</w:t>
            </w:r>
          </w:p>
        </w:tc>
        <w:tc>
          <w:tcPr>
            <w:tcW w:w="908" w:type="dxa"/>
            <w:tcBorders>
              <w:top w:val="nil"/>
              <w:left w:val="nil"/>
              <w:bottom w:val="nil"/>
              <w:right w:val="nil"/>
            </w:tcBorders>
            <w:shd w:val="clear" w:color="000000" w:fill="FFFFFF"/>
            <w:noWrap/>
            <w:vAlign w:val="bottom"/>
            <w:hideMark/>
          </w:tcPr>
          <w:p w14:paraId="68168D4D" w14:textId="77777777" w:rsidR="001347E1" w:rsidRDefault="001347E1" w:rsidP="006C433E">
            <w:pPr>
              <w:jc w:val="center"/>
              <w:rPr>
                <w:color w:val="000000"/>
                <w:sz w:val="20"/>
                <w:szCs w:val="20"/>
              </w:rPr>
            </w:pPr>
            <w:r>
              <w:rPr>
                <w:color w:val="000000"/>
                <w:sz w:val="20"/>
                <w:szCs w:val="20"/>
              </w:rPr>
              <w:t>18.0%</w:t>
            </w:r>
          </w:p>
        </w:tc>
        <w:tc>
          <w:tcPr>
            <w:tcW w:w="759" w:type="dxa"/>
            <w:tcBorders>
              <w:top w:val="nil"/>
              <w:left w:val="nil"/>
              <w:bottom w:val="nil"/>
              <w:right w:val="nil"/>
            </w:tcBorders>
            <w:shd w:val="clear" w:color="000000" w:fill="FFFFFF"/>
            <w:noWrap/>
            <w:vAlign w:val="bottom"/>
            <w:hideMark/>
          </w:tcPr>
          <w:p w14:paraId="4437A73A" w14:textId="77777777" w:rsidR="001347E1" w:rsidRDefault="001347E1" w:rsidP="006C433E">
            <w:pPr>
              <w:jc w:val="center"/>
              <w:rPr>
                <w:color w:val="000000"/>
                <w:sz w:val="20"/>
                <w:szCs w:val="20"/>
              </w:rPr>
            </w:pPr>
            <w:r>
              <w:rPr>
                <w:color w:val="000000"/>
                <w:sz w:val="20"/>
                <w:szCs w:val="20"/>
              </w:rPr>
              <w:t>93.6%</w:t>
            </w:r>
          </w:p>
        </w:tc>
        <w:tc>
          <w:tcPr>
            <w:tcW w:w="953" w:type="dxa"/>
            <w:tcBorders>
              <w:top w:val="nil"/>
              <w:left w:val="nil"/>
              <w:bottom w:val="nil"/>
              <w:right w:val="nil"/>
            </w:tcBorders>
            <w:shd w:val="clear" w:color="000000" w:fill="FFFFFF"/>
            <w:noWrap/>
            <w:vAlign w:val="bottom"/>
            <w:hideMark/>
          </w:tcPr>
          <w:p w14:paraId="26173743" w14:textId="77777777" w:rsidR="001347E1" w:rsidRDefault="001347E1" w:rsidP="006C433E">
            <w:pPr>
              <w:jc w:val="center"/>
              <w:rPr>
                <w:color w:val="000000"/>
                <w:sz w:val="20"/>
                <w:szCs w:val="20"/>
              </w:rPr>
            </w:pPr>
            <w:r>
              <w:rPr>
                <w:color w:val="000000"/>
                <w:sz w:val="20"/>
                <w:szCs w:val="20"/>
              </w:rPr>
              <w:t>5.0%</w:t>
            </w:r>
          </w:p>
        </w:tc>
      </w:tr>
      <w:tr w:rsidR="001347E1" w14:paraId="3014A923" w14:textId="77777777" w:rsidTr="006C433E">
        <w:trPr>
          <w:trHeight w:val="315"/>
        </w:trPr>
        <w:tc>
          <w:tcPr>
            <w:tcW w:w="4858" w:type="dxa"/>
            <w:gridSpan w:val="3"/>
            <w:tcBorders>
              <w:top w:val="nil"/>
              <w:left w:val="nil"/>
              <w:bottom w:val="nil"/>
              <w:right w:val="nil"/>
            </w:tcBorders>
            <w:shd w:val="clear" w:color="000000" w:fill="FFFFFF"/>
            <w:noWrap/>
            <w:vAlign w:val="bottom"/>
            <w:hideMark/>
          </w:tcPr>
          <w:p w14:paraId="67A557D8" w14:textId="77777777" w:rsidR="001347E1" w:rsidRDefault="001347E1" w:rsidP="006C433E">
            <w:pPr>
              <w:rPr>
                <w:color w:val="000000"/>
                <w:sz w:val="20"/>
                <w:szCs w:val="20"/>
              </w:rPr>
            </w:pPr>
            <w:r>
              <w:rPr>
                <w:color w:val="000000"/>
                <w:sz w:val="20"/>
                <w:szCs w:val="20"/>
              </w:rPr>
              <w:t>INDEPENDENT VARIABLES</w:t>
            </w:r>
          </w:p>
        </w:tc>
        <w:tc>
          <w:tcPr>
            <w:tcW w:w="1254" w:type="dxa"/>
            <w:tcBorders>
              <w:top w:val="nil"/>
              <w:left w:val="nil"/>
              <w:bottom w:val="nil"/>
              <w:right w:val="nil"/>
            </w:tcBorders>
            <w:shd w:val="clear" w:color="000000" w:fill="FFFFFF"/>
            <w:noWrap/>
            <w:vAlign w:val="bottom"/>
            <w:hideMark/>
          </w:tcPr>
          <w:p w14:paraId="4D27F4CD" w14:textId="77777777" w:rsidR="001347E1" w:rsidRDefault="001347E1" w:rsidP="006C433E">
            <w:pPr>
              <w:jc w:val="center"/>
              <w:rPr>
                <w:color w:val="000000"/>
                <w:sz w:val="20"/>
                <w:szCs w:val="20"/>
              </w:rPr>
            </w:pPr>
            <w:r>
              <w:rPr>
                <w:color w:val="000000"/>
                <w:sz w:val="20"/>
                <w:szCs w:val="20"/>
              </w:rPr>
              <w:t> </w:t>
            </w:r>
          </w:p>
        </w:tc>
        <w:tc>
          <w:tcPr>
            <w:tcW w:w="908" w:type="dxa"/>
            <w:tcBorders>
              <w:top w:val="nil"/>
              <w:left w:val="nil"/>
              <w:bottom w:val="nil"/>
              <w:right w:val="nil"/>
            </w:tcBorders>
            <w:shd w:val="clear" w:color="000000" w:fill="FFFFFF"/>
            <w:vAlign w:val="bottom"/>
            <w:hideMark/>
          </w:tcPr>
          <w:p w14:paraId="10E73591"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vAlign w:val="bottom"/>
            <w:hideMark/>
          </w:tcPr>
          <w:p w14:paraId="10FEAE08"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vAlign w:val="bottom"/>
            <w:hideMark/>
          </w:tcPr>
          <w:p w14:paraId="15671EC8" w14:textId="77777777" w:rsidR="001347E1" w:rsidRDefault="001347E1" w:rsidP="006C433E">
            <w:pPr>
              <w:jc w:val="center"/>
              <w:rPr>
                <w:color w:val="000000"/>
                <w:sz w:val="20"/>
                <w:szCs w:val="20"/>
              </w:rPr>
            </w:pPr>
            <w:r>
              <w:rPr>
                <w:color w:val="000000"/>
                <w:sz w:val="20"/>
                <w:szCs w:val="20"/>
              </w:rPr>
              <w:t> </w:t>
            </w:r>
          </w:p>
        </w:tc>
      </w:tr>
      <w:tr w:rsidR="001347E1" w14:paraId="2980EFBE" w14:textId="77777777" w:rsidTr="006C433E">
        <w:trPr>
          <w:trHeight w:val="60"/>
        </w:trPr>
        <w:tc>
          <w:tcPr>
            <w:tcW w:w="672" w:type="dxa"/>
            <w:tcBorders>
              <w:top w:val="nil"/>
              <w:left w:val="nil"/>
              <w:bottom w:val="nil"/>
              <w:right w:val="nil"/>
            </w:tcBorders>
            <w:shd w:val="clear" w:color="000000" w:fill="FFFFFF"/>
            <w:noWrap/>
            <w:vAlign w:val="bottom"/>
            <w:hideMark/>
          </w:tcPr>
          <w:p w14:paraId="23A96C53" w14:textId="77777777" w:rsidR="001347E1" w:rsidRDefault="001347E1" w:rsidP="006C433E">
            <w:pPr>
              <w:rPr>
                <w:color w:val="000000"/>
                <w:sz w:val="20"/>
                <w:szCs w:val="20"/>
              </w:rPr>
            </w:pPr>
            <w:r>
              <w:rPr>
                <w:color w:val="000000"/>
                <w:sz w:val="20"/>
                <w:szCs w:val="20"/>
              </w:rPr>
              <w:t> </w:t>
            </w:r>
          </w:p>
        </w:tc>
        <w:tc>
          <w:tcPr>
            <w:tcW w:w="666" w:type="dxa"/>
            <w:tcBorders>
              <w:top w:val="nil"/>
              <w:left w:val="nil"/>
              <w:bottom w:val="nil"/>
              <w:right w:val="nil"/>
            </w:tcBorders>
            <w:shd w:val="clear" w:color="000000" w:fill="FFFFFF"/>
            <w:noWrap/>
            <w:vAlign w:val="bottom"/>
            <w:hideMark/>
          </w:tcPr>
          <w:p w14:paraId="35AD6001" w14:textId="77777777" w:rsidR="001347E1" w:rsidRDefault="001347E1" w:rsidP="006C433E">
            <w:pPr>
              <w:rPr>
                <w:color w:val="000000"/>
                <w:sz w:val="20"/>
                <w:szCs w:val="20"/>
              </w:rPr>
            </w:pPr>
            <w:r>
              <w:rPr>
                <w:color w:val="000000"/>
                <w:sz w:val="20"/>
                <w:szCs w:val="20"/>
              </w:rPr>
              <w:t> </w:t>
            </w:r>
          </w:p>
        </w:tc>
        <w:tc>
          <w:tcPr>
            <w:tcW w:w="3520" w:type="dxa"/>
            <w:tcBorders>
              <w:top w:val="nil"/>
              <w:left w:val="nil"/>
              <w:bottom w:val="nil"/>
              <w:right w:val="nil"/>
            </w:tcBorders>
            <w:shd w:val="clear" w:color="000000" w:fill="FFFFFF"/>
            <w:noWrap/>
            <w:vAlign w:val="bottom"/>
            <w:hideMark/>
          </w:tcPr>
          <w:p w14:paraId="5748D483" w14:textId="77777777" w:rsidR="001347E1" w:rsidRDefault="001347E1" w:rsidP="006C433E">
            <w:pPr>
              <w:rPr>
                <w:color w:val="000000"/>
                <w:sz w:val="20"/>
                <w:szCs w:val="20"/>
              </w:rPr>
            </w:pPr>
            <w:r>
              <w:rPr>
                <w:color w:val="000000"/>
                <w:sz w:val="20"/>
                <w:szCs w:val="20"/>
              </w:rPr>
              <w:t> </w:t>
            </w:r>
          </w:p>
        </w:tc>
        <w:tc>
          <w:tcPr>
            <w:tcW w:w="1254" w:type="dxa"/>
            <w:tcBorders>
              <w:top w:val="nil"/>
              <w:left w:val="nil"/>
              <w:bottom w:val="nil"/>
              <w:right w:val="nil"/>
            </w:tcBorders>
            <w:shd w:val="clear" w:color="000000" w:fill="FFFFFF"/>
            <w:noWrap/>
            <w:vAlign w:val="bottom"/>
            <w:hideMark/>
          </w:tcPr>
          <w:p w14:paraId="200D90BD" w14:textId="77777777" w:rsidR="001347E1" w:rsidRDefault="001347E1" w:rsidP="006C433E">
            <w:pPr>
              <w:jc w:val="center"/>
              <w:rPr>
                <w:color w:val="000000"/>
                <w:sz w:val="20"/>
                <w:szCs w:val="20"/>
              </w:rPr>
            </w:pPr>
            <w:r>
              <w:rPr>
                <w:color w:val="000000"/>
                <w:sz w:val="20"/>
                <w:szCs w:val="20"/>
              </w:rPr>
              <w:t> </w:t>
            </w:r>
          </w:p>
        </w:tc>
        <w:tc>
          <w:tcPr>
            <w:tcW w:w="908" w:type="dxa"/>
            <w:tcBorders>
              <w:top w:val="nil"/>
              <w:left w:val="nil"/>
              <w:bottom w:val="nil"/>
              <w:right w:val="nil"/>
            </w:tcBorders>
            <w:shd w:val="clear" w:color="000000" w:fill="FFFFFF"/>
            <w:noWrap/>
            <w:vAlign w:val="bottom"/>
            <w:hideMark/>
          </w:tcPr>
          <w:p w14:paraId="437672C2"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321D5CFC"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2B850797" w14:textId="77777777" w:rsidR="001347E1" w:rsidRDefault="001347E1" w:rsidP="006C433E">
            <w:pPr>
              <w:jc w:val="center"/>
              <w:rPr>
                <w:color w:val="000000"/>
                <w:sz w:val="20"/>
                <w:szCs w:val="20"/>
              </w:rPr>
            </w:pPr>
            <w:r>
              <w:rPr>
                <w:color w:val="000000"/>
                <w:sz w:val="20"/>
                <w:szCs w:val="20"/>
              </w:rPr>
              <w:t> </w:t>
            </w:r>
          </w:p>
        </w:tc>
      </w:tr>
      <w:tr w:rsidR="001347E1" w14:paraId="7CC7495E" w14:textId="77777777" w:rsidTr="006C433E">
        <w:trPr>
          <w:trHeight w:val="315"/>
        </w:trPr>
        <w:tc>
          <w:tcPr>
            <w:tcW w:w="4858" w:type="dxa"/>
            <w:gridSpan w:val="3"/>
            <w:tcBorders>
              <w:top w:val="nil"/>
              <w:left w:val="nil"/>
              <w:bottom w:val="nil"/>
              <w:right w:val="nil"/>
            </w:tcBorders>
            <w:shd w:val="clear" w:color="000000" w:fill="FFFFFF"/>
            <w:noWrap/>
            <w:vAlign w:val="bottom"/>
            <w:hideMark/>
          </w:tcPr>
          <w:p w14:paraId="527A153A" w14:textId="77777777" w:rsidR="001347E1" w:rsidRDefault="001347E1" w:rsidP="006C433E">
            <w:pPr>
              <w:rPr>
                <w:i/>
                <w:iCs/>
                <w:color w:val="000000"/>
                <w:sz w:val="20"/>
                <w:szCs w:val="20"/>
              </w:rPr>
            </w:pPr>
            <w:r>
              <w:rPr>
                <w:i/>
                <w:iCs/>
                <w:color w:val="000000"/>
                <w:sz w:val="20"/>
                <w:szCs w:val="20"/>
              </w:rPr>
              <w:t>Institution Level</w:t>
            </w:r>
          </w:p>
        </w:tc>
        <w:tc>
          <w:tcPr>
            <w:tcW w:w="1254" w:type="dxa"/>
            <w:tcBorders>
              <w:top w:val="nil"/>
              <w:left w:val="nil"/>
              <w:bottom w:val="nil"/>
              <w:right w:val="nil"/>
            </w:tcBorders>
            <w:shd w:val="clear" w:color="000000" w:fill="FFFFFF"/>
            <w:noWrap/>
            <w:vAlign w:val="bottom"/>
            <w:hideMark/>
          </w:tcPr>
          <w:p w14:paraId="308D3DAB" w14:textId="77777777" w:rsidR="001347E1" w:rsidRDefault="001347E1" w:rsidP="006C433E">
            <w:pPr>
              <w:jc w:val="center"/>
              <w:rPr>
                <w:color w:val="000000"/>
                <w:sz w:val="20"/>
                <w:szCs w:val="20"/>
              </w:rPr>
            </w:pPr>
            <w:r>
              <w:rPr>
                <w:color w:val="000000"/>
                <w:sz w:val="20"/>
                <w:szCs w:val="20"/>
              </w:rPr>
              <w:t> </w:t>
            </w:r>
          </w:p>
        </w:tc>
        <w:tc>
          <w:tcPr>
            <w:tcW w:w="908" w:type="dxa"/>
            <w:tcBorders>
              <w:top w:val="nil"/>
              <w:left w:val="nil"/>
              <w:bottom w:val="nil"/>
              <w:right w:val="nil"/>
            </w:tcBorders>
            <w:shd w:val="clear" w:color="000000" w:fill="FFFFFF"/>
            <w:noWrap/>
            <w:vAlign w:val="bottom"/>
            <w:hideMark/>
          </w:tcPr>
          <w:p w14:paraId="35839CAB"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151E13E8"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3DEE5F35" w14:textId="77777777" w:rsidR="001347E1" w:rsidRDefault="001347E1" w:rsidP="006C433E">
            <w:pPr>
              <w:jc w:val="center"/>
              <w:rPr>
                <w:color w:val="000000"/>
                <w:sz w:val="20"/>
                <w:szCs w:val="20"/>
              </w:rPr>
            </w:pPr>
            <w:r>
              <w:rPr>
                <w:color w:val="000000"/>
                <w:sz w:val="20"/>
                <w:szCs w:val="20"/>
              </w:rPr>
              <w:t> </w:t>
            </w:r>
          </w:p>
        </w:tc>
      </w:tr>
      <w:tr w:rsidR="001347E1" w14:paraId="1BD75469" w14:textId="77777777" w:rsidTr="006C433E">
        <w:trPr>
          <w:trHeight w:val="60"/>
        </w:trPr>
        <w:tc>
          <w:tcPr>
            <w:tcW w:w="672" w:type="dxa"/>
            <w:tcBorders>
              <w:top w:val="nil"/>
              <w:left w:val="nil"/>
              <w:bottom w:val="nil"/>
              <w:right w:val="nil"/>
            </w:tcBorders>
            <w:shd w:val="clear" w:color="000000" w:fill="FFFFFF"/>
            <w:noWrap/>
            <w:vAlign w:val="bottom"/>
            <w:hideMark/>
          </w:tcPr>
          <w:p w14:paraId="0456A88B" w14:textId="77777777" w:rsidR="001347E1" w:rsidRDefault="001347E1" w:rsidP="006C433E">
            <w:pPr>
              <w:rPr>
                <w:color w:val="000000"/>
                <w:sz w:val="20"/>
                <w:szCs w:val="20"/>
              </w:rPr>
            </w:pPr>
            <w:r>
              <w:rPr>
                <w:color w:val="000000"/>
                <w:sz w:val="20"/>
                <w:szCs w:val="20"/>
              </w:rPr>
              <w:t> </w:t>
            </w:r>
          </w:p>
        </w:tc>
        <w:tc>
          <w:tcPr>
            <w:tcW w:w="666" w:type="dxa"/>
            <w:tcBorders>
              <w:top w:val="nil"/>
              <w:left w:val="nil"/>
              <w:bottom w:val="nil"/>
              <w:right w:val="nil"/>
            </w:tcBorders>
            <w:shd w:val="clear" w:color="000000" w:fill="FFFFFF"/>
            <w:noWrap/>
            <w:vAlign w:val="bottom"/>
            <w:hideMark/>
          </w:tcPr>
          <w:p w14:paraId="0B8C86AF" w14:textId="77777777" w:rsidR="001347E1" w:rsidRDefault="001347E1" w:rsidP="006C433E">
            <w:pPr>
              <w:rPr>
                <w:color w:val="000000"/>
                <w:sz w:val="20"/>
                <w:szCs w:val="20"/>
              </w:rPr>
            </w:pPr>
            <w:r>
              <w:rPr>
                <w:color w:val="000000"/>
                <w:sz w:val="20"/>
                <w:szCs w:val="20"/>
              </w:rPr>
              <w:t> </w:t>
            </w:r>
          </w:p>
        </w:tc>
        <w:tc>
          <w:tcPr>
            <w:tcW w:w="3520" w:type="dxa"/>
            <w:tcBorders>
              <w:top w:val="nil"/>
              <w:left w:val="nil"/>
              <w:bottom w:val="nil"/>
              <w:right w:val="nil"/>
            </w:tcBorders>
            <w:shd w:val="clear" w:color="000000" w:fill="FFFFFF"/>
            <w:noWrap/>
            <w:vAlign w:val="bottom"/>
            <w:hideMark/>
          </w:tcPr>
          <w:p w14:paraId="2917A52B" w14:textId="77777777" w:rsidR="001347E1" w:rsidRDefault="001347E1" w:rsidP="006C433E">
            <w:pPr>
              <w:rPr>
                <w:color w:val="000000"/>
                <w:sz w:val="20"/>
                <w:szCs w:val="20"/>
              </w:rPr>
            </w:pPr>
            <w:r>
              <w:rPr>
                <w:color w:val="000000"/>
                <w:sz w:val="20"/>
                <w:szCs w:val="20"/>
              </w:rPr>
              <w:t> </w:t>
            </w:r>
          </w:p>
        </w:tc>
        <w:tc>
          <w:tcPr>
            <w:tcW w:w="1254" w:type="dxa"/>
            <w:tcBorders>
              <w:top w:val="nil"/>
              <w:left w:val="nil"/>
              <w:bottom w:val="nil"/>
              <w:right w:val="nil"/>
            </w:tcBorders>
            <w:shd w:val="clear" w:color="000000" w:fill="FFFFFF"/>
            <w:noWrap/>
            <w:vAlign w:val="bottom"/>
            <w:hideMark/>
          </w:tcPr>
          <w:p w14:paraId="0B2821F0" w14:textId="77777777" w:rsidR="001347E1" w:rsidRDefault="001347E1" w:rsidP="006C433E">
            <w:pPr>
              <w:jc w:val="center"/>
              <w:rPr>
                <w:color w:val="000000"/>
                <w:sz w:val="20"/>
                <w:szCs w:val="20"/>
              </w:rPr>
            </w:pPr>
            <w:r>
              <w:rPr>
                <w:color w:val="000000"/>
                <w:sz w:val="20"/>
                <w:szCs w:val="20"/>
              </w:rPr>
              <w:t> </w:t>
            </w:r>
          </w:p>
        </w:tc>
        <w:tc>
          <w:tcPr>
            <w:tcW w:w="908" w:type="dxa"/>
            <w:tcBorders>
              <w:top w:val="nil"/>
              <w:left w:val="nil"/>
              <w:bottom w:val="nil"/>
              <w:right w:val="nil"/>
            </w:tcBorders>
            <w:shd w:val="clear" w:color="000000" w:fill="FFFFFF"/>
            <w:noWrap/>
            <w:vAlign w:val="bottom"/>
            <w:hideMark/>
          </w:tcPr>
          <w:p w14:paraId="1DAABA53"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39BAB63A"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4AEDB220" w14:textId="77777777" w:rsidR="001347E1" w:rsidRDefault="001347E1" w:rsidP="006C433E">
            <w:pPr>
              <w:jc w:val="center"/>
              <w:rPr>
                <w:color w:val="000000"/>
                <w:sz w:val="20"/>
                <w:szCs w:val="20"/>
              </w:rPr>
            </w:pPr>
            <w:r>
              <w:rPr>
                <w:color w:val="000000"/>
                <w:sz w:val="20"/>
                <w:szCs w:val="20"/>
              </w:rPr>
              <w:t> </w:t>
            </w:r>
          </w:p>
        </w:tc>
      </w:tr>
      <w:tr w:rsidR="001347E1" w14:paraId="38AA0018" w14:textId="77777777" w:rsidTr="006C433E">
        <w:trPr>
          <w:trHeight w:val="255"/>
        </w:trPr>
        <w:tc>
          <w:tcPr>
            <w:tcW w:w="672" w:type="dxa"/>
            <w:tcBorders>
              <w:top w:val="nil"/>
              <w:left w:val="nil"/>
              <w:bottom w:val="nil"/>
              <w:right w:val="nil"/>
            </w:tcBorders>
            <w:shd w:val="clear" w:color="000000" w:fill="FFFFFF"/>
            <w:noWrap/>
            <w:vAlign w:val="bottom"/>
            <w:hideMark/>
          </w:tcPr>
          <w:p w14:paraId="2ECE115E" w14:textId="77777777" w:rsidR="001347E1" w:rsidRDefault="001347E1" w:rsidP="006C433E">
            <w:pPr>
              <w:rPr>
                <w:color w:val="000000"/>
                <w:sz w:val="20"/>
                <w:szCs w:val="20"/>
              </w:rPr>
            </w:pPr>
            <w:r>
              <w:rPr>
                <w:color w:val="000000"/>
                <w:sz w:val="20"/>
                <w:szCs w:val="20"/>
              </w:rPr>
              <w:t> </w:t>
            </w:r>
          </w:p>
        </w:tc>
        <w:tc>
          <w:tcPr>
            <w:tcW w:w="4186" w:type="dxa"/>
            <w:gridSpan w:val="2"/>
            <w:tcBorders>
              <w:top w:val="nil"/>
              <w:left w:val="nil"/>
              <w:bottom w:val="nil"/>
              <w:right w:val="nil"/>
            </w:tcBorders>
            <w:shd w:val="clear" w:color="000000" w:fill="FFFFFF"/>
            <w:noWrap/>
            <w:vAlign w:val="bottom"/>
            <w:hideMark/>
          </w:tcPr>
          <w:p w14:paraId="327D1918" w14:textId="77777777" w:rsidR="001347E1" w:rsidRDefault="001347E1" w:rsidP="006C433E">
            <w:pPr>
              <w:rPr>
                <w:color w:val="000000"/>
                <w:sz w:val="20"/>
                <w:szCs w:val="20"/>
              </w:rPr>
            </w:pPr>
            <w:r>
              <w:rPr>
                <w:color w:val="000000"/>
                <w:sz w:val="20"/>
                <w:szCs w:val="20"/>
              </w:rPr>
              <w:t xml:space="preserve">Race </w:t>
            </w:r>
          </w:p>
        </w:tc>
        <w:tc>
          <w:tcPr>
            <w:tcW w:w="1254" w:type="dxa"/>
            <w:tcBorders>
              <w:top w:val="nil"/>
              <w:left w:val="nil"/>
              <w:bottom w:val="nil"/>
              <w:right w:val="nil"/>
            </w:tcBorders>
            <w:shd w:val="clear" w:color="000000" w:fill="FFFFFF"/>
            <w:noWrap/>
            <w:vAlign w:val="bottom"/>
            <w:hideMark/>
          </w:tcPr>
          <w:p w14:paraId="04386E50" w14:textId="77777777" w:rsidR="001347E1" w:rsidRDefault="001347E1" w:rsidP="006C433E">
            <w:pPr>
              <w:jc w:val="center"/>
              <w:rPr>
                <w:color w:val="000000"/>
                <w:sz w:val="20"/>
                <w:szCs w:val="20"/>
              </w:rPr>
            </w:pPr>
            <w:r>
              <w:rPr>
                <w:color w:val="000000"/>
                <w:sz w:val="20"/>
                <w:szCs w:val="20"/>
              </w:rPr>
              <w:t> </w:t>
            </w:r>
          </w:p>
        </w:tc>
        <w:tc>
          <w:tcPr>
            <w:tcW w:w="908" w:type="dxa"/>
            <w:tcBorders>
              <w:top w:val="nil"/>
              <w:left w:val="nil"/>
              <w:bottom w:val="nil"/>
              <w:right w:val="nil"/>
            </w:tcBorders>
            <w:shd w:val="clear" w:color="000000" w:fill="FFFFFF"/>
            <w:noWrap/>
            <w:vAlign w:val="bottom"/>
            <w:hideMark/>
          </w:tcPr>
          <w:p w14:paraId="03EC9635"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264B2A00"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2C970510" w14:textId="77777777" w:rsidR="001347E1" w:rsidRDefault="001347E1" w:rsidP="006C433E">
            <w:pPr>
              <w:jc w:val="center"/>
              <w:rPr>
                <w:color w:val="000000"/>
                <w:sz w:val="20"/>
                <w:szCs w:val="20"/>
              </w:rPr>
            </w:pPr>
            <w:r>
              <w:rPr>
                <w:color w:val="000000"/>
                <w:sz w:val="20"/>
                <w:szCs w:val="20"/>
              </w:rPr>
              <w:t> </w:t>
            </w:r>
          </w:p>
        </w:tc>
      </w:tr>
      <w:tr w:rsidR="001347E1" w14:paraId="485CA070" w14:textId="77777777" w:rsidTr="006C433E">
        <w:trPr>
          <w:trHeight w:val="255"/>
        </w:trPr>
        <w:tc>
          <w:tcPr>
            <w:tcW w:w="672" w:type="dxa"/>
            <w:tcBorders>
              <w:top w:val="nil"/>
              <w:left w:val="nil"/>
              <w:bottom w:val="nil"/>
              <w:right w:val="nil"/>
            </w:tcBorders>
            <w:shd w:val="clear" w:color="000000" w:fill="FFFFFF"/>
            <w:noWrap/>
            <w:vAlign w:val="bottom"/>
            <w:hideMark/>
          </w:tcPr>
          <w:p w14:paraId="6CD264EB" w14:textId="77777777" w:rsidR="001347E1" w:rsidRDefault="001347E1" w:rsidP="006C433E">
            <w:pPr>
              <w:rPr>
                <w:color w:val="000000"/>
                <w:sz w:val="20"/>
                <w:szCs w:val="20"/>
              </w:rPr>
            </w:pPr>
            <w:r>
              <w:rPr>
                <w:color w:val="000000"/>
                <w:sz w:val="20"/>
                <w:szCs w:val="20"/>
              </w:rPr>
              <w:t> </w:t>
            </w:r>
          </w:p>
        </w:tc>
        <w:tc>
          <w:tcPr>
            <w:tcW w:w="666" w:type="dxa"/>
            <w:tcBorders>
              <w:top w:val="nil"/>
              <w:left w:val="nil"/>
              <w:bottom w:val="nil"/>
              <w:right w:val="nil"/>
            </w:tcBorders>
            <w:shd w:val="clear" w:color="000000" w:fill="FFFFFF"/>
            <w:noWrap/>
            <w:vAlign w:val="bottom"/>
            <w:hideMark/>
          </w:tcPr>
          <w:p w14:paraId="5E768128" w14:textId="77777777" w:rsidR="001347E1" w:rsidRDefault="001347E1" w:rsidP="006C433E">
            <w:pPr>
              <w:ind w:firstLineChars="200" w:firstLine="400"/>
              <w:rPr>
                <w:color w:val="000000"/>
                <w:sz w:val="20"/>
                <w:szCs w:val="20"/>
              </w:rPr>
            </w:pPr>
            <w:r>
              <w:rPr>
                <w:color w:val="000000"/>
                <w:sz w:val="20"/>
                <w:szCs w:val="20"/>
              </w:rPr>
              <w:t> </w:t>
            </w:r>
          </w:p>
        </w:tc>
        <w:tc>
          <w:tcPr>
            <w:tcW w:w="3520" w:type="dxa"/>
            <w:tcBorders>
              <w:top w:val="nil"/>
              <w:left w:val="nil"/>
              <w:bottom w:val="nil"/>
              <w:right w:val="nil"/>
            </w:tcBorders>
            <w:shd w:val="clear" w:color="000000" w:fill="FFFFFF"/>
            <w:noWrap/>
            <w:vAlign w:val="bottom"/>
            <w:hideMark/>
          </w:tcPr>
          <w:p w14:paraId="0345CA0E" w14:textId="77777777" w:rsidR="001347E1" w:rsidRDefault="001347E1" w:rsidP="006C433E">
            <w:pPr>
              <w:rPr>
                <w:color w:val="000000"/>
                <w:sz w:val="20"/>
                <w:szCs w:val="20"/>
              </w:rPr>
            </w:pPr>
            <w:r>
              <w:rPr>
                <w:color w:val="000000"/>
                <w:sz w:val="20"/>
                <w:szCs w:val="20"/>
              </w:rPr>
              <w:t>Asian</w:t>
            </w:r>
          </w:p>
        </w:tc>
        <w:tc>
          <w:tcPr>
            <w:tcW w:w="1254" w:type="dxa"/>
            <w:tcBorders>
              <w:top w:val="nil"/>
              <w:left w:val="nil"/>
              <w:bottom w:val="nil"/>
              <w:right w:val="nil"/>
            </w:tcBorders>
            <w:shd w:val="clear" w:color="000000" w:fill="FFFFFF"/>
            <w:noWrap/>
            <w:vAlign w:val="bottom"/>
            <w:hideMark/>
          </w:tcPr>
          <w:p w14:paraId="27652B7E" w14:textId="77777777" w:rsidR="001347E1" w:rsidRDefault="001347E1" w:rsidP="006C433E">
            <w:pPr>
              <w:jc w:val="center"/>
              <w:rPr>
                <w:color w:val="000000"/>
                <w:sz w:val="20"/>
                <w:szCs w:val="20"/>
              </w:rPr>
            </w:pPr>
            <w:r>
              <w:rPr>
                <w:color w:val="000000"/>
                <w:sz w:val="20"/>
                <w:szCs w:val="20"/>
              </w:rPr>
              <w:t>5.2%</w:t>
            </w:r>
          </w:p>
        </w:tc>
        <w:tc>
          <w:tcPr>
            <w:tcW w:w="908" w:type="dxa"/>
            <w:tcBorders>
              <w:top w:val="nil"/>
              <w:left w:val="nil"/>
              <w:bottom w:val="nil"/>
              <w:right w:val="nil"/>
            </w:tcBorders>
            <w:shd w:val="clear" w:color="000000" w:fill="FFFFFF"/>
            <w:noWrap/>
            <w:vAlign w:val="bottom"/>
            <w:hideMark/>
          </w:tcPr>
          <w:p w14:paraId="6F424149" w14:textId="77777777" w:rsidR="001347E1" w:rsidRDefault="001347E1" w:rsidP="006C433E">
            <w:pPr>
              <w:jc w:val="center"/>
              <w:rPr>
                <w:color w:val="000000"/>
                <w:sz w:val="20"/>
                <w:szCs w:val="20"/>
              </w:rPr>
            </w:pPr>
            <w:r>
              <w:rPr>
                <w:color w:val="000000"/>
                <w:sz w:val="20"/>
                <w:szCs w:val="20"/>
              </w:rPr>
              <w:t>9.4%</w:t>
            </w:r>
          </w:p>
        </w:tc>
        <w:tc>
          <w:tcPr>
            <w:tcW w:w="759" w:type="dxa"/>
            <w:tcBorders>
              <w:top w:val="nil"/>
              <w:left w:val="nil"/>
              <w:bottom w:val="nil"/>
              <w:right w:val="nil"/>
            </w:tcBorders>
            <w:shd w:val="clear" w:color="000000" w:fill="FFFFFF"/>
            <w:noWrap/>
            <w:vAlign w:val="bottom"/>
            <w:hideMark/>
          </w:tcPr>
          <w:p w14:paraId="5BCF8D6C" w14:textId="77777777" w:rsidR="001347E1" w:rsidRDefault="001347E1" w:rsidP="006C433E">
            <w:pPr>
              <w:jc w:val="center"/>
              <w:rPr>
                <w:color w:val="000000"/>
                <w:sz w:val="20"/>
                <w:szCs w:val="20"/>
              </w:rPr>
            </w:pPr>
            <w:r>
              <w:rPr>
                <w:color w:val="000000"/>
                <w:sz w:val="20"/>
                <w:szCs w:val="20"/>
              </w:rPr>
              <w:t>97.1%</w:t>
            </w:r>
          </w:p>
        </w:tc>
        <w:tc>
          <w:tcPr>
            <w:tcW w:w="953" w:type="dxa"/>
            <w:tcBorders>
              <w:top w:val="nil"/>
              <w:left w:val="nil"/>
              <w:bottom w:val="nil"/>
              <w:right w:val="nil"/>
            </w:tcBorders>
            <w:shd w:val="clear" w:color="000000" w:fill="FFFFFF"/>
            <w:noWrap/>
            <w:vAlign w:val="bottom"/>
          </w:tcPr>
          <w:p w14:paraId="44714479" w14:textId="77777777" w:rsidR="001347E1" w:rsidRDefault="001347E1" w:rsidP="006C433E">
            <w:pPr>
              <w:jc w:val="center"/>
              <w:rPr>
                <w:color w:val="000000"/>
                <w:sz w:val="20"/>
                <w:szCs w:val="20"/>
              </w:rPr>
            </w:pPr>
            <w:r>
              <w:rPr>
                <w:color w:val="000000"/>
                <w:sz w:val="20"/>
                <w:szCs w:val="20"/>
              </w:rPr>
              <w:t>0.0%</w:t>
            </w:r>
          </w:p>
        </w:tc>
      </w:tr>
      <w:tr w:rsidR="001347E1" w14:paraId="7E1E96BC" w14:textId="77777777" w:rsidTr="006C433E">
        <w:trPr>
          <w:trHeight w:val="255"/>
        </w:trPr>
        <w:tc>
          <w:tcPr>
            <w:tcW w:w="672" w:type="dxa"/>
            <w:tcBorders>
              <w:top w:val="nil"/>
              <w:left w:val="nil"/>
              <w:bottom w:val="nil"/>
              <w:right w:val="nil"/>
            </w:tcBorders>
            <w:shd w:val="clear" w:color="000000" w:fill="FFFFFF"/>
            <w:noWrap/>
            <w:vAlign w:val="bottom"/>
            <w:hideMark/>
          </w:tcPr>
          <w:p w14:paraId="2483B14C" w14:textId="77777777" w:rsidR="001347E1" w:rsidRDefault="001347E1" w:rsidP="006C433E">
            <w:pPr>
              <w:rPr>
                <w:color w:val="000000"/>
                <w:sz w:val="20"/>
                <w:szCs w:val="20"/>
              </w:rPr>
            </w:pPr>
            <w:r>
              <w:rPr>
                <w:color w:val="000000"/>
                <w:sz w:val="20"/>
                <w:szCs w:val="20"/>
              </w:rPr>
              <w:t> </w:t>
            </w:r>
          </w:p>
        </w:tc>
        <w:tc>
          <w:tcPr>
            <w:tcW w:w="666" w:type="dxa"/>
            <w:tcBorders>
              <w:top w:val="nil"/>
              <w:left w:val="nil"/>
              <w:bottom w:val="nil"/>
              <w:right w:val="nil"/>
            </w:tcBorders>
            <w:shd w:val="clear" w:color="000000" w:fill="FFFFFF"/>
            <w:noWrap/>
            <w:vAlign w:val="bottom"/>
            <w:hideMark/>
          </w:tcPr>
          <w:p w14:paraId="6B356475" w14:textId="77777777" w:rsidR="001347E1" w:rsidRDefault="001347E1" w:rsidP="006C433E">
            <w:pPr>
              <w:rPr>
                <w:color w:val="000000"/>
                <w:sz w:val="20"/>
                <w:szCs w:val="20"/>
              </w:rPr>
            </w:pPr>
            <w:r>
              <w:rPr>
                <w:color w:val="000000"/>
                <w:sz w:val="20"/>
                <w:szCs w:val="20"/>
              </w:rPr>
              <w:t> </w:t>
            </w:r>
          </w:p>
        </w:tc>
        <w:tc>
          <w:tcPr>
            <w:tcW w:w="3520" w:type="dxa"/>
            <w:tcBorders>
              <w:top w:val="nil"/>
              <w:left w:val="nil"/>
              <w:bottom w:val="nil"/>
              <w:right w:val="nil"/>
            </w:tcBorders>
            <w:shd w:val="clear" w:color="000000" w:fill="FFFFFF"/>
            <w:noWrap/>
            <w:vAlign w:val="bottom"/>
            <w:hideMark/>
          </w:tcPr>
          <w:p w14:paraId="7A5BD104" w14:textId="77777777" w:rsidR="001347E1" w:rsidRDefault="001347E1" w:rsidP="006C433E">
            <w:pPr>
              <w:rPr>
                <w:color w:val="000000"/>
                <w:sz w:val="20"/>
                <w:szCs w:val="20"/>
              </w:rPr>
            </w:pPr>
            <w:r>
              <w:rPr>
                <w:color w:val="000000"/>
                <w:sz w:val="20"/>
                <w:szCs w:val="20"/>
              </w:rPr>
              <w:t>Black</w:t>
            </w:r>
          </w:p>
        </w:tc>
        <w:tc>
          <w:tcPr>
            <w:tcW w:w="1254" w:type="dxa"/>
            <w:tcBorders>
              <w:top w:val="nil"/>
              <w:left w:val="nil"/>
              <w:bottom w:val="nil"/>
              <w:right w:val="nil"/>
            </w:tcBorders>
            <w:shd w:val="clear" w:color="000000" w:fill="FFFFFF"/>
            <w:noWrap/>
            <w:vAlign w:val="bottom"/>
            <w:hideMark/>
          </w:tcPr>
          <w:p w14:paraId="2F6E71AD" w14:textId="77777777" w:rsidR="001347E1" w:rsidRDefault="001347E1" w:rsidP="006C433E">
            <w:pPr>
              <w:jc w:val="center"/>
              <w:rPr>
                <w:color w:val="000000"/>
                <w:sz w:val="20"/>
                <w:szCs w:val="20"/>
              </w:rPr>
            </w:pPr>
            <w:r>
              <w:rPr>
                <w:color w:val="000000"/>
                <w:sz w:val="20"/>
                <w:szCs w:val="20"/>
              </w:rPr>
              <w:t>14.6%</w:t>
            </w:r>
          </w:p>
        </w:tc>
        <w:tc>
          <w:tcPr>
            <w:tcW w:w="908" w:type="dxa"/>
            <w:tcBorders>
              <w:top w:val="nil"/>
              <w:left w:val="nil"/>
              <w:bottom w:val="nil"/>
              <w:right w:val="nil"/>
            </w:tcBorders>
            <w:shd w:val="clear" w:color="000000" w:fill="FFFFFF"/>
            <w:noWrap/>
            <w:vAlign w:val="bottom"/>
            <w:hideMark/>
          </w:tcPr>
          <w:p w14:paraId="3B0BD0FD" w14:textId="77777777" w:rsidR="001347E1" w:rsidRDefault="001347E1" w:rsidP="006C433E">
            <w:pPr>
              <w:jc w:val="center"/>
              <w:rPr>
                <w:color w:val="000000"/>
                <w:sz w:val="20"/>
                <w:szCs w:val="20"/>
              </w:rPr>
            </w:pPr>
            <w:r>
              <w:rPr>
                <w:color w:val="000000"/>
                <w:sz w:val="20"/>
                <w:szCs w:val="20"/>
              </w:rPr>
              <w:t>22.1%</w:t>
            </w:r>
          </w:p>
        </w:tc>
        <w:tc>
          <w:tcPr>
            <w:tcW w:w="759" w:type="dxa"/>
            <w:tcBorders>
              <w:top w:val="nil"/>
              <w:left w:val="nil"/>
              <w:bottom w:val="nil"/>
              <w:right w:val="nil"/>
            </w:tcBorders>
            <w:shd w:val="clear" w:color="000000" w:fill="FFFFFF"/>
            <w:noWrap/>
            <w:vAlign w:val="bottom"/>
            <w:hideMark/>
          </w:tcPr>
          <w:p w14:paraId="4F5D5D44" w14:textId="77777777" w:rsidR="001347E1" w:rsidRDefault="001347E1" w:rsidP="006C433E">
            <w:pPr>
              <w:jc w:val="center"/>
              <w:rPr>
                <w:color w:val="000000"/>
                <w:sz w:val="20"/>
                <w:szCs w:val="20"/>
              </w:rPr>
            </w:pPr>
            <w:r>
              <w:rPr>
                <w:color w:val="000000"/>
                <w:sz w:val="20"/>
                <w:szCs w:val="20"/>
              </w:rPr>
              <w:t>99.0%</w:t>
            </w:r>
          </w:p>
        </w:tc>
        <w:tc>
          <w:tcPr>
            <w:tcW w:w="953" w:type="dxa"/>
            <w:tcBorders>
              <w:top w:val="nil"/>
              <w:left w:val="nil"/>
              <w:bottom w:val="nil"/>
              <w:right w:val="nil"/>
            </w:tcBorders>
            <w:shd w:val="clear" w:color="000000" w:fill="FFFFFF"/>
            <w:noWrap/>
            <w:vAlign w:val="bottom"/>
            <w:hideMark/>
          </w:tcPr>
          <w:p w14:paraId="4BCFCDFF" w14:textId="77777777" w:rsidR="001347E1" w:rsidRDefault="001347E1" w:rsidP="006C433E">
            <w:pPr>
              <w:jc w:val="center"/>
              <w:rPr>
                <w:color w:val="000000"/>
                <w:sz w:val="20"/>
                <w:szCs w:val="20"/>
              </w:rPr>
            </w:pPr>
            <w:r>
              <w:rPr>
                <w:color w:val="000000"/>
                <w:sz w:val="20"/>
                <w:szCs w:val="20"/>
              </w:rPr>
              <w:t>0.0%</w:t>
            </w:r>
          </w:p>
        </w:tc>
      </w:tr>
      <w:tr w:rsidR="001347E1" w14:paraId="36FC6F93" w14:textId="77777777" w:rsidTr="006C433E">
        <w:trPr>
          <w:trHeight w:val="255"/>
        </w:trPr>
        <w:tc>
          <w:tcPr>
            <w:tcW w:w="672" w:type="dxa"/>
            <w:tcBorders>
              <w:top w:val="nil"/>
              <w:left w:val="nil"/>
              <w:bottom w:val="nil"/>
              <w:right w:val="nil"/>
            </w:tcBorders>
            <w:shd w:val="clear" w:color="000000" w:fill="FFFFFF"/>
            <w:noWrap/>
            <w:vAlign w:val="bottom"/>
            <w:hideMark/>
          </w:tcPr>
          <w:p w14:paraId="7689A819" w14:textId="77777777" w:rsidR="001347E1" w:rsidRDefault="001347E1" w:rsidP="006C433E">
            <w:pPr>
              <w:rPr>
                <w:color w:val="000000"/>
                <w:sz w:val="20"/>
                <w:szCs w:val="20"/>
              </w:rPr>
            </w:pPr>
            <w:r>
              <w:rPr>
                <w:color w:val="000000"/>
                <w:sz w:val="20"/>
                <w:szCs w:val="20"/>
              </w:rPr>
              <w:t> </w:t>
            </w:r>
          </w:p>
        </w:tc>
        <w:tc>
          <w:tcPr>
            <w:tcW w:w="666" w:type="dxa"/>
            <w:tcBorders>
              <w:top w:val="nil"/>
              <w:left w:val="nil"/>
              <w:bottom w:val="nil"/>
              <w:right w:val="nil"/>
            </w:tcBorders>
            <w:shd w:val="clear" w:color="000000" w:fill="FFFFFF"/>
            <w:noWrap/>
            <w:vAlign w:val="bottom"/>
            <w:hideMark/>
          </w:tcPr>
          <w:p w14:paraId="1A02C663" w14:textId="77777777" w:rsidR="001347E1" w:rsidRDefault="001347E1" w:rsidP="006C433E">
            <w:pPr>
              <w:rPr>
                <w:color w:val="000000"/>
                <w:sz w:val="20"/>
                <w:szCs w:val="20"/>
              </w:rPr>
            </w:pPr>
            <w:r>
              <w:rPr>
                <w:color w:val="000000"/>
                <w:sz w:val="20"/>
                <w:szCs w:val="20"/>
              </w:rPr>
              <w:t> </w:t>
            </w:r>
          </w:p>
        </w:tc>
        <w:tc>
          <w:tcPr>
            <w:tcW w:w="3520" w:type="dxa"/>
            <w:tcBorders>
              <w:top w:val="nil"/>
              <w:left w:val="nil"/>
              <w:bottom w:val="nil"/>
              <w:right w:val="nil"/>
            </w:tcBorders>
            <w:shd w:val="clear" w:color="000000" w:fill="FFFFFF"/>
            <w:noWrap/>
            <w:vAlign w:val="bottom"/>
            <w:hideMark/>
          </w:tcPr>
          <w:p w14:paraId="77818ED1" w14:textId="77777777" w:rsidR="001347E1" w:rsidRDefault="001347E1" w:rsidP="006C433E">
            <w:pPr>
              <w:rPr>
                <w:color w:val="000000"/>
                <w:sz w:val="20"/>
                <w:szCs w:val="20"/>
              </w:rPr>
            </w:pPr>
            <w:r>
              <w:rPr>
                <w:color w:val="000000"/>
                <w:sz w:val="20"/>
                <w:szCs w:val="20"/>
              </w:rPr>
              <w:t>Caucasian</w:t>
            </w:r>
          </w:p>
        </w:tc>
        <w:tc>
          <w:tcPr>
            <w:tcW w:w="1254" w:type="dxa"/>
            <w:tcBorders>
              <w:top w:val="nil"/>
              <w:left w:val="nil"/>
              <w:bottom w:val="nil"/>
              <w:right w:val="nil"/>
            </w:tcBorders>
            <w:shd w:val="clear" w:color="000000" w:fill="FFFFFF"/>
            <w:noWrap/>
            <w:vAlign w:val="bottom"/>
            <w:hideMark/>
          </w:tcPr>
          <w:p w14:paraId="4050D360" w14:textId="77777777" w:rsidR="001347E1" w:rsidRDefault="001347E1" w:rsidP="006C433E">
            <w:pPr>
              <w:jc w:val="center"/>
              <w:rPr>
                <w:color w:val="000000"/>
                <w:sz w:val="20"/>
                <w:szCs w:val="20"/>
              </w:rPr>
            </w:pPr>
            <w:r>
              <w:rPr>
                <w:color w:val="000000"/>
                <w:sz w:val="20"/>
                <w:szCs w:val="20"/>
              </w:rPr>
              <w:t>62.9%</w:t>
            </w:r>
          </w:p>
        </w:tc>
        <w:tc>
          <w:tcPr>
            <w:tcW w:w="908" w:type="dxa"/>
            <w:tcBorders>
              <w:top w:val="nil"/>
              <w:left w:val="nil"/>
              <w:bottom w:val="nil"/>
              <w:right w:val="nil"/>
            </w:tcBorders>
            <w:shd w:val="clear" w:color="000000" w:fill="FFFFFF"/>
            <w:noWrap/>
            <w:vAlign w:val="bottom"/>
            <w:hideMark/>
          </w:tcPr>
          <w:p w14:paraId="77C9CFA1" w14:textId="77777777" w:rsidR="001347E1" w:rsidRDefault="001347E1" w:rsidP="006C433E">
            <w:pPr>
              <w:jc w:val="center"/>
              <w:rPr>
                <w:color w:val="000000"/>
                <w:sz w:val="20"/>
                <w:szCs w:val="20"/>
              </w:rPr>
            </w:pPr>
            <w:r>
              <w:rPr>
                <w:color w:val="000000"/>
                <w:sz w:val="20"/>
                <w:szCs w:val="20"/>
              </w:rPr>
              <w:t>26.6%</w:t>
            </w:r>
          </w:p>
        </w:tc>
        <w:tc>
          <w:tcPr>
            <w:tcW w:w="759" w:type="dxa"/>
            <w:tcBorders>
              <w:top w:val="nil"/>
              <w:left w:val="nil"/>
              <w:bottom w:val="nil"/>
              <w:right w:val="nil"/>
            </w:tcBorders>
            <w:shd w:val="clear" w:color="000000" w:fill="FFFFFF"/>
            <w:noWrap/>
            <w:vAlign w:val="bottom"/>
            <w:hideMark/>
          </w:tcPr>
          <w:p w14:paraId="142F57D1" w14:textId="77777777" w:rsidR="001347E1" w:rsidRDefault="001347E1" w:rsidP="006C433E">
            <w:pPr>
              <w:jc w:val="center"/>
              <w:rPr>
                <w:color w:val="000000"/>
                <w:sz w:val="20"/>
                <w:szCs w:val="20"/>
              </w:rPr>
            </w:pPr>
            <w:r>
              <w:rPr>
                <w:color w:val="000000"/>
                <w:sz w:val="20"/>
                <w:szCs w:val="20"/>
              </w:rPr>
              <w:t>98.1%</w:t>
            </w:r>
          </w:p>
        </w:tc>
        <w:tc>
          <w:tcPr>
            <w:tcW w:w="953" w:type="dxa"/>
            <w:tcBorders>
              <w:top w:val="nil"/>
              <w:left w:val="nil"/>
              <w:bottom w:val="nil"/>
              <w:right w:val="nil"/>
            </w:tcBorders>
            <w:shd w:val="clear" w:color="000000" w:fill="FFFFFF"/>
            <w:noWrap/>
            <w:vAlign w:val="bottom"/>
            <w:hideMark/>
          </w:tcPr>
          <w:p w14:paraId="77489802" w14:textId="77777777" w:rsidR="001347E1" w:rsidRDefault="001347E1" w:rsidP="006C433E">
            <w:pPr>
              <w:jc w:val="center"/>
              <w:rPr>
                <w:color w:val="000000"/>
                <w:sz w:val="20"/>
                <w:szCs w:val="20"/>
              </w:rPr>
            </w:pPr>
            <w:r>
              <w:rPr>
                <w:color w:val="000000"/>
                <w:sz w:val="20"/>
                <w:szCs w:val="20"/>
              </w:rPr>
              <w:t>0.0%</w:t>
            </w:r>
          </w:p>
        </w:tc>
      </w:tr>
      <w:tr w:rsidR="001347E1" w14:paraId="19186AD0" w14:textId="77777777" w:rsidTr="006C433E">
        <w:trPr>
          <w:trHeight w:val="255"/>
        </w:trPr>
        <w:tc>
          <w:tcPr>
            <w:tcW w:w="672" w:type="dxa"/>
            <w:tcBorders>
              <w:top w:val="nil"/>
              <w:left w:val="nil"/>
              <w:bottom w:val="nil"/>
              <w:right w:val="nil"/>
            </w:tcBorders>
            <w:shd w:val="clear" w:color="000000" w:fill="FFFFFF"/>
            <w:noWrap/>
            <w:vAlign w:val="bottom"/>
            <w:hideMark/>
          </w:tcPr>
          <w:p w14:paraId="0D513525" w14:textId="77777777" w:rsidR="001347E1" w:rsidRDefault="001347E1" w:rsidP="006C433E">
            <w:pPr>
              <w:rPr>
                <w:color w:val="000000"/>
                <w:sz w:val="20"/>
                <w:szCs w:val="20"/>
              </w:rPr>
            </w:pPr>
            <w:r>
              <w:rPr>
                <w:color w:val="000000"/>
                <w:sz w:val="20"/>
                <w:szCs w:val="20"/>
              </w:rPr>
              <w:t> </w:t>
            </w:r>
          </w:p>
        </w:tc>
        <w:tc>
          <w:tcPr>
            <w:tcW w:w="666" w:type="dxa"/>
            <w:tcBorders>
              <w:top w:val="nil"/>
              <w:left w:val="nil"/>
              <w:bottom w:val="nil"/>
              <w:right w:val="nil"/>
            </w:tcBorders>
            <w:shd w:val="clear" w:color="000000" w:fill="FFFFFF"/>
            <w:noWrap/>
            <w:vAlign w:val="bottom"/>
            <w:hideMark/>
          </w:tcPr>
          <w:p w14:paraId="7F707EA4" w14:textId="77777777" w:rsidR="001347E1" w:rsidRDefault="001347E1" w:rsidP="006C433E">
            <w:pPr>
              <w:rPr>
                <w:color w:val="000000"/>
                <w:sz w:val="20"/>
                <w:szCs w:val="20"/>
              </w:rPr>
            </w:pPr>
            <w:r>
              <w:rPr>
                <w:color w:val="000000"/>
                <w:sz w:val="20"/>
                <w:szCs w:val="20"/>
              </w:rPr>
              <w:t> </w:t>
            </w:r>
          </w:p>
        </w:tc>
        <w:tc>
          <w:tcPr>
            <w:tcW w:w="3520" w:type="dxa"/>
            <w:tcBorders>
              <w:top w:val="nil"/>
              <w:left w:val="nil"/>
              <w:bottom w:val="nil"/>
              <w:right w:val="nil"/>
            </w:tcBorders>
            <w:shd w:val="clear" w:color="000000" w:fill="FFFFFF"/>
            <w:noWrap/>
            <w:vAlign w:val="bottom"/>
            <w:hideMark/>
          </w:tcPr>
          <w:p w14:paraId="19B74E3F" w14:textId="77777777" w:rsidR="001347E1" w:rsidRDefault="001347E1" w:rsidP="006C433E">
            <w:pPr>
              <w:rPr>
                <w:color w:val="000000"/>
                <w:sz w:val="20"/>
                <w:szCs w:val="20"/>
              </w:rPr>
            </w:pPr>
            <w:r>
              <w:rPr>
                <w:color w:val="000000"/>
                <w:sz w:val="20"/>
                <w:szCs w:val="20"/>
              </w:rPr>
              <w:t>Hispanic</w:t>
            </w:r>
          </w:p>
        </w:tc>
        <w:tc>
          <w:tcPr>
            <w:tcW w:w="1254" w:type="dxa"/>
            <w:tcBorders>
              <w:top w:val="nil"/>
              <w:left w:val="nil"/>
              <w:bottom w:val="nil"/>
              <w:right w:val="nil"/>
            </w:tcBorders>
            <w:shd w:val="clear" w:color="000000" w:fill="FFFFFF"/>
            <w:noWrap/>
            <w:vAlign w:val="bottom"/>
            <w:hideMark/>
          </w:tcPr>
          <w:p w14:paraId="28417352" w14:textId="77777777" w:rsidR="001347E1" w:rsidRDefault="001347E1" w:rsidP="006C433E">
            <w:pPr>
              <w:jc w:val="center"/>
              <w:rPr>
                <w:color w:val="000000"/>
                <w:sz w:val="20"/>
                <w:szCs w:val="20"/>
              </w:rPr>
            </w:pPr>
            <w:r>
              <w:rPr>
                <w:color w:val="000000"/>
                <w:sz w:val="20"/>
                <w:szCs w:val="20"/>
              </w:rPr>
              <w:t>8.5%</w:t>
            </w:r>
          </w:p>
        </w:tc>
        <w:tc>
          <w:tcPr>
            <w:tcW w:w="908" w:type="dxa"/>
            <w:tcBorders>
              <w:top w:val="nil"/>
              <w:left w:val="nil"/>
              <w:bottom w:val="nil"/>
              <w:right w:val="nil"/>
            </w:tcBorders>
            <w:shd w:val="clear" w:color="000000" w:fill="FFFFFF"/>
            <w:noWrap/>
            <w:vAlign w:val="bottom"/>
            <w:hideMark/>
          </w:tcPr>
          <w:p w14:paraId="71F1DF9C" w14:textId="77777777" w:rsidR="001347E1" w:rsidRDefault="001347E1" w:rsidP="006C433E">
            <w:pPr>
              <w:jc w:val="center"/>
              <w:rPr>
                <w:color w:val="000000"/>
                <w:sz w:val="20"/>
                <w:szCs w:val="20"/>
              </w:rPr>
            </w:pPr>
            <w:r>
              <w:rPr>
                <w:color w:val="000000"/>
                <w:sz w:val="20"/>
                <w:szCs w:val="20"/>
              </w:rPr>
              <w:t>13.5%</w:t>
            </w:r>
          </w:p>
        </w:tc>
        <w:tc>
          <w:tcPr>
            <w:tcW w:w="759" w:type="dxa"/>
            <w:tcBorders>
              <w:top w:val="nil"/>
              <w:left w:val="nil"/>
              <w:bottom w:val="nil"/>
              <w:right w:val="nil"/>
            </w:tcBorders>
            <w:shd w:val="clear" w:color="000000" w:fill="FFFFFF"/>
            <w:noWrap/>
            <w:vAlign w:val="bottom"/>
            <w:hideMark/>
          </w:tcPr>
          <w:p w14:paraId="671C672B" w14:textId="77777777" w:rsidR="001347E1" w:rsidRDefault="001347E1" w:rsidP="006C433E">
            <w:pPr>
              <w:jc w:val="center"/>
              <w:rPr>
                <w:color w:val="000000"/>
                <w:sz w:val="20"/>
                <w:szCs w:val="20"/>
              </w:rPr>
            </w:pPr>
            <w:r>
              <w:rPr>
                <w:color w:val="000000"/>
                <w:sz w:val="20"/>
                <w:szCs w:val="20"/>
              </w:rPr>
              <w:t>94.6%</w:t>
            </w:r>
          </w:p>
        </w:tc>
        <w:tc>
          <w:tcPr>
            <w:tcW w:w="953" w:type="dxa"/>
            <w:tcBorders>
              <w:top w:val="nil"/>
              <w:left w:val="nil"/>
              <w:bottom w:val="nil"/>
              <w:right w:val="nil"/>
            </w:tcBorders>
            <w:shd w:val="clear" w:color="000000" w:fill="FFFFFF"/>
            <w:noWrap/>
            <w:vAlign w:val="bottom"/>
            <w:hideMark/>
          </w:tcPr>
          <w:p w14:paraId="47AED46E" w14:textId="77777777" w:rsidR="001347E1" w:rsidRDefault="001347E1" w:rsidP="006C433E">
            <w:pPr>
              <w:jc w:val="center"/>
              <w:rPr>
                <w:color w:val="000000"/>
                <w:sz w:val="20"/>
                <w:szCs w:val="20"/>
              </w:rPr>
            </w:pPr>
            <w:r>
              <w:rPr>
                <w:color w:val="000000"/>
                <w:sz w:val="20"/>
                <w:szCs w:val="20"/>
              </w:rPr>
              <w:t>0.0%</w:t>
            </w:r>
          </w:p>
        </w:tc>
      </w:tr>
      <w:tr w:rsidR="001347E1" w14:paraId="67C4FA74" w14:textId="77777777" w:rsidTr="006C433E">
        <w:trPr>
          <w:trHeight w:val="60"/>
        </w:trPr>
        <w:tc>
          <w:tcPr>
            <w:tcW w:w="672" w:type="dxa"/>
            <w:tcBorders>
              <w:top w:val="nil"/>
              <w:left w:val="nil"/>
              <w:bottom w:val="nil"/>
              <w:right w:val="nil"/>
            </w:tcBorders>
            <w:shd w:val="clear" w:color="000000" w:fill="FFFFFF"/>
            <w:noWrap/>
            <w:vAlign w:val="bottom"/>
            <w:hideMark/>
          </w:tcPr>
          <w:p w14:paraId="58C661C9" w14:textId="77777777" w:rsidR="001347E1" w:rsidRDefault="001347E1" w:rsidP="006C433E">
            <w:pPr>
              <w:rPr>
                <w:color w:val="000000"/>
                <w:sz w:val="20"/>
                <w:szCs w:val="20"/>
              </w:rPr>
            </w:pPr>
            <w:r>
              <w:rPr>
                <w:color w:val="000000"/>
                <w:sz w:val="20"/>
                <w:szCs w:val="20"/>
              </w:rPr>
              <w:t> </w:t>
            </w:r>
          </w:p>
        </w:tc>
        <w:tc>
          <w:tcPr>
            <w:tcW w:w="666" w:type="dxa"/>
            <w:tcBorders>
              <w:top w:val="nil"/>
              <w:left w:val="nil"/>
              <w:bottom w:val="nil"/>
              <w:right w:val="nil"/>
            </w:tcBorders>
            <w:shd w:val="clear" w:color="000000" w:fill="FFFFFF"/>
            <w:noWrap/>
            <w:vAlign w:val="bottom"/>
            <w:hideMark/>
          </w:tcPr>
          <w:p w14:paraId="4DA24D03" w14:textId="77777777" w:rsidR="001347E1" w:rsidRDefault="001347E1" w:rsidP="006C433E">
            <w:pPr>
              <w:rPr>
                <w:i/>
                <w:iCs/>
                <w:color w:val="000000"/>
                <w:sz w:val="20"/>
                <w:szCs w:val="20"/>
              </w:rPr>
            </w:pPr>
            <w:r>
              <w:rPr>
                <w:i/>
                <w:iCs/>
                <w:color w:val="000000"/>
                <w:sz w:val="20"/>
                <w:szCs w:val="20"/>
              </w:rPr>
              <w:t> </w:t>
            </w:r>
          </w:p>
        </w:tc>
        <w:tc>
          <w:tcPr>
            <w:tcW w:w="3520" w:type="dxa"/>
            <w:tcBorders>
              <w:top w:val="nil"/>
              <w:left w:val="nil"/>
              <w:bottom w:val="nil"/>
              <w:right w:val="nil"/>
            </w:tcBorders>
            <w:shd w:val="clear" w:color="000000" w:fill="FFFFFF"/>
            <w:noWrap/>
            <w:vAlign w:val="bottom"/>
            <w:hideMark/>
          </w:tcPr>
          <w:p w14:paraId="667142A1" w14:textId="77777777" w:rsidR="001347E1" w:rsidRDefault="001347E1" w:rsidP="006C433E">
            <w:pPr>
              <w:rPr>
                <w:color w:val="000000"/>
                <w:sz w:val="20"/>
                <w:szCs w:val="20"/>
              </w:rPr>
            </w:pPr>
            <w:r>
              <w:rPr>
                <w:color w:val="000000"/>
                <w:sz w:val="20"/>
                <w:szCs w:val="20"/>
              </w:rPr>
              <w:t> </w:t>
            </w:r>
          </w:p>
        </w:tc>
        <w:tc>
          <w:tcPr>
            <w:tcW w:w="1254" w:type="dxa"/>
            <w:tcBorders>
              <w:top w:val="nil"/>
              <w:left w:val="nil"/>
              <w:bottom w:val="nil"/>
              <w:right w:val="nil"/>
            </w:tcBorders>
            <w:shd w:val="clear" w:color="000000" w:fill="FFFFFF"/>
            <w:noWrap/>
            <w:vAlign w:val="bottom"/>
            <w:hideMark/>
          </w:tcPr>
          <w:p w14:paraId="221612D3" w14:textId="77777777" w:rsidR="001347E1" w:rsidRDefault="001347E1" w:rsidP="006C433E">
            <w:pPr>
              <w:jc w:val="center"/>
              <w:rPr>
                <w:color w:val="000000"/>
                <w:sz w:val="20"/>
                <w:szCs w:val="20"/>
              </w:rPr>
            </w:pPr>
            <w:r>
              <w:rPr>
                <w:color w:val="000000"/>
                <w:sz w:val="20"/>
                <w:szCs w:val="20"/>
              </w:rPr>
              <w:t> </w:t>
            </w:r>
          </w:p>
        </w:tc>
        <w:tc>
          <w:tcPr>
            <w:tcW w:w="908" w:type="dxa"/>
            <w:tcBorders>
              <w:top w:val="nil"/>
              <w:left w:val="nil"/>
              <w:bottom w:val="nil"/>
              <w:right w:val="nil"/>
            </w:tcBorders>
            <w:shd w:val="clear" w:color="000000" w:fill="FFFFFF"/>
            <w:noWrap/>
            <w:vAlign w:val="bottom"/>
            <w:hideMark/>
          </w:tcPr>
          <w:p w14:paraId="43DCF78D"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0F11C055"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370C23C4" w14:textId="77777777" w:rsidR="001347E1" w:rsidRDefault="001347E1" w:rsidP="006C433E">
            <w:pPr>
              <w:jc w:val="center"/>
              <w:rPr>
                <w:color w:val="000000"/>
                <w:sz w:val="20"/>
                <w:szCs w:val="20"/>
              </w:rPr>
            </w:pPr>
            <w:r>
              <w:rPr>
                <w:color w:val="000000"/>
                <w:sz w:val="20"/>
                <w:szCs w:val="20"/>
              </w:rPr>
              <w:t> </w:t>
            </w:r>
          </w:p>
        </w:tc>
      </w:tr>
      <w:tr w:rsidR="001347E1" w14:paraId="2D2E279F" w14:textId="77777777" w:rsidTr="006C433E">
        <w:trPr>
          <w:trHeight w:val="255"/>
        </w:trPr>
        <w:tc>
          <w:tcPr>
            <w:tcW w:w="672" w:type="dxa"/>
            <w:tcBorders>
              <w:top w:val="nil"/>
              <w:left w:val="nil"/>
              <w:bottom w:val="nil"/>
              <w:right w:val="nil"/>
            </w:tcBorders>
            <w:shd w:val="clear" w:color="000000" w:fill="FFFFFF"/>
            <w:noWrap/>
            <w:vAlign w:val="bottom"/>
            <w:hideMark/>
          </w:tcPr>
          <w:p w14:paraId="0AC935B2" w14:textId="77777777" w:rsidR="001347E1" w:rsidRDefault="001347E1" w:rsidP="006C433E">
            <w:pPr>
              <w:rPr>
                <w:color w:val="000000"/>
                <w:sz w:val="20"/>
                <w:szCs w:val="20"/>
              </w:rPr>
            </w:pPr>
            <w:r>
              <w:rPr>
                <w:color w:val="000000"/>
                <w:sz w:val="20"/>
                <w:szCs w:val="20"/>
              </w:rPr>
              <w:t> </w:t>
            </w:r>
          </w:p>
        </w:tc>
        <w:tc>
          <w:tcPr>
            <w:tcW w:w="4186" w:type="dxa"/>
            <w:gridSpan w:val="2"/>
            <w:tcBorders>
              <w:top w:val="nil"/>
              <w:left w:val="nil"/>
              <w:bottom w:val="nil"/>
              <w:right w:val="nil"/>
            </w:tcBorders>
            <w:shd w:val="clear" w:color="000000" w:fill="FFFFFF"/>
            <w:noWrap/>
            <w:vAlign w:val="bottom"/>
            <w:hideMark/>
          </w:tcPr>
          <w:p w14:paraId="641DA350" w14:textId="77777777" w:rsidR="001347E1" w:rsidRDefault="001347E1" w:rsidP="006C433E">
            <w:pPr>
              <w:rPr>
                <w:color w:val="000000"/>
                <w:sz w:val="20"/>
                <w:szCs w:val="20"/>
              </w:rPr>
            </w:pPr>
            <w:r>
              <w:rPr>
                <w:color w:val="000000"/>
                <w:sz w:val="20"/>
                <w:szCs w:val="20"/>
              </w:rPr>
              <w:t>Gender</w:t>
            </w:r>
          </w:p>
        </w:tc>
        <w:tc>
          <w:tcPr>
            <w:tcW w:w="1254" w:type="dxa"/>
            <w:tcBorders>
              <w:top w:val="nil"/>
              <w:left w:val="nil"/>
              <w:bottom w:val="nil"/>
              <w:right w:val="nil"/>
            </w:tcBorders>
            <w:shd w:val="clear" w:color="000000" w:fill="FFFFFF"/>
            <w:noWrap/>
            <w:vAlign w:val="bottom"/>
            <w:hideMark/>
          </w:tcPr>
          <w:p w14:paraId="600F0FFF" w14:textId="77777777" w:rsidR="001347E1" w:rsidRDefault="001347E1" w:rsidP="006C433E">
            <w:pPr>
              <w:jc w:val="center"/>
              <w:rPr>
                <w:color w:val="000000"/>
                <w:sz w:val="20"/>
                <w:szCs w:val="20"/>
              </w:rPr>
            </w:pPr>
            <w:r>
              <w:rPr>
                <w:color w:val="000000"/>
                <w:sz w:val="20"/>
                <w:szCs w:val="20"/>
              </w:rPr>
              <w:t> </w:t>
            </w:r>
          </w:p>
        </w:tc>
        <w:tc>
          <w:tcPr>
            <w:tcW w:w="908" w:type="dxa"/>
            <w:tcBorders>
              <w:top w:val="nil"/>
              <w:left w:val="nil"/>
              <w:bottom w:val="nil"/>
              <w:right w:val="nil"/>
            </w:tcBorders>
            <w:shd w:val="clear" w:color="000000" w:fill="FFFFFF"/>
            <w:noWrap/>
            <w:vAlign w:val="bottom"/>
            <w:hideMark/>
          </w:tcPr>
          <w:p w14:paraId="3CE5A4F8"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50F6972F"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1F12BECB" w14:textId="77777777" w:rsidR="001347E1" w:rsidRDefault="001347E1" w:rsidP="006C433E">
            <w:pPr>
              <w:jc w:val="center"/>
              <w:rPr>
                <w:color w:val="000000"/>
                <w:sz w:val="20"/>
                <w:szCs w:val="20"/>
              </w:rPr>
            </w:pPr>
            <w:r>
              <w:rPr>
                <w:color w:val="000000"/>
                <w:sz w:val="20"/>
                <w:szCs w:val="20"/>
              </w:rPr>
              <w:t> </w:t>
            </w:r>
          </w:p>
        </w:tc>
      </w:tr>
      <w:tr w:rsidR="001347E1" w14:paraId="2AE5FECE" w14:textId="77777777" w:rsidTr="006C433E">
        <w:trPr>
          <w:trHeight w:val="255"/>
        </w:trPr>
        <w:tc>
          <w:tcPr>
            <w:tcW w:w="672" w:type="dxa"/>
            <w:tcBorders>
              <w:top w:val="nil"/>
              <w:left w:val="nil"/>
              <w:bottom w:val="nil"/>
              <w:right w:val="nil"/>
            </w:tcBorders>
            <w:shd w:val="clear" w:color="000000" w:fill="FFFFFF"/>
            <w:noWrap/>
            <w:vAlign w:val="bottom"/>
            <w:hideMark/>
          </w:tcPr>
          <w:p w14:paraId="5EB2C93D" w14:textId="77777777" w:rsidR="001347E1" w:rsidRDefault="001347E1" w:rsidP="006C433E">
            <w:pPr>
              <w:ind w:firstLineChars="200" w:firstLine="400"/>
              <w:rPr>
                <w:color w:val="000000"/>
                <w:sz w:val="20"/>
                <w:szCs w:val="20"/>
              </w:rPr>
            </w:pPr>
            <w:r>
              <w:rPr>
                <w:color w:val="000000"/>
                <w:sz w:val="20"/>
                <w:szCs w:val="20"/>
              </w:rPr>
              <w:t> </w:t>
            </w:r>
          </w:p>
        </w:tc>
        <w:tc>
          <w:tcPr>
            <w:tcW w:w="666" w:type="dxa"/>
            <w:tcBorders>
              <w:top w:val="nil"/>
              <w:left w:val="nil"/>
              <w:bottom w:val="nil"/>
              <w:right w:val="nil"/>
            </w:tcBorders>
            <w:shd w:val="clear" w:color="000000" w:fill="FFFFFF"/>
            <w:noWrap/>
            <w:vAlign w:val="bottom"/>
            <w:hideMark/>
          </w:tcPr>
          <w:p w14:paraId="0BDF1822" w14:textId="77777777" w:rsidR="001347E1" w:rsidRDefault="001347E1" w:rsidP="006C433E">
            <w:pPr>
              <w:ind w:firstLineChars="200" w:firstLine="400"/>
              <w:rPr>
                <w:color w:val="000000"/>
                <w:sz w:val="20"/>
                <w:szCs w:val="20"/>
              </w:rPr>
            </w:pPr>
            <w:r>
              <w:rPr>
                <w:color w:val="000000"/>
                <w:sz w:val="20"/>
                <w:szCs w:val="20"/>
              </w:rPr>
              <w:t> </w:t>
            </w:r>
          </w:p>
        </w:tc>
        <w:tc>
          <w:tcPr>
            <w:tcW w:w="3520" w:type="dxa"/>
            <w:tcBorders>
              <w:top w:val="nil"/>
              <w:left w:val="nil"/>
              <w:bottom w:val="nil"/>
              <w:right w:val="nil"/>
            </w:tcBorders>
            <w:shd w:val="clear" w:color="000000" w:fill="FFFFFF"/>
            <w:noWrap/>
            <w:vAlign w:val="bottom"/>
            <w:hideMark/>
          </w:tcPr>
          <w:p w14:paraId="08AD8435" w14:textId="77777777" w:rsidR="001347E1" w:rsidRDefault="001347E1" w:rsidP="006C433E">
            <w:pPr>
              <w:rPr>
                <w:color w:val="000000"/>
                <w:sz w:val="20"/>
                <w:szCs w:val="20"/>
              </w:rPr>
            </w:pPr>
            <w:r>
              <w:rPr>
                <w:color w:val="000000"/>
                <w:sz w:val="20"/>
                <w:szCs w:val="20"/>
              </w:rPr>
              <w:t>Female</w:t>
            </w:r>
          </w:p>
        </w:tc>
        <w:tc>
          <w:tcPr>
            <w:tcW w:w="1254" w:type="dxa"/>
            <w:tcBorders>
              <w:top w:val="nil"/>
              <w:left w:val="nil"/>
              <w:bottom w:val="nil"/>
              <w:right w:val="nil"/>
            </w:tcBorders>
            <w:shd w:val="clear" w:color="000000" w:fill="FFFFFF"/>
            <w:noWrap/>
            <w:vAlign w:val="bottom"/>
            <w:hideMark/>
          </w:tcPr>
          <w:p w14:paraId="03B58D0B" w14:textId="77777777" w:rsidR="001347E1" w:rsidRDefault="001347E1" w:rsidP="006C433E">
            <w:pPr>
              <w:jc w:val="center"/>
              <w:rPr>
                <w:color w:val="000000"/>
                <w:sz w:val="20"/>
                <w:szCs w:val="20"/>
              </w:rPr>
            </w:pPr>
            <w:r>
              <w:rPr>
                <w:color w:val="000000"/>
                <w:sz w:val="20"/>
                <w:szCs w:val="20"/>
              </w:rPr>
              <w:t>53.9%</w:t>
            </w:r>
          </w:p>
        </w:tc>
        <w:tc>
          <w:tcPr>
            <w:tcW w:w="908" w:type="dxa"/>
            <w:tcBorders>
              <w:top w:val="nil"/>
              <w:left w:val="nil"/>
              <w:bottom w:val="nil"/>
              <w:right w:val="nil"/>
            </w:tcBorders>
            <w:shd w:val="clear" w:color="000000" w:fill="FFFFFF"/>
            <w:noWrap/>
            <w:vAlign w:val="bottom"/>
            <w:hideMark/>
          </w:tcPr>
          <w:p w14:paraId="66F0A3C7" w14:textId="77777777" w:rsidR="001347E1" w:rsidRDefault="001347E1" w:rsidP="006C433E">
            <w:pPr>
              <w:jc w:val="center"/>
              <w:rPr>
                <w:color w:val="000000"/>
                <w:sz w:val="20"/>
                <w:szCs w:val="20"/>
              </w:rPr>
            </w:pPr>
            <w:r>
              <w:rPr>
                <w:color w:val="000000"/>
                <w:sz w:val="20"/>
                <w:szCs w:val="20"/>
              </w:rPr>
              <w:t>9.9%</w:t>
            </w:r>
          </w:p>
        </w:tc>
        <w:tc>
          <w:tcPr>
            <w:tcW w:w="759" w:type="dxa"/>
            <w:tcBorders>
              <w:top w:val="nil"/>
              <w:left w:val="nil"/>
              <w:bottom w:val="nil"/>
              <w:right w:val="nil"/>
            </w:tcBorders>
            <w:shd w:val="clear" w:color="000000" w:fill="FFFFFF"/>
            <w:noWrap/>
            <w:vAlign w:val="bottom"/>
            <w:hideMark/>
          </w:tcPr>
          <w:p w14:paraId="38C7FFC1" w14:textId="77777777" w:rsidR="001347E1" w:rsidRDefault="001347E1" w:rsidP="006C433E">
            <w:pPr>
              <w:jc w:val="center"/>
              <w:rPr>
                <w:color w:val="000000"/>
                <w:sz w:val="20"/>
                <w:szCs w:val="20"/>
              </w:rPr>
            </w:pPr>
            <w:r>
              <w:rPr>
                <w:color w:val="000000"/>
                <w:sz w:val="20"/>
                <w:szCs w:val="20"/>
              </w:rPr>
              <w:t>94.5%</w:t>
            </w:r>
          </w:p>
        </w:tc>
        <w:tc>
          <w:tcPr>
            <w:tcW w:w="953" w:type="dxa"/>
            <w:tcBorders>
              <w:top w:val="nil"/>
              <w:left w:val="nil"/>
              <w:bottom w:val="nil"/>
              <w:right w:val="nil"/>
            </w:tcBorders>
            <w:shd w:val="clear" w:color="000000" w:fill="FFFFFF"/>
            <w:noWrap/>
            <w:vAlign w:val="bottom"/>
            <w:hideMark/>
          </w:tcPr>
          <w:p w14:paraId="6BAB6F9E" w14:textId="77777777" w:rsidR="001347E1" w:rsidRDefault="001347E1" w:rsidP="006C433E">
            <w:pPr>
              <w:jc w:val="center"/>
              <w:rPr>
                <w:color w:val="000000"/>
                <w:sz w:val="20"/>
                <w:szCs w:val="20"/>
              </w:rPr>
            </w:pPr>
            <w:r>
              <w:rPr>
                <w:color w:val="000000"/>
                <w:sz w:val="20"/>
                <w:szCs w:val="20"/>
              </w:rPr>
              <w:t>6.1%</w:t>
            </w:r>
          </w:p>
        </w:tc>
      </w:tr>
      <w:tr w:rsidR="001347E1" w14:paraId="5DB80E92" w14:textId="77777777" w:rsidTr="006C433E">
        <w:trPr>
          <w:trHeight w:val="255"/>
        </w:trPr>
        <w:tc>
          <w:tcPr>
            <w:tcW w:w="672" w:type="dxa"/>
            <w:tcBorders>
              <w:top w:val="nil"/>
              <w:left w:val="nil"/>
              <w:bottom w:val="nil"/>
              <w:right w:val="nil"/>
            </w:tcBorders>
            <w:shd w:val="clear" w:color="000000" w:fill="FFFFFF"/>
            <w:noWrap/>
            <w:vAlign w:val="bottom"/>
            <w:hideMark/>
          </w:tcPr>
          <w:p w14:paraId="546CE8CC" w14:textId="77777777" w:rsidR="001347E1" w:rsidRDefault="001347E1" w:rsidP="006C433E">
            <w:pPr>
              <w:ind w:firstLineChars="200" w:firstLine="400"/>
              <w:rPr>
                <w:color w:val="000000"/>
                <w:sz w:val="20"/>
                <w:szCs w:val="20"/>
              </w:rPr>
            </w:pPr>
            <w:r>
              <w:rPr>
                <w:color w:val="000000"/>
                <w:sz w:val="20"/>
                <w:szCs w:val="20"/>
              </w:rPr>
              <w:t> </w:t>
            </w:r>
          </w:p>
        </w:tc>
        <w:tc>
          <w:tcPr>
            <w:tcW w:w="666" w:type="dxa"/>
            <w:tcBorders>
              <w:top w:val="nil"/>
              <w:left w:val="nil"/>
              <w:bottom w:val="nil"/>
              <w:right w:val="nil"/>
            </w:tcBorders>
            <w:shd w:val="clear" w:color="000000" w:fill="FFFFFF"/>
            <w:noWrap/>
            <w:vAlign w:val="bottom"/>
            <w:hideMark/>
          </w:tcPr>
          <w:p w14:paraId="712BAA48" w14:textId="77777777" w:rsidR="001347E1" w:rsidRDefault="001347E1" w:rsidP="006C433E">
            <w:pPr>
              <w:ind w:firstLineChars="200" w:firstLine="400"/>
              <w:rPr>
                <w:color w:val="000000"/>
                <w:sz w:val="20"/>
                <w:szCs w:val="20"/>
              </w:rPr>
            </w:pPr>
            <w:r>
              <w:rPr>
                <w:color w:val="000000"/>
                <w:sz w:val="20"/>
                <w:szCs w:val="20"/>
              </w:rPr>
              <w:t> </w:t>
            </w:r>
          </w:p>
        </w:tc>
        <w:tc>
          <w:tcPr>
            <w:tcW w:w="3520" w:type="dxa"/>
            <w:tcBorders>
              <w:top w:val="nil"/>
              <w:left w:val="nil"/>
              <w:bottom w:val="nil"/>
              <w:right w:val="nil"/>
            </w:tcBorders>
            <w:shd w:val="clear" w:color="000000" w:fill="FFFFFF"/>
            <w:noWrap/>
            <w:vAlign w:val="bottom"/>
            <w:hideMark/>
          </w:tcPr>
          <w:p w14:paraId="333073A2" w14:textId="77777777" w:rsidR="001347E1" w:rsidRDefault="001347E1" w:rsidP="006C433E">
            <w:pPr>
              <w:rPr>
                <w:color w:val="000000"/>
                <w:sz w:val="20"/>
                <w:szCs w:val="20"/>
              </w:rPr>
            </w:pPr>
            <w:r>
              <w:rPr>
                <w:color w:val="000000"/>
                <w:sz w:val="20"/>
                <w:szCs w:val="20"/>
              </w:rPr>
              <w:t>Male</w:t>
            </w:r>
          </w:p>
        </w:tc>
        <w:tc>
          <w:tcPr>
            <w:tcW w:w="1254" w:type="dxa"/>
            <w:tcBorders>
              <w:top w:val="nil"/>
              <w:left w:val="nil"/>
              <w:bottom w:val="nil"/>
              <w:right w:val="nil"/>
            </w:tcBorders>
            <w:shd w:val="clear" w:color="000000" w:fill="FFFFFF"/>
            <w:noWrap/>
            <w:vAlign w:val="bottom"/>
            <w:hideMark/>
          </w:tcPr>
          <w:p w14:paraId="64D0E1D8" w14:textId="77777777" w:rsidR="001347E1" w:rsidRDefault="001347E1" w:rsidP="006C433E">
            <w:pPr>
              <w:jc w:val="center"/>
              <w:rPr>
                <w:color w:val="000000"/>
                <w:sz w:val="20"/>
                <w:szCs w:val="20"/>
              </w:rPr>
            </w:pPr>
            <w:r>
              <w:rPr>
                <w:color w:val="000000"/>
                <w:sz w:val="20"/>
                <w:szCs w:val="20"/>
              </w:rPr>
              <w:t>46.1%</w:t>
            </w:r>
          </w:p>
        </w:tc>
        <w:tc>
          <w:tcPr>
            <w:tcW w:w="908" w:type="dxa"/>
            <w:tcBorders>
              <w:top w:val="nil"/>
              <w:left w:val="nil"/>
              <w:bottom w:val="nil"/>
              <w:right w:val="nil"/>
            </w:tcBorders>
            <w:shd w:val="clear" w:color="000000" w:fill="FFFFFF"/>
            <w:noWrap/>
            <w:vAlign w:val="bottom"/>
            <w:hideMark/>
          </w:tcPr>
          <w:p w14:paraId="3C750D10" w14:textId="77777777" w:rsidR="001347E1" w:rsidRDefault="001347E1" w:rsidP="006C433E">
            <w:pPr>
              <w:jc w:val="center"/>
              <w:rPr>
                <w:color w:val="000000"/>
                <w:sz w:val="20"/>
                <w:szCs w:val="20"/>
              </w:rPr>
            </w:pPr>
            <w:r>
              <w:rPr>
                <w:color w:val="000000"/>
                <w:sz w:val="20"/>
                <w:szCs w:val="20"/>
              </w:rPr>
              <w:t>9.9%</w:t>
            </w:r>
          </w:p>
        </w:tc>
        <w:tc>
          <w:tcPr>
            <w:tcW w:w="759" w:type="dxa"/>
            <w:tcBorders>
              <w:top w:val="nil"/>
              <w:left w:val="nil"/>
              <w:bottom w:val="nil"/>
              <w:right w:val="nil"/>
            </w:tcBorders>
            <w:shd w:val="clear" w:color="000000" w:fill="FFFFFF"/>
            <w:noWrap/>
            <w:vAlign w:val="bottom"/>
            <w:hideMark/>
          </w:tcPr>
          <w:p w14:paraId="7182E05F" w14:textId="77777777" w:rsidR="001347E1" w:rsidRDefault="001347E1" w:rsidP="006C433E">
            <w:pPr>
              <w:jc w:val="center"/>
              <w:rPr>
                <w:color w:val="000000"/>
                <w:sz w:val="20"/>
                <w:szCs w:val="20"/>
              </w:rPr>
            </w:pPr>
            <w:r>
              <w:rPr>
                <w:color w:val="000000"/>
                <w:sz w:val="20"/>
                <w:szCs w:val="20"/>
              </w:rPr>
              <w:t>93.9%</w:t>
            </w:r>
          </w:p>
        </w:tc>
        <w:tc>
          <w:tcPr>
            <w:tcW w:w="953" w:type="dxa"/>
            <w:tcBorders>
              <w:top w:val="nil"/>
              <w:left w:val="nil"/>
              <w:bottom w:val="nil"/>
              <w:right w:val="nil"/>
            </w:tcBorders>
            <w:shd w:val="clear" w:color="000000" w:fill="FFFFFF"/>
            <w:noWrap/>
            <w:vAlign w:val="bottom"/>
            <w:hideMark/>
          </w:tcPr>
          <w:p w14:paraId="44E69A3E" w14:textId="77777777" w:rsidR="001347E1" w:rsidRDefault="001347E1" w:rsidP="006C433E">
            <w:pPr>
              <w:jc w:val="center"/>
              <w:rPr>
                <w:color w:val="000000"/>
                <w:sz w:val="20"/>
                <w:szCs w:val="20"/>
              </w:rPr>
            </w:pPr>
            <w:r>
              <w:rPr>
                <w:color w:val="000000"/>
                <w:sz w:val="20"/>
                <w:szCs w:val="20"/>
              </w:rPr>
              <w:t>5.5%</w:t>
            </w:r>
          </w:p>
        </w:tc>
      </w:tr>
      <w:tr w:rsidR="001347E1" w14:paraId="1DAD34D9" w14:textId="77777777" w:rsidTr="006C433E">
        <w:trPr>
          <w:trHeight w:val="60"/>
        </w:trPr>
        <w:tc>
          <w:tcPr>
            <w:tcW w:w="672" w:type="dxa"/>
            <w:tcBorders>
              <w:top w:val="nil"/>
              <w:left w:val="nil"/>
              <w:bottom w:val="nil"/>
              <w:right w:val="nil"/>
            </w:tcBorders>
            <w:shd w:val="clear" w:color="000000" w:fill="FFFFFF"/>
            <w:noWrap/>
            <w:vAlign w:val="bottom"/>
            <w:hideMark/>
          </w:tcPr>
          <w:p w14:paraId="7913CCE7" w14:textId="77777777" w:rsidR="001347E1" w:rsidRDefault="001347E1" w:rsidP="006C433E">
            <w:pPr>
              <w:rPr>
                <w:i/>
                <w:iCs/>
                <w:color w:val="000000"/>
                <w:sz w:val="20"/>
                <w:szCs w:val="20"/>
              </w:rPr>
            </w:pPr>
            <w:r>
              <w:rPr>
                <w:i/>
                <w:iCs/>
                <w:color w:val="000000"/>
                <w:sz w:val="20"/>
                <w:szCs w:val="20"/>
              </w:rPr>
              <w:t> </w:t>
            </w:r>
          </w:p>
        </w:tc>
        <w:tc>
          <w:tcPr>
            <w:tcW w:w="666" w:type="dxa"/>
            <w:tcBorders>
              <w:top w:val="nil"/>
              <w:left w:val="nil"/>
              <w:bottom w:val="nil"/>
              <w:right w:val="nil"/>
            </w:tcBorders>
            <w:shd w:val="clear" w:color="000000" w:fill="FFFFFF"/>
            <w:noWrap/>
            <w:vAlign w:val="bottom"/>
            <w:hideMark/>
          </w:tcPr>
          <w:p w14:paraId="07A8C045" w14:textId="77777777" w:rsidR="001347E1" w:rsidRDefault="001347E1" w:rsidP="006C433E">
            <w:pPr>
              <w:rPr>
                <w:i/>
                <w:iCs/>
                <w:color w:val="000000"/>
                <w:sz w:val="20"/>
                <w:szCs w:val="20"/>
              </w:rPr>
            </w:pPr>
            <w:r>
              <w:rPr>
                <w:i/>
                <w:iCs/>
                <w:color w:val="000000"/>
                <w:sz w:val="20"/>
                <w:szCs w:val="20"/>
              </w:rPr>
              <w:t> </w:t>
            </w:r>
          </w:p>
        </w:tc>
        <w:tc>
          <w:tcPr>
            <w:tcW w:w="3520" w:type="dxa"/>
            <w:tcBorders>
              <w:top w:val="nil"/>
              <w:left w:val="nil"/>
              <w:bottom w:val="nil"/>
              <w:right w:val="nil"/>
            </w:tcBorders>
            <w:shd w:val="clear" w:color="000000" w:fill="FFFFFF"/>
            <w:noWrap/>
            <w:vAlign w:val="bottom"/>
            <w:hideMark/>
          </w:tcPr>
          <w:p w14:paraId="6FE4BE67" w14:textId="77777777" w:rsidR="001347E1" w:rsidRDefault="001347E1" w:rsidP="006C433E">
            <w:pPr>
              <w:rPr>
                <w:color w:val="000000"/>
                <w:sz w:val="20"/>
                <w:szCs w:val="20"/>
              </w:rPr>
            </w:pPr>
            <w:r>
              <w:rPr>
                <w:color w:val="000000"/>
                <w:sz w:val="20"/>
                <w:szCs w:val="20"/>
              </w:rPr>
              <w:t> </w:t>
            </w:r>
          </w:p>
        </w:tc>
        <w:tc>
          <w:tcPr>
            <w:tcW w:w="1254" w:type="dxa"/>
            <w:tcBorders>
              <w:top w:val="nil"/>
              <w:left w:val="nil"/>
              <w:bottom w:val="nil"/>
              <w:right w:val="nil"/>
            </w:tcBorders>
            <w:shd w:val="clear" w:color="000000" w:fill="FFFFFF"/>
            <w:noWrap/>
            <w:vAlign w:val="bottom"/>
            <w:hideMark/>
          </w:tcPr>
          <w:p w14:paraId="35695D1F" w14:textId="77777777" w:rsidR="001347E1" w:rsidRDefault="001347E1" w:rsidP="006C433E">
            <w:pPr>
              <w:jc w:val="center"/>
              <w:rPr>
                <w:color w:val="000000"/>
                <w:sz w:val="20"/>
                <w:szCs w:val="20"/>
              </w:rPr>
            </w:pPr>
            <w:r>
              <w:rPr>
                <w:color w:val="000000"/>
                <w:sz w:val="20"/>
                <w:szCs w:val="20"/>
              </w:rPr>
              <w:t> </w:t>
            </w:r>
          </w:p>
        </w:tc>
        <w:tc>
          <w:tcPr>
            <w:tcW w:w="908" w:type="dxa"/>
            <w:tcBorders>
              <w:top w:val="nil"/>
              <w:left w:val="nil"/>
              <w:bottom w:val="nil"/>
              <w:right w:val="nil"/>
            </w:tcBorders>
            <w:shd w:val="clear" w:color="000000" w:fill="FFFFFF"/>
            <w:noWrap/>
            <w:vAlign w:val="bottom"/>
            <w:hideMark/>
          </w:tcPr>
          <w:p w14:paraId="262630BA"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22280778"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74B34D66" w14:textId="77777777" w:rsidR="001347E1" w:rsidRDefault="001347E1" w:rsidP="006C433E">
            <w:pPr>
              <w:jc w:val="center"/>
              <w:rPr>
                <w:color w:val="000000"/>
                <w:sz w:val="20"/>
                <w:szCs w:val="20"/>
              </w:rPr>
            </w:pPr>
            <w:r>
              <w:rPr>
                <w:color w:val="000000"/>
                <w:sz w:val="20"/>
                <w:szCs w:val="20"/>
              </w:rPr>
              <w:t> </w:t>
            </w:r>
          </w:p>
        </w:tc>
      </w:tr>
      <w:tr w:rsidR="001347E1" w14:paraId="77A31195" w14:textId="77777777" w:rsidTr="006C433E">
        <w:trPr>
          <w:trHeight w:val="255"/>
        </w:trPr>
        <w:tc>
          <w:tcPr>
            <w:tcW w:w="672" w:type="dxa"/>
            <w:tcBorders>
              <w:top w:val="nil"/>
              <w:left w:val="nil"/>
              <w:bottom w:val="nil"/>
              <w:right w:val="nil"/>
            </w:tcBorders>
            <w:shd w:val="clear" w:color="000000" w:fill="FFFFFF"/>
            <w:noWrap/>
            <w:vAlign w:val="bottom"/>
            <w:hideMark/>
          </w:tcPr>
          <w:p w14:paraId="18D126CD" w14:textId="77777777" w:rsidR="001347E1" w:rsidRDefault="001347E1" w:rsidP="006C433E">
            <w:pPr>
              <w:rPr>
                <w:color w:val="000000"/>
                <w:sz w:val="20"/>
                <w:szCs w:val="20"/>
              </w:rPr>
            </w:pPr>
            <w:r>
              <w:rPr>
                <w:color w:val="000000"/>
                <w:sz w:val="20"/>
                <w:szCs w:val="20"/>
              </w:rPr>
              <w:t> </w:t>
            </w:r>
          </w:p>
        </w:tc>
        <w:tc>
          <w:tcPr>
            <w:tcW w:w="4186" w:type="dxa"/>
            <w:gridSpan w:val="2"/>
            <w:tcBorders>
              <w:top w:val="nil"/>
              <w:left w:val="nil"/>
              <w:bottom w:val="nil"/>
              <w:right w:val="nil"/>
            </w:tcBorders>
            <w:shd w:val="clear" w:color="000000" w:fill="FFFFFF"/>
            <w:noWrap/>
            <w:vAlign w:val="bottom"/>
            <w:hideMark/>
          </w:tcPr>
          <w:p w14:paraId="2ACA4244" w14:textId="77777777" w:rsidR="001347E1" w:rsidRDefault="001347E1" w:rsidP="006C433E">
            <w:pPr>
              <w:rPr>
                <w:color w:val="000000"/>
                <w:sz w:val="20"/>
                <w:szCs w:val="20"/>
              </w:rPr>
            </w:pPr>
            <w:r>
              <w:rPr>
                <w:color w:val="000000"/>
                <w:sz w:val="20"/>
                <w:szCs w:val="20"/>
              </w:rPr>
              <w:t>ACT 25th percentile score</w:t>
            </w:r>
          </w:p>
        </w:tc>
        <w:tc>
          <w:tcPr>
            <w:tcW w:w="1254" w:type="dxa"/>
            <w:tcBorders>
              <w:top w:val="nil"/>
              <w:left w:val="nil"/>
              <w:bottom w:val="nil"/>
              <w:right w:val="nil"/>
            </w:tcBorders>
            <w:shd w:val="clear" w:color="000000" w:fill="FFFFFF"/>
            <w:noWrap/>
            <w:vAlign w:val="bottom"/>
            <w:hideMark/>
          </w:tcPr>
          <w:p w14:paraId="2C5D0298" w14:textId="77777777" w:rsidR="001347E1" w:rsidRDefault="001347E1" w:rsidP="006C433E">
            <w:pPr>
              <w:jc w:val="center"/>
              <w:rPr>
                <w:color w:val="000000"/>
                <w:sz w:val="20"/>
                <w:szCs w:val="20"/>
              </w:rPr>
            </w:pPr>
            <w:r>
              <w:rPr>
                <w:color w:val="000000"/>
                <w:sz w:val="20"/>
                <w:szCs w:val="20"/>
              </w:rPr>
              <w:t>19</w:t>
            </w:r>
          </w:p>
        </w:tc>
        <w:tc>
          <w:tcPr>
            <w:tcW w:w="908" w:type="dxa"/>
            <w:tcBorders>
              <w:top w:val="nil"/>
              <w:left w:val="nil"/>
              <w:bottom w:val="nil"/>
              <w:right w:val="nil"/>
            </w:tcBorders>
            <w:shd w:val="clear" w:color="000000" w:fill="FFFFFF"/>
            <w:noWrap/>
            <w:vAlign w:val="bottom"/>
            <w:hideMark/>
          </w:tcPr>
          <w:p w14:paraId="07395D89" w14:textId="77777777" w:rsidR="001347E1" w:rsidRDefault="001347E1" w:rsidP="006C433E">
            <w:pPr>
              <w:jc w:val="center"/>
              <w:rPr>
                <w:color w:val="000000"/>
                <w:sz w:val="20"/>
                <w:szCs w:val="20"/>
              </w:rPr>
            </w:pPr>
            <w:r>
              <w:rPr>
                <w:color w:val="000000"/>
                <w:sz w:val="20"/>
                <w:szCs w:val="20"/>
              </w:rPr>
              <w:t>2.6</w:t>
            </w:r>
          </w:p>
        </w:tc>
        <w:tc>
          <w:tcPr>
            <w:tcW w:w="759" w:type="dxa"/>
            <w:tcBorders>
              <w:top w:val="nil"/>
              <w:left w:val="nil"/>
              <w:bottom w:val="nil"/>
              <w:right w:val="nil"/>
            </w:tcBorders>
            <w:shd w:val="clear" w:color="000000" w:fill="FFFFFF"/>
            <w:noWrap/>
            <w:vAlign w:val="bottom"/>
            <w:hideMark/>
          </w:tcPr>
          <w:p w14:paraId="3EC5FBDB" w14:textId="77777777" w:rsidR="001347E1" w:rsidRDefault="001347E1" w:rsidP="006C433E">
            <w:pPr>
              <w:jc w:val="center"/>
              <w:rPr>
                <w:color w:val="000000"/>
                <w:sz w:val="20"/>
                <w:szCs w:val="20"/>
              </w:rPr>
            </w:pPr>
            <w:r>
              <w:rPr>
                <w:color w:val="000000"/>
                <w:sz w:val="20"/>
                <w:szCs w:val="20"/>
              </w:rPr>
              <w:t>28</w:t>
            </w:r>
          </w:p>
        </w:tc>
        <w:tc>
          <w:tcPr>
            <w:tcW w:w="953" w:type="dxa"/>
            <w:tcBorders>
              <w:top w:val="nil"/>
              <w:left w:val="nil"/>
              <w:bottom w:val="nil"/>
              <w:right w:val="nil"/>
            </w:tcBorders>
            <w:shd w:val="clear" w:color="000000" w:fill="FFFFFF"/>
            <w:noWrap/>
            <w:vAlign w:val="bottom"/>
            <w:hideMark/>
          </w:tcPr>
          <w:p w14:paraId="4C5BC50B" w14:textId="77777777" w:rsidR="001347E1" w:rsidRDefault="001347E1" w:rsidP="006C433E">
            <w:pPr>
              <w:jc w:val="center"/>
              <w:rPr>
                <w:color w:val="000000"/>
                <w:sz w:val="20"/>
                <w:szCs w:val="20"/>
              </w:rPr>
            </w:pPr>
            <w:r>
              <w:rPr>
                <w:color w:val="000000"/>
                <w:sz w:val="20"/>
                <w:szCs w:val="20"/>
              </w:rPr>
              <w:t>9</w:t>
            </w:r>
          </w:p>
        </w:tc>
      </w:tr>
      <w:tr w:rsidR="001347E1" w14:paraId="79D6C4EE" w14:textId="77777777" w:rsidTr="006C433E">
        <w:trPr>
          <w:trHeight w:val="60"/>
        </w:trPr>
        <w:tc>
          <w:tcPr>
            <w:tcW w:w="672" w:type="dxa"/>
            <w:tcBorders>
              <w:top w:val="nil"/>
              <w:left w:val="nil"/>
              <w:bottom w:val="nil"/>
              <w:right w:val="nil"/>
            </w:tcBorders>
            <w:shd w:val="clear" w:color="000000" w:fill="FFFFFF"/>
            <w:noWrap/>
            <w:vAlign w:val="bottom"/>
            <w:hideMark/>
          </w:tcPr>
          <w:p w14:paraId="45E6721F" w14:textId="77777777" w:rsidR="001347E1" w:rsidRDefault="001347E1" w:rsidP="006C433E">
            <w:pPr>
              <w:rPr>
                <w:i/>
                <w:iCs/>
                <w:color w:val="000000"/>
                <w:sz w:val="20"/>
                <w:szCs w:val="20"/>
              </w:rPr>
            </w:pPr>
            <w:r>
              <w:rPr>
                <w:i/>
                <w:iCs/>
                <w:color w:val="000000"/>
                <w:sz w:val="20"/>
                <w:szCs w:val="20"/>
              </w:rPr>
              <w:t> </w:t>
            </w:r>
          </w:p>
        </w:tc>
        <w:tc>
          <w:tcPr>
            <w:tcW w:w="666" w:type="dxa"/>
            <w:tcBorders>
              <w:top w:val="nil"/>
              <w:left w:val="nil"/>
              <w:bottom w:val="nil"/>
              <w:right w:val="nil"/>
            </w:tcBorders>
            <w:shd w:val="clear" w:color="000000" w:fill="FFFFFF"/>
            <w:noWrap/>
            <w:vAlign w:val="bottom"/>
            <w:hideMark/>
          </w:tcPr>
          <w:p w14:paraId="34B4E5CE" w14:textId="77777777" w:rsidR="001347E1" w:rsidRDefault="001347E1" w:rsidP="006C433E">
            <w:pPr>
              <w:rPr>
                <w:i/>
                <w:iCs/>
                <w:color w:val="000000"/>
                <w:sz w:val="20"/>
                <w:szCs w:val="20"/>
              </w:rPr>
            </w:pPr>
            <w:r>
              <w:rPr>
                <w:i/>
                <w:iCs/>
                <w:color w:val="000000"/>
                <w:sz w:val="20"/>
                <w:szCs w:val="20"/>
              </w:rPr>
              <w:t> </w:t>
            </w:r>
          </w:p>
        </w:tc>
        <w:tc>
          <w:tcPr>
            <w:tcW w:w="3520" w:type="dxa"/>
            <w:tcBorders>
              <w:top w:val="nil"/>
              <w:left w:val="nil"/>
              <w:bottom w:val="nil"/>
              <w:right w:val="nil"/>
            </w:tcBorders>
            <w:shd w:val="clear" w:color="000000" w:fill="FFFFFF"/>
            <w:noWrap/>
            <w:vAlign w:val="bottom"/>
            <w:hideMark/>
          </w:tcPr>
          <w:p w14:paraId="1AE0E1CF" w14:textId="77777777" w:rsidR="001347E1" w:rsidRDefault="001347E1" w:rsidP="006C433E">
            <w:pPr>
              <w:rPr>
                <w:color w:val="000000"/>
                <w:sz w:val="20"/>
                <w:szCs w:val="20"/>
              </w:rPr>
            </w:pPr>
            <w:r>
              <w:rPr>
                <w:color w:val="000000"/>
                <w:sz w:val="20"/>
                <w:szCs w:val="20"/>
              </w:rPr>
              <w:t> </w:t>
            </w:r>
          </w:p>
        </w:tc>
        <w:tc>
          <w:tcPr>
            <w:tcW w:w="1254" w:type="dxa"/>
            <w:tcBorders>
              <w:top w:val="nil"/>
              <w:left w:val="nil"/>
              <w:bottom w:val="nil"/>
              <w:right w:val="nil"/>
            </w:tcBorders>
            <w:shd w:val="clear" w:color="000000" w:fill="FFFFFF"/>
            <w:noWrap/>
            <w:vAlign w:val="bottom"/>
            <w:hideMark/>
          </w:tcPr>
          <w:p w14:paraId="40439119" w14:textId="77777777" w:rsidR="001347E1" w:rsidRDefault="001347E1" w:rsidP="006C433E">
            <w:pPr>
              <w:jc w:val="center"/>
              <w:rPr>
                <w:color w:val="000000"/>
                <w:sz w:val="20"/>
                <w:szCs w:val="20"/>
              </w:rPr>
            </w:pPr>
            <w:r>
              <w:rPr>
                <w:color w:val="000000"/>
                <w:sz w:val="20"/>
                <w:szCs w:val="20"/>
              </w:rPr>
              <w:t> </w:t>
            </w:r>
          </w:p>
        </w:tc>
        <w:tc>
          <w:tcPr>
            <w:tcW w:w="908" w:type="dxa"/>
            <w:tcBorders>
              <w:top w:val="nil"/>
              <w:left w:val="nil"/>
              <w:bottom w:val="nil"/>
              <w:right w:val="nil"/>
            </w:tcBorders>
            <w:shd w:val="clear" w:color="000000" w:fill="FFFFFF"/>
            <w:noWrap/>
            <w:vAlign w:val="bottom"/>
            <w:hideMark/>
          </w:tcPr>
          <w:p w14:paraId="7B22502F"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6E6B0EB0"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1C1F5A45" w14:textId="77777777" w:rsidR="001347E1" w:rsidRDefault="001347E1" w:rsidP="006C433E">
            <w:pPr>
              <w:jc w:val="center"/>
              <w:rPr>
                <w:color w:val="000000"/>
                <w:sz w:val="20"/>
                <w:szCs w:val="20"/>
              </w:rPr>
            </w:pPr>
            <w:r>
              <w:rPr>
                <w:color w:val="000000"/>
                <w:sz w:val="20"/>
                <w:szCs w:val="20"/>
              </w:rPr>
              <w:t> </w:t>
            </w:r>
          </w:p>
        </w:tc>
      </w:tr>
      <w:tr w:rsidR="001347E1" w14:paraId="0CE4B703" w14:textId="77777777" w:rsidTr="006C433E">
        <w:trPr>
          <w:trHeight w:val="255"/>
        </w:trPr>
        <w:tc>
          <w:tcPr>
            <w:tcW w:w="672" w:type="dxa"/>
            <w:tcBorders>
              <w:top w:val="nil"/>
              <w:left w:val="nil"/>
              <w:bottom w:val="nil"/>
              <w:right w:val="nil"/>
            </w:tcBorders>
            <w:shd w:val="clear" w:color="000000" w:fill="FFFFFF"/>
            <w:noWrap/>
            <w:vAlign w:val="bottom"/>
            <w:hideMark/>
          </w:tcPr>
          <w:p w14:paraId="3F4DE3AF" w14:textId="77777777" w:rsidR="001347E1" w:rsidRDefault="001347E1" w:rsidP="006C433E">
            <w:pPr>
              <w:rPr>
                <w:i/>
                <w:iCs/>
                <w:color w:val="000000"/>
                <w:sz w:val="20"/>
                <w:szCs w:val="20"/>
              </w:rPr>
            </w:pPr>
            <w:r>
              <w:rPr>
                <w:i/>
                <w:iCs/>
                <w:color w:val="000000"/>
                <w:sz w:val="20"/>
                <w:szCs w:val="20"/>
              </w:rPr>
              <w:t> </w:t>
            </w:r>
          </w:p>
        </w:tc>
        <w:tc>
          <w:tcPr>
            <w:tcW w:w="4186" w:type="dxa"/>
            <w:gridSpan w:val="2"/>
            <w:tcBorders>
              <w:top w:val="nil"/>
              <w:left w:val="nil"/>
              <w:bottom w:val="nil"/>
              <w:right w:val="nil"/>
            </w:tcBorders>
            <w:shd w:val="clear" w:color="000000" w:fill="FFFFFF"/>
            <w:noWrap/>
            <w:vAlign w:val="bottom"/>
            <w:hideMark/>
          </w:tcPr>
          <w:p w14:paraId="2A2488EB" w14:textId="77777777" w:rsidR="001347E1" w:rsidRDefault="001347E1" w:rsidP="006C433E">
            <w:pPr>
              <w:rPr>
                <w:color w:val="000000"/>
                <w:sz w:val="20"/>
                <w:szCs w:val="20"/>
              </w:rPr>
            </w:pPr>
            <w:r>
              <w:rPr>
                <w:color w:val="000000"/>
                <w:sz w:val="20"/>
                <w:szCs w:val="20"/>
              </w:rPr>
              <w:t xml:space="preserve">Instruction Expenses per Student FTE </w:t>
            </w:r>
          </w:p>
        </w:tc>
        <w:tc>
          <w:tcPr>
            <w:tcW w:w="1254" w:type="dxa"/>
            <w:tcBorders>
              <w:top w:val="nil"/>
              <w:left w:val="nil"/>
              <w:bottom w:val="nil"/>
              <w:right w:val="nil"/>
            </w:tcBorders>
            <w:shd w:val="clear" w:color="000000" w:fill="FFFFFF"/>
            <w:noWrap/>
            <w:vAlign w:val="bottom"/>
            <w:hideMark/>
          </w:tcPr>
          <w:p w14:paraId="56A558C4" w14:textId="77777777" w:rsidR="001347E1" w:rsidRDefault="001347E1" w:rsidP="006C433E">
            <w:pPr>
              <w:jc w:val="center"/>
              <w:rPr>
                <w:color w:val="000000"/>
                <w:sz w:val="20"/>
                <w:szCs w:val="20"/>
              </w:rPr>
            </w:pPr>
            <w:r>
              <w:rPr>
                <w:color w:val="000000"/>
                <w:sz w:val="20"/>
                <w:szCs w:val="20"/>
              </w:rPr>
              <w:t>$6,547</w:t>
            </w:r>
          </w:p>
        </w:tc>
        <w:tc>
          <w:tcPr>
            <w:tcW w:w="908" w:type="dxa"/>
            <w:tcBorders>
              <w:top w:val="nil"/>
              <w:left w:val="nil"/>
              <w:bottom w:val="nil"/>
              <w:right w:val="nil"/>
            </w:tcBorders>
            <w:shd w:val="clear" w:color="000000" w:fill="FFFFFF"/>
            <w:noWrap/>
            <w:vAlign w:val="bottom"/>
            <w:hideMark/>
          </w:tcPr>
          <w:p w14:paraId="204B364A" w14:textId="77777777" w:rsidR="001347E1" w:rsidRDefault="001347E1" w:rsidP="006C433E">
            <w:pPr>
              <w:jc w:val="center"/>
              <w:rPr>
                <w:color w:val="000000"/>
                <w:sz w:val="20"/>
                <w:szCs w:val="20"/>
              </w:rPr>
            </w:pPr>
            <w:r>
              <w:rPr>
                <w:color w:val="000000"/>
                <w:sz w:val="20"/>
                <w:szCs w:val="20"/>
              </w:rPr>
              <w:t>$3,410</w:t>
            </w:r>
          </w:p>
        </w:tc>
        <w:tc>
          <w:tcPr>
            <w:tcW w:w="759" w:type="dxa"/>
            <w:tcBorders>
              <w:top w:val="nil"/>
              <w:left w:val="nil"/>
              <w:bottom w:val="nil"/>
              <w:right w:val="nil"/>
            </w:tcBorders>
            <w:shd w:val="clear" w:color="000000" w:fill="FFFFFF"/>
            <w:noWrap/>
            <w:vAlign w:val="bottom"/>
            <w:hideMark/>
          </w:tcPr>
          <w:p w14:paraId="006E7B9F" w14:textId="77777777" w:rsidR="001347E1" w:rsidRDefault="001347E1" w:rsidP="006C433E">
            <w:pPr>
              <w:jc w:val="center"/>
              <w:rPr>
                <w:color w:val="000000"/>
                <w:sz w:val="20"/>
                <w:szCs w:val="20"/>
              </w:rPr>
            </w:pPr>
            <w:r>
              <w:rPr>
                <w:color w:val="000000"/>
                <w:sz w:val="20"/>
                <w:szCs w:val="20"/>
              </w:rPr>
              <w:t>$44,235</w:t>
            </w:r>
          </w:p>
        </w:tc>
        <w:tc>
          <w:tcPr>
            <w:tcW w:w="953" w:type="dxa"/>
            <w:tcBorders>
              <w:top w:val="nil"/>
              <w:left w:val="nil"/>
              <w:bottom w:val="nil"/>
              <w:right w:val="nil"/>
            </w:tcBorders>
            <w:shd w:val="clear" w:color="000000" w:fill="FFFFFF"/>
            <w:noWrap/>
            <w:vAlign w:val="bottom"/>
            <w:hideMark/>
          </w:tcPr>
          <w:p w14:paraId="298921DC" w14:textId="77777777" w:rsidR="001347E1" w:rsidRDefault="001347E1" w:rsidP="006C433E">
            <w:pPr>
              <w:jc w:val="center"/>
              <w:rPr>
                <w:color w:val="000000"/>
                <w:sz w:val="20"/>
                <w:szCs w:val="20"/>
              </w:rPr>
            </w:pPr>
            <w:r>
              <w:rPr>
                <w:color w:val="000000"/>
                <w:sz w:val="20"/>
                <w:szCs w:val="20"/>
              </w:rPr>
              <w:t>$2,350</w:t>
            </w:r>
          </w:p>
        </w:tc>
      </w:tr>
      <w:tr w:rsidR="001347E1" w14:paraId="668165D7" w14:textId="77777777" w:rsidTr="006C433E">
        <w:trPr>
          <w:trHeight w:val="255"/>
        </w:trPr>
        <w:tc>
          <w:tcPr>
            <w:tcW w:w="672" w:type="dxa"/>
            <w:tcBorders>
              <w:top w:val="nil"/>
              <w:left w:val="nil"/>
              <w:bottom w:val="nil"/>
              <w:right w:val="nil"/>
            </w:tcBorders>
            <w:shd w:val="clear" w:color="000000" w:fill="FFFFFF"/>
            <w:noWrap/>
            <w:vAlign w:val="bottom"/>
            <w:hideMark/>
          </w:tcPr>
          <w:p w14:paraId="3D4DB503" w14:textId="77777777" w:rsidR="001347E1" w:rsidRDefault="001347E1" w:rsidP="006C433E">
            <w:pPr>
              <w:rPr>
                <w:i/>
                <w:iCs/>
                <w:color w:val="000000"/>
                <w:sz w:val="20"/>
                <w:szCs w:val="20"/>
              </w:rPr>
            </w:pPr>
            <w:r>
              <w:rPr>
                <w:i/>
                <w:iCs/>
                <w:color w:val="000000"/>
                <w:sz w:val="20"/>
                <w:szCs w:val="20"/>
              </w:rPr>
              <w:t> </w:t>
            </w:r>
          </w:p>
        </w:tc>
        <w:tc>
          <w:tcPr>
            <w:tcW w:w="4186" w:type="dxa"/>
            <w:gridSpan w:val="2"/>
            <w:tcBorders>
              <w:top w:val="nil"/>
              <w:left w:val="nil"/>
              <w:bottom w:val="nil"/>
              <w:right w:val="nil"/>
            </w:tcBorders>
            <w:shd w:val="clear" w:color="000000" w:fill="FFFFFF"/>
            <w:noWrap/>
            <w:vAlign w:val="bottom"/>
            <w:hideMark/>
          </w:tcPr>
          <w:p w14:paraId="6925F7C9" w14:textId="77777777" w:rsidR="001347E1" w:rsidRDefault="001347E1" w:rsidP="006C433E">
            <w:pPr>
              <w:rPr>
                <w:color w:val="000000"/>
                <w:sz w:val="20"/>
                <w:szCs w:val="20"/>
              </w:rPr>
            </w:pPr>
            <w:r>
              <w:rPr>
                <w:color w:val="000000"/>
                <w:sz w:val="20"/>
                <w:szCs w:val="20"/>
              </w:rPr>
              <w:t xml:space="preserve">Research Expenses per Student FTE </w:t>
            </w:r>
          </w:p>
        </w:tc>
        <w:tc>
          <w:tcPr>
            <w:tcW w:w="1254" w:type="dxa"/>
            <w:tcBorders>
              <w:top w:val="nil"/>
              <w:left w:val="nil"/>
              <w:bottom w:val="nil"/>
              <w:right w:val="nil"/>
            </w:tcBorders>
            <w:shd w:val="clear" w:color="000000" w:fill="FFFFFF"/>
            <w:noWrap/>
            <w:vAlign w:val="bottom"/>
            <w:hideMark/>
          </w:tcPr>
          <w:p w14:paraId="709FCB4F" w14:textId="77777777" w:rsidR="001347E1" w:rsidRDefault="001347E1" w:rsidP="006C433E">
            <w:pPr>
              <w:jc w:val="center"/>
              <w:rPr>
                <w:color w:val="000000"/>
                <w:sz w:val="20"/>
                <w:szCs w:val="20"/>
              </w:rPr>
            </w:pPr>
            <w:r>
              <w:rPr>
                <w:color w:val="000000"/>
                <w:sz w:val="20"/>
                <w:szCs w:val="20"/>
              </w:rPr>
              <w:t>$1,712</w:t>
            </w:r>
          </w:p>
        </w:tc>
        <w:tc>
          <w:tcPr>
            <w:tcW w:w="908" w:type="dxa"/>
            <w:tcBorders>
              <w:top w:val="nil"/>
              <w:left w:val="nil"/>
              <w:bottom w:val="nil"/>
              <w:right w:val="nil"/>
            </w:tcBorders>
            <w:shd w:val="clear" w:color="000000" w:fill="FFFFFF"/>
            <w:noWrap/>
            <w:vAlign w:val="bottom"/>
            <w:hideMark/>
          </w:tcPr>
          <w:p w14:paraId="3D47881D" w14:textId="77777777" w:rsidR="001347E1" w:rsidRDefault="001347E1" w:rsidP="006C433E">
            <w:pPr>
              <w:jc w:val="center"/>
              <w:rPr>
                <w:color w:val="000000"/>
                <w:sz w:val="20"/>
                <w:szCs w:val="20"/>
              </w:rPr>
            </w:pPr>
            <w:r>
              <w:rPr>
                <w:color w:val="000000"/>
                <w:sz w:val="20"/>
                <w:szCs w:val="20"/>
              </w:rPr>
              <w:t>$3,641</w:t>
            </w:r>
          </w:p>
        </w:tc>
        <w:tc>
          <w:tcPr>
            <w:tcW w:w="759" w:type="dxa"/>
            <w:tcBorders>
              <w:top w:val="nil"/>
              <w:left w:val="nil"/>
              <w:bottom w:val="nil"/>
              <w:right w:val="nil"/>
            </w:tcBorders>
            <w:shd w:val="clear" w:color="000000" w:fill="FFFFFF"/>
            <w:noWrap/>
            <w:vAlign w:val="bottom"/>
            <w:hideMark/>
          </w:tcPr>
          <w:p w14:paraId="7C3DA875" w14:textId="77777777" w:rsidR="001347E1" w:rsidRDefault="001347E1" w:rsidP="006C433E">
            <w:pPr>
              <w:jc w:val="center"/>
              <w:rPr>
                <w:color w:val="000000"/>
                <w:sz w:val="20"/>
                <w:szCs w:val="20"/>
              </w:rPr>
            </w:pPr>
            <w:r>
              <w:rPr>
                <w:color w:val="000000"/>
                <w:sz w:val="20"/>
                <w:szCs w:val="20"/>
              </w:rPr>
              <w:t>$45,422</w:t>
            </w:r>
          </w:p>
        </w:tc>
        <w:tc>
          <w:tcPr>
            <w:tcW w:w="953" w:type="dxa"/>
            <w:tcBorders>
              <w:top w:val="nil"/>
              <w:left w:val="nil"/>
              <w:bottom w:val="nil"/>
              <w:right w:val="nil"/>
            </w:tcBorders>
            <w:shd w:val="clear" w:color="000000" w:fill="FFFFFF"/>
            <w:noWrap/>
            <w:vAlign w:val="bottom"/>
            <w:hideMark/>
          </w:tcPr>
          <w:p w14:paraId="64748E3B" w14:textId="77777777" w:rsidR="001347E1" w:rsidRDefault="001347E1" w:rsidP="006C433E">
            <w:pPr>
              <w:jc w:val="center"/>
              <w:rPr>
                <w:color w:val="000000"/>
                <w:sz w:val="20"/>
                <w:szCs w:val="20"/>
              </w:rPr>
            </w:pPr>
            <w:r>
              <w:rPr>
                <w:color w:val="000000"/>
                <w:sz w:val="20"/>
                <w:szCs w:val="20"/>
              </w:rPr>
              <w:t>$0</w:t>
            </w:r>
          </w:p>
        </w:tc>
      </w:tr>
      <w:tr w:rsidR="001347E1" w14:paraId="218AF885" w14:textId="77777777" w:rsidTr="006C433E">
        <w:trPr>
          <w:trHeight w:val="255"/>
        </w:trPr>
        <w:tc>
          <w:tcPr>
            <w:tcW w:w="672" w:type="dxa"/>
            <w:tcBorders>
              <w:top w:val="nil"/>
              <w:left w:val="nil"/>
              <w:bottom w:val="nil"/>
              <w:right w:val="nil"/>
            </w:tcBorders>
            <w:shd w:val="clear" w:color="000000" w:fill="FFFFFF"/>
            <w:noWrap/>
            <w:vAlign w:val="bottom"/>
            <w:hideMark/>
          </w:tcPr>
          <w:p w14:paraId="0D2CE557" w14:textId="77777777" w:rsidR="001347E1" w:rsidRDefault="001347E1" w:rsidP="006C433E">
            <w:pPr>
              <w:rPr>
                <w:i/>
                <w:iCs/>
                <w:color w:val="000000"/>
                <w:sz w:val="20"/>
                <w:szCs w:val="20"/>
              </w:rPr>
            </w:pPr>
            <w:r>
              <w:rPr>
                <w:i/>
                <w:iCs/>
                <w:color w:val="000000"/>
                <w:sz w:val="20"/>
                <w:szCs w:val="20"/>
              </w:rPr>
              <w:t> </w:t>
            </w:r>
          </w:p>
        </w:tc>
        <w:tc>
          <w:tcPr>
            <w:tcW w:w="4186" w:type="dxa"/>
            <w:gridSpan w:val="2"/>
            <w:tcBorders>
              <w:top w:val="nil"/>
              <w:left w:val="nil"/>
              <w:bottom w:val="nil"/>
              <w:right w:val="nil"/>
            </w:tcBorders>
            <w:shd w:val="clear" w:color="000000" w:fill="FFFFFF"/>
            <w:noWrap/>
            <w:vAlign w:val="bottom"/>
            <w:hideMark/>
          </w:tcPr>
          <w:p w14:paraId="0E66F43B" w14:textId="77777777" w:rsidR="001347E1" w:rsidRDefault="001347E1" w:rsidP="006C433E">
            <w:pPr>
              <w:rPr>
                <w:color w:val="000000"/>
                <w:sz w:val="20"/>
                <w:szCs w:val="20"/>
              </w:rPr>
            </w:pPr>
            <w:r>
              <w:rPr>
                <w:color w:val="000000"/>
                <w:sz w:val="20"/>
                <w:szCs w:val="20"/>
              </w:rPr>
              <w:t xml:space="preserve">Public Service Expenses per Student FTE </w:t>
            </w:r>
          </w:p>
        </w:tc>
        <w:tc>
          <w:tcPr>
            <w:tcW w:w="1254" w:type="dxa"/>
            <w:tcBorders>
              <w:top w:val="nil"/>
              <w:left w:val="nil"/>
              <w:bottom w:val="nil"/>
              <w:right w:val="nil"/>
            </w:tcBorders>
            <w:shd w:val="clear" w:color="000000" w:fill="FFFFFF"/>
            <w:noWrap/>
            <w:vAlign w:val="bottom"/>
            <w:hideMark/>
          </w:tcPr>
          <w:p w14:paraId="1EB422B3" w14:textId="77777777" w:rsidR="001347E1" w:rsidRDefault="001347E1" w:rsidP="006C433E">
            <w:pPr>
              <w:jc w:val="center"/>
              <w:rPr>
                <w:color w:val="000000"/>
                <w:sz w:val="20"/>
                <w:szCs w:val="20"/>
              </w:rPr>
            </w:pPr>
            <w:r>
              <w:rPr>
                <w:color w:val="000000"/>
                <w:sz w:val="20"/>
                <w:szCs w:val="20"/>
              </w:rPr>
              <w:t>$849</w:t>
            </w:r>
          </w:p>
        </w:tc>
        <w:tc>
          <w:tcPr>
            <w:tcW w:w="908" w:type="dxa"/>
            <w:tcBorders>
              <w:top w:val="nil"/>
              <w:left w:val="nil"/>
              <w:bottom w:val="nil"/>
              <w:right w:val="nil"/>
            </w:tcBorders>
            <w:shd w:val="clear" w:color="000000" w:fill="FFFFFF"/>
            <w:noWrap/>
            <w:vAlign w:val="bottom"/>
            <w:hideMark/>
          </w:tcPr>
          <w:p w14:paraId="7FA3E765" w14:textId="77777777" w:rsidR="001347E1" w:rsidRDefault="001347E1" w:rsidP="006C433E">
            <w:pPr>
              <w:jc w:val="center"/>
              <w:rPr>
                <w:color w:val="000000"/>
                <w:sz w:val="20"/>
                <w:szCs w:val="20"/>
              </w:rPr>
            </w:pPr>
            <w:r>
              <w:rPr>
                <w:color w:val="000000"/>
                <w:sz w:val="20"/>
                <w:szCs w:val="20"/>
              </w:rPr>
              <w:t>$1,266</w:t>
            </w:r>
          </w:p>
        </w:tc>
        <w:tc>
          <w:tcPr>
            <w:tcW w:w="759" w:type="dxa"/>
            <w:tcBorders>
              <w:top w:val="nil"/>
              <w:left w:val="nil"/>
              <w:bottom w:val="nil"/>
              <w:right w:val="nil"/>
            </w:tcBorders>
            <w:shd w:val="clear" w:color="000000" w:fill="FFFFFF"/>
            <w:noWrap/>
            <w:vAlign w:val="bottom"/>
            <w:hideMark/>
          </w:tcPr>
          <w:p w14:paraId="4DF0FAA3" w14:textId="77777777" w:rsidR="001347E1" w:rsidRDefault="001347E1" w:rsidP="006C433E">
            <w:pPr>
              <w:jc w:val="center"/>
              <w:rPr>
                <w:color w:val="000000"/>
                <w:sz w:val="20"/>
                <w:szCs w:val="20"/>
              </w:rPr>
            </w:pPr>
            <w:r>
              <w:rPr>
                <w:color w:val="000000"/>
                <w:sz w:val="20"/>
                <w:szCs w:val="20"/>
              </w:rPr>
              <w:t>$14,000</w:t>
            </w:r>
          </w:p>
        </w:tc>
        <w:tc>
          <w:tcPr>
            <w:tcW w:w="953" w:type="dxa"/>
            <w:tcBorders>
              <w:top w:val="nil"/>
              <w:left w:val="nil"/>
              <w:bottom w:val="nil"/>
              <w:right w:val="nil"/>
            </w:tcBorders>
            <w:shd w:val="clear" w:color="000000" w:fill="FFFFFF"/>
            <w:noWrap/>
            <w:vAlign w:val="bottom"/>
            <w:hideMark/>
          </w:tcPr>
          <w:p w14:paraId="30CC1D40" w14:textId="77777777" w:rsidR="001347E1" w:rsidRDefault="001347E1" w:rsidP="006C433E">
            <w:pPr>
              <w:jc w:val="center"/>
              <w:rPr>
                <w:color w:val="000000"/>
                <w:sz w:val="20"/>
                <w:szCs w:val="20"/>
              </w:rPr>
            </w:pPr>
            <w:r>
              <w:rPr>
                <w:color w:val="000000"/>
                <w:sz w:val="20"/>
                <w:szCs w:val="20"/>
              </w:rPr>
              <w:t>$0</w:t>
            </w:r>
          </w:p>
        </w:tc>
      </w:tr>
      <w:tr w:rsidR="001347E1" w14:paraId="11726720" w14:textId="77777777" w:rsidTr="006C433E">
        <w:trPr>
          <w:trHeight w:val="255"/>
        </w:trPr>
        <w:tc>
          <w:tcPr>
            <w:tcW w:w="672" w:type="dxa"/>
            <w:tcBorders>
              <w:top w:val="nil"/>
              <w:left w:val="nil"/>
              <w:bottom w:val="nil"/>
              <w:right w:val="nil"/>
            </w:tcBorders>
            <w:shd w:val="clear" w:color="000000" w:fill="FFFFFF"/>
            <w:noWrap/>
            <w:vAlign w:val="bottom"/>
            <w:hideMark/>
          </w:tcPr>
          <w:p w14:paraId="6B6CB8BE" w14:textId="77777777" w:rsidR="001347E1" w:rsidRDefault="001347E1" w:rsidP="006C433E">
            <w:pPr>
              <w:rPr>
                <w:i/>
                <w:iCs/>
                <w:color w:val="000000"/>
                <w:sz w:val="20"/>
                <w:szCs w:val="20"/>
              </w:rPr>
            </w:pPr>
            <w:r>
              <w:rPr>
                <w:i/>
                <w:iCs/>
                <w:color w:val="000000"/>
                <w:sz w:val="20"/>
                <w:szCs w:val="20"/>
              </w:rPr>
              <w:t> </w:t>
            </w:r>
          </w:p>
        </w:tc>
        <w:tc>
          <w:tcPr>
            <w:tcW w:w="4186" w:type="dxa"/>
            <w:gridSpan w:val="2"/>
            <w:tcBorders>
              <w:top w:val="nil"/>
              <w:left w:val="nil"/>
              <w:bottom w:val="nil"/>
              <w:right w:val="nil"/>
            </w:tcBorders>
            <w:shd w:val="clear" w:color="000000" w:fill="FFFFFF"/>
            <w:noWrap/>
            <w:vAlign w:val="bottom"/>
            <w:hideMark/>
          </w:tcPr>
          <w:p w14:paraId="44F8343B" w14:textId="77777777" w:rsidR="001347E1" w:rsidRDefault="001347E1" w:rsidP="006C433E">
            <w:pPr>
              <w:rPr>
                <w:color w:val="000000"/>
                <w:sz w:val="20"/>
                <w:szCs w:val="20"/>
              </w:rPr>
            </w:pPr>
            <w:r>
              <w:rPr>
                <w:color w:val="000000"/>
                <w:sz w:val="20"/>
                <w:szCs w:val="20"/>
              </w:rPr>
              <w:t xml:space="preserve">Academic Support Expenses per Student FTE </w:t>
            </w:r>
          </w:p>
        </w:tc>
        <w:tc>
          <w:tcPr>
            <w:tcW w:w="1254" w:type="dxa"/>
            <w:tcBorders>
              <w:top w:val="nil"/>
              <w:left w:val="nil"/>
              <w:bottom w:val="nil"/>
              <w:right w:val="nil"/>
            </w:tcBorders>
            <w:shd w:val="clear" w:color="000000" w:fill="FFFFFF"/>
            <w:noWrap/>
            <w:vAlign w:val="bottom"/>
            <w:hideMark/>
          </w:tcPr>
          <w:p w14:paraId="00F881CC" w14:textId="77777777" w:rsidR="001347E1" w:rsidRDefault="001347E1" w:rsidP="006C433E">
            <w:pPr>
              <w:jc w:val="center"/>
              <w:rPr>
                <w:color w:val="000000"/>
                <w:sz w:val="20"/>
                <w:szCs w:val="20"/>
              </w:rPr>
            </w:pPr>
            <w:r>
              <w:rPr>
                <w:color w:val="000000"/>
                <w:sz w:val="20"/>
                <w:szCs w:val="20"/>
              </w:rPr>
              <w:t>$1,642</w:t>
            </w:r>
          </w:p>
        </w:tc>
        <w:tc>
          <w:tcPr>
            <w:tcW w:w="908" w:type="dxa"/>
            <w:tcBorders>
              <w:top w:val="nil"/>
              <w:left w:val="nil"/>
              <w:bottom w:val="nil"/>
              <w:right w:val="nil"/>
            </w:tcBorders>
            <w:shd w:val="clear" w:color="000000" w:fill="FFFFFF"/>
            <w:noWrap/>
            <w:vAlign w:val="bottom"/>
            <w:hideMark/>
          </w:tcPr>
          <w:p w14:paraId="589811BA" w14:textId="77777777" w:rsidR="001347E1" w:rsidRDefault="001347E1" w:rsidP="006C433E">
            <w:pPr>
              <w:jc w:val="center"/>
              <w:rPr>
                <w:color w:val="000000"/>
                <w:sz w:val="20"/>
                <w:szCs w:val="20"/>
              </w:rPr>
            </w:pPr>
            <w:r>
              <w:rPr>
                <w:color w:val="000000"/>
                <w:sz w:val="20"/>
                <w:szCs w:val="20"/>
              </w:rPr>
              <w:t>$1,241</w:t>
            </w:r>
          </w:p>
        </w:tc>
        <w:tc>
          <w:tcPr>
            <w:tcW w:w="759" w:type="dxa"/>
            <w:tcBorders>
              <w:top w:val="nil"/>
              <w:left w:val="nil"/>
              <w:bottom w:val="nil"/>
              <w:right w:val="nil"/>
            </w:tcBorders>
            <w:shd w:val="clear" w:color="000000" w:fill="FFFFFF"/>
            <w:noWrap/>
            <w:vAlign w:val="bottom"/>
            <w:hideMark/>
          </w:tcPr>
          <w:p w14:paraId="5CECE343" w14:textId="77777777" w:rsidR="001347E1" w:rsidRDefault="001347E1" w:rsidP="006C433E">
            <w:pPr>
              <w:jc w:val="center"/>
              <w:rPr>
                <w:color w:val="000000"/>
                <w:sz w:val="20"/>
                <w:szCs w:val="20"/>
              </w:rPr>
            </w:pPr>
            <w:r>
              <w:rPr>
                <w:color w:val="000000"/>
                <w:sz w:val="20"/>
                <w:szCs w:val="20"/>
              </w:rPr>
              <w:t>$13,223</w:t>
            </w:r>
          </w:p>
        </w:tc>
        <w:tc>
          <w:tcPr>
            <w:tcW w:w="953" w:type="dxa"/>
            <w:tcBorders>
              <w:top w:val="nil"/>
              <w:left w:val="nil"/>
              <w:bottom w:val="nil"/>
              <w:right w:val="nil"/>
            </w:tcBorders>
            <w:shd w:val="clear" w:color="000000" w:fill="FFFFFF"/>
            <w:noWrap/>
            <w:vAlign w:val="bottom"/>
            <w:hideMark/>
          </w:tcPr>
          <w:p w14:paraId="06D76CB7" w14:textId="77777777" w:rsidR="001347E1" w:rsidRDefault="001347E1" w:rsidP="006C433E">
            <w:pPr>
              <w:jc w:val="center"/>
              <w:rPr>
                <w:color w:val="000000"/>
                <w:sz w:val="20"/>
                <w:szCs w:val="20"/>
              </w:rPr>
            </w:pPr>
            <w:r>
              <w:rPr>
                <w:color w:val="000000"/>
                <w:sz w:val="20"/>
                <w:szCs w:val="20"/>
              </w:rPr>
              <w:t>$169</w:t>
            </w:r>
          </w:p>
        </w:tc>
      </w:tr>
      <w:tr w:rsidR="001347E1" w14:paraId="0793A7CA" w14:textId="77777777" w:rsidTr="006C433E">
        <w:trPr>
          <w:trHeight w:val="255"/>
        </w:trPr>
        <w:tc>
          <w:tcPr>
            <w:tcW w:w="672" w:type="dxa"/>
            <w:tcBorders>
              <w:top w:val="nil"/>
              <w:left w:val="nil"/>
              <w:bottom w:val="nil"/>
              <w:right w:val="nil"/>
            </w:tcBorders>
            <w:shd w:val="clear" w:color="000000" w:fill="FFFFFF"/>
            <w:noWrap/>
            <w:vAlign w:val="bottom"/>
            <w:hideMark/>
          </w:tcPr>
          <w:p w14:paraId="6CEAE467" w14:textId="77777777" w:rsidR="001347E1" w:rsidRDefault="001347E1" w:rsidP="006C433E">
            <w:pPr>
              <w:rPr>
                <w:i/>
                <w:iCs/>
                <w:color w:val="000000"/>
                <w:sz w:val="20"/>
                <w:szCs w:val="20"/>
              </w:rPr>
            </w:pPr>
            <w:r>
              <w:rPr>
                <w:i/>
                <w:iCs/>
                <w:color w:val="000000"/>
                <w:sz w:val="20"/>
                <w:szCs w:val="20"/>
              </w:rPr>
              <w:t> </w:t>
            </w:r>
          </w:p>
        </w:tc>
        <w:tc>
          <w:tcPr>
            <w:tcW w:w="4186" w:type="dxa"/>
            <w:gridSpan w:val="2"/>
            <w:tcBorders>
              <w:top w:val="nil"/>
              <w:left w:val="nil"/>
              <w:bottom w:val="nil"/>
              <w:right w:val="nil"/>
            </w:tcBorders>
            <w:shd w:val="clear" w:color="000000" w:fill="FFFFFF"/>
            <w:noWrap/>
            <w:vAlign w:val="bottom"/>
            <w:hideMark/>
          </w:tcPr>
          <w:p w14:paraId="0A4942F3" w14:textId="77777777" w:rsidR="001347E1" w:rsidRDefault="001347E1" w:rsidP="006C433E">
            <w:pPr>
              <w:rPr>
                <w:color w:val="000000"/>
                <w:sz w:val="20"/>
                <w:szCs w:val="20"/>
              </w:rPr>
            </w:pPr>
            <w:r>
              <w:rPr>
                <w:color w:val="000000"/>
                <w:sz w:val="20"/>
                <w:szCs w:val="20"/>
              </w:rPr>
              <w:t xml:space="preserve">Student Services Expenses per Student FTE </w:t>
            </w:r>
          </w:p>
        </w:tc>
        <w:tc>
          <w:tcPr>
            <w:tcW w:w="1254" w:type="dxa"/>
            <w:tcBorders>
              <w:top w:val="nil"/>
              <w:left w:val="nil"/>
              <w:bottom w:val="nil"/>
              <w:right w:val="nil"/>
            </w:tcBorders>
            <w:shd w:val="clear" w:color="000000" w:fill="FFFFFF"/>
            <w:noWrap/>
            <w:vAlign w:val="bottom"/>
            <w:hideMark/>
          </w:tcPr>
          <w:p w14:paraId="379A1DC0" w14:textId="77777777" w:rsidR="001347E1" w:rsidRDefault="001347E1" w:rsidP="006C433E">
            <w:pPr>
              <w:jc w:val="center"/>
              <w:rPr>
                <w:color w:val="000000"/>
                <w:sz w:val="20"/>
                <w:szCs w:val="20"/>
              </w:rPr>
            </w:pPr>
            <w:r>
              <w:rPr>
                <w:color w:val="000000"/>
                <w:sz w:val="20"/>
                <w:szCs w:val="20"/>
              </w:rPr>
              <w:t>$1,315</w:t>
            </w:r>
          </w:p>
        </w:tc>
        <w:tc>
          <w:tcPr>
            <w:tcW w:w="908" w:type="dxa"/>
            <w:tcBorders>
              <w:top w:val="nil"/>
              <w:left w:val="nil"/>
              <w:bottom w:val="nil"/>
              <w:right w:val="nil"/>
            </w:tcBorders>
            <w:shd w:val="clear" w:color="000000" w:fill="FFFFFF"/>
            <w:noWrap/>
            <w:vAlign w:val="bottom"/>
            <w:hideMark/>
          </w:tcPr>
          <w:p w14:paraId="2E740E71" w14:textId="77777777" w:rsidR="001347E1" w:rsidRDefault="001347E1" w:rsidP="006C433E">
            <w:pPr>
              <w:jc w:val="center"/>
              <w:rPr>
                <w:color w:val="000000"/>
                <w:sz w:val="20"/>
                <w:szCs w:val="20"/>
              </w:rPr>
            </w:pPr>
            <w:r>
              <w:rPr>
                <w:color w:val="000000"/>
                <w:sz w:val="20"/>
                <w:szCs w:val="20"/>
              </w:rPr>
              <w:t>$1,109</w:t>
            </w:r>
          </w:p>
        </w:tc>
        <w:tc>
          <w:tcPr>
            <w:tcW w:w="759" w:type="dxa"/>
            <w:tcBorders>
              <w:top w:val="nil"/>
              <w:left w:val="nil"/>
              <w:bottom w:val="nil"/>
              <w:right w:val="nil"/>
            </w:tcBorders>
            <w:shd w:val="clear" w:color="000000" w:fill="FFFFFF"/>
            <w:noWrap/>
            <w:vAlign w:val="bottom"/>
            <w:hideMark/>
          </w:tcPr>
          <w:p w14:paraId="355AC7AA" w14:textId="77777777" w:rsidR="001347E1" w:rsidRDefault="001347E1" w:rsidP="006C433E">
            <w:pPr>
              <w:jc w:val="center"/>
              <w:rPr>
                <w:color w:val="000000"/>
                <w:sz w:val="20"/>
                <w:szCs w:val="20"/>
              </w:rPr>
            </w:pPr>
            <w:r>
              <w:rPr>
                <w:color w:val="000000"/>
                <w:sz w:val="20"/>
                <w:szCs w:val="20"/>
              </w:rPr>
              <w:t>$19,270</w:t>
            </w:r>
          </w:p>
        </w:tc>
        <w:tc>
          <w:tcPr>
            <w:tcW w:w="953" w:type="dxa"/>
            <w:tcBorders>
              <w:top w:val="nil"/>
              <w:left w:val="nil"/>
              <w:bottom w:val="nil"/>
              <w:right w:val="nil"/>
            </w:tcBorders>
            <w:shd w:val="clear" w:color="000000" w:fill="FFFFFF"/>
            <w:noWrap/>
            <w:vAlign w:val="bottom"/>
            <w:hideMark/>
          </w:tcPr>
          <w:p w14:paraId="76AA8A97" w14:textId="77777777" w:rsidR="001347E1" w:rsidRDefault="001347E1" w:rsidP="006C433E">
            <w:pPr>
              <w:jc w:val="center"/>
              <w:rPr>
                <w:color w:val="000000"/>
                <w:sz w:val="20"/>
                <w:szCs w:val="20"/>
              </w:rPr>
            </w:pPr>
            <w:r>
              <w:rPr>
                <w:color w:val="000000"/>
                <w:sz w:val="20"/>
                <w:szCs w:val="20"/>
              </w:rPr>
              <w:t>$330</w:t>
            </w:r>
          </w:p>
        </w:tc>
      </w:tr>
      <w:tr w:rsidR="001347E1" w14:paraId="26BD0760" w14:textId="77777777" w:rsidTr="006C433E">
        <w:trPr>
          <w:trHeight w:val="60"/>
        </w:trPr>
        <w:tc>
          <w:tcPr>
            <w:tcW w:w="672" w:type="dxa"/>
            <w:tcBorders>
              <w:top w:val="nil"/>
              <w:left w:val="nil"/>
              <w:bottom w:val="nil"/>
              <w:right w:val="nil"/>
            </w:tcBorders>
            <w:shd w:val="clear" w:color="000000" w:fill="FFFFFF"/>
            <w:noWrap/>
            <w:vAlign w:val="bottom"/>
            <w:hideMark/>
          </w:tcPr>
          <w:p w14:paraId="46989745" w14:textId="77777777" w:rsidR="001347E1" w:rsidRDefault="001347E1" w:rsidP="006C433E">
            <w:pPr>
              <w:rPr>
                <w:i/>
                <w:iCs/>
                <w:color w:val="000000"/>
                <w:sz w:val="20"/>
                <w:szCs w:val="20"/>
              </w:rPr>
            </w:pPr>
            <w:r>
              <w:rPr>
                <w:i/>
                <w:iCs/>
                <w:color w:val="000000"/>
                <w:sz w:val="20"/>
                <w:szCs w:val="20"/>
              </w:rPr>
              <w:t> </w:t>
            </w:r>
          </w:p>
        </w:tc>
        <w:tc>
          <w:tcPr>
            <w:tcW w:w="666" w:type="dxa"/>
            <w:tcBorders>
              <w:top w:val="nil"/>
              <w:left w:val="nil"/>
              <w:bottom w:val="nil"/>
              <w:right w:val="nil"/>
            </w:tcBorders>
            <w:shd w:val="clear" w:color="000000" w:fill="FFFFFF"/>
            <w:noWrap/>
            <w:vAlign w:val="bottom"/>
            <w:hideMark/>
          </w:tcPr>
          <w:p w14:paraId="66F01652" w14:textId="77777777" w:rsidR="001347E1" w:rsidRDefault="001347E1" w:rsidP="006C433E">
            <w:pPr>
              <w:rPr>
                <w:i/>
                <w:iCs/>
                <w:color w:val="000000"/>
                <w:sz w:val="20"/>
                <w:szCs w:val="20"/>
              </w:rPr>
            </w:pPr>
            <w:r>
              <w:rPr>
                <w:i/>
                <w:iCs/>
                <w:color w:val="000000"/>
                <w:sz w:val="20"/>
                <w:szCs w:val="20"/>
              </w:rPr>
              <w:t> </w:t>
            </w:r>
          </w:p>
        </w:tc>
        <w:tc>
          <w:tcPr>
            <w:tcW w:w="3520" w:type="dxa"/>
            <w:tcBorders>
              <w:top w:val="nil"/>
              <w:left w:val="nil"/>
              <w:bottom w:val="nil"/>
              <w:right w:val="nil"/>
            </w:tcBorders>
            <w:shd w:val="clear" w:color="000000" w:fill="FFFFFF"/>
            <w:noWrap/>
            <w:vAlign w:val="bottom"/>
            <w:hideMark/>
          </w:tcPr>
          <w:p w14:paraId="239522FB" w14:textId="77777777" w:rsidR="001347E1" w:rsidRDefault="001347E1" w:rsidP="006C433E">
            <w:pPr>
              <w:rPr>
                <w:color w:val="000000"/>
                <w:sz w:val="20"/>
                <w:szCs w:val="20"/>
              </w:rPr>
            </w:pPr>
            <w:r>
              <w:rPr>
                <w:color w:val="000000"/>
                <w:sz w:val="20"/>
                <w:szCs w:val="20"/>
              </w:rPr>
              <w:t> </w:t>
            </w:r>
          </w:p>
        </w:tc>
        <w:tc>
          <w:tcPr>
            <w:tcW w:w="1254" w:type="dxa"/>
            <w:tcBorders>
              <w:top w:val="nil"/>
              <w:left w:val="nil"/>
              <w:bottom w:val="nil"/>
              <w:right w:val="nil"/>
            </w:tcBorders>
            <w:shd w:val="clear" w:color="000000" w:fill="FFFFFF"/>
            <w:noWrap/>
            <w:vAlign w:val="bottom"/>
            <w:hideMark/>
          </w:tcPr>
          <w:p w14:paraId="2B6BACD5" w14:textId="77777777" w:rsidR="001347E1" w:rsidRDefault="001347E1" w:rsidP="006C433E">
            <w:pPr>
              <w:jc w:val="center"/>
              <w:rPr>
                <w:color w:val="000000"/>
                <w:sz w:val="20"/>
                <w:szCs w:val="20"/>
              </w:rPr>
            </w:pPr>
            <w:r>
              <w:rPr>
                <w:color w:val="000000"/>
                <w:sz w:val="20"/>
                <w:szCs w:val="20"/>
              </w:rPr>
              <w:t> </w:t>
            </w:r>
          </w:p>
        </w:tc>
        <w:tc>
          <w:tcPr>
            <w:tcW w:w="908" w:type="dxa"/>
            <w:tcBorders>
              <w:top w:val="nil"/>
              <w:left w:val="nil"/>
              <w:bottom w:val="nil"/>
              <w:right w:val="nil"/>
            </w:tcBorders>
            <w:shd w:val="clear" w:color="000000" w:fill="FFFFFF"/>
            <w:noWrap/>
            <w:vAlign w:val="bottom"/>
            <w:hideMark/>
          </w:tcPr>
          <w:p w14:paraId="5CD24351"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096D4F66"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418BAEC8" w14:textId="77777777" w:rsidR="001347E1" w:rsidRDefault="001347E1" w:rsidP="006C433E">
            <w:pPr>
              <w:jc w:val="center"/>
              <w:rPr>
                <w:color w:val="000000"/>
                <w:sz w:val="20"/>
                <w:szCs w:val="20"/>
              </w:rPr>
            </w:pPr>
            <w:r>
              <w:rPr>
                <w:color w:val="000000"/>
                <w:sz w:val="20"/>
                <w:szCs w:val="20"/>
              </w:rPr>
              <w:t> </w:t>
            </w:r>
          </w:p>
        </w:tc>
      </w:tr>
      <w:tr w:rsidR="001347E1" w14:paraId="0DA5EEFB" w14:textId="77777777" w:rsidTr="006C433E">
        <w:trPr>
          <w:trHeight w:val="255"/>
        </w:trPr>
        <w:tc>
          <w:tcPr>
            <w:tcW w:w="672" w:type="dxa"/>
            <w:tcBorders>
              <w:top w:val="nil"/>
              <w:left w:val="nil"/>
              <w:bottom w:val="nil"/>
              <w:right w:val="nil"/>
            </w:tcBorders>
            <w:shd w:val="clear" w:color="000000" w:fill="FFFFFF"/>
            <w:noWrap/>
            <w:vAlign w:val="bottom"/>
            <w:hideMark/>
          </w:tcPr>
          <w:p w14:paraId="3CD0A3C0" w14:textId="77777777" w:rsidR="001347E1" w:rsidRDefault="001347E1" w:rsidP="006C433E">
            <w:pPr>
              <w:rPr>
                <w:color w:val="000000"/>
                <w:sz w:val="20"/>
                <w:szCs w:val="20"/>
              </w:rPr>
            </w:pPr>
            <w:r>
              <w:rPr>
                <w:color w:val="000000"/>
                <w:sz w:val="20"/>
                <w:szCs w:val="20"/>
              </w:rPr>
              <w:t> </w:t>
            </w:r>
          </w:p>
        </w:tc>
        <w:tc>
          <w:tcPr>
            <w:tcW w:w="4186" w:type="dxa"/>
            <w:gridSpan w:val="2"/>
            <w:tcBorders>
              <w:top w:val="nil"/>
              <w:left w:val="nil"/>
              <w:bottom w:val="nil"/>
              <w:right w:val="nil"/>
            </w:tcBorders>
            <w:shd w:val="clear" w:color="000000" w:fill="FFFFFF"/>
            <w:noWrap/>
            <w:vAlign w:val="bottom"/>
            <w:hideMark/>
          </w:tcPr>
          <w:p w14:paraId="2B26C73B" w14:textId="77777777" w:rsidR="001347E1" w:rsidRDefault="001347E1" w:rsidP="006C433E">
            <w:pPr>
              <w:rPr>
                <w:color w:val="000000"/>
                <w:sz w:val="20"/>
                <w:szCs w:val="20"/>
              </w:rPr>
            </w:pPr>
            <w:r>
              <w:rPr>
                <w:color w:val="000000"/>
                <w:sz w:val="20"/>
                <w:szCs w:val="20"/>
              </w:rPr>
              <w:t>Carnegie Classification</w:t>
            </w:r>
          </w:p>
        </w:tc>
        <w:tc>
          <w:tcPr>
            <w:tcW w:w="1254" w:type="dxa"/>
            <w:tcBorders>
              <w:top w:val="nil"/>
              <w:left w:val="nil"/>
              <w:bottom w:val="nil"/>
              <w:right w:val="nil"/>
            </w:tcBorders>
            <w:shd w:val="clear" w:color="000000" w:fill="FFFFFF"/>
            <w:noWrap/>
            <w:vAlign w:val="bottom"/>
            <w:hideMark/>
          </w:tcPr>
          <w:p w14:paraId="09B5EB0B" w14:textId="77777777" w:rsidR="001347E1" w:rsidRDefault="001347E1" w:rsidP="006C433E">
            <w:pPr>
              <w:jc w:val="center"/>
              <w:rPr>
                <w:color w:val="000000"/>
                <w:sz w:val="20"/>
                <w:szCs w:val="20"/>
              </w:rPr>
            </w:pPr>
            <w:r>
              <w:rPr>
                <w:color w:val="000000"/>
                <w:sz w:val="20"/>
                <w:szCs w:val="20"/>
              </w:rPr>
              <w:t>(Frequency)</w:t>
            </w:r>
          </w:p>
        </w:tc>
        <w:tc>
          <w:tcPr>
            <w:tcW w:w="908" w:type="dxa"/>
            <w:tcBorders>
              <w:top w:val="nil"/>
              <w:left w:val="nil"/>
              <w:bottom w:val="nil"/>
              <w:right w:val="nil"/>
            </w:tcBorders>
            <w:shd w:val="clear" w:color="000000" w:fill="FFFFFF"/>
            <w:noWrap/>
            <w:vAlign w:val="bottom"/>
            <w:hideMark/>
          </w:tcPr>
          <w:p w14:paraId="2306B8D9"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53EE2AFB"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72F3CA54" w14:textId="77777777" w:rsidR="001347E1" w:rsidRDefault="001347E1" w:rsidP="006C433E">
            <w:pPr>
              <w:jc w:val="center"/>
              <w:rPr>
                <w:color w:val="000000"/>
                <w:sz w:val="20"/>
                <w:szCs w:val="20"/>
              </w:rPr>
            </w:pPr>
            <w:r>
              <w:rPr>
                <w:color w:val="000000"/>
                <w:sz w:val="20"/>
                <w:szCs w:val="20"/>
              </w:rPr>
              <w:t> </w:t>
            </w:r>
          </w:p>
        </w:tc>
      </w:tr>
      <w:tr w:rsidR="001347E1" w14:paraId="39226B6D" w14:textId="77777777" w:rsidTr="006C433E">
        <w:trPr>
          <w:trHeight w:val="255"/>
        </w:trPr>
        <w:tc>
          <w:tcPr>
            <w:tcW w:w="672" w:type="dxa"/>
            <w:tcBorders>
              <w:top w:val="nil"/>
              <w:left w:val="nil"/>
              <w:bottom w:val="nil"/>
              <w:right w:val="nil"/>
            </w:tcBorders>
            <w:shd w:val="clear" w:color="000000" w:fill="FFFFFF"/>
            <w:noWrap/>
            <w:vAlign w:val="bottom"/>
            <w:hideMark/>
          </w:tcPr>
          <w:p w14:paraId="31CDCD67" w14:textId="77777777" w:rsidR="001347E1" w:rsidRDefault="001347E1" w:rsidP="006C433E">
            <w:pPr>
              <w:rPr>
                <w:color w:val="000000"/>
                <w:sz w:val="20"/>
                <w:szCs w:val="20"/>
              </w:rPr>
            </w:pPr>
            <w:r>
              <w:rPr>
                <w:color w:val="000000"/>
                <w:sz w:val="20"/>
                <w:szCs w:val="20"/>
              </w:rPr>
              <w:t> </w:t>
            </w:r>
          </w:p>
        </w:tc>
        <w:tc>
          <w:tcPr>
            <w:tcW w:w="666" w:type="dxa"/>
            <w:tcBorders>
              <w:top w:val="nil"/>
              <w:left w:val="nil"/>
              <w:bottom w:val="nil"/>
              <w:right w:val="nil"/>
            </w:tcBorders>
            <w:shd w:val="clear" w:color="000000" w:fill="FFFFFF"/>
            <w:noWrap/>
            <w:vAlign w:val="bottom"/>
            <w:hideMark/>
          </w:tcPr>
          <w:p w14:paraId="3F4DC76D" w14:textId="77777777" w:rsidR="001347E1" w:rsidRDefault="001347E1" w:rsidP="006C433E">
            <w:pPr>
              <w:ind w:firstLineChars="200" w:firstLine="400"/>
              <w:rPr>
                <w:color w:val="000000"/>
                <w:sz w:val="20"/>
                <w:szCs w:val="20"/>
              </w:rPr>
            </w:pPr>
            <w:r>
              <w:rPr>
                <w:color w:val="000000"/>
                <w:sz w:val="20"/>
                <w:szCs w:val="20"/>
              </w:rPr>
              <w:t> </w:t>
            </w:r>
          </w:p>
        </w:tc>
        <w:tc>
          <w:tcPr>
            <w:tcW w:w="3520" w:type="dxa"/>
            <w:tcBorders>
              <w:top w:val="nil"/>
              <w:left w:val="nil"/>
              <w:bottom w:val="nil"/>
              <w:right w:val="nil"/>
            </w:tcBorders>
            <w:shd w:val="clear" w:color="000000" w:fill="FFFFFF"/>
            <w:noWrap/>
            <w:vAlign w:val="bottom"/>
            <w:hideMark/>
          </w:tcPr>
          <w:p w14:paraId="25E886BA" w14:textId="77777777" w:rsidR="001347E1" w:rsidRDefault="001347E1" w:rsidP="006C433E">
            <w:pPr>
              <w:rPr>
                <w:color w:val="000000"/>
                <w:sz w:val="20"/>
                <w:szCs w:val="20"/>
              </w:rPr>
            </w:pPr>
            <w:r>
              <w:rPr>
                <w:color w:val="000000"/>
                <w:sz w:val="20"/>
                <w:szCs w:val="20"/>
              </w:rPr>
              <w:t>Research - Very High</w:t>
            </w:r>
          </w:p>
        </w:tc>
        <w:tc>
          <w:tcPr>
            <w:tcW w:w="1254" w:type="dxa"/>
            <w:tcBorders>
              <w:top w:val="nil"/>
              <w:left w:val="nil"/>
              <w:bottom w:val="nil"/>
              <w:right w:val="nil"/>
            </w:tcBorders>
            <w:shd w:val="clear" w:color="000000" w:fill="FFFFFF"/>
            <w:vAlign w:val="bottom"/>
            <w:hideMark/>
          </w:tcPr>
          <w:p w14:paraId="64855726" w14:textId="77777777" w:rsidR="001347E1" w:rsidRDefault="001347E1" w:rsidP="006C433E">
            <w:pPr>
              <w:jc w:val="center"/>
              <w:rPr>
                <w:color w:val="000000"/>
                <w:sz w:val="20"/>
                <w:szCs w:val="20"/>
              </w:rPr>
            </w:pPr>
            <w:r>
              <w:rPr>
                <w:color w:val="000000"/>
                <w:sz w:val="20"/>
                <w:szCs w:val="20"/>
              </w:rPr>
              <w:t>60</w:t>
            </w:r>
          </w:p>
        </w:tc>
        <w:tc>
          <w:tcPr>
            <w:tcW w:w="908" w:type="dxa"/>
            <w:tcBorders>
              <w:top w:val="nil"/>
              <w:left w:val="nil"/>
              <w:bottom w:val="nil"/>
              <w:right w:val="nil"/>
            </w:tcBorders>
            <w:shd w:val="clear" w:color="000000" w:fill="FFFFFF"/>
            <w:noWrap/>
            <w:vAlign w:val="bottom"/>
            <w:hideMark/>
          </w:tcPr>
          <w:p w14:paraId="6A6D34E1"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7A92810A"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616D4CA6" w14:textId="77777777" w:rsidR="001347E1" w:rsidRDefault="001347E1" w:rsidP="006C433E">
            <w:pPr>
              <w:jc w:val="center"/>
              <w:rPr>
                <w:color w:val="000000"/>
                <w:sz w:val="20"/>
                <w:szCs w:val="20"/>
              </w:rPr>
            </w:pPr>
            <w:r>
              <w:rPr>
                <w:color w:val="000000"/>
                <w:sz w:val="20"/>
                <w:szCs w:val="20"/>
              </w:rPr>
              <w:t> </w:t>
            </w:r>
          </w:p>
        </w:tc>
      </w:tr>
      <w:tr w:rsidR="001347E1" w14:paraId="12A45B43" w14:textId="77777777" w:rsidTr="006C433E">
        <w:trPr>
          <w:trHeight w:val="255"/>
        </w:trPr>
        <w:tc>
          <w:tcPr>
            <w:tcW w:w="672" w:type="dxa"/>
            <w:tcBorders>
              <w:top w:val="nil"/>
              <w:left w:val="nil"/>
              <w:bottom w:val="nil"/>
              <w:right w:val="nil"/>
            </w:tcBorders>
            <w:shd w:val="clear" w:color="000000" w:fill="FFFFFF"/>
            <w:noWrap/>
            <w:vAlign w:val="bottom"/>
            <w:hideMark/>
          </w:tcPr>
          <w:p w14:paraId="787FF662" w14:textId="77777777" w:rsidR="001347E1" w:rsidRDefault="001347E1" w:rsidP="006C433E">
            <w:pPr>
              <w:rPr>
                <w:color w:val="000000"/>
                <w:sz w:val="20"/>
                <w:szCs w:val="20"/>
              </w:rPr>
            </w:pPr>
            <w:r>
              <w:rPr>
                <w:color w:val="000000"/>
                <w:sz w:val="20"/>
                <w:szCs w:val="20"/>
              </w:rPr>
              <w:t> </w:t>
            </w:r>
          </w:p>
        </w:tc>
        <w:tc>
          <w:tcPr>
            <w:tcW w:w="666" w:type="dxa"/>
            <w:tcBorders>
              <w:top w:val="nil"/>
              <w:left w:val="nil"/>
              <w:bottom w:val="nil"/>
              <w:right w:val="nil"/>
            </w:tcBorders>
            <w:shd w:val="clear" w:color="000000" w:fill="FFFFFF"/>
            <w:noWrap/>
            <w:vAlign w:val="bottom"/>
            <w:hideMark/>
          </w:tcPr>
          <w:p w14:paraId="601BF9DF" w14:textId="77777777" w:rsidR="001347E1" w:rsidRDefault="001347E1" w:rsidP="006C433E">
            <w:pPr>
              <w:rPr>
                <w:color w:val="000000"/>
                <w:sz w:val="20"/>
                <w:szCs w:val="20"/>
              </w:rPr>
            </w:pPr>
            <w:r>
              <w:rPr>
                <w:color w:val="000000"/>
                <w:sz w:val="20"/>
                <w:szCs w:val="20"/>
              </w:rPr>
              <w:t> </w:t>
            </w:r>
          </w:p>
        </w:tc>
        <w:tc>
          <w:tcPr>
            <w:tcW w:w="3520" w:type="dxa"/>
            <w:tcBorders>
              <w:top w:val="nil"/>
              <w:left w:val="nil"/>
              <w:bottom w:val="nil"/>
              <w:right w:val="nil"/>
            </w:tcBorders>
            <w:shd w:val="clear" w:color="000000" w:fill="FFFFFF"/>
            <w:noWrap/>
            <w:vAlign w:val="bottom"/>
            <w:hideMark/>
          </w:tcPr>
          <w:p w14:paraId="2C4DCBFC" w14:textId="77777777" w:rsidR="001347E1" w:rsidRDefault="001347E1" w:rsidP="006C433E">
            <w:pPr>
              <w:rPr>
                <w:color w:val="000000"/>
                <w:sz w:val="20"/>
                <w:szCs w:val="20"/>
              </w:rPr>
            </w:pPr>
            <w:r>
              <w:rPr>
                <w:color w:val="000000"/>
                <w:sz w:val="20"/>
                <w:szCs w:val="20"/>
              </w:rPr>
              <w:t>Research - High</w:t>
            </w:r>
          </w:p>
        </w:tc>
        <w:tc>
          <w:tcPr>
            <w:tcW w:w="1254" w:type="dxa"/>
            <w:tcBorders>
              <w:top w:val="nil"/>
              <w:left w:val="nil"/>
              <w:bottom w:val="nil"/>
              <w:right w:val="nil"/>
            </w:tcBorders>
            <w:shd w:val="clear" w:color="000000" w:fill="FFFFFF"/>
            <w:vAlign w:val="bottom"/>
            <w:hideMark/>
          </w:tcPr>
          <w:p w14:paraId="3F975292" w14:textId="77777777" w:rsidR="001347E1" w:rsidRDefault="001347E1" w:rsidP="006C433E">
            <w:pPr>
              <w:jc w:val="center"/>
              <w:rPr>
                <w:color w:val="000000"/>
                <w:sz w:val="20"/>
                <w:szCs w:val="20"/>
              </w:rPr>
            </w:pPr>
            <w:r>
              <w:rPr>
                <w:color w:val="000000"/>
                <w:sz w:val="20"/>
                <w:szCs w:val="20"/>
              </w:rPr>
              <w:t>73</w:t>
            </w:r>
          </w:p>
        </w:tc>
        <w:tc>
          <w:tcPr>
            <w:tcW w:w="908" w:type="dxa"/>
            <w:tcBorders>
              <w:top w:val="nil"/>
              <w:left w:val="nil"/>
              <w:bottom w:val="nil"/>
              <w:right w:val="nil"/>
            </w:tcBorders>
            <w:shd w:val="clear" w:color="000000" w:fill="FFFFFF"/>
            <w:noWrap/>
            <w:vAlign w:val="bottom"/>
            <w:hideMark/>
          </w:tcPr>
          <w:p w14:paraId="2B478494"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71B5FDED"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6DDB56F8" w14:textId="77777777" w:rsidR="001347E1" w:rsidRDefault="001347E1" w:rsidP="006C433E">
            <w:pPr>
              <w:jc w:val="center"/>
              <w:rPr>
                <w:color w:val="000000"/>
                <w:sz w:val="20"/>
                <w:szCs w:val="20"/>
              </w:rPr>
            </w:pPr>
            <w:r>
              <w:rPr>
                <w:color w:val="000000"/>
                <w:sz w:val="20"/>
                <w:szCs w:val="20"/>
              </w:rPr>
              <w:t> </w:t>
            </w:r>
          </w:p>
        </w:tc>
      </w:tr>
      <w:tr w:rsidR="001347E1" w14:paraId="11C7F866" w14:textId="77777777" w:rsidTr="006C433E">
        <w:trPr>
          <w:trHeight w:val="255"/>
        </w:trPr>
        <w:tc>
          <w:tcPr>
            <w:tcW w:w="672" w:type="dxa"/>
            <w:tcBorders>
              <w:top w:val="nil"/>
              <w:left w:val="nil"/>
              <w:bottom w:val="nil"/>
              <w:right w:val="nil"/>
            </w:tcBorders>
            <w:shd w:val="clear" w:color="000000" w:fill="FFFFFF"/>
            <w:noWrap/>
            <w:vAlign w:val="bottom"/>
            <w:hideMark/>
          </w:tcPr>
          <w:p w14:paraId="464DD3DC" w14:textId="77777777" w:rsidR="001347E1" w:rsidRDefault="001347E1" w:rsidP="006C433E">
            <w:pPr>
              <w:rPr>
                <w:color w:val="000000"/>
                <w:sz w:val="20"/>
                <w:szCs w:val="20"/>
              </w:rPr>
            </w:pPr>
            <w:r>
              <w:rPr>
                <w:color w:val="000000"/>
                <w:sz w:val="20"/>
                <w:szCs w:val="20"/>
              </w:rPr>
              <w:t> </w:t>
            </w:r>
          </w:p>
        </w:tc>
        <w:tc>
          <w:tcPr>
            <w:tcW w:w="666" w:type="dxa"/>
            <w:tcBorders>
              <w:top w:val="nil"/>
              <w:left w:val="nil"/>
              <w:bottom w:val="nil"/>
              <w:right w:val="nil"/>
            </w:tcBorders>
            <w:shd w:val="clear" w:color="000000" w:fill="FFFFFF"/>
            <w:noWrap/>
            <w:vAlign w:val="bottom"/>
            <w:hideMark/>
          </w:tcPr>
          <w:p w14:paraId="32C57371" w14:textId="77777777" w:rsidR="001347E1" w:rsidRDefault="001347E1" w:rsidP="006C433E">
            <w:pPr>
              <w:rPr>
                <w:color w:val="000000"/>
                <w:sz w:val="20"/>
                <w:szCs w:val="20"/>
              </w:rPr>
            </w:pPr>
            <w:r>
              <w:rPr>
                <w:color w:val="000000"/>
                <w:sz w:val="20"/>
                <w:szCs w:val="20"/>
              </w:rPr>
              <w:t> </w:t>
            </w:r>
          </w:p>
        </w:tc>
        <w:tc>
          <w:tcPr>
            <w:tcW w:w="3520" w:type="dxa"/>
            <w:tcBorders>
              <w:top w:val="nil"/>
              <w:left w:val="nil"/>
              <w:bottom w:val="nil"/>
              <w:right w:val="nil"/>
            </w:tcBorders>
            <w:shd w:val="clear" w:color="000000" w:fill="FFFFFF"/>
            <w:noWrap/>
            <w:vAlign w:val="bottom"/>
            <w:hideMark/>
          </w:tcPr>
          <w:p w14:paraId="5BEA8BB1" w14:textId="77777777" w:rsidR="001347E1" w:rsidRDefault="001347E1" w:rsidP="006C433E">
            <w:pPr>
              <w:rPr>
                <w:color w:val="000000"/>
                <w:sz w:val="20"/>
                <w:szCs w:val="20"/>
              </w:rPr>
            </w:pPr>
            <w:r>
              <w:rPr>
                <w:color w:val="000000"/>
                <w:sz w:val="20"/>
                <w:szCs w:val="20"/>
              </w:rPr>
              <w:t>Doctoral</w:t>
            </w:r>
          </w:p>
        </w:tc>
        <w:tc>
          <w:tcPr>
            <w:tcW w:w="1254" w:type="dxa"/>
            <w:tcBorders>
              <w:top w:val="nil"/>
              <w:left w:val="nil"/>
              <w:bottom w:val="nil"/>
              <w:right w:val="nil"/>
            </w:tcBorders>
            <w:shd w:val="clear" w:color="000000" w:fill="FFFFFF"/>
            <w:vAlign w:val="bottom"/>
            <w:hideMark/>
          </w:tcPr>
          <w:p w14:paraId="4FFDF6BE" w14:textId="77777777" w:rsidR="001347E1" w:rsidRDefault="001347E1" w:rsidP="006C433E">
            <w:pPr>
              <w:jc w:val="center"/>
              <w:rPr>
                <w:color w:val="000000"/>
                <w:sz w:val="20"/>
                <w:szCs w:val="20"/>
              </w:rPr>
            </w:pPr>
            <w:r>
              <w:rPr>
                <w:color w:val="000000"/>
                <w:sz w:val="20"/>
                <w:szCs w:val="20"/>
              </w:rPr>
              <w:t>27</w:t>
            </w:r>
          </w:p>
        </w:tc>
        <w:tc>
          <w:tcPr>
            <w:tcW w:w="908" w:type="dxa"/>
            <w:tcBorders>
              <w:top w:val="nil"/>
              <w:left w:val="nil"/>
              <w:bottom w:val="nil"/>
              <w:right w:val="nil"/>
            </w:tcBorders>
            <w:shd w:val="clear" w:color="000000" w:fill="FFFFFF"/>
            <w:noWrap/>
            <w:vAlign w:val="bottom"/>
            <w:hideMark/>
          </w:tcPr>
          <w:p w14:paraId="5CEFB103"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72669FB2"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6609672C" w14:textId="77777777" w:rsidR="001347E1" w:rsidRDefault="001347E1" w:rsidP="006C433E">
            <w:pPr>
              <w:jc w:val="center"/>
              <w:rPr>
                <w:color w:val="000000"/>
                <w:sz w:val="20"/>
                <w:szCs w:val="20"/>
              </w:rPr>
            </w:pPr>
            <w:r>
              <w:rPr>
                <w:color w:val="000000"/>
                <w:sz w:val="20"/>
                <w:szCs w:val="20"/>
              </w:rPr>
              <w:t> </w:t>
            </w:r>
          </w:p>
        </w:tc>
      </w:tr>
      <w:tr w:rsidR="001347E1" w14:paraId="1A4052EE" w14:textId="77777777" w:rsidTr="006C433E">
        <w:trPr>
          <w:trHeight w:val="255"/>
        </w:trPr>
        <w:tc>
          <w:tcPr>
            <w:tcW w:w="672" w:type="dxa"/>
            <w:tcBorders>
              <w:top w:val="nil"/>
              <w:left w:val="nil"/>
              <w:bottom w:val="nil"/>
              <w:right w:val="nil"/>
            </w:tcBorders>
            <w:shd w:val="clear" w:color="000000" w:fill="FFFFFF"/>
            <w:noWrap/>
            <w:vAlign w:val="bottom"/>
            <w:hideMark/>
          </w:tcPr>
          <w:p w14:paraId="3F912CBC" w14:textId="77777777" w:rsidR="001347E1" w:rsidRDefault="001347E1" w:rsidP="006C433E">
            <w:pPr>
              <w:rPr>
                <w:color w:val="000000"/>
                <w:sz w:val="20"/>
                <w:szCs w:val="20"/>
              </w:rPr>
            </w:pPr>
            <w:r>
              <w:rPr>
                <w:color w:val="000000"/>
                <w:sz w:val="20"/>
                <w:szCs w:val="20"/>
              </w:rPr>
              <w:t> </w:t>
            </w:r>
          </w:p>
        </w:tc>
        <w:tc>
          <w:tcPr>
            <w:tcW w:w="666" w:type="dxa"/>
            <w:tcBorders>
              <w:top w:val="nil"/>
              <w:left w:val="nil"/>
              <w:bottom w:val="nil"/>
              <w:right w:val="nil"/>
            </w:tcBorders>
            <w:shd w:val="clear" w:color="000000" w:fill="FFFFFF"/>
            <w:noWrap/>
            <w:vAlign w:val="bottom"/>
            <w:hideMark/>
          </w:tcPr>
          <w:p w14:paraId="3F6DED4E" w14:textId="77777777" w:rsidR="001347E1" w:rsidRDefault="001347E1" w:rsidP="006C433E">
            <w:pPr>
              <w:rPr>
                <w:color w:val="000000"/>
                <w:sz w:val="20"/>
                <w:szCs w:val="20"/>
              </w:rPr>
            </w:pPr>
            <w:r>
              <w:rPr>
                <w:color w:val="000000"/>
                <w:sz w:val="20"/>
                <w:szCs w:val="20"/>
              </w:rPr>
              <w:t> </w:t>
            </w:r>
          </w:p>
        </w:tc>
        <w:tc>
          <w:tcPr>
            <w:tcW w:w="3520" w:type="dxa"/>
            <w:tcBorders>
              <w:top w:val="nil"/>
              <w:left w:val="nil"/>
              <w:bottom w:val="nil"/>
              <w:right w:val="nil"/>
            </w:tcBorders>
            <w:shd w:val="clear" w:color="000000" w:fill="FFFFFF"/>
            <w:noWrap/>
            <w:vAlign w:val="bottom"/>
            <w:hideMark/>
          </w:tcPr>
          <w:p w14:paraId="7735AE56" w14:textId="77777777" w:rsidR="001347E1" w:rsidRDefault="001347E1" w:rsidP="006C433E">
            <w:pPr>
              <w:rPr>
                <w:color w:val="000000"/>
                <w:sz w:val="20"/>
                <w:szCs w:val="20"/>
              </w:rPr>
            </w:pPr>
            <w:r>
              <w:rPr>
                <w:color w:val="000000"/>
                <w:sz w:val="20"/>
                <w:szCs w:val="20"/>
              </w:rPr>
              <w:t>Masters</w:t>
            </w:r>
          </w:p>
        </w:tc>
        <w:tc>
          <w:tcPr>
            <w:tcW w:w="1254" w:type="dxa"/>
            <w:tcBorders>
              <w:top w:val="nil"/>
              <w:left w:val="nil"/>
              <w:bottom w:val="nil"/>
              <w:right w:val="nil"/>
            </w:tcBorders>
            <w:shd w:val="clear" w:color="000000" w:fill="FFFFFF"/>
            <w:vAlign w:val="bottom"/>
            <w:hideMark/>
          </w:tcPr>
          <w:p w14:paraId="616E13C0" w14:textId="77777777" w:rsidR="001347E1" w:rsidRDefault="001347E1" w:rsidP="006C433E">
            <w:pPr>
              <w:jc w:val="center"/>
              <w:rPr>
                <w:color w:val="000000"/>
                <w:sz w:val="20"/>
                <w:szCs w:val="20"/>
              </w:rPr>
            </w:pPr>
            <w:r>
              <w:rPr>
                <w:color w:val="000000"/>
                <w:sz w:val="20"/>
                <w:szCs w:val="20"/>
              </w:rPr>
              <w:t>254</w:t>
            </w:r>
          </w:p>
        </w:tc>
        <w:tc>
          <w:tcPr>
            <w:tcW w:w="908" w:type="dxa"/>
            <w:tcBorders>
              <w:top w:val="nil"/>
              <w:left w:val="nil"/>
              <w:bottom w:val="nil"/>
              <w:right w:val="nil"/>
            </w:tcBorders>
            <w:shd w:val="clear" w:color="000000" w:fill="FFFFFF"/>
            <w:noWrap/>
            <w:vAlign w:val="bottom"/>
            <w:hideMark/>
          </w:tcPr>
          <w:p w14:paraId="56F885FD"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17392191"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05C96550" w14:textId="77777777" w:rsidR="001347E1" w:rsidRDefault="001347E1" w:rsidP="006C433E">
            <w:pPr>
              <w:jc w:val="center"/>
              <w:rPr>
                <w:color w:val="000000"/>
                <w:sz w:val="20"/>
                <w:szCs w:val="20"/>
              </w:rPr>
            </w:pPr>
            <w:r>
              <w:rPr>
                <w:color w:val="000000"/>
                <w:sz w:val="20"/>
                <w:szCs w:val="20"/>
              </w:rPr>
              <w:t> </w:t>
            </w:r>
          </w:p>
        </w:tc>
      </w:tr>
      <w:tr w:rsidR="001347E1" w14:paraId="5CF8A935" w14:textId="77777777" w:rsidTr="006C433E">
        <w:trPr>
          <w:trHeight w:val="255"/>
        </w:trPr>
        <w:tc>
          <w:tcPr>
            <w:tcW w:w="672" w:type="dxa"/>
            <w:tcBorders>
              <w:top w:val="nil"/>
              <w:left w:val="nil"/>
              <w:bottom w:val="nil"/>
              <w:right w:val="nil"/>
            </w:tcBorders>
            <w:shd w:val="clear" w:color="000000" w:fill="FFFFFF"/>
            <w:noWrap/>
            <w:vAlign w:val="bottom"/>
            <w:hideMark/>
          </w:tcPr>
          <w:p w14:paraId="30BA3606" w14:textId="77777777" w:rsidR="001347E1" w:rsidRDefault="001347E1" w:rsidP="006C433E">
            <w:pPr>
              <w:rPr>
                <w:color w:val="000000"/>
                <w:sz w:val="20"/>
                <w:szCs w:val="20"/>
              </w:rPr>
            </w:pPr>
            <w:r>
              <w:rPr>
                <w:color w:val="000000"/>
                <w:sz w:val="20"/>
                <w:szCs w:val="20"/>
              </w:rPr>
              <w:t> </w:t>
            </w:r>
          </w:p>
        </w:tc>
        <w:tc>
          <w:tcPr>
            <w:tcW w:w="666" w:type="dxa"/>
            <w:tcBorders>
              <w:top w:val="nil"/>
              <w:left w:val="nil"/>
              <w:bottom w:val="nil"/>
              <w:right w:val="nil"/>
            </w:tcBorders>
            <w:shd w:val="clear" w:color="000000" w:fill="FFFFFF"/>
            <w:noWrap/>
            <w:vAlign w:val="bottom"/>
            <w:hideMark/>
          </w:tcPr>
          <w:p w14:paraId="72B75B8B" w14:textId="77777777" w:rsidR="001347E1" w:rsidRDefault="001347E1" w:rsidP="006C433E">
            <w:pPr>
              <w:rPr>
                <w:color w:val="000000"/>
                <w:sz w:val="20"/>
                <w:szCs w:val="20"/>
              </w:rPr>
            </w:pPr>
            <w:r>
              <w:rPr>
                <w:color w:val="000000"/>
                <w:sz w:val="20"/>
                <w:szCs w:val="20"/>
              </w:rPr>
              <w:t> </w:t>
            </w:r>
          </w:p>
        </w:tc>
        <w:tc>
          <w:tcPr>
            <w:tcW w:w="3520" w:type="dxa"/>
            <w:tcBorders>
              <w:top w:val="nil"/>
              <w:left w:val="nil"/>
              <w:bottom w:val="nil"/>
              <w:right w:val="nil"/>
            </w:tcBorders>
            <w:shd w:val="clear" w:color="000000" w:fill="FFFFFF"/>
            <w:noWrap/>
            <w:vAlign w:val="bottom"/>
            <w:hideMark/>
          </w:tcPr>
          <w:p w14:paraId="7F3FDBC1" w14:textId="77777777" w:rsidR="001347E1" w:rsidRDefault="001347E1" w:rsidP="006C433E">
            <w:pPr>
              <w:rPr>
                <w:color w:val="000000"/>
                <w:sz w:val="20"/>
                <w:szCs w:val="20"/>
              </w:rPr>
            </w:pPr>
            <w:r>
              <w:rPr>
                <w:color w:val="000000"/>
                <w:sz w:val="20"/>
                <w:szCs w:val="20"/>
              </w:rPr>
              <w:t>Baccalaureate</w:t>
            </w:r>
          </w:p>
        </w:tc>
        <w:tc>
          <w:tcPr>
            <w:tcW w:w="1254" w:type="dxa"/>
            <w:tcBorders>
              <w:top w:val="nil"/>
              <w:left w:val="nil"/>
              <w:bottom w:val="nil"/>
              <w:right w:val="nil"/>
            </w:tcBorders>
            <w:shd w:val="clear" w:color="000000" w:fill="FFFFFF"/>
            <w:vAlign w:val="bottom"/>
            <w:hideMark/>
          </w:tcPr>
          <w:p w14:paraId="4FDE697B" w14:textId="77777777" w:rsidR="001347E1" w:rsidRDefault="001347E1" w:rsidP="006C433E">
            <w:pPr>
              <w:jc w:val="center"/>
              <w:rPr>
                <w:color w:val="000000"/>
                <w:sz w:val="20"/>
                <w:szCs w:val="20"/>
              </w:rPr>
            </w:pPr>
            <w:r>
              <w:rPr>
                <w:color w:val="000000"/>
                <w:sz w:val="20"/>
                <w:szCs w:val="20"/>
              </w:rPr>
              <w:t>107</w:t>
            </w:r>
          </w:p>
        </w:tc>
        <w:tc>
          <w:tcPr>
            <w:tcW w:w="908" w:type="dxa"/>
            <w:tcBorders>
              <w:top w:val="nil"/>
              <w:left w:val="nil"/>
              <w:bottom w:val="nil"/>
              <w:right w:val="nil"/>
            </w:tcBorders>
            <w:shd w:val="clear" w:color="000000" w:fill="FFFFFF"/>
            <w:noWrap/>
            <w:vAlign w:val="bottom"/>
            <w:hideMark/>
          </w:tcPr>
          <w:p w14:paraId="228182F4"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5D899A5D"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02F3C5D2" w14:textId="77777777" w:rsidR="001347E1" w:rsidRDefault="001347E1" w:rsidP="006C433E">
            <w:pPr>
              <w:jc w:val="center"/>
              <w:rPr>
                <w:color w:val="000000"/>
                <w:sz w:val="20"/>
                <w:szCs w:val="20"/>
              </w:rPr>
            </w:pPr>
            <w:r>
              <w:rPr>
                <w:color w:val="000000"/>
                <w:sz w:val="20"/>
                <w:szCs w:val="20"/>
              </w:rPr>
              <w:t> </w:t>
            </w:r>
          </w:p>
        </w:tc>
      </w:tr>
      <w:tr w:rsidR="001347E1" w14:paraId="650F01DF" w14:textId="77777777" w:rsidTr="006C433E">
        <w:trPr>
          <w:trHeight w:val="255"/>
        </w:trPr>
        <w:tc>
          <w:tcPr>
            <w:tcW w:w="672" w:type="dxa"/>
            <w:tcBorders>
              <w:top w:val="nil"/>
              <w:left w:val="nil"/>
              <w:bottom w:val="nil"/>
              <w:right w:val="nil"/>
            </w:tcBorders>
            <w:shd w:val="clear" w:color="000000" w:fill="FFFFFF"/>
            <w:noWrap/>
            <w:vAlign w:val="bottom"/>
            <w:hideMark/>
          </w:tcPr>
          <w:p w14:paraId="4A803EA2" w14:textId="77777777" w:rsidR="001347E1" w:rsidRDefault="001347E1" w:rsidP="006C433E">
            <w:pPr>
              <w:rPr>
                <w:color w:val="000000"/>
                <w:sz w:val="20"/>
                <w:szCs w:val="20"/>
              </w:rPr>
            </w:pPr>
            <w:r>
              <w:rPr>
                <w:color w:val="000000"/>
                <w:sz w:val="20"/>
                <w:szCs w:val="20"/>
              </w:rPr>
              <w:t> </w:t>
            </w:r>
          </w:p>
        </w:tc>
        <w:tc>
          <w:tcPr>
            <w:tcW w:w="666" w:type="dxa"/>
            <w:tcBorders>
              <w:top w:val="nil"/>
              <w:left w:val="nil"/>
              <w:bottom w:val="nil"/>
              <w:right w:val="nil"/>
            </w:tcBorders>
            <w:shd w:val="clear" w:color="000000" w:fill="FFFFFF"/>
            <w:noWrap/>
            <w:vAlign w:val="bottom"/>
            <w:hideMark/>
          </w:tcPr>
          <w:p w14:paraId="34EF984E" w14:textId="77777777" w:rsidR="001347E1" w:rsidRDefault="001347E1" w:rsidP="006C433E">
            <w:pPr>
              <w:rPr>
                <w:color w:val="000000"/>
                <w:sz w:val="20"/>
                <w:szCs w:val="20"/>
              </w:rPr>
            </w:pPr>
            <w:r>
              <w:rPr>
                <w:color w:val="000000"/>
                <w:sz w:val="20"/>
                <w:szCs w:val="20"/>
              </w:rPr>
              <w:t> </w:t>
            </w:r>
          </w:p>
        </w:tc>
        <w:tc>
          <w:tcPr>
            <w:tcW w:w="3520" w:type="dxa"/>
            <w:tcBorders>
              <w:top w:val="nil"/>
              <w:left w:val="nil"/>
              <w:bottom w:val="nil"/>
              <w:right w:val="nil"/>
            </w:tcBorders>
            <w:shd w:val="clear" w:color="000000" w:fill="FFFFFF"/>
            <w:noWrap/>
            <w:vAlign w:val="bottom"/>
            <w:hideMark/>
          </w:tcPr>
          <w:p w14:paraId="66B2BECD" w14:textId="77777777" w:rsidR="001347E1" w:rsidRDefault="001347E1" w:rsidP="006C433E">
            <w:pPr>
              <w:rPr>
                <w:color w:val="000000"/>
                <w:sz w:val="20"/>
                <w:szCs w:val="20"/>
              </w:rPr>
            </w:pPr>
            <w:r>
              <w:rPr>
                <w:color w:val="000000"/>
                <w:sz w:val="20"/>
                <w:szCs w:val="20"/>
              </w:rPr>
              <w:t>Carnegie - Other</w:t>
            </w:r>
          </w:p>
        </w:tc>
        <w:tc>
          <w:tcPr>
            <w:tcW w:w="1254" w:type="dxa"/>
            <w:tcBorders>
              <w:top w:val="nil"/>
              <w:left w:val="nil"/>
              <w:bottom w:val="nil"/>
              <w:right w:val="nil"/>
            </w:tcBorders>
            <w:shd w:val="clear" w:color="000000" w:fill="FFFFFF"/>
            <w:vAlign w:val="bottom"/>
            <w:hideMark/>
          </w:tcPr>
          <w:p w14:paraId="724EAFD6" w14:textId="77777777" w:rsidR="001347E1" w:rsidRDefault="001347E1" w:rsidP="006C433E">
            <w:pPr>
              <w:jc w:val="center"/>
              <w:rPr>
                <w:color w:val="000000"/>
                <w:sz w:val="20"/>
                <w:szCs w:val="20"/>
              </w:rPr>
            </w:pPr>
            <w:r>
              <w:rPr>
                <w:color w:val="000000"/>
                <w:sz w:val="20"/>
                <w:szCs w:val="20"/>
              </w:rPr>
              <w:t>43</w:t>
            </w:r>
          </w:p>
        </w:tc>
        <w:tc>
          <w:tcPr>
            <w:tcW w:w="908" w:type="dxa"/>
            <w:tcBorders>
              <w:top w:val="nil"/>
              <w:left w:val="nil"/>
              <w:bottom w:val="nil"/>
              <w:right w:val="nil"/>
            </w:tcBorders>
            <w:shd w:val="clear" w:color="000000" w:fill="FFFFFF"/>
            <w:noWrap/>
            <w:vAlign w:val="bottom"/>
            <w:hideMark/>
          </w:tcPr>
          <w:p w14:paraId="4FBC9E20"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120B155C"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4E3F14D5" w14:textId="77777777" w:rsidR="001347E1" w:rsidRDefault="001347E1" w:rsidP="006C433E">
            <w:pPr>
              <w:jc w:val="center"/>
              <w:rPr>
                <w:color w:val="000000"/>
                <w:sz w:val="20"/>
                <w:szCs w:val="20"/>
              </w:rPr>
            </w:pPr>
            <w:r>
              <w:rPr>
                <w:color w:val="000000"/>
                <w:sz w:val="20"/>
                <w:szCs w:val="20"/>
              </w:rPr>
              <w:t> </w:t>
            </w:r>
          </w:p>
        </w:tc>
      </w:tr>
      <w:tr w:rsidR="001347E1" w14:paraId="552ED874" w14:textId="77777777" w:rsidTr="006C433E">
        <w:trPr>
          <w:trHeight w:val="60"/>
        </w:trPr>
        <w:tc>
          <w:tcPr>
            <w:tcW w:w="672" w:type="dxa"/>
            <w:tcBorders>
              <w:top w:val="nil"/>
              <w:left w:val="nil"/>
              <w:bottom w:val="nil"/>
              <w:right w:val="nil"/>
            </w:tcBorders>
            <w:shd w:val="clear" w:color="000000" w:fill="FFFFFF"/>
            <w:noWrap/>
            <w:vAlign w:val="bottom"/>
            <w:hideMark/>
          </w:tcPr>
          <w:p w14:paraId="0BC7C7B1" w14:textId="77777777" w:rsidR="001347E1" w:rsidRDefault="001347E1" w:rsidP="006C433E">
            <w:pPr>
              <w:rPr>
                <w:color w:val="000000"/>
                <w:sz w:val="20"/>
                <w:szCs w:val="20"/>
              </w:rPr>
            </w:pPr>
            <w:r>
              <w:rPr>
                <w:color w:val="000000"/>
                <w:sz w:val="20"/>
                <w:szCs w:val="20"/>
              </w:rPr>
              <w:t> </w:t>
            </w:r>
          </w:p>
        </w:tc>
        <w:tc>
          <w:tcPr>
            <w:tcW w:w="666" w:type="dxa"/>
            <w:tcBorders>
              <w:top w:val="nil"/>
              <w:left w:val="nil"/>
              <w:bottom w:val="nil"/>
              <w:right w:val="nil"/>
            </w:tcBorders>
            <w:shd w:val="clear" w:color="000000" w:fill="FFFFFF"/>
            <w:noWrap/>
            <w:vAlign w:val="bottom"/>
            <w:hideMark/>
          </w:tcPr>
          <w:p w14:paraId="0A449890" w14:textId="77777777" w:rsidR="001347E1" w:rsidRDefault="001347E1" w:rsidP="006C433E">
            <w:pPr>
              <w:rPr>
                <w:color w:val="000000"/>
                <w:sz w:val="20"/>
                <w:szCs w:val="20"/>
              </w:rPr>
            </w:pPr>
            <w:r>
              <w:rPr>
                <w:color w:val="000000"/>
                <w:sz w:val="20"/>
                <w:szCs w:val="20"/>
              </w:rPr>
              <w:t> </w:t>
            </w:r>
          </w:p>
        </w:tc>
        <w:tc>
          <w:tcPr>
            <w:tcW w:w="3520" w:type="dxa"/>
            <w:tcBorders>
              <w:top w:val="nil"/>
              <w:left w:val="nil"/>
              <w:bottom w:val="nil"/>
              <w:right w:val="nil"/>
            </w:tcBorders>
            <w:shd w:val="clear" w:color="000000" w:fill="FFFFFF"/>
            <w:noWrap/>
            <w:vAlign w:val="bottom"/>
            <w:hideMark/>
          </w:tcPr>
          <w:p w14:paraId="049D75D4" w14:textId="77777777" w:rsidR="001347E1" w:rsidRDefault="001347E1" w:rsidP="006C433E">
            <w:pPr>
              <w:rPr>
                <w:color w:val="000000"/>
                <w:sz w:val="20"/>
                <w:szCs w:val="20"/>
              </w:rPr>
            </w:pPr>
            <w:r>
              <w:rPr>
                <w:color w:val="000000"/>
                <w:sz w:val="20"/>
                <w:szCs w:val="20"/>
              </w:rPr>
              <w:t> </w:t>
            </w:r>
          </w:p>
        </w:tc>
        <w:tc>
          <w:tcPr>
            <w:tcW w:w="1254" w:type="dxa"/>
            <w:tcBorders>
              <w:top w:val="nil"/>
              <w:left w:val="nil"/>
              <w:bottom w:val="nil"/>
              <w:right w:val="nil"/>
            </w:tcBorders>
            <w:shd w:val="clear" w:color="000000" w:fill="FFFFFF"/>
            <w:noWrap/>
            <w:vAlign w:val="bottom"/>
            <w:hideMark/>
          </w:tcPr>
          <w:p w14:paraId="27BDEB42" w14:textId="77777777" w:rsidR="001347E1" w:rsidRDefault="001347E1" w:rsidP="006C433E">
            <w:pPr>
              <w:jc w:val="center"/>
              <w:rPr>
                <w:color w:val="000000"/>
                <w:sz w:val="20"/>
                <w:szCs w:val="20"/>
              </w:rPr>
            </w:pPr>
            <w:r>
              <w:rPr>
                <w:color w:val="000000"/>
                <w:sz w:val="20"/>
                <w:szCs w:val="20"/>
              </w:rPr>
              <w:t> </w:t>
            </w:r>
          </w:p>
        </w:tc>
        <w:tc>
          <w:tcPr>
            <w:tcW w:w="908" w:type="dxa"/>
            <w:tcBorders>
              <w:top w:val="nil"/>
              <w:left w:val="nil"/>
              <w:bottom w:val="nil"/>
              <w:right w:val="nil"/>
            </w:tcBorders>
            <w:shd w:val="clear" w:color="000000" w:fill="FFFFFF"/>
            <w:noWrap/>
            <w:vAlign w:val="bottom"/>
            <w:hideMark/>
          </w:tcPr>
          <w:p w14:paraId="3BF70105"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0DEEDF95"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2004048A" w14:textId="77777777" w:rsidR="001347E1" w:rsidRDefault="001347E1" w:rsidP="006C433E">
            <w:pPr>
              <w:jc w:val="center"/>
              <w:rPr>
                <w:color w:val="000000"/>
                <w:sz w:val="20"/>
                <w:szCs w:val="20"/>
              </w:rPr>
            </w:pPr>
            <w:r>
              <w:rPr>
                <w:color w:val="000000"/>
                <w:sz w:val="20"/>
                <w:szCs w:val="20"/>
              </w:rPr>
              <w:t> </w:t>
            </w:r>
          </w:p>
        </w:tc>
      </w:tr>
      <w:tr w:rsidR="001347E1" w14:paraId="3951F85F" w14:textId="77777777" w:rsidTr="006C433E">
        <w:trPr>
          <w:trHeight w:val="315"/>
        </w:trPr>
        <w:tc>
          <w:tcPr>
            <w:tcW w:w="4858" w:type="dxa"/>
            <w:gridSpan w:val="3"/>
            <w:tcBorders>
              <w:top w:val="nil"/>
              <w:left w:val="nil"/>
              <w:bottom w:val="nil"/>
              <w:right w:val="nil"/>
            </w:tcBorders>
            <w:shd w:val="clear" w:color="000000" w:fill="FFFFFF"/>
            <w:noWrap/>
            <w:vAlign w:val="bottom"/>
            <w:hideMark/>
          </w:tcPr>
          <w:p w14:paraId="0132CE6F" w14:textId="77777777" w:rsidR="001347E1" w:rsidRDefault="001347E1" w:rsidP="006C433E">
            <w:pPr>
              <w:rPr>
                <w:i/>
                <w:iCs/>
                <w:color w:val="000000"/>
                <w:sz w:val="20"/>
                <w:szCs w:val="20"/>
              </w:rPr>
            </w:pPr>
            <w:r>
              <w:rPr>
                <w:i/>
                <w:iCs/>
                <w:color w:val="000000"/>
                <w:sz w:val="20"/>
                <w:szCs w:val="20"/>
              </w:rPr>
              <w:t>State Level</w:t>
            </w:r>
          </w:p>
        </w:tc>
        <w:tc>
          <w:tcPr>
            <w:tcW w:w="1254" w:type="dxa"/>
            <w:tcBorders>
              <w:top w:val="nil"/>
              <w:left w:val="nil"/>
              <w:bottom w:val="nil"/>
              <w:right w:val="nil"/>
            </w:tcBorders>
            <w:shd w:val="clear" w:color="000000" w:fill="FFFFFF"/>
            <w:noWrap/>
            <w:vAlign w:val="bottom"/>
            <w:hideMark/>
          </w:tcPr>
          <w:p w14:paraId="15262835" w14:textId="77777777" w:rsidR="001347E1" w:rsidRDefault="001347E1" w:rsidP="006C433E">
            <w:pPr>
              <w:jc w:val="center"/>
              <w:rPr>
                <w:color w:val="000000"/>
                <w:sz w:val="20"/>
                <w:szCs w:val="20"/>
              </w:rPr>
            </w:pPr>
            <w:r>
              <w:rPr>
                <w:color w:val="000000"/>
                <w:sz w:val="20"/>
                <w:szCs w:val="20"/>
              </w:rPr>
              <w:t> </w:t>
            </w:r>
          </w:p>
        </w:tc>
        <w:tc>
          <w:tcPr>
            <w:tcW w:w="908" w:type="dxa"/>
            <w:tcBorders>
              <w:top w:val="nil"/>
              <w:left w:val="nil"/>
              <w:bottom w:val="nil"/>
              <w:right w:val="nil"/>
            </w:tcBorders>
            <w:shd w:val="clear" w:color="000000" w:fill="FFFFFF"/>
            <w:noWrap/>
            <w:vAlign w:val="bottom"/>
            <w:hideMark/>
          </w:tcPr>
          <w:p w14:paraId="73E12F5A"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20E27A95"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2B857122" w14:textId="77777777" w:rsidR="001347E1" w:rsidRDefault="001347E1" w:rsidP="006C433E">
            <w:pPr>
              <w:jc w:val="center"/>
              <w:rPr>
                <w:color w:val="000000"/>
                <w:sz w:val="20"/>
                <w:szCs w:val="20"/>
              </w:rPr>
            </w:pPr>
            <w:r>
              <w:rPr>
                <w:color w:val="000000"/>
                <w:sz w:val="20"/>
                <w:szCs w:val="20"/>
              </w:rPr>
              <w:t> </w:t>
            </w:r>
          </w:p>
        </w:tc>
      </w:tr>
      <w:tr w:rsidR="001347E1" w14:paraId="27F0EAA4" w14:textId="77777777" w:rsidTr="006C433E">
        <w:trPr>
          <w:trHeight w:val="60"/>
        </w:trPr>
        <w:tc>
          <w:tcPr>
            <w:tcW w:w="672" w:type="dxa"/>
            <w:tcBorders>
              <w:top w:val="nil"/>
              <w:left w:val="nil"/>
              <w:bottom w:val="nil"/>
              <w:right w:val="nil"/>
            </w:tcBorders>
            <w:shd w:val="clear" w:color="000000" w:fill="FFFFFF"/>
            <w:noWrap/>
            <w:vAlign w:val="bottom"/>
            <w:hideMark/>
          </w:tcPr>
          <w:p w14:paraId="18B2383E" w14:textId="77777777" w:rsidR="001347E1" w:rsidRDefault="001347E1" w:rsidP="006C433E">
            <w:pPr>
              <w:rPr>
                <w:color w:val="000000"/>
                <w:sz w:val="20"/>
                <w:szCs w:val="20"/>
              </w:rPr>
            </w:pPr>
            <w:r>
              <w:rPr>
                <w:color w:val="000000"/>
                <w:sz w:val="20"/>
                <w:szCs w:val="20"/>
              </w:rPr>
              <w:t> </w:t>
            </w:r>
          </w:p>
        </w:tc>
        <w:tc>
          <w:tcPr>
            <w:tcW w:w="666" w:type="dxa"/>
            <w:tcBorders>
              <w:top w:val="nil"/>
              <w:left w:val="nil"/>
              <w:bottom w:val="nil"/>
              <w:right w:val="nil"/>
            </w:tcBorders>
            <w:shd w:val="clear" w:color="000000" w:fill="FFFFFF"/>
            <w:noWrap/>
            <w:vAlign w:val="bottom"/>
            <w:hideMark/>
          </w:tcPr>
          <w:p w14:paraId="0824734D" w14:textId="77777777" w:rsidR="001347E1" w:rsidRDefault="001347E1" w:rsidP="006C433E">
            <w:pPr>
              <w:rPr>
                <w:color w:val="000000"/>
                <w:sz w:val="20"/>
                <w:szCs w:val="20"/>
              </w:rPr>
            </w:pPr>
            <w:r>
              <w:rPr>
                <w:color w:val="000000"/>
                <w:sz w:val="20"/>
                <w:szCs w:val="20"/>
              </w:rPr>
              <w:t> </w:t>
            </w:r>
          </w:p>
        </w:tc>
        <w:tc>
          <w:tcPr>
            <w:tcW w:w="3520" w:type="dxa"/>
            <w:tcBorders>
              <w:top w:val="nil"/>
              <w:left w:val="nil"/>
              <w:bottom w:val="nil"/>
              <w:right w:val="nil"/>
            </w:tcBorders>
            <w:shd w:val="clear" w:color="000000" w:fill="FFFFFF"/>
            <w:noWrap/>
            <w:vAlign w:val="bottom"/>
            <w:hideMark/>
          </w:tcPr>
          <w:p w14:paraId="7967FD1A" w14:textId="77777777" w:rsidR="001347E1" w:rsidRDefault="001347E1" w:rsidP="006C433E">
            <w:pPr>
              <w:rPr>
                <w:color w:val="000000"/>
                <w:sz w:val="20"/>
                <w:szCs w:val="20"/>
              </w:rPr>
            </w:pPr>
            <w:r>
              <w:rPr>
                <w:color w:val="000000"/>
                <w:sz w:val="20"/>
                <w:szCs w:val="20"/>
              </w:rPr>
              <w:t> </w:t>
            </w:r>
          </w:p>
        </w:tc>
        <w:tc>
          <w:tcPr>
            <w:tcW w:w="1254" w:type="dxa"/>
            <w:tcBorders>
              <w:top w:val="nil"/>
              <w:left w:val="nil"/>
              <w:bottom w:val="nil"/>
              <w:right w:val="nil"/>
            </w:tcBorders>
            <w:shd w:val="clear" w:color="000000" w:fill="FFFFFF"/>
            <w:noWrap/>
            <w:vAlign w:val="bottom"/>
            <w:hideMark/>
          </w:tcPr>
          <w:p w14:paraId="2565CE20" w14:textId="77777777" w:rsidR="001347E1" w:rsidRDefault="001347E1" w:rsidP="006C433E">
            <w:pPr>
              <w:jc w:val="center"/>
              <w:rPr>
                <w:color w:val="000000"/>
                <w:sz w:val="20"/>
                <w:szCs w:val="20"/>
              </w:rPr>
            </w:pPr>
            <w:r>
              <w:rPr>
                <w:color w:val="000000"/>
                <w:sz w:val="20"/>
                <w:szCs w:val="20"/>
              </w:rPr>
              <w:t> </w:t>
            </w:r>
          </w:p>
        </w:tc>
        <w:tc>
          <w:tcPr>
            <w:tcW w:w="908" w:type="dxa"/>
            <w:tcBorders>
              <w:top w:val="nil"/>
              <w:left w:val="nil"/>
              <w:bottom w:val="nil"/>
              <w:right w:val="nil"/>
            </w:tcBorders>
            <w:shd w:val="clear" w:color="000000" w:fill="FFFFFF"/>
            <w:noWrap/>
            <w:vAlign w:val="bottom"/>
            <w:hideMark/>
          </w:tcPr>
          <w:p w14:paraId="4DA168E2"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nil"/>
              <w:right w:val="nil"/>
            </w:tcBorders>
            <w:shd w:val="clear" w:color="000000" w:fill="FFFFFF"/>
            <w:noWrap/>
            <w:vAlign w:val="bottom"/>
            <w:hideMark/>
          </w:tcPr>
          <w:p w14:paraId="444175FA"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nil"/>
              <w:right w:val="nil"/>
            </w:tcBorders>
            <w:shd w:val="clear" w:color="000000" w:fill="FFFFFF"/>
            <w:noWrap/>
            <w:vAlign w:val="bottom"/>
            <w:hideMark/>
          </w:tcPr>
          <w:p w14:paraId="1E57C36D" w14:textId="77777777" w:rsidR="001347E1" w:rsidRDefault="001347E1" w:rsidP="006C433E">
            <w:pPr>
              <w:jc w:val="center"/>
              <w:rPr>
                <w:color w:val="000000"/>
                <w:sz w:val="20"/>
                <w:szCs w:val="20"/>
              </w:rPr>
            </w:pPr>
            <w:r>
              <w:rPr>
                <w:color w:val="000000"/>
                <w:sz w:val="20"/>
                <w:szCs w:val="20"/>
              </w:rPr>
              <w:t> </w:t>
            </w:r>
          </w:p>
        </w:tc>
      </w:tr>
      <w:tr w:rsidR="001347E1" w14:paraId="61FAAA1F" w14:textId="77777777" w:rsidTr="006C433E">
        <w:trPr>
          <w:trHeight w:val="255"/>
        </w:trPr>
        <w:tc>
          <w:tcPr>
            <w:tcW w:w="672" w:type="dxa"/>
            <w:tcBorders>
              <w:top w:val="nil"/>
              <w:left w:val="nil"/>
              <w:bottom w:val="nil"/>
              <w:right w:val="nil"/>
            </w:tcBorders>
            <w:shd w:val="clear" w:color="000000" w:fill="FFFFFF"/>
            <w:noWrap/>
            <w:vAlign w:val="bottom"/>
            <w:hideMark/>
          </w:tcPr>
          <w:p w14:paraId="60665856" w14:textId="77777777" w:rsidR="001347E1" w:rsidRDefault="001347E1" w:rsidP="006C433E">
            <w:pPr>
              <w:rPr>
                <w:color w:val="000000"/>
                <w:sz w:val="20"/>
                <w:szCs w:val="20"/>
              </w:rPr>
            </w:pPr>
            <w:r>
              <w:rPr>
                <w:color w:val="000000"/>
                <w:sz w:val="20"/>
                <w:szCs w:val="20"/>
              </w:rPr>
              <w:t> </w:t>
            </w:r>
          </w:p>
        </w:tc>
        <w:tc>
          <w:tcPr>
            <w:tcW w:w="4186" w:type="dxa"/>
            <w:gridSpan w:val="2"/>
            <w:tcBorders>
              <w:top w:val="nil"/>
              <w:left w:val="nil"/>
              <w:bottom w:val="nil"/>
              <w:right w:val="nil"/>
            </w:tcBorders>
            <w:shd w:val="clear" w:color="000000" w:fill="FFFFFF"/>
            <w:noWrap/>
            <w:vAlign w:val="bottom"/>
            <w:hideMark/>
          </w:tcPr>
          <w:p w14:paraId="5157D560" w14:textId="77777777" w:rsidR="001347E1" w:rsidRDefault="001347E1" w:rsidP="006C433E">
            <w:pPr>
              <w:rPr>
                <w:color w:val="000000"/>
                <w:sz w:val="20"/>
                <w:szCs w:val="20"/>
              </w:rPr>
            </w:pPr>
            <w:r>
              <w:rPr>
                <w:color w:val="000000"/>
                <w:sz w:val="20"/>
                <w:szCs w:val="20"/>
              </w:rPr>
              <w:t>Average Household Income by State</w:t>
            </w:r>
          </w:p>
        </w:tc>
        <w:tc>
          <w:tcPr>
            <w:tcW w:w="1254" w:type="dxa"/>
            <w:tcBorders>
              <w:top w:val="nil"/>
              <w:left w:val="nil"/>
              <w:bottom w:val="nil"/>
              <w:right w:val="nil"/>
            </w:tcBorders>
            <w:shd w:val="clear" w:color="000000" w:fill="FFFFFF"/>
            <w:noWrap/>
            <w:vAlign w:val="bottom"/>
            <w:hideMark/>
          </w:tcPr>
          <w:p w14:paraId="31A1A090" w14:textId="77777777" w:rsidR="001347E1" w:rsidRDefault="001347E1" w:rsidP="006C433E">
            <w:pPr>
              <w:jc w:val="center"/>
              <w:rPr>
                <w:color w:val="000000"/>
                <w:sz w:val="20"/>
                <w:szCs w:val="20"/>
              </w:rPr>
            </w:pPr>
            <w:r>
              <w:rPr>
                <w:color w:val="000000"/>
                <w:sz w:val="20"/>
                <w:szCs w:val="20"/>
              </w:rPr>
              <w:t>$55,167</w:t>
            </w:r>
          </w:p>
        </w:tc>
        <w:tc>
          <w:tcPr>
            <w:tcW w:w="908" w:type="dxa"/>
            <w:tcBorders>
              <w:top w:val="nil"/>
              <w:left w:val="nil"/>
              <w:bottom w:val="nil"/>
              <w:right w:val="nil"/>
            </w:tcBorders>
            <w:shd w:val="clear" w:color="000000" w:fill="FFFFFF"/>
            <w:noWrap/>
            <w:vAlign w:val="bottom"/>
            <w:hideMark/>
          </w:tcPr>
          <w:p w14:paraId="2099823D" w14:textId="77777777" w:rsidR="001347E1" w:rsidRDefault="001347E1" w:rsidP="006C433E">
            <w:pPr>
              <w:jc w:val="center"/>
              <w:rPr>
                <w:color w:val="000000"/>
                <w:sz w:val="20"/>
                <w:szCs w:val="20"/>
              </w:rPr>
            </w:pPr>
            <w:r>
              <w:rPr>
                <w:color w:val="000000"/>
                <w:sz w:val="20"/>
                <w:szCs w:val="20"/>
              </w:rPr>
              <w:t>$8,003</w:t>
            </w:r>
          </w:p>
        </w:tc>
        <w:tc>
          <w:tcPr>
            <w:tcW w:w="759" w:type="dxa"/>
            <w:tcBorders>
              <w:top w:val="nil"/>
              <w:left w:val="nil"/>
              <w:bottom w:val="nil"/>
              <w:right w:val="nil"/>
            </w:tcBorders>
            <w:shd w:val="clear" w:color="000000" w:fill="FFFFFF"/>
            <w:noWrap/>
            <w:vAlign w:val="bottom"/>
            <w:hideMark/>
          </w:tcPr>
          <w:p w14:paraId="3C263467" w14:textId="77777777" w:rsidR="001347E1" w:rsidRDefault="001347E1" w:rsidP="006C433E">
            <w:pPr>
              <w:jc w:val="center"/>
              <w:rPr>
                <w:color w:val="000000"/>
                <w:sz w:val="20"/>
                <w:szCs w:val="20"/>
              </w:rPr>
            </w:pPr>
            <w:r>
              <w:rPr>
                <w:color w:val="000000"/>
                <w:sz w:val="20"/>
                <w:szCs w:val="20"/>
              </w:rPr>
              <w:t>$73,038</w:t>
            </w:r>
          </w:p>
        </w:tc>
        <w:tc>
          <w:tcPr>
            <w:tcW w:w="953" w:type="dxa"/>
            <w:tcBorders>
              <w:top w:val="nil"/>
              <w:left w:val="nil"/>
              <w:bottom w:val="nil"/>
              <w:right w:val="nil"/>
            </w:tcBorders>
            <w:shd w:val="clear" w:color="000000" w:fill="FFFFFF"/>
            <w:noWrap/>
            <w:vAlign w:val="bottom"/>
            <w:hideMark/>
          </w:tcPr>
          <w:p w14:paraId="20B52FE2" w14:textId="77777777" w:rsidR="001347E1" w:rsidRDefault="001347E1" w:rsidP="006C433E">
            <w:pPr>
              <w:jc w:val="center"/>
              <w:rPr>
                <w:color w:val="000000"/>
                <w:sz w:val="20"/>
                <w:szCs w:val="20"/>
              </w:rPr>
            </w:pPr>
            <w:r>
              <w:rPr>
                <w:color w:val="000000"/>
                <w:sz w:val="20"/>
                <w:szCs w:val="20"/>
              </w:rPr>
              <w:t>$40,481</w:t>
            </w:r>
          </w:p>
        </w:tc>
      </w:tr>
      <w:tr w:rsidR="001347E1" w14:paraId="6CD155DB" w14:textId="77777777" w:rsidTr="006C433E">
        <w:trPr>
          <w:trHeight w:val="255"/>
        </w:trPr>
        <w:tc>
          <w:tcPr>
            <w:tcW w:w="672" w:type="dxa"/>
            <w:tcBorders>
              <w:top w:val="nil"/>
              <w:left w:val="nil"/>
              <w:bottom w:val="nil"/>
              <w:right w:val="nil"/>
            </w:tcBorders>
            <w:shd w:val="clear" w:color="000000" w:fill="FFFFFF"/>
            <w:noWrap/>
            <w:vAlign w:val="bottom"/>
            <w:hideMark/>
          </w:tcPr>
          <w:p w14:paraId="685D49DD" w14:textId="77777777" w:rsidR="001347E1" w:rsidRDefault="001347E1" w:rsidP="006C433E">
            <w:pPr>
              <w:rPr>
                <w:color w:val="000000"/>
                <w:sz w:val="20"/>
                <w:szCs w:val="20"/>
              </w:rPr>
            </w:pPr>
            <w:r>
              <w:rPr>
                <w:color w:val="000000"/>
                <w:sz w:val="20"/>
                <w:szCs w:val="20"/>
              </w:rPr>
              <w:t> </w:t>
            </w:r>
          </w:p>
        </w:tc>
        <w:tc>
          <w:tcPr>
            <w:tcW w:w="4186" w:type="dxa"/>
            <w:gridSpan w:val="2"/>
            <w:tcBorders>
              <w:top w:val="nil"/>
              <w:left w:val="nil"/>
              <w:bottom w:val="nil"/>
              <w:right w:val="nil"/>
            </w:tcBorders>
            <w:shd w:val="clear" w:color="000000" w:fill="FFFFFF"/>
            <w:noWrap/>
            <w:vAlign w:val="bottom"/>
            <w:hideMark/>
          </w:tcPr>
          <w:p w14:paraId="5DE7A4FC" w14:textId="77777777" w:rsidR="001347E1" w:rsidRDefault="001347E1" w:rsidP="006C433E">
            <w:pPr>
              <w:rPr>
                <w:color w:val="000000"/>
                <w:sz w:val="20"/>
                <w:szCs w:val="20"/>
              </w:rPr>
            </w:pPr>
            <w:r>
              <w:rPr>
                <w:color w:val="000000"/>
                <w:sz w:val="20"/>
                <w:szCs w:val="20"/>
              </w:rPr>
              <w:t>Average Unemployment Rate by State</w:t>
            </w:r>
          </w:p>
        </w:tc>
        <w:tc>
          <w:tcPr>
            <w:tcW w:w="1254" w:type="dxa"/>
            <w:tcBorders>
              <w:top w:val="nil"/>
              <w:left w:val="nil"/>
              <w:bottom w:val="nil"/>
              <w:right w:val="nil"/>
            </w:tcBorders>
            <w:shd w:val="clear" w:color="000000" w:fill="FFFFFF"/>
            <w:noWrap/>
            <w:vAlign w:val="bottom"/>
            <w:hideMark/>
          </w:tcPr>
          <w:p w14:paraId="1AB14180" w14:textId="77777777" w:rsidR="001347E1" w:rsidRDefault="001347E1" w:rsidP="006C433E">
            <w:pPr>
              <w:jc w:val="center"/>
              <w:rPr>
                <w:color w:val="000000"/>
                <w:sz w:val="20"/>
                <w:szCs w:val="20"/>
              </w:rPr>
            </w:pPr>
            <w:r>
              <w:rPr>
                <w:color w:val="000000"/>
                <w:sz w:val="20"/>
                <w:szCs w:val="20"/>
              </w:rPr>
              <w:t>4.9%</w:t>
            </w:r>
          </w:p>
        </w:tc>
        <w:tc>
          <w:tcPr>
            <w:tcW w:w="908" w:type="dxa"/>
            <w:tcBorders>
              <w:top w:val="nil"/>
              <w:left w:val="nil"/>
              <w:bottom w:val="nil"/>
              <w:right w:val="nil"/>
            </w:tcBorders>
            <w:shd w:val="clear" w:color="000000" w:fill="FFFFFF"/>
            <w:noWrap/>
            <w:vAlign w:val="bottom"/>
            <w:hideMark/>
          </w:tcPr>
          <w:p w14:paraId="1D2A78D6" w14:textId="77777777" w:rsidR="001347E1" w:rsidRDefault="001347E1" w:rsidP="006C433E">
            <w:pPr>
              <w:jc w:val="center"/>
              <w:rPr>
                <w:color w:val="000000"/>
                <w:sz w:val="20"/>
                <w:szCs w:val="20"/>
              </w:rPr>
            </w:pPr>
            <w:r>
              <w:rPr>
                <w:color w:val="000000"/>
                <w:sz w:val="20"/>
                <w:szCs w:val="20"/>
              </w:rPr>
              <w:t>0.9%</w:t>
            </w:r>
          </w:p>
        </w:tc>
        <w:tc>
          <w:tcPr>
            <w:tcW w:w="759" w:type="dxa"/>
            <w:tcBorders>
              <w:top w:val="nil"/>
              <w:left w:val="nil"/>
              <w:bottom w:val="nil"/>
              <w:right w:val="nil"/>
            </w:tcBorders>
            <w:shd w:val="clear" w:color="000000" w:fill="FFFFFF"/>
            <w:noWrap/>
            <w:vAlign w:val="bottom"/>
            <w:hideMark/>
          </w:tcPr>
          <w:p w14:paraId="016A591A" w14:textId="77777777" w:rsidR="001347E1" w:rsidRDefault="001347E1" w:rsidP="006C433E">
            <w:pPr>
              <w:jc w:val="center"/>
              <w:rPr>
                <w:color w:val="000000"/>
                <w:sz w:val="20"/>
                <w:szCs w:val="20"/>
              </w:rPr>
            </w:pPr>
            <w:r>
              <w:rPr>
                <w:color w:val="000000"/>
                <w:sz w:val="20"/>
                <w:szCs w:val="20"/>
              </w:rPr>
              <w:t>7.4%</w:t>
            </w:r>
          </w:p>
        </w:tc>
        <w:tc>
          <w:tcPr>
            <w:tcW w:w="953" w:type="dxa"/>
            <w:tcBorders>
              <w:top w:val="nil"/>
              <w:left w:val="nil"/>
              <w:bottom w:val="nil"/>
              <w:right w:val="nil"/>
            </w:tcBorders>
            <w:shd w:val="clear" w:color="000000" w:fill="FFFFFF"/>
            <w:noWrap/>
            <w:vAlign w:val="bottom"/>
            <w:hideMark/>
          </w:tcPr>
          <w:p w14:paraId="67E8E620" w14:textId="77777777" w:rsidR="001347E1" w:rsidRDefault="001347E1" w:rsidP="006C433E">
            <w:pPr>
              <w:jc w:val="center"/>
              <w:rPr>
                <w:color w:val="000000"/>
                <w:sz w:val="20"/>
                <w:szCs w:val="20"/>
              </w:rPr>
            </w:pPr>
            <w:r>
              <w:rPr>
                <w:color w:val="000000"/>
                <w:sz w:val="20"/>
                <w:szCs w:val="20"/>
              </w:rPr>
              <w:t>3.0%</w:t>
            </w:r>
          </w:p>
        </w:tc>
      </w:tr>
      <w:tr w:rsidR="001347E1" w14:paraId="55C98851" w14:textId="77777777" w:rsidTr="006C433E">
        <w:trPr>
          <w:trHeight w:val="525"/>
        </w:trPr>
        <w:tc>
          <w:tcPr>
            <w:tcW w:w="672" w:type="dxa"/>
            <w:tcBorders>
              <w:top w:val="nil"/>
              <w:left w:val="nil"/>
              <w:bottom w:val="nil"/>
              <w:right w:val="nil"/>
            </w:tcBorders>
            <w:shd w:val="clear" w:color="000000" w:fill="FFFFFF"/>
            <w:noWrap/>
            <w:vAlign w:val="bottom"/>
            <w:hideMark/>
          </w:tcPr>
          <w:p w14:paraId="35D79E02" w14:textId="77777777" w:rsidR="001347E1" w:rsidRDefault="001347E1" w:rsidP="006C433E">
            <w:pPr>
              <w:rPr>
                <w:color w:val="000000"/>
                <w:sz w:val="20"/>
                <w:szCs w:val="20"/>
              </w:rPr>
            </w:pPr>
            <w:r>
              <w:rPr>
                <w:color w:val="000000"/>
                <w:sz w:val="20"/>
                <w:szCs w:val="20"/>
              </w:rPr>
              <w:t> </w:t>
            </w:r>
          </w:p>
        </w:tc>
        <w:tc>
          <w:tcPr>
            <w:tcW w:w="4186" w:type="dxa"/>
            <w:gridSpan w:val="2"/>
            <w:tcBorders>
              <w:top w:val="nil"/>
              <w:left w:val="nil"/>
              <w:bottom w:val="nil"/>
              <w:right w:val="nil"/>
            </w:tcBorders>
            <w:shd w:val="clear" w:color="000000" w:fill="FFFFFF"/>
            <w:vAlign w:val="bottom"/>
            <w:hideMark/>
          </w:tcPr>
          <w:p w14:paraId="2BD5787D" w14:textId="77777777" w:rsidR="001347E1" w:rsidRDefault="001347E1" w:rsidP="006C433E">
            <w:pPr>
              <w:rPr>
                <w:color w:val="000000"/>
                <w:sz w:val="20"/>
                <w:szCs w:val="20"/>
              </w:rPr>
            </w:pPr>
            <w:r>
              <w:rPr>
                <w:color w:val="000000"/>
                <w:sz w:val="20"/>
                <w:szCs w:val="20"/>
              </w:rPr>
              <w:t>Average Public Higher Education Expenditures per Capita</w:t>
            </w:r>
          </w:p>
        </w:tc>
        <w:tc>
          <w:tcPr>
            <w:tcW w:w="1254" w:type="dxa"/>
            <w:tcBorders>
              <w:top w:val="nil"/>
              <w:left w:val="nil"/>
              <w:bottom w:val="nil"/>
              <w:right w:val="nil"/>
            </w:tcBorders>
            <w:shd w:val="clear" w:color="000000" w:fill="FFFFFF"/>
            <w:noWrap/>
            <w:vAlign w:val="bottom"/>
            <w:hideMark/>
          </w:tcPr>
          <w:p w14:paraId="377C0B02" w14:textId="77777777" w:rsidR="001347E1" w:rsidRDefault="001347E1" w:rsidP="006C433E">
            <w:pPr>
              <w:jc w:val="center"/>
              <w:rPr>
                <w:color w:val="000000"/>
                <w:sz w:val="20"/>
                <w:szCs w:val="20"/>
              </w:rPr>
            </w:pPr>
            <w:r>
              <w:rPr>
                <w:color w:val="000000"/>
                <w:sz w:val="20"/>
                <w:szCs w:val="20"/>
              </w:rPr>
              <w:t>$260</w:t>
            </w:r>
          </w:p>
        </w:tc>
        <w:tc>
          <w:tcPr>
            <w:tcW w:w="908" w:type="dxa"/>
            <w:tcBorders>
              <w:top w:val="nil"/>
              <w:left w:val="nil"/>
              <w:bottom w:val="nil"/>
              <w:right w:val="nil"/>
            </w:tcBorders>
            <w:shd w:val="clear" w:color="000000" w:fill="FFFFFF"/>
            <w:noWrap/>
            <w:vAlign w:val="bottom"/>
            <w:hideMark/>
          </w:tcPr>
          <w:p w14:paraId="2CBF1D06" w14:textId="77777777" w:rsidR="001347E1" w:rsidRDefault="001347E1" w:rsidP="006C433E">
            <w:pPr>
              <w:jc w:val="center"/>
              <w:rPr>
                <w:color w:val="000000"/>
                <w:sz w:val="20"/>
                <w:szCs w:val="20"/>
              </w:rPr>
            </w:pPr>
            <w:r>
              <w:rPr>
                <w:color w:val="000000"/>
                <w:sz w:val="20"/>
                <w:szCs w:val="20"/>
              </w:rPr>
              <w:t>$36</w:t>
            </w:r>
          </w:p>
        </w:tc>
        <w:tc>
          <w:tcPr>
            <w:tcW w:w="759" w:type="dxa"/>
            <w:tcBorders>
              <w:top w:val="nil"/>
              <w:left w:val="nil"/>
              <w:bottom w:val="nil"/>
              <w:right w:val="nil"/>
            </w:tcBorders>
            <w:shd w:val="clear" w:color="000000" w:fill="FFFFFF"/>
            <w:noWrap/>
            <w:vAlign w:val="bottom"/>
            <w:hideMark/>
          </w:tcPr>
          <w:p w14:paraId="3AC94C17" w14:textId="77777777" w:rsidR="001347E1" w:rsidRDefault="001347E1" w:rsidP="006C433E">
            <w:pPr>
              <w:jc w:val="center"/>
              <w:rPr>
                <w:color w:val="000000"/>
                <w:sz w:val="20"/>
                <w:szCs w:val="20"/>
              </w:rPr>
            </w:pPr>
            <w:r>
              <w:rPr>
                <w:color w:val="000000"/>
                <w:sz w:val="20"/>
                <w:szCs w:val="20"/>
              </w:rPr>
              <w:t>$292</w:t>
            </w:r>
          </w:p>
        </w:tc>
        <w:tc>
          <w:tcPr>
            <w:tcW w:w="953" w:type="dxa"/>
            <w:tcBorders>
              <w:top w:val="nil"/>
              <w:left w:val="nil"/>
              <w:bottom w:val="nil"/>
              <w:right w:val="nil"/>
            </w:tcBorders>
            <w:shd w:val="clear" w:color="000000" w:fill="FFFFFF"/>
            <w:noWrap/>
            <w:vAlign w:val="bottom"/>
            <w:hideMark/>
          </w:tcPr>
          <w:p w14:paraId="5778F12F" w14:textId="77777777" w:rsidR="001347E1" w:rsidRDefault="001347E1" w:rsidP="006C433E">
            <w:pPr>
              <w:jc w:val="center"/>
              <w:rPr>
                <w:color w:val="000000"/>
                <w:sz w:val="20"/>
                <w:szCs w:val="20"/>
              </w:rPr>
            </w:pPr>
            <w:r>
              <w:rPr>
                <w:color w:val="000000"/>
                <w:sz w:val="20"/>
                <w:szCs w:val="20"/>
              </w:rPr>
              <w:t>$190</w:t>
            </w:r>
          </w:p>
        </w:tc>
      </w:tr>
      <w:tr w:rsidR="001347E1" w14:paraId="3EB33E24" w14:textId="77777777" w:rsidTr="006C433E">
        <w:trPr>
          <w:trHeight w:val="180"/>
        </w:trPr>
        <w:tc>
          <w:tcPr>
            <w:tcW w:w="672" w:type="dxa"/>
            <w:tcBorders>
              <w:top w:val="nil"/>
              <w:left w:val="nil"/>
              <w:bottom w:val="single" w:sz="4" w:space="0" w:color="auto"/>
              <w:right w:val="nil"/>
            </w:tcBorders>
            <w:shd w:val="clear" w:color="000000" w:fill="FFFFFF"/>
            <w:noWrap/>
            <w:vAlign w:val="bottom"/>
            <w:hideMark/>
          </w:tcPr>
          <w:p w14:paraId="2F7F6903" w14:textId="77777777" w:rsidR="001347E1" w:rsidRDefault="001347E1" w:rsidP="006C433E">
            <w:pPr>
              <w:rPr>
                <w:color w:val="000000"/>
                <w:sz w:val="20"/>
                <w:szCs w:val="20"/>
              </w:rPr>
            </w:pPr>
            <w:r>
              <w:rPr>
                <w:color w:val="000000"/>
                <w:sz w:val="20"/>
                <w:szCs w:val="20"/>
              </w:rPr>
              <w:t> </w:t>
            </w:r>
          </w:p>
        </w:tc>
        <w:tc>
          <w:tcPr>
            <w:tcW w:w="666" w:type="dxa"/>
            <w:tcBorders>
              <w:top w:val="nil"/>
              <w:left w:val="nil"/>
              <w:bottom w:val="single" w:sz="4" w:space="0" w:color="auto"/>
              <w:right w:val="nil"/>
            </w:tcBorders>
            <w:shd w:val="clear" w:color="000000" w:fill="FFFFFF"/>
            <w:vAlign w:val="bottom"/>
            <w:hideMark/>
          </w:tcPr>
          <w:p w14:paraId="45EC6CE9" w14:textId="77777777" w:rsidR="001347E1" w:rsidRDefault="001347E1" w:rsidP="006C433E">
            <w:pPr>
              <w:rPr>
                <w:color w:val="000000"/>
                <w:sz w:val="20"/>
                <w:szCs w:val="20"/>
              </w:rPr>
            </w:pPr>
            <w:r>
              <w:rPr>
                <w:color w:val="000000"/>
                <w:sz w:val="20"/>
                <w:szCs w:val="20"/>
              </w:rPr>
              <w:t> </w:t>
            </w:r>
          </w:p>
        </w:tc>
        <w:tc>
          <w:tcPr>
            <w:tcW w:w="3520" w:type="dxa"/>
            <w:tcBorders>
              <w:top w:val="nil"/>
              <w:left w:val="nil"/>
              <w:bottom w:val="single" w:sz="4" w:space="0" w:color="auto"/>
              <w:right w:val="nil"/>
            </w:tcBorders>
            <w:shd w:val="clear" w:color="000000" w:fill="FFFFFF"/>
            <w:vAlign w:val="bottom"/>
            <w:hideMark/>
          </w:tcPr>
          <w:p w14:paraId="1A1AF1CD" w14:textId="77777777" w:rsidR="001347E1" w:rsidRDefault="001347E1" w:rsidP="006C433E">
            <w:pPr>
              <w:rPr>
                <w:color w:val="000000"/>
                <w:sz w:val="20"/>
                <w:szCs w:val="20"/>
              </w:rPr>
            </w:pPr>
            <w:r>
              <w:rPr>
                <w:color w:val="000000"/>
                <w:sz w:val="20"/>
                <w:szCs w:val="20"/>
              </w:rPr>
              <w:t> </w:t>
            </w:r>
          </w:p>
        </w:tc>
        <w:tc>
          <w:tcPr>
            <w:tcW w:w="1254" w:type="dxa"/>
            <w:tcBorders>
              <w:top w:val="nil"/>
              <w:left w:val="nil"/>
              <w:bottom w:val="single" w:sz="4" w:space="0" w:color="auto"/>
              <w:right w:val="nil"/>
            </w:tcBorders>
            <w:shd w:val="clear" w:color="000000" w:fill="FFFFFF"/>
            <w:vAlign w:val="bottom"/>
            <w:hideMark/>
          </w:tcPr>
          <w:p w14:paraId="16BB0012" w14:textId="77777777" w:rsidR="001347E1" w:rsidRDefault="001347E1" w:rsidP="006C433E">
            <w:pPr>
              <w:jc w:val="center"/>
              <w:rPr>
                <w:color w:val="000000"/>
                <w:sz w:val="20"/>
                <w:szCs w:val="20"/>
              </w:rPr>
            </w:pPr>
            <w:r>
              <w:rPr>
                <w:color w:val="000000"/>
                <w:sz w:val="20"/>
                <w:szCs w:val="20"/>
              </w:rPr>
              <w:t> </w:t>
            </w:r>
          </w:p>
        </w:tc>
        <w:tc>
          <w:tcPr>
            <w:tcW w:w="908" w:type="dxa"/>
            <w:tcBorders>
              <w:top w:val="nil"/>
              <w:left w:val="nil"/>
              <w:bottom w:val="single" w:sz="4" w:space="0" w:color="auto"/>
              <w:right w:val="nil"/>
            </w:tcBorders>
            <w:shd w:val="clear" w:color="000000" w:fill="FFFFFF"/>
            <w:vAlign w:val="bottom"/>
            <w:hideMark/>
          </w:tcPr>
          <w:p w14:paraId="1EFE67AA" w14:textId="77777777" w:rsidR="001347E1" w:rsidRDefault="001347E1" w:rsidP="006C433E">
            <w:pPr>
              <w:jc w:val="center"/>
              <w:rPr>
                <w:color w:val="000000"/>
                <w:sz w:val="20"/>
                <w:szCs w:val="20"/>
              </w:rPr>
            </w:pPr>
            <w:r>
              <w:rPr>
                <w:color w:val="000000"/>
                <w:sz w:val="20"/>
                <w:szCs w:val="20"/>
              </w:rPr>
              <w:t> </w:t>
            </w:r>
          </w:p>
        </w:tc>
        <w:tc>
          <w:tcPr>
            <w:tcW w:w="759" w:type="dxa"/>
            <w:tcBorders>
              <w:top w:val="nil"/>
              <w:left w:val="nil"/>
              <w:bottom w:val="single" w:sz="4" w:space="0" w:color="auto"/>
              <w:right w:val="nil"/>
            </w:tcBorders>
            <w:shd w:val="clear" w:color="000000" w:fill="FFFFFF"/>
            <w:vAlign w:val="bottom"/>
            <w:hideMark/>
          </w:tcPr>
          <w:p w14:paraId="20DBB648" w14:textId="77777777" w:rsidR="001347E1" w:rsidRDefault="001347E1" w:rsidP="006C433E">
            <w:pPr>
              <w:jc w:val="center"/>
              <w:rPr>
                <w:color w:val="000000"/>
                <w:sz w:val="20"/>
                <w:szCs w:val="20"/>
              </w:rPr>
            </w:pPr>
            <w:r>
              <w:rPr>
                <w:color w:val="000000"/>
                <w:sz w:val="20"/>
                <w:szCs w:val="20"/>
              </w:rPr>
              <w:t> </w:t>
            </w:r>
          </w:p>
        </w:tc>
        <w:tc>
          <w:tcPr>
            <w:tcW w:w="953" w:type="dxa"/>
            <w:tcBorders>
              <w:top w:val="nil"/>
              <w:left w:val="nil"/>
              <w:bottom w:val="single" w:sz="4" w:space="0" w:color="auto"/>
              <w:right w:val="nil"/>
            </w:tcBorders>
            <w:shd w:val="clear" w:color="000000" w:fill="FFFFFF"/>
            <w:vAlign w:val="bottom"/>
            <w:hideMark/>
          </w:tcPr>
          <w:p w14:paraId="27ECB39C" w14:textId="77777777" w:rsidR="001347E1" w:rsidRDefault="001347E1" w:rsidP="006C433E">
            <w:pPr>
              <w:jc w:val="center"/>
              <w:rPr>
                <w:color w:val="000000"/>
                <w:sz w:val="20"/>
                <w:szCs w:val="20"/>
              </w:rPr>
            </w:pPr>
            <w:r>
              <w:rPr>
                <w:color w:val="000000"/>
                <w:sz w:val="20"/>
                <w:szCs w:val="20"/>
              </w:rPr>
              <w:t> </w:t>
            </w:r>
          </w:p>
        </w:tc>
      </w:tr>
    </w:tbl>
    <w:p w14:paraId="7D63B614" w14:textId="77777777" w:rsidR="001347E1" w:rsidRPr="00012C04" w:rsidRDefault="001347E1" w:rsidP="001347E1">
      <w:pPr>
        <w:spacing w:after="160" w:line="259" w:lineRule="auto"/>
        <w:rPr>
          <w:rFonts w:eastAsia="Calibri"/>
        </w:rPr>
      </w:pPr>
    </w:p>
    <w:p w14:paraId="5ED89B44" w14:textId="77777777" w:rsidR="001347E1" w:rsidRDefault="001347E1">
      <w:pPr>
        <w:rPr>
          <w:rFonts w:eastAsia="Calibri"/>
        </w:rPr>
      </w:pPr>
      <w:r>
        <w:rPr>
          <w:rFonts w:eastAsia="Calibri"/>
        </w:rPr>
        <w:br w:type="page"/>
      </w:r>
    </w:p>
    <w:p w14:paraId="4AE71DD8" w14:textId="30D7B0BB" w:rsidR="001347E1" w:rsidRDefault="006B4781" w:rsidP="001347E1">
      <w:pPr>
        <w:spacing w:after="160" w:line="480" w:lineRule="auto"/>
        <w:ind w:firstLine="720"/>
        <w:rPr>
          <w:rFonts w:eastAsia="Calibri"/>
          <w:b/>
        </w:rPr>
      </w:pPr>
      <w:r>
        <w:rPr>
          <w:rFonts w:eastAsia="Calibri"/>
        </w:rPr>
        <w:lastRenderedPageBreak/>
        <w:t xml:space="preserve">smooth any potential fluctuations in the data that may cause inaccurate statistical analyses results.  </w:t>
      </w:r>
    </w:p>
    <w:p w14:paraId="02F231C1" w14:textId="77777777" w:rsidR="006B4781" w:rsidRDefault="006B4781" w:rsidP="006B4781">
      <w:pPr>
        <w:spacing w:after="160" w:line="480" w:lineRule="auto"/>
        <w:ind w:firstLine="720"/>
        <w:rPr>
          <w:rFonts w:eastAsia="Calibri"/>
        </w:rPr>
      </w:pPr>
      <w:r>
        <w:rPr>
          <w:rFonts w:eastAsia="Calibri"/>
        </w:rPr>
        <w:t>As defined by IPEDS, instruction expenses represent: “</w:t>
      </w:r>
      <w:r w:rsidRPr="00865F3D">
        <w:rPr>
          <w:rFonts w:eastAsia="Calibri"/>
        </w:rPr>
        <w:t>expenses of the colleges, schools, departments, and other instructional divisions of the institution and expenses for departmental research and public service that are not separately budgeted. Includes general academic instruction, occupational and vocational instruction, community education, preparatory and adult basic education, and regular, special, and extension sessions.</w:t>
      </w:r>
      <w:r>
        <w:rPr>
          <w:rFonts w:eastAsia="Calibri"/>
        </w:rPr>
        <w:t>”  Research expenses are defined by IPEDS as: “</w:t>
      </w:r>
      <w:r w:rsidRPr="00FC0136">
        <w:rPr>
          <w:rFonts w:eastAsia="Calibri"/>
        </w:rPr>
        <w:t>expenses for activities specifically organized to produce research outcomes and commissioned by an agency either external to the institution or separately budgeted by an organizational unit within the institution</w:t>
      </w:r>
      <w:r>
        <w:rPr>
          <w:rFonts w:eastAsia="Calibri"/>
        </w:rPr>
        <w:t>.”  Public service expenses are defined as: “</w:t>
      </w:r>
      <w:r w:rsidRPr="00FC0136">
        <w:rPr>
          <w:rFonts w:eastAsia="Calibri"/>
        </w:rPr>
        <w:t>expenses for activities established primarily to provide non</w:t>
      </w:r>
      <w:r>
        <w:rPr>
          <w:rFonts w:eastAsia="Calibri"/>
        </w:rPr>
        <w:t>-</w:t>
      </w:r>
      <w:r w:rsidRPr="00FC0136">
        <w:rPr>
          <w:rFonts w:eastAsia="Calibri"/>
        </w:rPr>
        <w:t>instructional services beneficial to individuals and groups external to the institution. Examples are conferences, institutes, general advisory service, reference bureaus, and similar services provided to particular sectors of the community.</w:t>
      </w:r>
      <w:r>
        <w:rPr>
          <w:rFonts w:eastAsia="Calibri"/>
        </w:rPr>
        <w:t>”</w:t>
      </w:r>
      <w:r w:rsidRPr="00FC0136">
        <w:rPr>
          <w:rFonts w:eastAsia="Calibri"/>
        </w:rPr>
        <w:t xml:space="preserve"> </w:t>
      </w:r>
      <w:r>
        <w:rPr>
          <w:rFonts w:eastAsia="Calibri"/>
        </w:rPr>
        <w:t xml:space="preserve"> Academic support expenses are defined as: “</w:t>
      </w:r>
      <w:r w:rsidRPr="00FC0136">
        <w:rPr>
          <w:rFonts w:eastAsia="Calibri"/>
        </w:rPr>
        <w:t xml:space="preserve">expenses of activities and services that support the institution's primary missions of instruction, research, and public service. </w:t>
      </w:r>
      <w:r>
        <w:rPr>
          <w:rFonts w:eastAsia="Calibri"/>
        </w:rPr>
        <w:t xml:space="preserve"> </w:t>
      </w:r>
      <w:r w:rsidRPr="00FC0136">
        <w:rPr>
          <w:rFonts w:eastAsia="Calibri"/>
        </w:rPr>
        <w:t xml:space="preserve">It includes the retention, preservation, and display of educational materials (for example, libraries, museums, and galleries); organized activities that provide support services to the academic functions of the institution (such as a demonstration school associated with a college of education or veterinary and dental clinics if their primary purpose is to support the instructional program); media such as audiovisual services; academic administration (including academic deans but not department chairpersons); </w:t>
      </w:r>
      <w:r w:rsidRPr="00FC0136">
        <w:rPr>
          <w:rFonts w:eastAsia="Calibri"/>
        </w:rPr>
        <w:lastRenderedPageBreak/>
        <w:t>and formally organized and separately budgeted academic personnel development and course and curriculum development expenses.</w:t>
      </w:r>
      <w:r>
        <w:rPr>
          <w:rFonts w:eastAsia="Calibri"/>
        </w:rPr>
        <w:t>”  Finally, student services expenses are defined by IPEDs as: “</w:t>
      </w:r>
      <w:r w:rsidRPr="00FC0136">
        <w:rPr>
          <w:rFonts w:eastAsia="Calibri"/>
        </w:rPr>
        <w:t>expenses for admissions, registrar activities, and activities whose primary purpose is to contribute to students emotional and physical well-being and to their intellectual, cultural, and social development outside the context of the formal instructional program. Examples include student activities, cultural events, student newspapers, intramural athletics, student organizations, supplemental instruction outside the normal administration, and student records</w:t>
      </w:r>
      <w:r>
        <w:rPr>
          <w:rFonts w:eastAsia="Calibri"/>
        </w:rPr>
        <w:t>.” (</w:t>
      </w:r>
      <w:r w:rsidRPr="000A7EEF">
        <w:rPr>
          <w:rFonts w:eastAsia="Calibri"/>
        </w:rPr>
        <w:t>National Center for Education Statistics</w:t>
      </w:r>
      <w:r>
        <w:rPr>
          <w:rFonts w:eastAsia="Calibri"/>
        </w:rPr>
        <w:t>, 2016)</w:t>
      </w:r>
      <w:r w:rsidRPr="00FC0136">
        <w:rPr>
          <w:rFonts w:eastAsia="Calibri"/>
        </w:rPr>
        <w:t>.</w:t>
      </w:r>
      <w:r>
        <w:rPr>
          <w:rFonts w:eastAsia="Calibri"/>
        </w:rPr>
        <w:t xml:space="preserve"> </w:t>
      </w:r>
      <w:r w:rsidR="003D6A00">
        <w:rPr>
          <w:rFonts w:eastAsia="Calibri"/>
        </w:rPr>
        <w:t xml:space="preserve"> </w:t>
      </w:r>
      <w:r w:rsidR="003D6A00" w:rsidRPr="003D6A00">
        <w:rPr>
          <w:rFonts w:eastAsia="Calibri"/>
        </w:rPr>
        <w:t>Each of these IPEDS expenditure variables have “student FTE” as the denominator in determining the expense per student ratio.  IPEDS defines “student FTE” as: “The full-time-equivalent (FTE) enrollment is the sum of the institutions’ FTE undergraduate enrollment and FTE graduate enrollment (as calculated from or reported on the 12-month Enrollment component) plus the estimated FTE of first-professional students. Undergraduate and graduate FTE are estimated using 12-month instructional activity (credit and/or contact hours)” (National Center for Education Statistics, 2016).</w:t>
      </w:r>
      <w:r w:rsidR="003D6A00">
        <w:rPr>
          <w:rFonts w:eastAsia="Calibri"/>
        </w:rPr>
        <w:t xml:space="preserve"> </w:t>
      </w:r>
    </w:p>
    <w:p w14:paraId="206B732F" w14:textId="77777777" w:rsidR="006B4781" w:rsidRDefault="006B4781" w:rsidP="00642912">
      <w:pPr>
        <w:spacing w:after="160" w:line="480" w:lineRule="auto"/>
        <w:ind w:firstLine="720"/>
        <w:rPr>
          <w:rFonts w:eastAsia="Calibri"/>
        </w:rPr>
      </w:pPr>
      <w:r>
        <w:rPr>
          <w:rFonts w:eastAsia="Calibri"/>
        </w:rPr>
        <w:t xml:space="preserve">Choosing the years of 2006, 2007, and 2008 - the beginning years of enrollment of the students who would potentially graduate within the six-year timeframe of the graduation rates being analyzed in this study – 2012, 2013, and 2014 – is an attempt to measure these institutional expenditure effects during the </w:t>
      </w:r>
      <w:r w:rsidRPr="00025C89">
        <w:rPr>
          <w:rFonts w:eastAsia="Calibri"/>
          <w:i/>
        </w:rPr>
        <w:t>first year of study</w:t>
      </w:r>
      <w:r>
        <w:rPr>
          <w:rFonts w:eastAsia="Calibri"/>
        </w:rPr>
        <w:t xml:space="preserve">, when most students make the decision to quit school and thus the year most influential on subsequent graduation rates.  Much research has shown that student attrition is highest in the first </w:t>
      </w:r>
      <w:r>
        <w:rPr>
          <w:rFonts w:eastAsia="Calibri"/>
        </w:rPr>
        <w:lastRenderedPageBreak/>
        <w:t>year of college enrollment and lowers each year after (</w:t>
      </w:r>
      <w:r w:rsidR="00642912" w:rsidRPr="00642912">
        <w:rPr>
          <w:rFonts w:eastAsia="Calibri"/>
        </w:rPr>
        <w:t>U. S. Department</w:t>
      </w:r>
      <w:r w:rsidR="0025502A">
        <w:rPr>
          <w:rFonts w:eastAsia="Calibri"/>
        </w:rPr>
        <w:t xml:space="preserve"> </w:t>
      </w:r>
      <w:r w:rsidR="00642912" w:rsidRPr="00642912">
        <w:rPr>
          <w:rFonts w:eastAsia="Calibri"/>
        </w:rPr>
        <w:t>of Education, 1998, 2000</w:t>
      </w:r>
      <w:r>
        <w:rPr>
          <w:rFonts w:eastAsia="Calibri"/>
        </w:rPr>
        <w:t xml:space="preserve">; </w:t>
      </w:r>
      <w:r w:rsidR="00642912">
        <w:rPr>
          <w:rFonts w:eastAsia="Calibri"/>
        </w:rPr>
        <w:t xml:space="preserve">Kahn and </w:t>
      </w:r>
      <w:proofErr w:type="spellStart"/>
      <w:r w:rsidR="00642912">
        <w:rPr>
          <w:rFonts w:eastAsia="Calibri"/>
        </w:rPr>
        <w:t>Nauta</w:t>
      </w:r>
      <w:proofErr w:type="spellEnd"/>
      <w:r w:rsidR="00642912">
        <w:rPr>
          <w:rFonts w:eastAsia="Calibri"/>
        </w:rPr>
        <w:t xml:space="preserve">, 2001; </w:t>
      </w:r>
      <w:r w:rsidRPr="00563036">
        <w:rPr>
          <w:rFonts w:eastAsia="Calibri"/>
        </w:rPr>
        <w:t>Tinto, 2012</w:t>
      </w:r>
      <w:r w:rsidR="00642912">
        <w:rPr>
          <w:rFonts w:eastAsia="Calibri"/>
        </w:rPr>
        <w:t>;</w:t>
      </w:r>
      <w:r w:rsidR="00E970E3">
        <w:rPr>
          <w:rFonts w:eastAsia="Calibri"/>
        </w:rPr>
        <w:t xml:space="preserve"> Williams, 2015</w:t>
      </w:r>
      <w:r>
        <w:rPr>
          <w:rFonts w:eastAsia="Calibri"/>
        </w:rPr>
        <w:t xml:space="preserve">).  </w:t>
      </w:r>
    </w:p>
    <w:p w14:paraId="7935C7D0" w14:textId="47F48399" w:rsidR="006B4781" w:rsidRDefault="006B4781" w:rsidP="00894D08">
      <w:pPr>
        <w:spacing w:after="160" w:line="480" w:lineRule="auto"/>
        <w:ind w:firstLine="720"/>
        <w:rPr>
          <w:rFonts w:eastAsia="Calibri"/>
        </w:rPr>
      </w:pPr>
      <w:r w:rsidRPr="00894D08">
        <w:rPr>
          <w:rFonts w:eastAsia="Calibri"/>
        </w:rPr>
        <w:t xml:space="preserve">To ensure that three years’ average of expenditures </w:t>
      </w:r>
      <w:commentRangeStart w:id="2"/>
      <w:r w:rsidRPr="00894D08">
        <w:rPr>
          <w:rFonts w:eastAsia="Calibri"/>
        </w:rPr>
        <w:t>maintain</w:t>
      </w:r>
      <w:commentRangeEnd w:id="2"/>
      <w:r w:rsidRPr="00894D08">
        <w:rPr>
          <w:rStyle w:val="CommentReference"/>
        </w:rPr>
        <w:commentReference w:id="2"/>
      </w:r>
      <w:r w:rsidRPr="00894D08">
        <w:rPr>
          <w:rFonts w:eastAsia="Calibri"/>
        </w:rPr>
        <w:t xml:space="preserve"> stability over the 5-year enrollment timeframe, Spearman-rho correlation analysis were administered to identify any potential fluctuations in the expenditure variables beyond these first three years of enrollment</w:t>
      </w:r>
      <w:r w:rsidR="00894D08">
        <w:rPr>
          <w:rFonts w:eastAsia="Calibri"/>
        </w:rPr>
        <w:t>.</w:t>
      </w:r>
    </w:p>
    <w:p w14:paraId="1F3F5CB1" w14:textId="6660C5D5" w:rsidR="006B4781" w:rsidRDefault="006B4781" w:rsidP="006B4781">
      <w:pPr>
        <w:spacing w:after="160" w:line="480" w:lineRule="auto"/>
        <w:ind w:firstLine="720"/>
        <w:rPr>
          <w:rFonts w:eastAsia="Calibri"/>
        </w:rPr>
      </w:pPr>
      <w:r>
        <w:rPr>
          <w:rFonts w:eastAsia="Calibri"/>
        </w:rPr>
        <w:t>As indicated in Table 3.1, the mean of the 2006-2008 average instruction expenses per</w:t>
      </w:r>
      <w:r w:rsidR="0004427C">
        <w:rPr>
          <w:rFonts w:eastAsia="Calibri"/>
        </w:rPr>
        <w:t xml:space="preserve"> </w:t>
      </w:r>
      <w:r w:rsidR="003D6A00">
        <w:rPr>
          <w:rFonts w:eastAsia="Calibri"/>
        </w:rPr>
        <w:t xml:space="preserve">student </w:t>
      </w:r>
      <w:r w:rsidR="0004427C">
        <w:rPr>
          <w:rFonts w:eastAsia="Calibri"/>
        </w:rPr>
        <w:t xml:space="preserve">FTE </w:t>
      </w:r>
      <w:r>
        <w:rPr>
          <w:rFonts w:eastAsia="Calibri"/>
        </w:rPr>
        <w:t xml:space="preserve">across </w:t>
      </w:r>
      <w:r w:rsidRPr="00413AFF">
        <w:rPr>
          <w:rFonts w:eastAsia="Calibri"/>
        </w:rPr>
        <w:t xml:space="preserve">the </w:t>
      </w:r>
      <w:r w:rsidR="00894D08">
        <w:rPr>
          <w:rFonts w:eastAsia="Calibri"/>
        </w:rPr>
        <w:t>564</w:t>
      </w:r>
      <w:r w:rsidRPr="00413AFF">
        <w:rPr>
          <w:rFonts w:eastAsia="Calibri"/>
        </w:rPr>
        <w:t xml:space="preserve"> public</w:t>
      </w:r>
      <w:r>
        <w:rPr>
          <w:rFonts w:eastAsia="Calibri"/>
        </w:rPr>
        <w:t xml:space="preserve"> higher education institutions is $6,547; with a standard deviation of $3,410; and maximum and minimum values of $44,235 and $2,350 respectively.  2006-2008 average research expenses per student</w:t>
      </w:r>
      <w:r w:rsidR="0004427C">
        <w:rPr>
          <w:rFonts w:eastAsia="Calibri"/>
        </w:rPr>
        <w:t xml:space="preserve"> FTE </w:t>
      </w:r>
      <w:r>
        <w:rPr>
          <w:rFonts w:eastAsia="Calibri"/>
        </w:rPr>
        <w:t>have a mean of $1,712; standard deviation of $3,641; and maximum and minimum values of $45,422 and $0.  2006-2008 average public service expenses per</w:t>
      </w:r>
      <w:r w:rsidR="003D6A00">
        <w:rPr>
          <w:rFonts w:eastAsia="Calibri"/>
        </w:rPr>
        <w:t xml:space="preserve"> student</w:t>
      </w:r>
      <w:r w:rsidR="0004427C">
        <w:rPr>
          <w:rFonts w:eastAsia="Calibri"/>
        </w:rPr>
        <w:t xml:space="preserve"> FTE </w:t>
      </w:r>
      <w:r>
        <w:rPr>
          <w:rFonts w:eastAsia="Calibri"/>
        </w:rPr>
        <w:t>have a mean of $849; standard deviation of $1,266; and maximum and minimum values of $14,000 and $0.  2006-2008 average academic support expenses per</w:t>
      </w:r>
      <w:r w:rsidR="0004427C">
        <w:rPr>
          <w:rFonts w:eastAsia="Calibri"/>
        </w:rPr>
        <w:t xml:space="preserve"> </w:t>
      </w:r>
      <w:r w:rsidR="003D6A00">
        <w:rPr>
          <w:rFonts w:eastAsia="Calibri"/>
        </w:rPr>
        <w:t xml:space="preserve">student </w:t>
      </w:r>
      <w:r w:rsidR="0004427C">
        <w:rPr>
          <w:rFonts w:eastAsia="Calibri"/>
        </w:rPr>
        <w:t xml:space="preserve">FTE </w:t>
      </w:r>
      <w:r>
        <w:rPr>
          <w:rFonts w:eastAsia="Calibri"/>
        </w:rPr>
        <w:t>have a mean of $1,642; standard deviation of $1,241; and maximum and minimum values of $13,223 and $169.  2006-2008 average student services expenses per</w:t>
      </w:r>
      <w:r w:rsidR="0004427C">
        <w:rPr>
          <w:rFonts w:eastAsia="Calibri"/>
        </w:rPr>
        <w:t xml:space="preserve"> </w:t>
      </w:r>
      <w:r w:rsidR="003D6A00">
        <w:rPr>
          <w:rFonts w:eastAsia="Calibri"/>
        </w:rPr>
        <w:t xml:space="preserve">student </w:t>
      </w:r>
      <w:r w:rsidR="0004427C">
        <w:rPr>
          <w:rFonts w:eastAsia="Calibri"/>
        </w:rPr>
        <w:t xml:space="preserve">FTE </w:t>
      </w:r>
      <w:r>
        <w:rPr>
          <w:rFonts w:eastAsia="Calibri"/>
        </w:rPr>
        <w:t>have a mean of $1,315; standard deviation of $1,109; and maximum and minimum values of $19,270 and $330.</w:t>
      </w:r>
    </w:p>
    <w:p w14:paraId="5CD3BBF4" w14:textId="77777777" w:rsidR="006B4781" w:rsidRDefault="006B4781" w:rsidP="006B4781">
      <w:pPr>
        <w:keepNext/>
        <w:spacing w:after="160" w:line="480" w:lineRule="auto"/>
        <w:rPr>
          <w:rFonts w:eastAsia="Calibri"/>
        </w:rPr>
      </w:pPr>
      <w:r w:rsidRPr="00C30120">
        <w:rPr>
          <w:rFonts w:eastAsia="Calibri"/>
          <w:b/>
        </w:rPr>
        <w:t>Mediating Variables</w:t>
      </w:r>
      <w:r>
        <w:rPr>
          <w:rFonts w:eastAsia="Calibri"/>
          <w:b/>
        </w:rPr>
        <w:t xml:space="preserve">  </w:t>
      </w:r>
    </w:p>
    <w:p w14:paraId="41DE6EAF" w14:textId="77777777" w:rsidR="006B4781" w:rsidRDefault="005B2014" w:rsidP="006B4781">
      <w:pPr>
        <w:keepNext/>
        <w:spacing w:after="160" w:line="480" w:lineRule="auto"/>
        <w:ind w:firstLine="720"/>
        <w:rPr>
          <w:rFonts w:eastAsia="Calibri"/>
        </w:rPr>
      </w:pPr>
      <w:r>
        <w:rPr>
          <w:rFonts w:eastAsia="Calibri"/>
        </w:rPr>
        <w:t>Institution level</w:t>
      </w:r>
      <w:r w:rsidR="006B4781" w:rsidRPr="00232FD3">
        <w:rPr>
          <w:rFonts w:eastAsia="Calibri"/>
        </w:rPr>
        <w:t xml:space="preserve"> mediating variables will be chosen </w:t>
      </w:r>
      <w:r w:rsidR="006B4781">
        <w:rPr>
          <w:rFonts w:eastAsia="Calibri"/>
        </w:rPr>
        <w:t>based on prior research</w:t>
      </w:r>
      <w:r w:rsidR="006B4781" w:rsidRPr="00232FD3">
        <w:rPr>
          <w:rFonts w:eastAsia="Calibri"/>
        </w:rPr>
        <w:t xml:space="preserve">.  These control or mediating variables will include:  </w:t>
      </w:r>
      <w:r w:rsidR="006B4781">
        <w:rPr>
          <w:rFonts w:eastAsia="Calibri"/>
        </w:rPr>
        <w:t xml:space="preserve">Carnegie classification; </w:t>
      </w:r>
      <w:r w:rsidR="006B4781" w:rsidRPr="00232FD3">
        <w:rPr>
          <w:rFonts w:eastAsia="Calibri"/>
        </w:rPr>
        <w:t xml:space="preserve">the average of </w:t>
      </w:r>
      <w:r w:rsidR="006B4781" w:rsidRPr="00232FD3">
        <w:rPr>
          <w:rFonts w:eastAsia="Calibri"/>
        </w:rPr>
        <w:lastRenderedPageBreak/>
        <w:t xml:space="preserve">the </w:t>
      </w:r>
      <w:r w:rsidR="006B4781">
        <w:rPr>
          <w:rFonts w:eastAsia="Calibri"/>
        </w:rPr>
        <w:t>2</w:t>
      </w:r>
      <w:r w:rsidR="006B4781" w:rsidRPr="00232FD3">
        <w:rPr>
          <w:rFonts w:eastAsia="Calibri"/>
        </w:rPr>
        <w:t>5th percentile of the ACT scores</w:t>
      </w:r>
      <w:r w:rsidR="006B4781">
        <w:rPr>
          <w:rFonts w:eastAsia="Calibri"/>
        </w:rPr>
        <w:t>;</w:t>
      </w:r>
      <w:r w:rsidR="006B4781" w:rsidRPr="00232FD3">
        <w:rPr>
          <w:rFonts w:eastAsia="Calibri"/>
        </w:rPr>
        <w:t xml:space="preserve"> </w:t>
      </w:r>
      <w:r w:rsidR="006B4781">
        <w:rPr>
          <w:rFonts w:eastAsia="Calibri"/>
        </w:rPr>
        <w:t xml:space="preserve">and </w:t>
      </w:r>
      <w:r w:rsidR="006B4781" w:rsidRPr="00232FD3">
        <w:rPr>
          <w:rFonts w:eastAsia="Calibri"/>
        </w:rPr>
        <w:t xml:space="preserve">the percentages of undergraduate students </w:t>
      </w:r>
      <w:r w:rsidR="006B4781">
        <w:rPr>
          <w:rFonts w:eastAsia="Calibri"/>
        </w:rPr>
        <w:t>who</w:t>
      </w:r>
      <w:r w:rsidR="006B4781" w:rsidRPr="00232FD3">
        <w:rPr>
          <w:rFonts w:eastAsia="Calibri"/>
        </w:rPr>
        <w:t xml:space="preserve"> were </w:t>
      </w:r>
      <w:r w:rsidR="006B4781">
        <w:rPr>
          <w:rFonts w:eastAsia="Calibri"/>
        </w:rPr>
        <w:t>fe</w:t>
      </w:r>
      <w:r w:rsidR="006B4781" w:rsidRPr="00232FD3">
        <w:rPr>
          <w:rFonts w:eastAsia="Calibri"/>
        </w:rPr>
        <w:t>male, African American, Hispanic</w:t>
      </w:r>
      <w:r w:rsidR="006B4781">
        <w:rPr>
          <w:rFonts w:eastAsia="Calibri"/>
        </w:rPr>
        <w:t>,</w:t>
      </w:r>
      <w:r w:rsidR="006B4781" w:rsidRPr="00232FD3">
        <w:rPr>
          <w:rFonts w:eastAsia="Calibri"/>
        </w:rPr>
        <w:t xml:space="preserve"> </w:t>
      </w:r>
      <w:r w:rsidR="006B4781">
        <w:rPr>
          <w:rFonts w:eastAsia="Calibri"/>
        </w:rPr>
        <w:t xml:space="preserve">and </w:t>
      </w:r>
      <w:r w:rsidR="006B4781" w:rsidRPr="00232FD3">
        <w:rPr>
          <w:rFonts w:eastAsia="Calibri"/>
        </w:rPr>
        <w:t>Asian</w:t>
      </w:r>
      <w:r w:rsidR="006B4781">
        <w:rPr>
          <w:rFonts w:eastAsia="Calibri"/>
        </w:rPr>
        <w:t xml:space="preserve"> </w:t>
      </w:r>
      <w:r w:rsidR="006B4781" w:rsidRPr="0095059C">
        <w:rPr>
          <w:rFonts w:eastAsia="Calibri"/>
        </w:rPr>
        <w:t>for the institution’s entering first-year classes of 2006 through 2008</w:t>
      </w:r>
      <w:r w:rsidR="006B4781">
        <w:rPr>
          <w:rFonts w:eastAsia="Calibri"/>
        </w:rPr>
        <w:t xml:space="preserve">.  </w:t>
      </w:r>
      <w:r w:rsidR="006B4781" w:rsidRPr="000C2660">
        <w:rPr>
          <w:rFonts w:eastAsia="Calibri"/>
        </w:rPr>
        <w:t>The gender and racial makeup of institutional enrollment will be examined as a percentage versus the overall number of these subpopulations, as the percentages will help standardize any differences in overall enrollment sizes between each institution.</w:t>
      </w:r>
      <w:r w:rsidR="006B4781" w:rsidRPr="00413AFF">
        <w:rPr>
          <w:rFonts w:eastAsia="Calibri"/>
        </w:rPr>
        <w:t xml:space="preserve">  </w:t>
      </w:r>
      <w:r w:rsidR="006B4781" w:rsidRPr="000C2660">
        <w:rPr>
          <w:rFonts w:eastAsia="Calibri"/>
        </w:rPr>
        <w:t>The Carnegie classification will serve as a proxy to control for the size of the institutional focuses. For example, doctoral institutions are prone to have higher levels of research expenditures in comparison to baccalaureate colleges.</w:t>
      </w:r>
      <w:r w:rsidR="006B4781">
        <w:rPr>
          <w:rFonts w:eastAsia="Calibri"/>
        </w:rPr>
        <w:t xml:space="preserve"> </w:t>
      </w:r>
    </w:p>
    <w:p w14:paraId="0D4910C2" w14:textId="77777777" w:rsidR="006B4781" w:rsidRDefault="006B4781" w:rsidP="006B4781">
      <w:pPr>
        <w:spacing w:after="160" w:line="480" w:lineRule="auto"/>
        <w:ind w:firstLine="720"/>
        <w:rPr>
          <w:rFonts w:eastAsia="Calibri"/>
        </w:rPr>
      </w:pPr>
      <w:r>
        <w:rPr>
          <w:rFonts w:eastAsia="Calibri"/>
        </w:rPr>
        <w:t>As indicated in Table 3.1, the mean of the 2006-2008 average Asian enrollment percentage across the 520 public higher education institutions is 5.2%; with a standard deviation of 9.4%; and maximum and minimum values of 97.1% and 0% respectively.  2006-2008 average Black enrollment percentage have a mean of 14.6%; standard deviation of 22.1%; and maximum and minimum values of 99.0% and 0%.  2006-2008 average Caucasian enrollment percentage have a mean of 62.9%; standard deviation of 26.6%; and maximum and minimum values of 98.1% and 0%.  2006-2008 average Hispanic enrollment percentage have a mean of 8.5%; standard deviation of 13.5%; and maximum and minimum values of 94.6% and 0%.  2006-2008 average female enrollment percentage have a mean of 53.9%; standard deviation of 9.9%; and maximum and minimum values of 94.5% and 6.1%.  2006-2008 average male enrollment percentage have a mean of 46.1%; standard deviation of 9.9%; and maximum and minimum values of 93.9% and 5.5%.</w:t>
      </w:r>
    </w:p>
    <w:p w14:paraId="4714AC81" w14:textId="77777777" w:rsidR="006B4781" w:rsidRDefault="006B4781" w:rsidP="006B4781">
      <w:pPr>
        <w:spacing w:after="160" w:line="480" w:lineRule="auto"/>
        <w:ind w:firstLine="720"/>
        <w:rPr>
          <w:rFonts w:eastAsia="Calibri"/>
        </w:rPr>
      </w:pPr>
      <w:r>
        <w:rPr>
          <w:rFonts w:eastAsia="Calibri"/>
        </w:rPr>
        <w:lastRenderedPageBreak/>
        <w:t>State economic</w:t>
      </w:r>
      <w:r w:rsidRPr="00232FD3">
        <w:rPr>
          <w:rFonts w:eastAsia="Calibri"/>
        </w:rPr>
        <w:t xml:space="preserve"> mediating variables will be selected based on prior research</w:t>
      </w:r>
      <w:r>
        <w:rPr>
          <w:rFonts w:eastAsia="Calibri"/>
        </w:rPr>
        <w:t>,</w:t>
      </w:r>
      <w:r w:rsidRPr="00232FD3">
        <w:rPr>
          <w:rFonts w:eastAsia="Calibri"/>
        </w:rPr>
        <w:t xml:space="preserve"> </w:t>
      </w:r>
      <w:r>
        <w:rPr>
          <w:rFonts w:eastAsia="Calibri"/>
        </w:rPr>
        <w:t>as previously noted in Chapter II, where</w:t>
      </w:r>
      <w:r w:rsidRPr="00232FD3">
        <w:rPr>
          <w:rFonts w:eastAsia="Calibri"/>
        </w:rPr>
        <w:t xml:space="preserve"> their potential influence on student outcomes</w:t>
      </w:r>
      <w:r>
        <w:rPr>
          <w:rFonts w:eastAsia="Calibri"/>
        </w:rPr>
        <w:t xml:space="preserve"> was discussed</w:t>
      </w:r>
      <w:r w:rsidRPr="00232FD3">
        <w:rPr>
          <w:rFonts w:eastAsia="Calibri"/>
        </w:rPr>
        <w:t>.  These will consist of average household income, unemployment rate</w:t>
      </w:r>
      <w:r>
        <w:rPr>
          <w:rFonts w:eastAsia="Calibri"/>
        </w:rPr>
        <w:t xml:space="preserve">, and higher education expenditures per capita for each U.S. state, </w:t>
      </w:r>
      <w:r w:rsidRPr="00894D08">
        <w:rPr>
          <w:rFonts w:eastAsia="Calibri"/>
        </w:rPr>
        <w:t>for the 2006, 2007, 2008 calendar years – the years that would match the first years of enrollment for the 2012, 2013, and 2014 six-year graduates, respectively.</w:t>
      </w:r>
      <w:r w:rsidRPr="00232FD3">
        <w:rPr>
          <w:rFonts w:eastAsia="Calibri"/>
        </w:rPr>
        <w:t xml:space="preserve">  Each of these variables will be aggregated to four U.S. geographical regions, “North</w:t>
      </w:r>
      <w:r>
        <w:rPr>
          <w:rFonts w:eastAsia="Calibri"/>
        </w:rPr>
        <w:t xml:space="preserve"> E</w:t>
      </w:r>
      <w:r w:rsidRPr="00232FD3">
        <w:rPr>
          <w:rFonts w:eastAsia="Calibri"/>
        </w:rPr>
        <w:t>ast”, “Midwest”, “South”, and “West”</w:t>
      </w:r>
      <w:r>
        <w:rPr>
          <w:rFonts w:eastAsia="Calibri"/>
        </w:rPr>
        <w:t xml:space="preserve">, as defined by the </w:t>
      </w:r>
      <w:r w:rsidRPr="00232FD3">
        <w:rPr>
          <w:rFonts w:eastAsia="Calibri"/>
        </w:rPr>
        <w:t>U.S. Bureau of Labor Statistics</w:t>
      </w:r>
      <w:r w:rsidRPr="00413AFF">
        <w:rPr>
          <w:rFonts w:eastAsia="Calibri"/>
        </w:rPr>
        <w:t xml:space="preserve">.  </w:t>
      </w:r>
      <w:r w:rsidRPr="000C2660">
        <w:rPr>
          <w:rFonts w:eastAsia="Calibri"/>
        </w:rPr>
        <w:t>These four U.S. regions have differing racial percentages of their overall populations, thus, similar to analyzing institutional enrollment by racial percentages, controlling for these differences in racial percentages by region may provide further strength to the study’ statistical analyses.</w:t>
      </w:r>
      <w:r>
        <w:rPr>
          <w:rFonts w:eastAsia="Calibri"/>
        </w:rPr>
        <w:t xml:space="preserve">  </w:t>
      </w:r>
    </w:p>
    <w:p w14:paraId="7F2ABC62" w14:textId="77777777" w:rsidR="006B4781" w:rsidRDefault="006B4781" w:rsidP="006B4781">
      <w:pPr>
        <w:spacing w:after="160" w:line="480" w:lineRule="auto"/>
        <w:ind w:firstLine="720"/>
        <w:rPr>
          <w:rFonts w:eastAsia="Calibri"/>
        </w:rPr>
      </w:pPr>
      <w:r w:rsidRPr="00894D08">
        <w:rPr>
          <w:rFonts w:eastAsia="Calibri"/>
        </w:rPr>
        <w:t>The state average income variable will be divided by one thousand for better interpretation of the statistical analyses.</w:t>
      </w:r>
      <w:r w:rsidRPr="0008668E">
        <w:rPr>
          <w:rFonts w:eastAsia="Calibri"/>
        </w:rPr>
        <w:t xml:space="preserve">  Without dividing the </w:t>
      </w:r>
      <w:r>
        <w:rPr>
          <w:rFonts w:eastAsia="Calibri"/>
        </w:rPr>
        <w:t>regional average income</w:t>
      </w:r>
      <w:r w:rsidRPr="0008668E">
        <w:rPr>
          <w:rFonts w:eastAsia="Calibri"/>
        </w:rPr>
        <w:t xml:space="preserve"> by 1000, the regression analyses would be based on one-dollar </w:t>
      </w:r>
      <w:r>
        <w:rPr>
          <w:rFonts w:eastAsia="Calibri"/>
        </w:rPr>
        <w:t>income</w:t>
      </w:r>
      <w:r w:rsidRPr="0008668E">
        <w:rPr>
          <w:rFonts w:eastAsia="Calibri"/>
        </w:rPr>
        <w:t xml:space="preserve"> changes and only deliver very small coefficients of predicted influence on the dependent variable – six-year graduation rates.   After dividing the </w:t>
      </w:r>
      <w:r>
        <w:rPr>
          <w:rFonts w:eastAsia="Calibri"/>
        </w:rPr>
        <w:t>regional average income</w:t>
      </w:r>
      <w:r w:rsidRPr="0008668E">
        <w:rPr>
          <w:rFonts w:eastAsia="Calibri"/>
        </w:rPr>
        <w:t xml:space="preserve"> by 1000, the regression analyses should be able to show predicted effects on graduation rates by larger amounts that would be easier to interpret and help provide the answers sought from the research questions.</w:t>
      </w:r>
    </w:p>
    <w:p w14:paraId="2589EE8B" w14:textId="77777777" w:rsidR="006B4781" w:rsidRDefault="006B4781" w:rsidP="006B4781">
      <w:pPr>
        <w:spacing w:after="160" w:line="480" w:lineRule="auto"/>
        <w:ind w:firstLine="720"/>
        <w:rPr>
          <w:rFonts w:eastAsia="Calibri"/>
        </w:rPr>
      </w:pPr>
      <w:r w:rsidRPr="00612E40">
        <w:rPr>
          <w:rFonts w:eastAsia="Calibri"/>
        </w:rPr>
        <w:t>As indicated in Table 3.1, the mean of the 20</w:t>
      </w:r>
      <w:r>
        <w:rPr>
          <w:rFonts w:eastAsia="Calibri"/>
        </w:rPr>
        <w:t>11</w:t>
      </w:r>
      <w:r w:rsidRPr="00612E40">
        <w:rPr>
          <w:rFonts w:eastAsia="Calibri"/>
        </w:rPr>
        <w:t>-20</w:t>
      </w:r>
      <w:r>
        <w:rPr>
          <w:rFonts w:eastAsia="Calibri"/>
        </w:rPr>
        <w:t>13</w:t>
      </w:r>
      <w:r w:rsidRPr="00612E40">
        <w:rPr>
          <w:rFonts w:eastAsia="Calibri"/>
        </w:rPr>
        <w:t xml:space="preserve"> average </w:t>
      </w:r>
      <w:r>
        <w:rPr>
          <w:rFonts w:eastAsia="Calibri"/>
        </w:rPr>
        <w:t>household income by region</w:t>
      </w:r>
      <w:r w:rsidRPr="00612E40">
        <w:rPr>
          <w:rFonts w:eastAsia="Calibri"/>
        </w:rPr>
        <w:t xml:space="preserve"> is </w:t>
      </w:r>
      <w:r>
        <w:rPr>
          <w:rFonts w:eastAsia="Calibri"/>
        </w:rPr>
        <w:t>$53,472</w:t>
      </w:r>
      <w:r w:rsidRPr="00612E40">
        <w:rPr>
          <w:rFonts w:eastAsia="Calibri"/>
        </w:rPr>
        <w:t xml:space="preserve">; with a standard deviation of </w:t>
      </w:r>
      <w:r>
        <w:rPr>
          <w:rFonts w:eastAsia="Calibri"/>
        </w:rPr>
        <w:t>$</w:t>
      </w:r>
      <w:r w:rsidRPr="00612E40">
        <w:rPr>
          <w:rFonts w:eastAsia="Calibri"/>
        </w:rPr>
        <w:t>9</w:t>
      </w:r>
      <w:r>
        <w:rPr>
          <w:rFonts w:eastAsia="Calibri"/>
        </w:rPr>
        <w:t>,262</w:t>
      </w:r>
      <w:r w:rsidRPr="00612E40">
        <w:rPr>
          <w:rFonts w:eastAsia="Calibri"/>
        </w:rPr>
        <w:t xml:space="preserve">; and maximum and minimum values of </w:t>
      </w:r>
      <w:r>
        <w:rPr>
          <w:rFonts w:eastAsia="Calibri"/>
        </w:rPr>
        <w:t>$66,905</w:t>
      </w:r>
      <w:r w:rsidRPr="00612E40">
        <w:rPr>
          <w:rFonts w:eastAsia="Calibri"/>
        </w:rPr>
        <w:t xml:space="preserve"> and </w:t>
      </w:r>
      <w:r>
        <w:rPr>
          <w:rFonts w:eastAsia="Calibri"/>
        </w:rPr>
        <w:t>$43,196</w:t>
      </w:r>
      <w:r w:rsidRPr="00612E40">
        <w:rPr>
          <w:rFonts w:eastAsia="Calibri"/>
        </w:rPr>
        <w:t xml:space="preserve"> respectively.  20</w:t>
      </w:r>
      <w:r>
        <w:rPr>
          <w:rFonts w:eastAsia="Calibri"/>
        </w:rPr>
        <w:t>12</w:t>
      </w:r>
      <w:r w:rsidRPr="00612E40">
        <w:rPr>
          <w:rFonts w:eastAsia="Calibri"/>
        </w:rPr>
        <w:t>-20</w:t>
      </w:r>
      <w:r>
        <w:rPr>
          <w:rFonts w:eastAsia="Calibri"/>
        </w:rPr>
        <w:t>14</w:t>
      </w:r>
      <w:r w:rsidRPr="00612E40">
        <w:rPr>
          <w:rFonts w:eastAsia="Calibri"/>
        </w:rPr>
        <w:t xml:space="preserve"> average </w:t>
      </w:r>
      <w:r>
        <w:rPr>
          <w:rFonts w:eastAsia="Calibri"/>
        </w:rPr>
        <w:t xml:space="preserve">unemployment rate by </w:t>
      </w:r>
      <w:r>
        <w:rPr>
          <w:rFonts w:eastAsia="Calibri"/>
        </w:rPr>
        <w:lastRenderedPageBreak/>
        <w:t>region</w:t>
      </w:r>
      <w:r w:rsidRPr="00612E40">
        <w:rPr>
          <w:rFonts w:eastAsia="Calibri"/>
        </w:rPr>
        <w:t xml:space="preserve"> have a mean of </w:t>
      </w:r>
      <w:r>
        <w:rPr>
          <w:rFonts w:eastAsia="Calibri"/>
        </w:rPr>
        <w:t>9.0%</w:t>
      </w:r>
      <w:r w:rsidRPr="00612E40">
        <w:rPr>
          <w:rFonts w:eastAsia="Calibri"/>
        </w:rPr>
        <w:t xml:space="preserve">; standard deviation of </w:t>
      </w:r>
      <w:r>
        <w:rPr>
          <w:rFonts w:eastAsia="Calibri"/>
        </w:rPr>
        <w:t>0.8</w:t>
      </w:r>
      <w:r w:rsidRPr="00612E40">
        <w:rPr>
          <w:rFonts w:eastAsia="Calibri"/>
        </w:rPr>
        <w:t xml:space="preserve">%; and maximum and minimum values of </w:t>
      </w:r>
      <w:r>
        <w:rPr>
          <w:rFonts w:eastAsia="Calibri"/>
        </w:rPr>
        <w:t>9.7</w:t>
      </w:r>
      <w:r w:rsidRPr="00612E40">
        <w:rPr>
          <w:rFonts w:eastAsia="Calibri"/>
        </w:rPr>
        <w:t xml:space="preserve">% and </w:t>
      </w:r>
      <w:r>
        <w:rPr>
          <w:rFonts w:eastAsia="Calibri"/>
        </w:rPr>
        <w:t>7.5</w:t>
      </w:r>
      <w:r w:rsidRPr="00612E40">
        <w:rPr>
          <w:rFonts w:eastAsia="Calibri"/>
        </w:rPr>
        <w:t xml:space="preserve">%.  2006-2008 average </w:t>
      </w:r>
      <w:r>
        <w:rPr>
          <w:rFonts w:eastAsia="Calibri"/>
        </w:rPr>
        <w:t>public higher education expenditures per capita</w:t>
      </w:r>
      <w:r w:rsidRPr="00612E40">
        <w:rPr>
          <w:rFonts w:eastAsia="Calibri"/>
        </w:rPr>
        <w:t xml:space="preserve"> have a mean of </w:t>
      </w:r>
      <w:r>
        <w:rPr>
          <w:rFonts w:eastAsia="Calibri"/>
        </w:rPr>
        <w:t>$260</w:t>
      </w:r>
      <w:r w:rsidRPr="00612E40">
        <w:rPr>
          <w:rFonts w:eastAsia="Calibri"/>
        </w:rPr>
        <w:t xml:space="preserve">; standard deviation of </w:t>
      </w:r>
      <w:r>
        <w:rPr>
          <w:rFonts w:eastAsia="Calibri"/>
        </w:rPr>
        <w:t>$36</w:t>
      </w:r>
      <w:r w:rsidRPr="00612E40">
        <w:rPr>
          <w:rFonts w:eastAsia="Calibri"/>
        </w:rPr>
        <w:t xml:space="preserve">; and maximum and minimum values of </w:t>
      </w:r>
      <w:r>
        <w:rPr>
          <w:rFonts w:eastAsia="Calibri"/>
        </w:rPr>
        <w:t>$292</w:t>
      </w:r>
      <w:r w:rsidRPr="00612E40">
        <w:rPr>
          <w:rFonts w:eastAsia="Calibri"/>
        </w:rPr>
        <w:t xml:space="preserve"> and </w:t>
      </w:r>
      <w:r>
        <w:rPr>
          <w:rFonts w:eastAsia="Calibri"/>
        </w:rPr>
        <w:t>$190.</w:t>
      </w:r>
    </w:p>
    <w:p w14:paraId="3791168D" w14:textId="77777777" w:rsidR="006B4781" w:rsidRDefault="006B4781" w:rsidP="006B4781">
      <w:pPr>
        <w:keepNext/>
        <w:spacing w:after="160" w:line="480" w:lineRule="auto"/>
        <w:rPr>
          <w:rFonts w:eastAsia="Calibri"/>
          <w:b/>
        </w:rPr>
      </w:pPr>
      <w:r w:rsidRPr="00C30120">
        <w:rPr>
          <w:rFonts w:eastAsia="Calibri"/>
          <w:b/>
        </w:rPr>
        <w:t>Dependent Variable</w:t>
      </w:r>
    </w:p>
    <w:p w14:paraId="541AE0B6" w14:textId="77777777" w:rsidR="006B4781" w:rsidRPr="00232FD3" w:rsidRDefault="006B4781" w:rsidP="006B4781">
      <w:pPr>
        <w:keepNext/>
        <w:spacing w:after="160" w:line="480" w:lineRule="auto"/>
        <w:ind w:firstLine="720"/>
        <w:rPr>
          <w:rFonts w:eastAsia="Calibri"/>
        </w:rPr>
      </w:pPr>
      <w:r w:rsidRPr="00232FD3">
        <w:rPr>
          <w:rFonts w:eastAsia="Calibri"/>
        </w:rPr>
        <w:t>The dependent variable being studied is the three-year average of</w:t>
      </w:r>
      <w:r>
        <w:rPr>
          <w:rFonts w:eastAsia="Calibri"/>
        </w:rPr>
        <w:t xml:space="preserve"> the 2006, 2007, and 2008 first time in college student</w:t>
      </w:r>
      <w:r w:rsidRPr="00232FD3">
        <w:rPr>
          <w:rFonts w:eastAsia="Calibri"/>
        </w:rPr>
        <w:t xml:space="preserve"> 6-Year Graduation Rate</w:t>
      </w:r>
      <w:r>
        <w:rPr>
          <w:rFonts w:eastAsia="Calibri"/>
        </w:rPr>
        <w:t>s by institution, as reported to IPEDS</w:t>
      </w:r>
      <w:r w:rsidRPr="00232FD3">
        <w:rPr>
          <w:rFonts w:eastAsia="Calibri"/>
        </w:rPr>
        <w:t xml:space="preserve">.  </w:t>
      </w:r>
      <w:r>
        <w:rPr>
          <w:rFonts w:eastAsia="Calibri"/>
        </w:rPr>
        <w:t xml:space="preserve"> As indicated in Table 3.1, the mean of the 2012-2014 six-year graduation rate across the 520 public higher education institutions is 45.6%; the standard deviation is 18.0%; and maximum and minimum values are 93.6% and 5.0%.</w:t>
      </w:r>
    </w:p>
    <w:p w14:paraId="262B7684" w14:textId="77777777" w:rsidR="006B4781" w:rsidRPr="00232FD3" w:rsidRDefault="006B4781" w:rsidP="006B4781">
      <w:pPr>
        <w:keepNext/>
        <w:spacing w:after="160" w:line="480" w:lineRule="auto"/>
        <w:jc w:val="center"/>
        <w:rPr>
          <w:rFonts w:eastAsia="Calibri"/>
          <w:b/>
        </w:rPr>
      </w:pPr>
      <w:r w:rsidRPr="00232FD3">
        <w:rPr>
          <w:rFonts w:eastAsia="Calibri"/>
          <w:b/>
        </w:rPr>
        <w:t>Data Analyses</w:t>
      </w:r>
      <w:r>
        <w:rPr>
          <w:rFonts w:eastAsia="Calibri"/>
          <w:b/>
        </w:rPr>
        <w:t xml:space="preserve"> Methods</w:t>
      </w:r>
    </w:p>
    <w:p w14:paraId="6C6E7BF8" w14:textId="77777777" w:rsidR="006B4781" w:rsidRDefault="006B4781" w:rsidP="006B4781">
      <w:pPr>
        <w:keepNext/>
        <w:spacing w:after="160" w:line="480" w:lineRule="auto"/>
        <w:rPr>
          <w:rFonts w:eastAsia="Calibri"/>
          <w:b/>
        </w:rPr>
      </w:pPr>
      <w:r>
        <w:rPr>
          <w:rFonts w:eastAsia="Calibri"/>
          <w:b/>
        </w:rPr>
        <w:t>Data Integrity</w:t>
      </w:r>
      <w:r w:rsidRPr="00232FD3">
        <w:rPr>
          <w:rFonts w:eastAsia="Calibri"/>
          <w:b/>
        </w:rPr>
        <w:t xml:space="preserve"> Procedures and Methodological Assumptions</w:t>
      </w:r>
      <w:r>
        <w:rPr>
          <w:rFonts w:eastAsia="Calibri"/>
          <w:b/>
        </w:rPr>
        <w:t xml:space="preserve">  </w:t>
      </w:r>
    </w:p>
    <w:p w14:paraId="6596C703" w14:textId="18B73771" w:rsidR="006B4781" w:rsidRDefault="006B4781" w:rsidP="006B4781">
      <w:pPr>
        <w:keepNext/>
        <w:spacing w:after="160" w:line="480" w:lineRule="auto"/>
        <w:ind w:firstLine="720"/>
        <w:rPr>
          <w:rFonts w:eastAsia="Calibri"/>
        </w:rPr>
      </w:pPr>
      <w:r w:rsidRPr="00232FD3">
        <w:rPr>
          <w:rFonts w:eastAsia="Calibri"/>
        </w:rPr>
        <w:t>Prior to conducting the inferential statistical analyses necessary to answer this study’s purpose and questions, some preliminary analyses will be performed to better understand the relationships between the underlying data and the variables created from these data</w:t>
      </w:r>
      <w:r>
        <w:rPr>
          <w:rFonts w:eastAsia="Calibri"/>
        </w:rPr>
        <w:t xml:space="preserve"> and ensure data integrity before performing inferential analyses</w:t>
      </w:r>
      <w:r w:rsidRPr="00232FD3">
        <w:rPr>
          <w:rFonts w:eastAsia="Calibri"/>
        </w:rPr>
        <w:t>.</w:t>
      </w:r>
      <w:r w:rsidR="004E558C">
        <w:rPr>
          <w:rFonts w:eastAsia="Calibri"/>
        </w:rPr>
        <w:t xml:space="preserve"> For data integrity, this study employs </w:t>
      </w:r>
      <w:r w:rsidR="00556105" w:rsidRPr="003A25B9">
        <w:rPr>
          <w:rFonts w:eastAsia="Calibri"/>
        </w:rPr>
        <w:t xml:space="preserve">Statistical Package for the Social Sciences </w:t>
      </w:r>
      <w:r w:rsidR="00556105">
        <w:rPr>
          <w:rFonts w:eastAsia="Calibri"/>
        </w:rPr>
        <w:t>(</w:t>
      </w:r>
      <w:r w:rsidR="00556105" w:rsidRPr="00B03EC1">
        <w:rPr>
          <w:rFonts w:eastAsia="Calibri"/>
        </w:rPr>
        <w:t>SPSS</w:t>
      </w:r>
      <w:r w:rsidR="00556105">
        <w:rPr>
          <w:rFonts w:eastAsia="Calibri"/>
        </w:rPr>
        <w:t>) statistical software</w:t>
      </w:r>
      <w:r w:rsidR="004E558C">
        <w:rPr>
          <w:rFonts w:eastAsia="Calibri"/>
        </w:rPr>
        <w:t xml:space="preserve">.  </w:t>
      </w:r>
      <w:r w:rsidRPr="00232FD3">
        <w:rPr>
          <w:rFonts w:eastAsia="Calibri"/>
        </w:rPr>
        <w:t xml:space="preserve"> </w:t>
      </w:r>
    </w:p>
    <w:p w14:paraId="645DA9E9" w14:textId="438FED42" w:rsidR="006B4781" w:rsidRDefault="006B4781" w:rsidP="006B4781">
      <w:pPr>
        <w:spacing w:after="160" w:line="480" w:lineRule="auto"/>
        <w:ind w:firstLine="720"/>
        <w:rPr>
          <w:rFonts w:eastAsia="Calibri"/>
        </w:rPr>
      </w:pPr>
      <w:r w:rsidRPr="000C2660">
        <w:rPr>
          <w:rFonts w:eastAsia="Calibri"/>
        </w:rPr>
        <w:t xml:space="preserve">In order to find what effects institutional expenditures or state economic indicators might have on graduation rates, this study will use </w:t>
      </w:r>
      <w:r w:rsidR="003A6ED3">
        <w:rPr>
          <w:rFonts w:eastAsia="Calibri"/>
        </w:rPr>
        <w:t xml:space="preserve">multilevel regression </w:t>
      </w:r>
      <w:r>
        <w:rPr>
          <w:rFonts w:eastAsia="Calibri"/>
        </w:rPr>
        <w:t xml:space="preserve">statistics that uses two regression steps for each level of analysis found in the data.  In </w:t>
      </w:r>
      <w:r>
        <w:rPr>
          <w:rFonts w:eastAsia="Calibri"/>
        </w:rPr>
        <w:lastRenderedPageBreak/>
        <w:t xml:space="preserve">this study, </w:t>
      </w:r>
      <w:r w:rsidR="005B2014">
        <w:rPr>
          <w:rFonts w:eastAsia="Calibri"/>
        </w:rPr>
        <w:t>institution level</w:t>
      </w:r>
      <w:r>
        <w:rPr>
          <w:rFonts w:eastAsia="Calibri"/>
        </w:rPr>
        <w:t xml:space="preserve"> data is nested within </w:t>
      </w:r>
      <w:r w:rsidR="005B2014">
        <w:rPr>
          <w:rFonts w:eastAsia="Calibri"/>
        </w:rPr>
        <w:t>state level</w:t>
      </w:r>
      <w:r>
        <w:rPr>
          <w:rFonts w:eastAsia="Calibri"/>
        </w:rPr>
        <w:t xml:space="preserve"> data.  The </w:t>
      </w:r>
      <w:r w:rsidR="003A6ED3">
        <w:rPr>
          <w:rFonts w:eastAsia="Calibri"/>
        </w:rPr>
        <w:t>computation details on multilevel regression technique</w:t>
      </w:r>
      <w:r>
        <w:rPr>
          <w:rFonts w:eastAsia="Calibri"/>
        </w:rPr>
        <w:t xml:space="preserve"> will be discussed in more detail in the next section of this chapter.</w:t>
      </w:r>
      <w:r w:rsidR="004E558C">
        <w:rPr>
          <w:rFonts w:eastAsia="Calibri"/>
        </w:rPr>
        <w:t xml:space="preserve"> Hierarchical Linear Modeling, known as HLM, is statistical software, developed by </w:t>
      </w:r>
      <w:r w:rsidR="0022332C">
        <w:rPr>
          <w:rFonts w:eastAsia="Calibri"/>
        </w:rPr>
        <w:t xml:space="preserve">Stephen </w:t>
      </w:r>
      <w:r w:rsidR="004E558C">
        <w:rPr>
          <w:rFonts w:eastAsia="Calibri"/>
        </w:rPr>
        <w:t>Raudenb</w:t>
      </w:r>
      <w:r w:rsidR="005E4CA8">
        <w:rPr>
          <w:rFonts w:eastAsia="Calibri"/>
        </w:rPr>
        <w:t>ush</w:t>
      </w:r>
      <w:r w:rsidR="004E558C">
        <w:rPr>
          <w:rFonts w:eastAsia="Calibri"/>
        </w:rPr>
        <w:t xml:space="preserve"> and </w:t>
      </w:r>
      <w:r w:rsidR="0022332C">
        <w:rPr>
          <w:rFonts w:eastAsia="Calibri"/>
        </w:rPr>
        <w:t xml:space="preserve">Anthony </w:t>
      </w:r>
      <w:proofErr w:type="spellStart"/>
      <w:proofErr w:type="gramStart"/>
      <w:r w:rsidR="004E558C">
        <w:rPr>
          <w:rFonts w:eastAsia="Calibri"/>
        </w:rPr>
        <w:t>Bryk</w:t>
      </w:r>
      <w:proofErr w:type="spellEnd"/>
      <w:r w:rsidR="004E558C">
        <w:rPr>
          <w:rFonts w:eastAsia="Calibri"/>
        </w:rPr>
        <w:t xml:space="preserve"> </w:t>
      </w:r>
      <w:r w:rsidR="00B96360">
        <w:rPr>
          <w:rFonts w:eastAsia="Calibri"/>
        </w:rPr>
        <w:t>,</w:t>
      </w:r>
      <w:proofErr w:type="gramEnd"/>
      <w:r w:rsidR="00B96360">
        <w:rPr>
          <w:rFonts w:eastAsia="Calibri"/>
        </w:rPr>
        <w:t xml:space="preserve"> which was</w:t>
      </w:r>
      <w:r w:rsidR="004E558C">
        <w:rPr>
          <w:rFonts w:eastAsia="Calibri"/>
        </w:rPr>
        <w:t xml:space="preserve"> </w:t>
      </w:r>
      <w:r w:rsidR="00B96360">
        <w:rPr>
          <w:rFonts w:eastAsia="Calibri"/>
        </w:rPr>
        <w:t>specifically</w:t>
      </w:r>
      <w:r w:rsidR="004E558C">
        <w:rPr>
          <w:rFonts w:eastAsia="Calibri"/>
        </w:rPr>
        <w:t xml:space="preserve"> designed </w:t>
      </w:r>
      <w:r w:rsidR="00B96360">
        <w:rPr>
          <w:rFonts w:eastAsia="Calibri"/>
        </w:rPr>
        <w:t>to conduct</w:t>
      </w:r>
      <w:r w:rsidR="004E558C">
        <w:rPr>
          <w:rFonts w:eastAsia="Calibri"/>
        </w:rPr>
        <w:t xml:space="preserve"> multilevel analyses. This study will employ HLM as </w:t>
      </w:r>
      <w:r w:rsidR="00554368">
        <w:rPr>
          <w:rFonts w:eastAsia="Calibri"/>
        </w:rPr>
        <w:t xml:space="preserve">its </w:t>
      </w:r>
      <w:r w:rsidR="004E558C">
        <w:rPr>
          <w:rFonts w:eastAsia="Calibri"/>
        </w:rPr>
        <w:t xml:space="preserve">statistical </w:t>
      </w:r>
      <w:r w:rsidR="00793853">
        <w:rPr>
          <w:rFonts w:eastAsia="Calibri"/>
        </w:rPr>
        <w:t>software for</w:t>
      </w:r>
      <w:r w:rsidR="004E558C">
        <w:rPr>
          <w:rFonts w:eastAsia="Calibri"/>
        </w:rPr>
        <w:t xml:space="preserve"> multilevel analyses.   </w:t>
      </w:r>
    </w:p>
    <w:p w14:paraId="784C3817" w14:textId="3BDCB474" w:rsidR="006B4781" w:rsidRPr="00232FD3" w:rsidRDefault="006B4781" w:rsidP="006B4781">
      <w:pPr>
        <w:spacing w:after="160" w:line="480" w:lineRule="auto"/>
        <w:ind w:firstLine="720"/>
        <w:rPr>
          <w:rFonts w:eastAsia="Calibri"/>
        </w:rPr>
      </w:pPr>
      <w:r w:rsidRPr="00310E16">
        <w:rPr>
          <w:rFonts w:eastAsia="Calibri"/>
        </w:rPr>
        <w:t>Multilevel modeling</w:t>
      </w:r>
      <w:r w:rsidRPr="00232FD3">
        <w:rPr>
          <w:rFonts w:eastAsia="Calibri"/>
        </w:rPr>
        <w:t xml:space="preserve"> statistics have data assumptions that include:  multicollinearity, normality, and outliers.  Each of these data assumptions will be conducted as part of the preliminary analytical procedures conducted prior to the inferential analyses.  Multicollinearity of data is determined when a correlation between two variables is considered high </w:t>
      </w:r>
      <w:r w:rsidRPr="00B03EC1">
        <w:rPr>
          <w:rFonts w:eastAsia="Calibri"/>
        </w:rPr>
        <w:t>enough to potentially confuse any relationships found between those variables and the dependent variable (Huck, 2012).  SPSS</w:t>
      </w:r>
      <w:r w:rsidR="00556105">
        <w:rPr>
          <w:rFonts w:eastAsia="Calibri"/>
        </w:rPr>
        <w:t xml:space="preserve"> </w:t>
      </w:r>
      <w:r w:rsidRPr="00B03EC1">
        <w:rPr>
          <w:rFonts w:eastAsia="Calibri"/>
        </w:rPr>
        <w:t xml:space="preserve">software </w:t>
      </w:r>
      <w:r w:rsidRPr="00232FD3">
        <w:rPr>
          <w:rFonts w:eastAsia="Calibri"/>
        </w:rPr>
        <w:t xml:space="preserve">will allow for testing these study variables and provide a Variable Inflation Factor score of 5 or greater when multicollinearity exists.  Any variables showing high multicollinearity will be removed from further statistics.  </w:t>
      </w:r>
    </w:p>
    <w:p w14:paraId="1F10D281" w14:textId="77777777" w:rsidR="006B4781" w:rsidRDefault="006B4781" w:rsidP="006B4781">
      <w:pPr>
        <w:spacing w:after="160" w:line="480" w:lineRule="auto"/>
        <w:ind w:firstLine="720"/>
        <w:rPr>
          <w:rFonts w:eastAsia="Calibri"/>
        </w:rPr>
      </w:pPr>
      <w:r w:rsidRPr="00232FD3">
        <w:rPr>
          <w:rFonts w:eastAsia="Calibri"/>
        </w:rPr>
        <w:t xml:space="preserve">The normality assumption is an indication of how a data </w:t>
      </w:r>
      <w:commentRangeStart w:id="3"/>
      <w:r>
        <w:rPr>
          <w:rFonts w:eastAsia="Calibri"/>
        </w:rPr>
        <w:t>sample</w:t>
      </w:r>
      <w:r w:rsidRPr="00232FD3">
        <w:rPr>
          <w:rFonts w:eastAsia="Calibri"/>
        </w:rPr>
        <w:t xml:space="preserve"> to </w:t>
      </w:r>
      <w:commentRangeEnd w:id="3"/>
      <w:r>
        <w:rPr>
          <w:rStyle w:val="CommentReference"/>
        </w:rPr>
        <w:commentReference w:id="3"/>
      </w:r>
      <w:r w:rsidRPr="00232FD3">
        <w:rPr>
          <w:rFonts w:eastAsia="Calibri"/>
        </w:rPr>
        <w:t>be studied is distributed from its average or mean</w:t>
      </w:r>
      <w:r>
        <w:rPr>
          <w:rFonts w:eastAsia="Calibri"/>
        </w:rPr>
        <w:t xml:space="preserve"> (Huck, 2012)</w:t>
      </w:r>
      <w:r w:rsidRPr="00232FD3">
        <w:rPr>
          <w:rFonts w:eastAsia="Calibri"/>
        </w:rPr>
        <w:t xml:space="preserve">.  When a </w:t>
      </w:r>
      <w:commentRangeStart w:id="4"/>
      <w:r>
        <w:rPr>
          <w:rFonts w:eastAsia="Calibri"/>
        </w:rPr>
        <w:t>sample</w:t>
      </w:r>
      <w:r w:rsidRPr="00232FD3">
        <w:rPr>
          <w:rFonts w:eastAsia="Calibri"/>
        </w:rPr>
        <w:t xml:space="preserve"> fits </w:t>
      </w:r>
      <w:commentRangeEnd w:id="4"/>
      <w:r>
        <w:rPr>
          <w:rStyle w:val="CommentReference"/>
        </w:rPr>
        <w:commentReference w:id="4"/>
      </w:r>
      <w:r w:rsidRPr="00232FD3">
        <w:rPr>
          <w:rFonts w:eastAsia="Calibri"/>
        </w:rPr>
        <w:t>the normality assumption, it is considered to have an equal balance of units or scores distributed on either side of the population’s mean</w:t>
      </w:r>
      <w:r>
        <w:rPr>
          <w:rFonts w:eastAsia="Calibri"/>
        </w:rPr>
        <w:t xml:space="preserve"> (Huck, 2012)</w:t>
      </w:r>
      <w:r w:rsidRPr="00232FD3">
        <w:rPr>
          <w:rFonts w:eastAsia="Calibri"/>
        </w:rPr>
        <w:t xml:space="preserve">. Normality for the dependent variable is of particular importance. </w:t>
      </w:r>
      <w:r>
        <w:rPr>
          <w:rFonts w:eastAsia="Calibri"/>
        </w:rPr>
        <w:t>Thus, n</w:t>
      </w:r>
      <w:r w:rsidRPr="00232FD3">
        <w:rPr>
          <w:rFonts w:eastAsia="Calibri"/>
        </w:rPr>
        <w:t xml:space="preserve">ormal </w:t>
      </w:r>
      <w:r>
        <w:rPr>
          <w:rFonts w:eastAsia="Calibri"/>
        </w:rPr>
        <w:t>assumption</w:t>
      </w:r>
      <w:r w:rsidRPr="00232FD3">
        <w:rPr>
          <w:rFonts w:eastAsia="Calibri"/>
        </w:rPr>
        <w:t xml:space="preserve"> will be tested for </w:t>
      </w:r>
      <w:r>
        <w:rPr>
          <w:rFonts w:eastAsia="Calibri"/>
        </w:rPr>
        <w:t xml:space="preserve">the dependent variable in the current study. </w:t>
      </w:r>
      <w:r w:rsidRPr="00232FD3">
        <w:rPr>
          <w:rFonts w:eastAsia="Calibri"/>
        </w:rPr>
        <w:t xml:space="preserve">If any forewarnings of departure from normality should be </w:t>
      </w:r>
      <w:r w:rsidRPr="00232FD3">
        <w:rPr>
          <w:rFonts w:eastAsia="Calibri"/>
        </w:rPr>
        <w:lastRenderedPageBreak/>
        <w:t>found, possible transformation will be considered to improve the shape of the distribution.</w:t>
      </w:r>
    </w:p>
    <w:p w14:paraId="636853FC" w14:textId="77777777" w:rsidR="006B4781" w:rsidRPr="00672E93" w:rsidRDefault="006B4781" w:rsidP="006B4781">
      <w:pPr>
        <w:spacing w:after="160" w:line="480" w:lineRule="auto"/>
        <w:ind w:firstLine="720"/>
        <w:rPr>
          <w:rFonts w:eastAsia="Calibri"/>
        </w:rPr>
      </w:pPr>
      <w:r>
        <w:rPr>
          <w:rFonts w:eastAsia="Calibri"/>
        </w:rPr>
        <w:t xml:space="preserve">The linear regression procedure in SPSS offers a diagnostic component to test multicollinearity across independent variables. There are two measures to determine the level of multicollinearity. These two measures include tolerance and variance inflation factor (VIF) values.    A tolerance value </w:t>
      </w:r>
      <w:r w:rsidRPr="00763636">
        <w:rPr>
          <w:rFonts w:eastAsia="Calibri"/>
          <w:highlight w:val="red"/>
        </w:rPr>
        <w:t>below .20</w:t>
      </w:r>
      <w:r>
        <w:rPr>
          <w:rFonts w:eastAsia="Calibri"/>
        </w:rPr>
        <w:t xml:space="preserve"> is generally regarded as an indication of multicollinearity with at least one of the other independent variables, as this indicates </w:t>
      </w:r>
      <w:r w:rsidRPr="00763636">
        <w:rPr>
          <w:rFonts w:eastAsia="Calibri"/>
          <w:highlight w:val="red"/>
        </w:rPr>
        <w:t>that 80%</w:t>
      </w:r>
      <w:r>
        <w:rPr>
          <w:rFonts w:eastAsia="Calibri"/>
        </w:rPr>
        <w:t xml:space="preserve"> of the variance of this particular variable is shared with another independent variable (</w:t>
      </w:r>
      <w:r w:rsidRPr="002121FC">
        <w:rPr>
          <w:rFonts w:eastAsia="Calibri"/>
          <w:highlight w:val="red"/>
        </w:rPr>
        <w:t>CITE!</w:t>
      </w:r>
      <w:r w:rsidRPr="002121FC">
        <w:rPr>
          <w:rFonts w:eastAsia="Calibri"/>
          <w:highlight w:val="magenta"/>
        </w:rPr>
        <w:t>!</w:t>
      </w:r>
      <w:r>
        <w:rPr>
          <w:rFonts w:eastAsia="Calibri"/>
        </w:rPr>
        <w:t xml:space="preserve">).  The VIF value is another indicator of multicollinearity provided with the SPSS regression output, with any VIF value greater </w:t>
      </w:r>
      <w:r w:rsidRPr="00763636">
        <w:rPr>
          <w:rFonts w:eastAsia="Calibri"/>
          <w:highlight w:val="red"/>
        </w:rPr>
        <w:t>than 5 being</w:t>
      </w:r>
      <w:r>
        <w:rPr>
          <w:rFonts w:eastAsia="Calibri"/>
        </w:rPr>
        <w:t xml:space="preserve"> an indicator for multicollinearity between variables (</w:t>
      </w:r>
      <w:r w:rsidRPr="00B52EE8">
        <w:rPr>
          <w:rFonts w:eastAsia="Calibri"/>
          <w:highlight w:val="red"/>
        </w:rPr>
        <w:t>CITE</w:t>
      </w:r>
      <w:r>
        <w:rPr>
          <w:rFonts w:eastAsia="Calibri"/>
        </w:rPr>
        <w:t xml:space="preserve">).         </w:t>
      </w:r>
    </w:p>
    <w:p w14:paraId="346AE26F" w14:textId="77777777" w:rsidR="006B4781" w:rsidRDefault="006B4781" w:rsidP="006B4781">
      <w:pPr>
        <w:keepNext/>
        <w:spacing w:after="160" w:line="480" w:lineRule="auto"/>
        <w:rPr>
          <w:rFonts w:eastAsia="Calibri"/>
          <w:b/>
        </w:rPr>
      </w:pPr>
      <w:r w:rsidRPr="00232FD3">
        <w:rPr>
          <w:rFonts w:eastAsia="Calibri"/>
          <w:b/>
        </w:rPr>
        <w:t xml:space="preserve">Inferential Analyses </w:t>
      </w:r>
      <w:r>
        <w:rPr>
          <w:rFonts w:eastAsia="Calibri"/>
          <w:b/>
        </w:rPr>
        <w:t xml:space="preserve">Methods  </w:t>
      </w:r>
    </w:p>
    <w:p w14:paraId="037D87C8" w14:textId="0A0BD8A8" w:rsidR="006B4781" w:rsidRDefault="006B4781" w:rsidP="006B4781">
      <w:pPr>
        <w:keepNext/>
        <w:spacing w:after="160" w:line="480" w:lineRule="auto"/>
        <w:ind w:firstLine="720"/>
        <w:rPr>
          <w:rFonts w:eastAsia="Calibri"/>
        </w:rPr>
      </w:pPr>
      <w:r w:rsidRPr="00CA4F69">
        <w:rPr>
          <w:rFonts w:eastAsia="Calibri"/>
        </w:rPr>
        <w:t>To answer this study’s research questions,</w:t>
      </w:r>
      <w:r>
        <w:rPr>
          <w:rFonts w:eastAsia="Calibri"/>
        </w:rPr>
        <w:t xml:space="preserve"> the current study employs</w:t>
      </w:r>
      <w:r w:rsidR="000230CD">
        <w:rPr>
          <w:rFonts w:eastAsia="Calibri"/>
        </w:rPr>
        <w:t xml:space="preserve"> </w:t>
      </w:r>
      <w:r w:rsidR="00554368">
        <w:rPr>
          <w:rFonts w:eastAsia="Calibri"/>
        </w:rPr>
        <w:t xml:space="preserve">multilevel regression analysis </w:t>
      </w:r>
      <w:r w:rsidRPr="00CA4F69">
        <w:rPr>
          <w:rFonts w:eastAsia="Calibri"/>
        </w:rPr>
        <w:t>to find associations and effect level differences between institutional expenditures and state financial characteristics with regard to the outcome of public university graduation rates.  The</w:t>
      </w:r>
      <w:r>
        <w:rPr>
          <w:rFonts w:eastAsia="Calibri"/>
        </w:rPr>
        <w:t xml:space="preserve"> </w:t>
      </w:r>
      <w:r w:rsidR="004E558C">
        <w:rPr>
          <w:rFonts w:eastAsia="Calibri"/>
        </w:rPr>
        <w:t>multilevel analysis result</w:t>
      </w:r>
      <w:r w:rsidR="00554368">
        <w:rPr>
          <w:rFonts w:eastAsia="Calibri"/>
        </w:rPr>
        <w:t>s</w:t>
      </w:r>
      <w:r>
        <w:rPr>
          <w:rFonts w:eastAsia="Calibri"/>
        </w:rPr>
        <w:t xml:space="preserve"> will provide regression coefficients for each institutional expenditure and state economic indicator, which will indicate the degree to which each of these predictor variables causes variation in six-year graduation rates.   </w:t>
      </w:r>
    </w:p>
    <w:p w14:paraId="01CEB3C4" w14:textId="77777777" w:rsidR="006B4781" w:rsidRDefault="006B4781" w:rsidP="006B4781">
      <w:pPr>
        <w:spacing w:after="160" w:line="480" w:lineRule="auto"/>
        <w:ind w:firstLine="720"/>
        <w:rPr>
          <w:rFonts w:eastAsia="Calibri"/>
        </w:rPr>
      </w:pPr>
      <w:r w:rsidRPr="00232FD3">
        <w:rPr>
          <w:rFonts w:eastAsia="Calibri"/>
        </w:rPr>
        <w:t xml:space="preserve">The variables used for </w:t>
      </w:r>
      <w:r>
        <w:rPr>
          <w:rFonts w:eastAsia="Calibri"/>
        </w:rPr>
        <w:t>answering these questions</w:t>
      </w:r>
      <w:r w:rsidRPr="00232FD3">
        <w:rPr>
          <w:rFonts w:eastAsia="Calibri"/>
        </w:rPr>
        <w:t xml:space="preserve"> will include both higher education </w:t>
      </w:r>
      <w:r w:rsidR="005B2014">
        <w:rPr>
          <w:rFonts w:eastAsia="Calibri"/>
          <w:i/>
        </w:rPr>
        <w:t>institution level</w:t>
      </w:r>
      <w:r w:rsidRPr="00232FD3">
        <w:rPr>
          <w:rFonts w:eastAsia="Calibri"/>
        </w:rPr>
        <w:t xml:space="preserve"> data – including the various types of institutional expenditures </w:t>
      </w:r>
      <w:r w:rsidRPr="00232FD3">
        <w:rPr>
          <w:rFonts w:eastAsia="Calibri"/>
        </w:rPr>
        <w:lastRenderedPageBreak/>
        <w:t>and other institutional and student population demographic characteristics</w:t>
      </w:r>
      <w:r>
        <w:rPr>
          <w:rFonts w:eastAsia="Calibri"/>
        </w:rPr>
        <w:t xml:space="preserve">, as well as </w:t>
      </w:r>
      <w:r w:rsidRPr="00232FD3">
        <w:rPr>
          <w:rFonts w:eastAsia="Calibri"/>
        </w:rPr>
        <w:t xml:space="preserve">U.S. </w:t>
      </w:r>
      <w:r w:rsidR="005B2014">
        <w:rPr>
          <w:rFonts w:eastAsia="Calibri"/>
          <w:i/>
        </w:rPr>
        <w:t>state level</w:t>
      </w:r>
      <w:r w:rsidRPr="00232FD3">
        <w:rPr>
          <w:rFonts w:eastAsia="Calibri"/>
        </w:rPr>
        <w:t xml:space="preserve"> data – such as the average state unemployment rate </w:t>
      </w:r>
      <w:r>
        <w:rPr>
          <w:rFonts w:eastAsia="Calibri"/>
        </w:rPr>
        <w:t xml:space="preserve">and </w:t>
      </w:r>
      <w:r w:rsidRPr="00232FD3">
        <w:rPr>
          <w:rFonts w:eastAsia="Calibri"/>
        </w:rPr>
        <w:t xml:space="preserve">median state household income.  As such, the scenario exists where some of the data to be analyzed is nested within data </w:t>
      </w:r>
      <w:r>
        <w:rPr>
          <w:rFonts w:eastAsia="Calibri"/>
        </w:rPr>
        <w:t xml:space="preserve">grouped </w:t>
      </w:r>
      <w:r w:rsidRPr="00232FD3">
        <w:rPr>
          <w:rFonts w:eastAsia="Calibri"/>
        </w:rPr>
        <w:t>at a more macro level.  Specifically, higher education institution data are nested within each state</w:t>
      </w:r>
      <w:r>
        <w:rPr>
          <w:rFonts w:eastAsia="Calibri"/>
        </w:rPr>
        <w:t xml:space="preserve"> </w:t>
      </w:r>
      <w:r w:rsidRPr="00F12BF2">
        <w:rPr>
          <w:rFonts w:eastAsia="Calibri"/>
        </w:rPr>
        <w:t>and further nested within each of four U.S. regions.</w:t>
      </w:r>
      <w:r w:rsidRPr="00232FD3">
        <w:rPr>
          <w:rFonts w:eastAsia="Calibri"/>
        </w:rPr>
        <w:t xml:space="preserve">  </w:t>
      </w:r>
    </w:p>
    <w:p w14:paraId="71D30AD7" w14:textId="14598EEC" w:rsidR="006B4781" w:rsidRDefault="006B4781" w:rsidP="006B4781">
      <w:pPr>
        <w:spacing w:after="160" w:line="480" w:lineRule="auto"/>
        <w:ind w:firstLine="720"/>
        <w:rPr>
          <w:rFonts w:eastAsia="Calibri"/>
        </w:rPr>
      </w:pPr>
      <w:r w:rsidRPr="00232FD3">
        <w:rPr>
          <w:rFonts w:eastAsia="Calibri"/>
        </w:rPr>
        <w:t xml:space="preserve">If single equation linear regressions </w:t>
      </w:r>
      <w:r>
        <w:rPr>
          <w:rFonts w:eastAsia="Calibri"/>
        </w:rPr>
        <w:t xml:space="preserve">were used to find the percent of variance in graduation rates caused by theses institutional and </w:t>
      </w:r>
      <w:r w:rsidR="005B2014">
        <w:rPr>
          <w:rFonts w:eastAsia="Calibri"/>
        </w:rPr>
        <w:t>state level</w:t>
      </w:r>
      <w:r>
        <w:rPr>
          <w:rFonts w:eastAsia="Calibri"/>
        </w:rPr>
        <w:t xml:space="preserve"> predictor variables</w:t>
      </w:r>
      <w:r w:rsidRPr="00232FD3">
        <w:rPr>
          <w:rFonts w:eastAsia="Calibri"/>
        </w:rPr>
        <w:t xml:space="preserve">, </w:t>
      </w:r>
      <w:r w:rsidRPr="000C2660">
        <w:rPr>
          <w:rFonts w:eastAsia="Calibri"/>
        </w:rPr>
        <w:t xml:space="preserve">standard errors for </w:t>
      </w:r>
      <w:r w:rsidR="005B2014">
        <w:rPr>
          <w:rFonts w:eastAsia="Calibri"/>
        </w:rPr>
        <w:t>state level</w:t>
      </w:r>
      <w:r w:rsidRPr="000C2660">
        <w:rPr>
          <w:rFonts w:eastAsia="Calibri"/>
        </w:rPr>
        <w:t xml:space="preserve"> variables would be deflated</w:t>
      </w:r>
      <w:r w:rsidRPr="00232FD3">
        <w:rPr>
          <w:rFonts w:eastAsia="Calibri"/>
        </w:rPr>
        <w:t xml:space="preserve"> which </w:t>
      </w:r>
      <w:r>
        <w:rPr>
          <w:rFonts w:eastAsia="Calibri"/>
        </w:rPr>
        <w:t xml:space="preserve">could result in </w:t>
      </w:r>
      <w:r w:rsidRPr="00232FD3">
        <w:rPr>
          <w:rFonts w:eastAsia="Calibri"/>
        </w:rPr>
        <w:t xml:space="preserve">Type I </w:t>
      </w:r>
      <w:r>
        <w:rPr>
          <w:rFonts w:eastAsia="Calibri"/>
        </w:rPr>
        <w:t xml:space="preserve">statistical </w:t>
      </w:r>
      <w:r w:rsidRPr="00232FD3">
        <w:rPr>
          <w:rFonts w:eastAsia="Calibri"/>
        </w:rPr>
        <w:t>errors</w:t>
      </w:r>
      <w:r>
        <w:rPr>
          <w:rFonts w:eastAsia="Calibri"/>
        </w:rPr>
        <w:t xml:space="preserve"> – rejecting null hypotheses and giving false positive results</w:t>
      </w:r>
      <w:r w:rsidRPr="00232FD3">
        <w:rPr>
          <w:rFonts w:eastAsia="Calibri"/>
        </w:rPr>
        <w:t>. Thus, the standard errors must be adjusted for the state level data</w:t>
      </w:r>
      <w:r>
        <w:rPr>
          <w:rFonts w:eastAsia="Calibri"/>
        </w:rPr>
        <w:t>, and the two-step equations of HLM achieve this (Ethington, 1997;</w:t>
      </w:r>
      <w:r w:rsidRPr="00067044">
        <w:t xml:space="preserve"> </w:t>
      </w:r>
      <w:r w:rsidRPr="00067044">
        <w:rPr>
          <w:rFonts w:eastAsia="Calibri"/>
        </w:rPr>
        <w:t>Raudenbush</w:t>
      </w:r>
      <w:r>
        <w:rPr>
          <w:rFonts w:eastAsia="Calibri"/>
        </w:rPr>
        <w:t xml:space="preserve"> and </w:t>
      </w:r>
      <w:proofErr w:type="spellStart"/>
      <w:r>
        <w:rPr>
          <w:rFonts w:eastAsia="Calibri"/>
        </w:rPr>
        <w:t>Bryk</w:t>
      </w:r>
      <w:proofErr w:type="spellEnd"/>
      <w:r>
        <w:rPr>
          <w:rFonts w:eastAsia="Calibri"/>
        </w:rPr>
        <w:t xml:space="preserve">, 2002; </w:t>
      </w:r>
      <w:proofErr w:type="spellStart"/>
      <w:r>
        <w:rPr>
          <w:rFonts w:eastAsia="Calibri"/>
        </w:rPr>
        <w:t>Perna</w:t>
      </w:r>
      <w:proofErr w:type="spellEnd"/>
      <w:r>
        <w:rPr>
          <w:rFonts w:eastAsia="Calibri"/>
        </w:rPr>
        <w:t xml:space="preserve"> and Titus, 2005)</w:t>
      </w:r>
      <w:r w:rsidRPr="00232FD3">
        <w:rPr>
          <w:rFonts w:eastAsia="Calibri"/>
        </w:rPr>
        <w:t>.</w:t>
      </w:r>
      <w:r>
        <w:rPr>
          <w:rFonts w:eastAsia="Calibri"/>
        </w:rPr>
        <w:t xml:space="preserve">  Further, disregarding that the data is nested and have different units of analysis (institutions versus states) could lead to “aggregation bias”</w:t>
      </w:r>
      <w:r w:rsidRPr="009051F2">
        <w:rPr>
          <w:rFonts w:eastAsia="Calibri"/>
        </w:rPr>
        <w:t xml:space="preserve"> </w:t>
      </w:r>
      <w:r>
        <w:rPr>
          <w:rFonts w:eastAsia="Calibri"/>
        </w:rPr>
        <w:t xml:space="preserve">(Ethington, 1997; </w:t>
      </w:r>
      <w:r w:rsidRPr="00067044">
        <w:rPr>
          <w:rFonts w:eastAsia="Calibri"/>
        </w:rPr>
        <w:t>Raudenbush</w:t>
      </w:r>
      <w:r>
        <w:rPr>
          <w:rFonts w:eastAsia="Calibri"/>
        </w:rPr>
        <w:t xml:space="preserve"> and </w:t>
      </w:r>
      <w:proofErr w:type="spellStart"/>
      <w:r>
        <w:rPr>
          <w:rFonts w:eastAsia="Calibri"/>
        </w:rPr>
        <w:t>Bryk</w:t>
      </w:r>
      <w:proofErr w:type="spellEnd"/>
      <w:r>
        <w:rPr>
          <w:rFonts w:eastAsia="Calibri"/>
        </w:rPr>
        <w:t xml:space="preserve">, 2002; </w:t>
      </w:r>
      <w:proofErr w:type="spellStart"/>
      <w:r>
        <w:rPr>
          <w:rFonts w:eastAsia="Calibri"/>
        </w:rPr>
        <w:t>Perna</w:t>
      </w:r>
      <w:proofErr w:type="spellEnd"/>
      <w:r>
        <w:rPr>
          <w:rFonts w:eastAsia="Calibri"/>
        </w:rPr>
        <w:t xml:space="preserve"> and Titus, 2005).  Thi</w:t>
      </w:r>
      <w:r w:rsidRPr="00D819EF">
        <w:rPr>
          <w:rFonts w:eastAsia="Calibri"/>
        </w:rPr>
        <w:t xml:space="preserve">s </w:t>
      </w:r>
      <w:r w:rsidRPr="00067044">
        <w:rPr>
          <w:rFonts w:eastAsia="Calibri"/>
        </w:rPr>
        <w:t>aggregation bias leads to statistical errors attributed to the variations between unit level regression slopes versus the aggregated group average regression slope that may occur when using single equation regression to predict effects with multilevel data</w:t>
      </w:r>
      <w:r>
        <w:rPr>
          <w:rFonts w:eastAsia="Calibri"/>
        </w:rPr>
        <w:t xml:space="preserve"> (Ethington, 1997; </w:t>
      </w:r>
      <w:r w:rsidRPr="00067044">
        <w:rPr>
          <w:rFonts w:eastAsia="Calibri"/>
        </w:rPr>
        <w:t>Raudenbush</w:t>
      </w:r>
      <w:r>
        <w:rPr>
          <w:rFonts w:eastAsia="Calibri"/>
        </w:rPr>
        <w:t xml:space="preserve"> and </w:t>
      </w:r>
      <w:proofErr w:type="spellStart"/>
      <w:r>
        <w:rPr>
          <w:rFonts w:eastAsia="Calibri"/>
        </w:rPr>
        <w:t>Bryk</w:t>
      </w:r>
      <w:proofErr w:type="spellEnd"/>
      <w:r>
        <w:rPr>
          <w:rFonts w:eastAsia="Calibri"/>
        </w:rPr>
        <w:t xml:space="preserve">, 2002; </w:t>
      </w:r>
      <w:proofErr w:type="spellStart"/>
      <w:r>
        <w:rPr>
          <w:rFonts w:eastAsia="Calibri"/>
        </w:rPr>
        <w:t>Perna</w:t>
      </w:r>
      <w:proofErr w:type="spellEnd"/>
      <w:r>
        <w:rPr>
          <w:rFonts w:eastAsia="Calibri"/>
        </w:rPr>
        <w:t xml:space="preserve"> and Titus, 2005).  To illustrate, each of the 520 institutions included in this study have institutional characteristics unique to that institution.  For example, one </w:t>
      </w:r>
      <w:r w:rsidRPr="00067044">
        <w:rPr>
          <w:rFonts w:eastAsia="Calibri"/>
          <w:i/>
        </w:rPr>
        <w:t>institution</w:t>
      </w:r>
      <w:r>
        <w:rPr>
          <w:rFonts w:eastAsia="Calibri"/>
        </w:rPr>
        <w:t xml:space="preserve"> may have 10% Asian students, whereas another institution may have 25%.  On the other hand, each </w:t>
      </w:r>
      <w:r w:rsidRPr="00067044">
        <w:rPr>
          <w:rFonts w:eastAsia="Calibri"/>
          <w:i/>
        </w:rPr>
        <w:t>state</w:t>
      </w:r>
      <w:r>
        <w:rPr>
          <w:rFonts w:eastAsia="Calibri"/>
        </w:rPr>
        <w:t xml:space="preserve"> has a single unemployment rate that would be a shared value </w:t>
      </w:r>
      <w:r>
        <w:rPr>
          <w:rFonts w:eastAsia="Calibri"/>
        </w:rPr>
        <w:lastRenderedPageBreak/>
        <w:t xml:space="preserve">for each institution within that state (Ethington, 1997; </w:t>
      </w:r>
      <w:r w:rsidRPr="00067044">
        <w:rPr>
          <w:rFonts w:eastAsia="Calibri"/>
        </w:rPr>
        <w:t>Raudenbush</w:t>
      </w:r>
      <w:r>
        <w:rPr>
          <w:rFonts w:eastAsia="Calibri"/>
        </w:rPr>
        <w:t xml:space="preserve"> and </w:t>
      </w:r>
      <w:proofErr w:type="spellStart"/>
      <w:r>
        <w:rPr>
          <w:rFonts w:eastAsia="Calibri"/>
        </w:rPr>
        <w:t>Bryk</w:t>
      </w:r>
      <w:proofErr w:type="spellEnd"/>
      <w:r>
        <w:rPr>
          <w:rFonts w:eastAsia="Calibri"/>
        </w:rPr>
        <w:t xml:space="preserve">, 2002; </w:t>
      </w:r>
      <w:proofErr w:type="spellStart"/>
      <w:r>
        <w:rPr>
          <w:rFonts w:eastAsia="Calibri"/>
        </w:rPr>
        <w:t>Perna</w:t>
      </w:r>
      <w:proofErr w:type="spellEnd"/>
      <w:r>
        <w:rPr>
          <w:rFonts w:eastAsia="Calibri"/>
        </w:rPr>
        <w:t xml:space="preserve"> and Titus, 2005).  A single equation analysis would equally weigh the 50 (one per each state) </w:t>
      </w:r>
      <w:r w:rsidR="005B2014">
        <w:rPr>
          <w:rFonts w:eastAsia="Calibri"/>
        </w:rPr>
        <w:t>state level</w:t>
      </w:r>
      <w:r>
        <w:rPr>
          <w:rFonts w:eastAsia="Calibri"/>
        </w:rPr>
        <w:t xml:space="preserve"> characteristics effects as it would the 520 </w:t>
      </w:r>
      <w:r w:rsidR="005B2014">
        <w:rPr>
          <w:rFonts w:eastAsia="Calibri"/>
        </w:rPr>
        <w:t>institution level</w:t>
      </w:r>
      <w:r>
        <w:rPr>
          <w:rFonts w:eastAsia="Calibri"/>
        </w:rPr>
        <w:t xml:space="preserve"> characteristics effects.   Using only single equation regression for such differences in units of analysis would cause an overestimation of the </w:t>
      </w:r>
      <w:r w:rsidR="005B2014">
        <w:rPr>
          <w:rFonts w:eastAsia="Calibri"/>
        </w:rPr>
        <w:t>state level</w:t>
      </w:r>
      <w:r>
        <w:rPr>
          <w:rFonts w:eastAsia="Calibri"/>
        </w:rPr>
        <w:t xml:space="preserve"> data effects, as the sample size of 50 would be replaced with 520 to match the </w:t>
      </w:r>
      <w:r w:rsidR="005B2014">
        <w:rPr>
          <w:rFonts w:eastAsia="Calibri"/>
        </w:rPr>
        <w:t>institution level</w:t>
      </w:r>
      <w:r>
        <w:rPr>
          <w:rFonts w:eastAsia="Calibri"/>
        </w:rPr>
        <w:t xml:space="preserve"> characteristics.  </w:t>
      </w:r>
      <w:r w:rsidRPr="00232FD3">
        <w:rPr>
          <w:rFonts w:eastAsia="Calibri"/>
        </w:rPr>
        <w:t>For th</w:t>
      </w:r>
      <w:r>
        <w:rPr>
          <w:rFonts w:eastAsia="Calibri"/>
        </w:rPr>
        <w:t>ese</w:t>
      </w:r>
      <w:r w:rsidRPr="00232FD3">
        <w:rPr>
          <w:rFonts w:eastAsia="Calibri"/>
        </w:rPr>
        <w:t xml:space="preserve"> reason</w:t>
      </w:r>
      <w:r>
        <w:rPr>
          <w:rFonts w:eastAsia="Calibri"/>
        </w:rPr>
        <w:t>s</w:t>
      </w:r>
      <w:r w:rsidRPr="00232FD3">
        <w:rPr>
          <w:rFonts w:eastAsia="Calibri"/>
        </w:rPr>
        <w:t xml:space="preserve">, </w:t>
      </w:r>
      <w:r>
        <w:rPr>
          <w:rFonts w:eastAsia="Calibri"/>
        </w:rPr>
        <w:t xml:space="preserve">using </w:t>
      </w:r>
      <w:r w:rsidR="009E690B">
        <w:rPr>
          <w:rFonts w:eastAsia="Calibri"/>
        </w:rPr>
        <w:t>multilevel regression</w:t>
      </w:r>
      <w:r w:rsidRPr="00232FD3">
        <w:rPr>
          <w:rFonts w:eastAsia="Calibri"/>
        </w:rPr>
        <w:t xml:space="preserve"> is superior to a single equation regression </w:t>
      </w:r>
      <w:r>
        <w:rPr>
          <w:rFonts w:eastAsia="Calibri"/>
        </w:rPr>
        <w:t>when analyzing</w:t>
      </w:r>
      <w:r w:rsidRPr="00232FD3">
        <w:rPr>
          <w:rFonts w:eastAsia="Calibri"/>
        </w:rPr>
        <w:t xml:space="preserve"> nested data</w:t>
      </w:r>
      <w:r>
        <w:rPr>
          <w:rFonts w:eastAsia="Calibri"/>
        </w:rPr>
        <w:t>.</w:t>
      </w:r>
    </w:p>
    <w:p w14:paraId="4853D37E" w14:textId="4ACCBC90" w:rsidR="006B4781" w:rsidRDefault="006B4781" w:rsidP="006B4781">
      <w:pPr>
        <w:spacing w:after="160" w:line="480" w:lineRule="auto"/>
        <w:ind w:firstLine="720"/>
        <w:rPr>
          <w:rFonts w:eastAsia="Calibri"/>
        </w:rPr>
      </w:pPr>
      <w:r w:rsidRPr="00D25263">
        <w:rPr>
          <w:rFonts w:eastAsia="Calibri"/>
        </w:rPr>
        <w:t xml:space="preserve">The general </w:t>
      </w:r>
      <w:r w:rsidR="009E690B">
        <w:rPr>
          <w:rFonts w:eastAsia="Calibri"/>
        </w:rPr>
        <w:t>multilevel regression</w:t>
      </w:r>
      <w:r w:rsidR="009E690B" w:rsidRPr="00D25263">
        <w:rPr>
          <w:rFonts w:eastAsia="Calibri"/>
        </w:rPr>
        <w:t xml:space="preserve"> </w:t>
      </w:r>
      <w:r w:rsidRPr="00D25263">
        <w:rPr>
          <w:rFonts w:eastAsia="Calibri"/>
        </w:rPr>
        <w:t xml:space="preserve">model is represented by a Level-l model </w:t>
      </w:r>
      <w:r>
        <w:rPr>
          <w:rFonts w:eastAsia="Calibri"/>
        </w:rPr>
        <w:t xml:space="preserve">equation (1) </w:t>
      </w:r>
      <w:r w:rsidRPr="00D25263">
        <w:rPr>
          <w:rFonts w:eastAsia="Calibri"/>
        </w:rPr>
        <w:t>in which</w:t>
      </w:r>
      <w:r>
        <w:rPr>
          <w:rFonts w:eastAsia="Calibri"/>
        </w:rPr>
        <w:t xml:space="preserve"> </w:t>
      </w:r>
      <w:r w:rsidRPr="00D25263">
        <w:rPr>
          <w:rFonts w:eastAsia="Calibri"/>
        </w:rPr>
        <w:t xml:space="preserve">the </w:t>
      </w:r>
      <w:r>
        <w:rPr>
          <w:rFonts w:eastAsia="Calibri"/>
        </w:rPr>
        <w:t>institution</w:t>
      </w:r>
      <w:r w:rsidRPr="00D25263">
        <w:rPr>
          <w:rFonts w:eastAsia="Calibri"/>
        </w:rPr>
        <w:t xml:space="preserve"> outcome</w:t>
      </w:r>
      <w:r>
        <w:rPr>
          <w:rFonts w:eastAsia="Calibri"/>
        </w:rPr>
        <w:t xml:space="preserve"> (graduation rate)</w:t>
      </w:r>
      <w:r w:rsidRPr="00D25263">
        <w:rPr>
          <w:rFonts w:eastAsia="Calibri"/>
        </w:rPr>
        <w:t xml:space="preserve"> is considered a function of </w:t>
      </w:r>
      <w:r>
        <w:rPr>
          <w:rFonts w:eastAsia="Calibri"/>
        </w:rPr>
        <w:t>institution</w:t>
      </w:r>
      <w:r w:rsidRPr="00D25263">
        <w:rPr>
          <w:rFonts w:eastAsia="Calibri"/>
        </w:rPr>
        <w:t xml:space="preserve"> </w:t>
      </w:r>
      <w:r>
        <w:rPr>
          <w:rFonts w:eastAsia="Calibri"/>
        </w:rPr>
        <w:t>variables</w:t>
      </w:r>
      <w:r w:rsidRPr="00D25263">
        <w:rPr>
          <w:rFonts w:eastAsia="Calibr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7290"/>
        <w:gridCol w:w="625"/>
      </w:tblGrid>
      <w:tr w:rsidR="006B4781" w14:paraId="5FA34211" w14:textId="77777777" w:rsidTr="00754F03">
        <w:tc>
          <w:tcPr>
            <w:tcW w:w="715" w:type="dxa"/>
          </w:tcPr>
          <w:p w14:paraId="52E55D37" w14:textId="77777777" w:rsidR="006B4781" w:rsidRDefault="006B4781" w:rsidP="00754F03">
            <w:pPr>
              <w:spacing w:after="160" w:line="480" w:lineRule="auto"/>
              <w:rPr>
                <w:rFonts w:eastAsia="Calibri"/>
              </w:rPr>
            </w:pPr>
          </w:p>
        </w:tc>
        <w:tc>
          <w:tcPr>
            <w:tcW w:w="7290" w:type="dxa"/>
            <w:vAlign w:val="center"/>
          </w:tcPr>
          <w:p w14:paraId="4435FC05" w14:textId="77777777" w:rsidR="006B4781" w:rsidRDefault="006B4781" w:rsidP="00754F03">
            <w:pPr>
              <w:spacing w:after="160" w:line="480" w:lineRule="auto"/>
              <w:ind w:firstLine="720"/>
              <w:jc w:val="center"/>
              <w:rPr>
                <w:rFonts w:eastAsia="Calibri"/>
              </w:rPr>
            </w:pPr>
            <w:proofErr w:type="spellStart"/>
            <w:r w:rsidRPr="00D25263">
              <w:rPr>
                <w:rFonts w:eastAsia="Calibri"/>
              </w:rPr>
              <w:t>Y</w:t>
            </w:r>
            <w:r w:rsidRPr="00811936">
              <w:rPr>
                <w:rFonts w:eastAsia="Calibri"/>
                <w:vertAlign w:val="subscript"/>
              </w:rPr>
              <w:t>ij</w:t>
            </w:r>
            <w:proofErr w:type="spellEnd"/>
            <w:r w:rsidRPr="00D25263">
              <w:rPr>
                <w:rFonts w:eastAsia="Calibri"/>
              </w:rPr>
              <w:t xml:space="preserve"> = </w:t>
            </w:r>
            <w:r>
              <w:rPr>
                <w:rFonts w:eastAsia="Calibri"/>
              </w:rPr>
              <w:t>β</w:t>
            </w:r>
            <w:r w:rsidRPr="00811936">
              <w:rPr>
                <w:rFonts w:eastAsia="Calibri"/>
                <w:vertAlign w:val="subscript"/>
              </w:rPr>
              <w:t>0j</w:t>
            </w:r>
            <w:r w:rsidRPr="00D25263">
              <w:rPr>
                <w:rFonts w:eastAsia="Calibri"/>
              </w:rPr>
              <w:t xml:space="preserve"> + </w:t>
            </w:r>
            <w:r>
              <w:rPr>
                <w:rFonts w:eastAsia="Calibri"/>
              </w:rPr>
              <w:t>β</w:t>
            </w:r>
            <w:r w:rsidRPr="00811936">
              <w:rPr>
                <w:rFonts w:eastAsia="Calibri"/>
                <w:vertAlign w:val="subscript"/>
              </w:rPr>
              <w:t>0j</w:t>
            </w:r>
            <w:r w:rsidRPr="00D25263">
              <w:rPr>
                <w:rFonts w:eastAsia="Calibri"/>
              </w:rPr>
              <w:t>X</w:t>
            </w:r>
            <w:r>
              <w:rPr>
                <w:rFonts w:eastAsia="Calibri"/>
                <w:vertAlign w:val="subscript"/>
              </w:rPr>
              <w:t>1i</w:t>
            </w:r>
            <w:r w:rsidRPr="00811936">
              <w:rPr>
                <w:rFonts w:eastAsia="Calibri"/>
                <w:vertAlign w:val="subscript"/>
              </w:rPr>
              <w:t>j</w:t>
            </w:r>
            <w:r w:rsidRPr="00D25263">
              <w:rPr>
                <w:rFonts w:eastAsia="Calibri"/>
              </w:rPr>
              <w:t xml:space="preserve"> +</w:t>
            </w:r>
            <w:r>
              <w:rPr>
                <w:rFonts w:eastAsia="Calibri"/>
              </w:rPr>
              <w:t xml:space="preserve"> β</w:t>
            </w:r>
            <w:r>
              <w:rPr>
                <w:rFonts w:eastAsia="Calibri"/>
                <w:vertAlign w:val="subscript"/>
              </w:rPr>
              <w:t>2</w:t>
            </w:r>
            <w:r w:rsidRPr="00811936">
              <w:rPr>
                <w:rFonts w:eastAsia="Calibri"/>
                <w:vertAlign w:val="subscript"/>
              </w:rPr>
              <w:t>j</w:t>
            </w:r>
            <w:r w:rsidRPr="00D25263">
              <w:rPr>
                <w:rFonts w:eastAsia="Calibri"/>
              </w:rPr>
              <w:t>X</w:t>
            </w:r>
            <w:r>
              <w:rPr>
                <w:rFonts w:eastAsia="Calibri"/>
                <w:vertAlign w:val="subscript"/>
              </w:rPr>
              <w:t>2i</w:t>
            </w:r>
            <w:r w:rsidRPr="00811936">
              <w:rPr>
                <w:rFonts w:eastAsia="Calibri"/>
                <w:vertAlign w:val="subscript"/>
              </w:rPr>
              <w:t>j</w:t>
            </w:r>
            <w:r w:rsidRPr="00D25263">
              <w:rPr>
                <w:rFonts w:eastAsia="Calibri"/>
              </w:rPr>
              <w:t xml:space="preserve"> +</w:t>
            </w:r>
            <w:r>
              <w:rPr>
                <w:rFonts w:eastAsia="Calibri"/>
              </w:rPr>
              <w:t xml:space="preserve"> </w:t>
            </w:r>
            <w:r w:rsidRPr="00D25263">
              <w:rPr>
                <w:rFonts w:eastAsia="Calibri"/>
              </w:rPr>
              <w:t>...</w:t>
            </w:r>
            <w:r>
              <w:rPr>
                <w:rFonts w:eastAsia="Calibri"/>
              </w:rPr>
              <w:t xml:space="preserve"> </w:t>
            </w:r>
            <w:r w:rsidRPr="00D25263">
              <w:rPr>
                <w:rFonts w:eastAsia="Calibri"/>
              </w:rPr>
              <w:t xml:space="preserve">+ </w:t>
            </w:r>
            <w:r>
              <w:rPr>
                <w:rFonts w:eastAsia="Calibri"/>
              </w:rPr>
              <w:t>β</w:t>
            </w:r>
            <w:proofErr w:type="spellStart"/>
            <w:r>
              <w:rPr>
                <w:rFonts w:eastAsia="Calibri"/>
                <w:vertAlign w:val="subscript"/>
              </w:rPr>
              <w:t>Q</w:t>
            </w:r>
            <w:r w:rsidRPr="00811936">
              <w:rPr>
                <w:rFonts w:eastAsia="Calibri"/>
                <w:vertAlign w:val="subscript"/>
              </w:rPr>
              <w:t>j</w:t>
            </w:r>
            <w:r w:rsidRPr="00D25263">
              <w:rPr>
                <w:rFonts w:eastAsia="Calibri"/>
              </w:rPr>
              <w:t>X</w:t>
            </w:r>
            <w:r>
              <w:rPr>
                <w:rFonts w:eastAsia="Calibri"/>
                <w:vertAlign w:val="subscript"/>
              </w:rPr>
              <w:t>Qi</w:t>
            </w:r>
            <w:r w:rsidRPr="00811936">
              <w:rPr>
                <w:rFonts w:eastAsia="Calibri"/>
                <w:vertAlign w:val="subscript"/>
              </w:rPr>
              <w:t>j</w:t>
            </w:r>
            <w:proofErr w:type="spellEnd"/>
            <w:r w:rsidRPr="00D25263">
              <w:rPr>
                <w:rFonts w:eastAsia="Calibri"/>
              </w:rPr>
              <w:t xml:space="preserve"> +</w:t>
            </w:r>
            <w:r>
              <w:rPr>
                <w:rFonts w:eastAsia="Calibri"/>
              </w:rPr>
              <w:t xml:space="preserve"> </w:t>
            </w:r>
            <w:proofErr w:type="spellStart"/>
            <w:r w:rsidRPr="00D25263">
              <w:rPr>
                <w:rFonts w:eastAsia="Calibri"/>
              </w:rPr>
              <w:t>r</w:t>
            </w:r>
            <w:r w:rsidRPr="00811936">
              <w:rPr>
                <w:rFonts w:eastAsia="Calibri"/>
                <w:vertAlign w:val="subscript"/>
              </w:rPr>
              <w:t>ij</w:t>
            </w:r>
            <w:proofErr w:type="spellEnd"/>
          </w:p>
        </w:tc>
        <w:tc>
          <w:tcPr>
            <w:tcW w:w="625" w:type="dxa"/>
            <w:vAlign w:val="center"/>
          </w:tcPr>
          <w:p w14:paraId="66121B03" w14:textId="77777777" w:rsidR="006B4781" w:rsidRDefault="006B4781" w:rsidP="00754F03">
            <w:pPr>
              <w:spacing w:after="160" w:line="480" w:lineRule="auto"/>
              <w:jc w:val="right"/>
              <w:rPr>
                <w:rFonts w:eastAsia="Calibri"/>
              </w:rPr>
            </w:pPr>
            <w:r>
              <w:rPr>
                <w:rFonts w:eastAsia="Calibri"/>
              </w:rPr>
              <w:t>(</w:t>
            </w:r>
            <w:fldSimple w:instr=" SEQ Eq \* MERGEFORMAT ">
              <w:r w:rsidR="000A6429">
                <w:rPr>
                  <w:rFonts w:eastAsia="Calibri"/>
                  <w:noProof/>
                </w:rPr>
                <w:t>1</w:t>
              </w:r>
            </w:fldSimple>
            <w:r>
              <w:rPr>
                <w:rFonts w:eastAsia="Calibri"/>
              </w:rPr>
              <w:t>)</w:t>
            </w:r>
          </w:p>
        </w:tc>
      </w:tr>
    </w:tbl>
    <w:p w14:paraId="152A694F" w14:textId="77777777" w:rsidR="006B4781" w:rsidRDefault="006B4781" w:rsidP="006B4781">
      <w:pPr>
        <w:spacing w:after="160"/>
        <w:ind w:firstLine="720"/>
        <w:rPr>
          <w:rFonts w:eastAsia="Calibri"/>
        </w:rPr>
      </w:pPr>
      <w:r>
        <w:rPr>
          <w:rFonts w:eastAsia="Calibri"/>
        </w:rPr>
        <w:t>w</w:t>
      </w:r>
      <w:r w:rsidRPr="00D25263">
        <w:rPr>
          <w:rFonts w:eastAsia="Calibri"/>
        </w:rPr>
        <w:t>here</w:t>
      </w:r>
      <w:r>
        <w:rPr>
          <w:rFonts w:eastAsia="Calibri"/>
        </w:rPr>
        <w:t>:</w:t>
      </w:r>
    </w:p>
    <w:p w14:paraId="1716BB17" w14:textId="77777777" w:rsidR="006B4781" w:rsidRPr="00793853" w:rsidRDefault="006B4781" w:rsidP="006B4781">
      <w:pPr>
        <w:spacing w:after="160"/>
        <w:ind w:firstLine="720"/>
        <w:rPr>
          <w:rFonts w:eastAsia="Calibri"/>
        </w:rPr>
      </w:pPr>
      <w:proofErr w:type="spellStart"/>
      <w:r w:rsidRPr="00793853">
        <w:rPr>
          <w:rFonts w:eastAsia="Calibri"/>
        </w:rPr>
        <w:t>Y</w:t>
      </w:r>
      <w:r w:rsidRPr="00793853">
        <w:rPr>
          <w:rFonts w:eastAsia="Calibri"/>
          <w:vertAlign w:val="subscript"/>
        </w:rPr>
        <w:t>ij</w:t>
      </w:r>
      <w:proofErr w:type="spellEnd"/>
      <w:r w:rsidRPr="00793853">
        <w:rPr>
          <w:rFonts w:eastAsia="Calibri"/>
        </w:rPr>
        <w:t xml:space="preserve"> is the graduation rate for institution </w:t>
      </w:r>
      <w:proofErr w:type="spellStart"/>
      <w:r w:rsidRPr="00793853">
        <w:rPr>
          <w:rFonts w:eastAsia="Calibri"/>
        </w:rPr>
        <w:t>i</w:t>
      </w:r>
      <w:proofErr w:type="spellEnd"/>
      <w:r w:rsidRPr="00793853">
        <w:rPr>
          <w:rFonts w:eastAsia="Calibri"/>
        </w:rPr>
        <w:t xml:space="preserve"> in </w:t>
      </w:r>
      <w:proofErr w:type="gramStart"/>
      <w:r w:rsidRPr="00793853">
        <w:rPr>
          <w:rFonts w:eastAsia="Calibri"/>
        </w:rPr>
        <w:t>state  j</w:t>
      </w:r>
      <w:proofErr w:type="gramEnd"/>
      <w:r w:rsidRPr="00793853">
        <w:rPr>
          <w:rFonts w:eastAsia="Calibri"/>
        </w:rPr>
        <w:t>;</w:t>
      </w:r>
    </w:p>
    <w:p w14:paraId="5E142E75" w14:textId="77777777" w:rsidR="006B4781" w:rsidRPr="00793853" w:rsidRDefault="006B4781" w:rsidP="006B4781">
      <w:pPr>
        <w:tabs>
          <w:tab w:val="left" w:pos="810"/>
        </w:tabs>
        <w:spacing w:after="160"/>
        <w:ind w:left="720"/>
        <w:rPr>
          <w:rFonts w:eastAsia="Calibri"/>
        </w:rPr>
      </w:pPr>
      <w:proofErr w:type="spellStart"/>
      <w:r w:rsidRPr="00793853">
        <w:rPr>
          <w:rFonts w:eastAsia="Calibri"/>
        </w:rPr>
        <w:t>X</w:t>
      </w:r>
      <w:r w:rsidRPr="00793853">
        <w:rPr>
          <w:rFonts w:eastAsia="Calibri"/>
          <w:vertAlign w:val="subscript"/>
        </w:rPr>
        <w:t>Qij</w:t>
      </w:r>
      <w:proofErr w:type="spellEnd"/>
      <w:r w:rsidRPr="00793853">
        <w:rPr>
          <w:rFonts w:eastAsia="Calibri"/>
        </w:rPr>
        <w:t xml:space="preserve"> are the values on the </w:t>
      </w:r>
      <w:r w:rsidR="005B2014" w:rsidRPr="00793853">
        <w:rPr>
          <w:rFonts w:eastAsia="Calibri"/>
        </w:rPr>
        <w:t>institution level</w:t>
      </w:r>
      <w:r w:rsidRPr="00793853">
        <w:rPr>
          <w:rFonts w:eastAsia="Calibri"/>
        </w:rPr>
        <w:t xml:space="preserve"> independent variables measured for institution </w:t>
      </w:r>
      <w:proofErr w:type="spellStart"/>
      <w:r w:rsidRPr="00793853">
        <w:rPr>
          <w:rFonts w:eastAsia="Calibri"/>
        </w:rPr>
        <w:t>i</w:t>
      </w:r>
      <w:proofErr w:type="spellEnd"/>
      <w:r w:rsidRPr="00793853">
        <w:rPr>
          <w:rFonts w:eastAsia="Calibri"/>
        </w:rPr>
        <w:t xml:space="preserve"> in state (or region) j;</w:t>
      </w:r>
    </w:p>
    <w:p w14:paraId="474714D2" w14:textId="77777777" w:rsidR="006B4781" w:rsidRPr="00793853" w:rsidRDefault="006B4781" w:rsidP="006B4781">
      <w:pPr>
        <w:spacing w:after="160"/>
        <w:ind w:firstLine="720"/>
        <w:rPr>
          <w:rFonts w:eastAsia="Calibri"/>
        </w:rPr>
      </w:pPr>
      <w:r w:rsidRPr="00793853">
        <w:rPr>
          <w:rFonts w:eastAsia="Calibri"/>
        </w:rPr>
        <w:t>β</w:t>
      </w:r>
      <w:proofErr w:type="spellStart"/>
      <w:r w:rsidRPr="00793853">
        <w:rPr>
          <w:rFonts w:eastAsia="Calibri"/>
          <w:vertAlign w:val="subscript"/>
        </w:rPr>
        <w:t>Qj</w:t>
      </w:r>
      <w:proofErr w:type="spellEnd"/>
      <w:r w:rsidRPr="00793853">
        <w:rPr>
          <w:rFonts w:eastAsia="Calibri"/>
          <w:vertAlign w:val="subscript"/>
        </w:rPr>
        <w:t xml:space="preserve">   </w:t>
      </w:r>
      <w:r w:rsidRPr="00793853">
        <w:rPr>
          <w:rFonts w:eastAsia="Calibri"/>
        </w:rPr>
        <w:t>are the intercept and regression coefficients representing the effects of the</w:t>
      </w:r>
    </w:p>
    <w:p w14:paraId="0CF69FB9" w14:textId="77777777" w:rsidR="006B4781" w:rsidRPr="00793853" w:rsidRDefault="005B2014" w:rsidP="006B4781">
      <w:pPr>
        <w:spacing w:after="160"/>
        <w:ind w:firstLine="720"/>
        <w:rPr>
          <w:rFonts w:eastAsia="Calibri"/>
        </w:rPr>
      </w:pPr>
      <w:r w:rsidRPr="00793853">
        <w:rPr>
          <w:rFonts w:eastAsia="Calibri"/>
        </w:rPr>
        <w:t>institution level</w:t>
      </w:r>
      <w:r w:rsidR="006B4781" w:rsidRPr="00793853">
        <w:rPr>
          <w:rFonts w:eastAsia="Calibri"/>
        </w:rPr>
        <w:t xml:space="preserve"> independent variables on the outcome in state (or region) j;</w:t>
      </w:r>
    </w:p>
    <w:p w14:paraId="6C5A311B" w14:textId="77777777" w:rsidR="006B4781" w:rsidRPr="00D25263" w:rsidRDefault="006B4781" w:rsidP="006B4781">
      <w:pPr>
        <w:spacing w:after="160" w:line="480" w:lineRule="auto"/>
        <w:ind w:firstLine="720"/>
        <w:rPr>
          <w:rFonts w:eastAsia="Calibri"/>
        </w:rPr>
      </w:pPr>
      <w:proofErr w:type="spellStart"/>
      <w:r w:rsidRPr="00793853">
        <w:rPr>
          <w:rFonts w:eastAsia="Calibri"/>
        </w:rPr>
        <w:t>r</w:t>
      </w:r>
      <w:r w:rsidRPr="00793853">
        <w:rPr>
          <w:rFonts w:eastAsia="Calibri"/>
          <w:vertAlign w:val="subscript"/>
        </w:rPr>
        <w:t>ij</w:t>
      </w:r>
      <w:proofErr w:type="spellEnd"/>
      <w:r w:rsidRPr="00793853">
        <w:rPr>
          <w:rFonts w:eastAsia="Calibri"/>
        </w:rPr>
        <w:t xml:space="preserve"> represents random error,</w:t>
      </w:r>
    </w:p>
    <w:p w14:paraId="5B1ABBCA" w14:textId="77777777" w:rsidR="006B4781" w:rsidRDefault="006B4781" w:rsidP="006B4781">
      <w:pPr>
        <w:spacing w:after="160" w:line="480" w:lineRule="auto"/>
        <w:ind w:firstLine="720"/>
        <w:rPr>
          <w:rFonts w:eastAsia="Calibri"/>
        </w:rPr>
      </w:pPr>
      <w:r w:rsidRPr="00D25263">
        <w:rPr>
          <w:rFonts w:eastAsia="Calibri"/>
        </w:rPr>
        <w:t>and the Level-2</w:t>
      </w:r>
      <w:r>
        <w:rPr>
          <w:rFonts w:eastAsia="Calibri"/>
        </w:rPr>
        <w:t xml:space="preserve"> </w:t>
      </w:r>
      <w:r w:rsidRPr="00D25263">
        <w:rPr>
          <w:rFonts w:eastAsia="Calibri"/>
        </w:rPr>
        <w:t xml:space="preserve">model </w:t>
      </w:r>
      <w:r>
        <w:rPr>
          <w:rFonts w:eastAsia="Calibri"/>
        </w:rPr>
        <w:t xml:space="preserve">equation (2) </w:t>
      </w:r>
      <w:r w:rsidRPr="00D25263">
        <w:rPr>
          <w:rFonts w:eastAsia="Calibri"/>
        </w:rPr>
        <w:t>where each Level-l coefficient is considered a function</w:t>
      </w:r>
      <w:r>
        <w:rPr>
          <w:rFonts w:eastAsia="Calibri"/>
        </w:rPr>
        <w:t xml:space="preserve"> </w:t>
      </w:r>
      <w:r w:rsidRPr="00D25263">
        <w:rPr>
          <w:rFonts w:eastAsia="Calibri"/>
        </w:rPr>
        <w:t>of group characteristics</w:t>
      </w:r>
      <w:r>
        <w:rPr>
          <w:rFonts w:eastAsia="Calibri"/>
        </w:rPr>
        <w:t xml:space="preserve"> at the state level</w:t>
      </w:r>
      <w:r w:rsidRPr="00D25263">
        <w:rPr>
          <w:rFonts w:eastAsia="Calibr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7290"/>
        <w:gridCol w:w="625"/>
      </w:tblGrid>
      <w:tr w:rsidR="006B4781" w14:paraId="22B3E572" w14:textId="77777777" w:rsidTr="00754F03">
        <w:tc>
          <w:tcPr>
            <w:tcW w:w="715" w:type="dxa"/>
          </w:tcPr>
          <w:p w14:paraId="2BA30C46" w14:textId="77777777" w:rsidR="006B4781" w:rsidRDefault="006B4781" w:rsidP="00754F03">
            <w:pPr>
              <w:spacing w:after="160" w:line="480" w:lineRule="auto"/>
              <w:rPr>
                <w:rFonts w:eastAsia="Calibri"/>
              </w:rPr>
            </w:pPr>
          </w:p>
        </w:tc>
        <w:tc>
          <w:tcPr>
            <w:tcW w:w="7290" w:type="dxa"/>
            <w:vAlign w:val="center"/>
          </w:tcPr>
          <w:p w14:paraId="291AB5BE" w14:textId="77777777" w:rsidR="006B4781" w:rsidRDefault="006B4781" w:rsidP="00754F03">
            <w:pPr>
              <w:spacing w:after="160" w:line="480" w:lineRule="auto"/>
              <w:ind w:firstLine="720"/>
              <w:rPr>
                <w:rFonts w:eastAsia="Calibri"/>
              </w:rPr>
            </w:pPr>
            <w:r>
              <w:rPr>
                <w:rFonts w:eastAsia="Calibri"/>
              </w:rPr>
              <w:t>β</w:t>
            </w:r>
            <w:r>
              <w:rPr>
                <w:rFonts w:eastAsia="Calibri"/>
                <w:vertAlign w:val="subscript"/>
              </w:rPr>
              <w:t>0</w:t>
            </w:r>
            <w:r w:rsidRPr="00811936">
              <w:rPr>
                <w:rFonts w:eastAsia="Calibri"/>
                <w:vertAlign w:val="subscript"/>
              </w:rPr>
              <w:t>j</w:t>
            </w:r>
            <w:r w:rsidRPr="00D25263">
              <w:rPr>
                <w:rFonts w:eastAsia="Calibri"/>
              </w:rPr>
              <w:t xml:space="preserve"> = </w:t>
            </w:r>
            <w:r>
              <w:rPr>
                <w:rFonts w:eastAsia="Calibri"/>
              </w:rPr>
              <w:t>γ</w:t>
            </w:r>
            <w:r>
              <w:rPr>
                <w:rFonts w:eastAsia="Calibri"/>
                <w:vertAlign w:val="subscript"/>
              </w:rPr>
              <w:t>q0</w:t>
            </w:r>
            <w:r w:rsidRPr="00D25263">
              <w:rPr>
                <w:rFonts w:eastAsia="Calibri"/>
              </w:rPr>
              <w:t xml:space="preserve"> + </w:t>
            </w:r>
            <w:r>
              <w:rPr>
                <w:rFonts w:eastAsia="Calibri"/>
              </w:rPr>
              <w:t>γ</w:t>
            </w:r>
            <w:r>
              <w:rPr>
                <w:rFonts w:eastAsia="Calibri"/>
                <w:vertAlign w:val="subscript"/>
              </w:rPr>
              <w:t>q1</w:t>
            </w:r>
            <w:r w:rsidRPr="00D25263">
              <w:rPr>
                <w:rFonts w:eastAsia="Calibri"/>
              </w:rPr>
              <w:t>W</w:t>
            </w:r>
            <w:r>
              <w:rPr>
                <w:rFonts w:eastAsia="Calibri"/>
                <w:vertAlign w:val="subscript"/>
              </w:rPr>
              <w:t>1j</w:t>
            </w:r>
            <w:r w:rsidRPr="00D25263">
              <w:rPr>
                <w:rFonts w:eastAsia="Calibri"/>
              </w:rPr>
              <w:t xml:space="preserve"> + </w:t>
            </w:r>
            <w:r>
              <w:rPr>
                <w:rFonts w:eastAsia="Calibri"/>
              </w:rPr>
              <w:t>γ</w:t>
            </w:r>
            <w:r>
              <w:rPr>
                <w:rFonts w:eastAsia="Calibri"/>
                <w:vertAlign w:val="subscript"/>
              </w:rPr>
              <w:t>q2</w:t>
            </w:r>
            <w:r w:rsidRPr="00D25263">
              <w:rPr>
                <w:rFonts w:eastAsia="Calibri"/>
              </w:rPr>
              <w:t>W</w:t>
            </w:r>
            <w:r>
              <w:rPr>
                <w:rFonts w:eastAsia="Calibri"/>
                <w:vertAlign w:val="subscript"/>
              </w:rPr>
              <w:t>2j</w:t>
            </w:r>
            <w:r w:rsidRPr="00D25263">
              <w:rPr>
                <w:rFonts w:eastAsia="Calibri"/>
              </w:rPr>
              <w:t xml:space="preserve"> +</w:t>
            </w:r>
            <w:r>
              <w:rPr>
                <w:rFonts w:eastAsia="Calibri"/>
              </w:rPr>
              <w:t xml:space="preserve"> </w:t>
            </w:r>
            <w:r w:rsidRPr="00D25263">
              <w:rPr>
                <w:rFonts w:eastAsia="Calibri"/>
              </w:rPr>
              <w:t>...</w:t>
            </w:r>
            <w:r>
              <w:rPr>
                <w:rFonts w:eastAsia="Calibri"/>
              </w:rPr>
              <w:t xml:space="preserve"> </w:t>
            </w:r>
            <w:r w:rsidRPr="00D25263">
              <w:rPr>
                <w:rFonts w:eastAsia="Calibri"/>
              </w:rPr>
              <w:t xml:space="preserve">+ </w:t>
            </w:r>
            <w:proofErr w:type="spellStart"/>
            <w:r>
              <w:rPr>
                <w:rFonts w:eastAsia="Calibri"/>
              </w:rPr>
              <w:t>γ</w:t>
            </w:r>
            <w:r>
              <w:rPr>
                <w:rFonts w:eastAsia="Calibri"/>
                <w:vertAlign w:val="subscript"/>
              </w:rPr>
              <w:t>qS</w:t>
            </w:r>
            <w:r w:rsidRPr="00D25263">
              <w:rPr>
                <w:rFonts w:eastAsia="Calibri"/>
              </w:rPr>
              <w:t>W</w:t>
            </w:r>
            <w:r>
              <w:rPr>
                <w:rFonts w:eastAsia="Calibri"/>
                <w:vertAlign w:val="subscript"/>
              </w:rPr>
              <w:t>Sj</w:t>
            </w:r>
            <w:proofErr w:type="spellEnd"/>
            <w:r w:rsidRPr="00D25263">
              <w:rPr>
                <w:rFonts w:eastAsia="Calibri"/>
              </w:rPr>
              <w:t xml:space="preserve"> +</w:t>
            </w:r>
            <w:r>
              <w:rPr>
                <w:rFonts w:eastAsia="Calibri"/>
              </w:rPr>
              <w:t xml:space="preserve"> </w:t>
            </w:r>
            <w:proofErr w:type="spellStart"/>
            <w:r>
              <w:rPr>
                <w:rFonts w:eastAsia="Calibri"/>
              </w:rPr>
              <w:t>u</w:t>
            </w:r>
            <w:r>
              <w:rPr>
                <w:rFonts w:eastAsia="Calibri"/>
                <w:vertAlign w:val="subscript"/>
              </w:rPr>
              <w:t>qj</w:t>
            </w:r>
            <w:proofErr w:type="spellEnd"/>
          </w:p>
        </w:tc>
        <w:tc>
          <w:tcPr>
            <w:tcW w:w="625" w:type="dxa"/>
            <w:vAlign w:val="center"/>
          </w:tcPr>
          <w:p w14:paraId="00BB0B7A" w14:textId="77777777" w:rsidR="006B4781" w:rsidRDefault="006B4781" w:rsidP="00754F03">
            <w:pPr>
              <w:spacing w:after="160" w:line="480" w:lineRule="auto"/>
              <w:jc w:val="right"/>
              <w:rPr>
                <w:rFonts w:eastAsia="Calibri"/>
              </w:rPr>
            </w:pPr>
            <w:r>
              <w:rPr>
                <w:rFonts w:eastAsia="Calibri"/>
              </w:rPr>
              <w:t>(</w:t>
            </w:r>
            <w:fldSimple w:instr=" SEQ Eq \* MERGEFORMAT ">
              <w:r w:rsidR="000A6429">
                <w:rPr>
                  <w:rFonts w:eastAsia="Calibri"/>
                  <w:noProof/>
                </w:rPr>
                <w:t>2</w:t>
              </w:r>
            </w:fldSimple>
            <w:r>
              <w:rPr>
                <w:rFonts w:eastAsia="Calibri"/>
              </w:rPr>
              <w:t>)</w:t>
            </w:r>
          </w:p>
        </w:tc>
      </w:tr>
    </w:tbl>
    <w:p w14:paraId="6A75FAA3" w14:textId="77777777" w:rsidR="006B4781" w:rsidRPr="00793853" w:rsidRDefault="006B4781" w:rsidP="006B4781">
      <w:pPr>
        <w:spacing w:after="160"/>
        <w:ind w:firstLine="720"/>
        <w:rPr>
          <w:rFonts w:eastAsia="Calibri"/>
        </w:rPr>
      </w:pPr>
      <w:r w:rsidRPr="00793853">
        <w:rPr>
          <w:rFonts w:eastAsia="Calibri"/>
        </w:rPr>
        <w:lastRenderedPageBreak/>
        <w:t>where:</w:t>
      </w:r>
    </w:p>
    <w:p w14:paraId="4B1D3BB5" w14:textId="77777777" w:rsidR="006B4781" w:rsidRPr="00793853" w:rsidRDefault="006B4781" w:rsidP="006B4781">
      <w:pPr>
        <w:spacing w:after="160"/>
        <w:ind w:firstLine="720"/>
        <w:rPr>
          <w:rFonts w:eastAsia="Calibri"/>
        </w:rPr>
      </w:pPr>
      <w:r w:rsidRPr="00793853">
        <w:rPr>
          <w:rFonts w:eastAsia="Calibri"/>
        </w:rPr>
        <w:t>β</w:t>
      </w:r>
      <w:r w:rsidRPr="00793853">
        <w:rPr>
          <w:rFonts w:eastAsia="Calibri"/>
          <w:vertAlign w:val="subscript"/>
        </w:rPr>
        <w:t>0j</w:t>
      </w:r>
      <w:r w:rsidRPr="00793853">
        <w:rPr>
          <w:rFonts w:eastAsia="Calibri"/>
        </w:rPr>
        <w:t xml:space="preserve"> is the regression </w:t>
      </w:r>
      <w:proofErr w:type="gramStart"/>
      <w:r w:rsidRPr="00793853">
        <w:rPr>
          <w:rFonts w:eastAsia="Calibri"/>
        </w:rPr>
        <w:t>constant  in</w:t>
      </w:r>
      <w:proofErr w:type="gramEnd"/>
      <w:r w:rsidRPr="00793853">
        <w:rPr>
          <w:rFonts w:eastAsia="Calibri"/>
        </w:rPr>
        <w:t xml:space="preserve"> state  j;</w:t>
      </w:r>
    </w:p>
    <w:p w14:paraId="3B8873E8" w14:textId="77777777" w:rsidR="006B4781" w:rsidRPr="00793853" w:rsidRDefault="006B4781" w:rsidP="006B4781">
      <w:pPr>
        <w:spacing w:after="160"/>
        <w:ind w:left="720"/>
        <w:rPr>
          <w:rFonts w:eastAsia="Calibri"/>
        </w:rPr>
      </w:pPr>
      <w:proofErr w:type="spellStart"/>
      <w:r w:rsidRPr="00793853">
        <w:rPr>
          <w:rFonts w:eastAsia="Calibri"/>
        </w:rPr>
        <w:t>W</w:t>
      </w:r>
      <w:r w:rsidRPr="00793853">
        <w:rPr>
          <w:rFonts w:eastAsia="Calibri"/>
          <w:vertAlign w:val="subscript"/>
        </w:rPr>
        <w:t>sj</w:t>
      </w:r>
      <w:proofErr w:type="spellEnd"/>
      <w:r w:rsidRPr="00793853">
        <w:rPr>
          <w:rFonts w:eastAsia="Calibri"/>
          <w:vertAlign w:val="subscript"/>
        </w:rPr>
        <w:t xml:space="preserve"> </w:t>
      </w:r>
      <w:r w:rsidRPr="00793853">
        <w:rPr>
          <w:rFonts w:eastAsia="Calibri"/>
        </w:rPr>
        <w:t>are the values on the state (or region)-level variables measured for state (or region) j;</w:t>
      </w:r>
    </w:p>
    <w:p w14:paraId="7CD36D5C" w14:textId="77777777" w:rsidR="006B4781" w:rsidRPr="00793853" w:rsidRDefault="006B4781" w:rsidP="006B4781">
      <w:pPr>
        <w:spacing w:after="160"/>
        <w:ind w:firstLine="720"/>
        <w:rPr>
          <w:rFonts w:eastAsia="Calibri"/>
        </w:rPr>
      </w:pPr>
      <w:proofErr w:type="spellStart"/>
      <w:r w:rsidRPr="00793853">
        <w:rPr>
          <w:rFonts w:eastAsia="Calibri"/>
        </w:rPr>
        <w:t>γ</w:t>
      </w:r>
      <w:r w:rsidRPr="00793853">
        <w:rPr>
          <w:rFonts w:eastAsia="Calibri"/>
          <w:vertAlign w:val="subscript"/>
        </w:rPr>
        <w:t>qs</w:t>
      </w:r>
      <w:proofErr w:type="spellEnd"/>
      <w:r w:rsidRPr="00793853">
        <w:rPr>
          <w:rFonts w:eastAsia="Calibri"/>
        </w:rPr>
        <w:t xml:space="preserve"> are the regression coefficients representing the effects of the </w:t>
      </w:r>
      <w:r w:rsidR="005B2014" w:rsidRPr="00793853">
        <w:rPr>
          <w:rFonts w:eastAsia="Calibri"/>
        </w:rPr>
        <w:t>institution level</w:t>
      </w:r>
    </w:p>
    <w:p w14:paraId="561759B5" w14:textId="77777777" w:rsidR="006B4781" w:rsidRPr="00793853" w:rsidRDefault="006B4781" w:rsidP="006B4781">
      <w:pPr>
        <w:spacing w:after="160"/>
        <w:ind w:firstLine="720"/>
        <w:rPr>
          <w:rFonts w:eastAsia="Calibri"/>
        </w:rPr>
      </w:pPr>
      <w:r w:rsidRPr="00793853">
        <w:rPr>
          <w:rFonts w:eastAsia="Calibri"/>
        </w:rPr>
        <w:t>variables on the within-institution relationships, β</w:t>
      </w:r>
      <w:proofErr w:type="spellStart"/>
      <w:r w:rsidRPr="00793853">
        <w:rPr>
          <w:rFonts w:eastAsia="Calibri"/>
          <w:vertAlign w:val="subscript"/>
        </w:rPr>
        <w:t>qj</w:t>
      </w:r>
      <w:proofErr w:type="spellEnd"/>
      <w:r w:rsidRPr="00793853">
        <w:rPr>
          <w:rFonts w:eastAsia="Calibri"/>
        </w:rPr>
        <w:t>;</w:t>
      </w:r>
    </w:p>
    <w:p w14:paraId="58D9552F" w14:textId="77777777" w:rsidR="006B4781" w:rsidRPr="00793853" w:rsidRDefault="006B4781" w:rsidP="006B4781">
      <w:pPr>
        <w:spacing w:after="160"/>
        <w:ind w:firstLine="720"/>
        <w:rPr>
          <w:rFonts w:eastAsia="Calibri"/>
        </w:rPr>
      </w:pPr>
      <w:proofErr w:type="spellStart"/>
      <w:r w:rsidRPr="00793853">
        <w:rPr>
          <w:rFonts w:eastAsia="Calibri"/>
        </w:rPr>
        <w:t>u</w:t>
      </w:r>
      <w:r w:rsidRPr="00793853">
        <w:rPr>
          <w:rFonts w:eastAsia="Calibri"/>
          <w:vertAlign w:val="subscript"/>
        </w:rPr>
        <w:t>qj</w:t>
      </w:r>
      <w:proofErr w:type="spellEnd"/>
      <w:r w:rsidRPr="00793853">
        <w:rPr>
          <w:rFonts w:eastAsia="Calibri"/>
        </w:rPr>
        <w:t xml:space="preserve"> represents random error (</w:t>
      </w:r>
      <w:proofErr w:type="spellStart"/>
      <w:r w:rsidRPr="00793853">
        <w:rPr>
          <w:rFonts w:eastAsia="Calibri"/>
        </w:rPr>
        <w:t>Perna</w:t>
      </w:r>
      <w:proofErr w:type="spellEnd"/>
      <w:r w:rsidRPr="00793853">
        <w:rPr>
          <w:rFonts w:eastAsia="Calibri"/>
        </w:rPr>
        <w:t xml:space="preserve"> and Titus, 2005).</w:t>
      </w:r>
    </w:p>
    <w:p w14:paraId="24A5E383" w14:textId="77777777" w:rsidR="006B4781" w:rsidRDefault="006B4781" w:rsidP="006B4781">
      <w:pPr>
        <w:spacing w:after="160" w:line="480" w:lineRule="auto"/>
        <w:ind w:firstLine="720"/>
        <w:rPr>
          <w:rFonts w:eastAsia="Calibri"/>
        </w:rPr>
      </w:pPr>
      <w:r w:rsidRPr="00793853">
        <w:rPr>
          <w:rFonts w:eastAsia="Calibri"/>
        </w:rPr>
        <w:t>Independent variables are grouped together to create an order of entering in the regression equation.  First, institution characteristics will be grouped and entered into the equation. Secondly, the group of state factors will be included in a second regression equation.  The purpose of entering separate groups in such order is to observe incremental changes in variances by subsequent adding of each group. Grand mean centering is used to set the value of the intercept coefficients in the equations above.  This is where the average (mean) of each coefficient predictor variable is made to represent the intercept – or where the graduation rate would be predicted to fall when the predictor variable is at its average, neutral effect level (Ethington</w:t>
      </w:r>
      <w:r>
        <w:rPr>
          <w:rFonts w:eastAsia="Calibri"/>
        </w:rPr>
        <w:t xml:space="preserve">, 1997; </w:t>
      </w:r>
      <w:r w:rsidRPr="00067044">
        <w:rPr>
          <w:rFonts w:eastAsia="Calibri"/>
        </w:rPr>
        <w:t>Raudenbush</w:t>
      </w:r>
      <w:r>
        <w:rPr>
          <w:rFonts w:eastAsia="Calibri"/>
        </w:rPr>
        <w:t xml:space="preserve"> and </w:t>
      </w:r>
      <w:proofErr w:type="spellStart"/>
      <w:r>
        <w:rPr>
          <w:rFonts w:eastAsia="Calibri"/>
        </w:rPr>
        <w:t>Bryk</w:t>
      </w:r>
      <w:proofErr w:type="spellEnd"/>
      <w:r>
        <w:rPr>
          <w:rFonts w:eastAsia="Calibri"/>
        </w:rPr>
        <w:t xml:space="preserve">, 2002; </w:t>
      </w:r>
      <w:proofErr w:type="spellStart"/>
      <w:r>
        <w:rPr>
          <w:rFonts w:eastAsia="Calibri"/>
        </w:rPr>
        <w:t>Perna</w:t>
      </w:r>
      <w:proofErr w:type="spellEnd"/>
      <w:r>
        <w:rPr>
          <w:rFonts w:eastAsia="Calibri"/>
        </w:rPr>
        <w:t xml:space="preserve"> and Titus, 2005).</w:t>
      </w:r>
    </w:p>
    <w:p w14:paraId="0B15E099" w14:textId="77777777" w:rsidR="006B4781" w:rsidRPr="00232FD3" w:rsidRDefault="006B4781" w:rsidP="006B4781">
      <w:pPr>
        <w:keepNext/>
        <w:spacing w:after="160" w:line="480" w:lineRule="auto"/>
        <w:jc w:val="center"/>
        <w:rPr>
          <w:rFonts w:eastAsia="Calibri"/>
          <w:b/>
        </w:rPr>
      </w:pPr>
      <w:r w:rsidRPr="00232FD3">
        <w:rPr>
          <w:rFonts w:eastAsia="Calibri"/>
          <w:b/>
        </w:rPr>
        <w:t>Data Limitations</w:t>
      </w:r>
    </w:p>
    <w:p w14:paraId="61561669" w14:textId="77777777" w:rsidR="006B4781" w:rsidRPr="00130B29" w:rsidRDefault="006B4781" w:rsidP="006B4781">
      <w:pPr>
        <w:keepNext/>
        <w:spacing w:after="160" w:line="480" w:lineRule="auto"/>
        <w:ind w:firstLine="720"/>
        <w:rPr>
          <w:rFonts w:eastAsia="Calibri"/>
        </w:rPr>
      </w:pPr>
      <w:r w:rsidRPr="00232FD3">
        <w:rPr>
          <w:rFonts w:eastAsia="Calibri"/>
        </w:rPr>
        <w:t xml:space="preserve">A primary limitation of the study could result from the fact that the data constituting institutional expenditures varies from institution to institution in how it is collected and </w:t>
      </w:r>
      <w:r w:rsidRPr="00130B29">
        <w:rPr>
          <w:rFonts w:eastAsia="Calibri"/>
        </w:rPr>
        <w:t>reported (Pike et al., 2011).  For</w:t>
      </w:r>
      <w:r w:rsidRPr="00232FD3">
        <w:rPr>
          <w:rFonts w:eastAsia="Calibri"/>
        </w:rPr>
        <w:t xml:space="preserve"> example, one school may consider a different set of sources when collecting and reporting annual expenditures on student instruction than another school in the same study.  IPEDS reporting definitions allow for these differences in institutional interpretations.  Thus, these differences make it difficult </w:t>
      </w:r>
      <w:r w:rsidRPr="00130B29">
        <w:rPr>
          <w:rFonts w:eastAsia="Calibri"/>
        </w:rPr>
        <w:lastRenderedPageBreak/>
        <w:t>to establish robust and consistent relationships between expenditures and outcomes (Pike et al., 2011).   Another related limitation involving the use of IPEDS data is the inability to determine the amount of faculty salaries that are going to departmental research that are rolled into the IPEDS instructional expenditures data, for each institution.  Departmental research that is not externally funded and separately budgeted falls within this IPEDS expense category, separate from the IPEDS Research Expenditures variable that is intended to represent a school’s externally funded research expenses.</w:t>
      </w:r>
    </w:p>
    <w:p w14:paraId="3EA6A943" w14:textId="77777777" w:rsidR="006B4781" w:rsidRPr="00793853" w:rsidRDefault="006B4781" w:rsidP="0052342F">
      <w:pPr>
        <w:pStyle w:val="Heading1"/>
      </w:pPr>
      <w:r w:rsidRPr="00793853">
        <w:t xml:space="preserve">Yet another potential limitation of this study is that only a small level of the variance in student outcomes can be explained by any differences between institutions versus differences between students.  </w:t>
      </w:r>
      <w:proofErr w:type="spellStart"/>
      <w:r w:rsidRPr="00793853">
        <w:t>Pascarella</w:t>
      </w:r>
      <w:proofErr w:type="spellEnd"/>
      <w:r w:rsidRPr="00793853">
        <w:t xml:space="preserve"> and </w:t>
      </w:r>
      <w:proofErr w:type="spellStart"/>
      <w:r w:rsidRPr="00793853">
        <w:t>Terenzini</w:t>
      </w:r>
      <w:proofErr w:type="spellEnd"/>
      <w:r w:rsidRPr="00793853">
        <w:t xml:space="preserve"> (1991, 2005) and </w:t>
      </w:r>
      <w:proofErr w:type="spellStart"/>
      <w:r w:rsidRPr="00793853">
        <w:t>Kuh</w:t>
      </w:r>
      <w:proofErr w:type="spellEnd"/>
      <w:r w:rsidRPr="00793853">
        <w:t xml:space="preserve">, </w:t>
      </w:r>
      <w:proofErr w:type="spellStart"/>
      <w:r w:rsidRPr="00793853">
        <w:t>Kinzie</w:t>
      </w:r>
      <w:proofErr w:type="spellEnd"/>
      <w:r w:rsidRPr="00793853">
        <w:t xml:space="preserve">, </w:t>
      </w:r>
      <w:proofErr w:type="spellStart"/>
      <w:r w:rsidRPr="00793853">
        <w:t>Cruce</w:t>
      </w:r>
      <w:proofErr w:type="spellEnd"/>
      <w:r w:rsidRPr="00793853">
        <w:t xml:space="preserve">, </w:t>
      </w:r>
      <w:proofErr w:type="spellStart"/>
      <w:r w:rsidRPr="00793853">
        <w:t>Shoup</w:t>
      </w:r>
      <w:proofErr w:type="spellEnd"/>
      <w:r w:rsidRPr="00793853">
        <w:t xml:space="preserve">, and </w:t>
      </w:r>
      <w:proofErr w:type="spellStart"/>
      <w:r w:rsidRPr="00793853">
        <w:t>Gonyea</w:t>
      </w:r>
      <w:proofErr w:type="spellEnd"/>
      <w:r w:rsidRPr="00793853">
        <w:t xml:space="preserve"> (2007) studies reflect that the differences between students within each institution are much larger than differences between the institutions (Pike et al., 2011).  Other studies point out how institutional expenditures are only marginally related to student outcomes, where student-based characteristics such as test scores, grades, or family background interfere with any institutional effects being measured (</w:t>
      </w:r>
      <w:proofErr w:type="spellStart"/>
      <w:r w:rsidRPr="00793853">
        <w:t>Astin</w:t>
      </w:r>
      <w:proofErr w:type="spellEnd"/>
      <w:r w:rsidRPr="00793853">
        <w:t xml:space="preserve"> 1984, 1985; </w:t>
      </w:r>
      <w:proofErr w:type="spellStart"/>
      <w:r w:rsidRPr="00793853">
        <w:t>Kuh</w:t>
      </w:r>
      <w:proofErr w:type="spellEnd"/>
      <w:r w:rsidRPr="00793853">
        <w:t xml:space="preserve"> 2001, 2003; Webber and Ehrenberg, 2010).</w:t>
      </w:r>
    </w:p>
    <w:p w14:paraId="1AB8577E" w14:textId="77777777" w:rsidR="006B4781" w:rsidRPr="007A6552" w:rsidRDefault="006B4781" w:rsidP="006B4781">
      <w:pPr>
        <w:keepNext/>
        <w:spacing w:after="160" w:line="480" w:lineRule="auto"/>
        <w:ind w:firstLine="720"/>
        <w:jc w:val="center"/>
        <w:rPr>
          <w:rFonts w:eastAsia="Calibri"/>
          <w:b/>
        </w:rPr>
      </w:pPr>
      <w:r w:rsidRPr="007A6552">
        <w:rPr>
          <w:rFonts w:eastAsia="Calibri"/>
          <w:b/>
        </w:rPr>
        <w:t>Summary</w:t>
      </w:r>
    </w:p>
    <w:p w14:paraId="2D0142AF" w14:textId="77777777" w:rsidR="009A4601" w:rsidRDefault="006B4781" w:rsidP="00B203BC">
      <w:pPr>
        <w:keepNext/>
        <w:spacing w:after="160" w:line="480" w:lineRule="auto"/>
        <w:ind w:firstLine="720"/>
        <w:rPr>
          <w:rFonts w:eastAsia="Calibri"/>
        </w:rPr>
      </w:pPr>
      <w:r w:rsidRPr="00CA71E5">
        <w:rPr>
          <w:rFonts w:eastAsia="Calibri"/>
        </w:rPr>
        <w:t xml:space="preserve">This chapter has restated the purpose of my study and its research questions to provide context and introduction to the study’s data sources and data analyses used.   These data sources include:  the Integrated Postsecondary Data System (IPEDS), the Bureau of Labor Statistics, and the National Center for Higher Education Management </w:t>
      </w:r>
      <w:r w:rsidRPr="00CA71E5">
        <w:rPr>
          <w:rFonts w:eastAsia="Calibri"/>
        </w:rPr>
        <w:lastRenderedPageBreak/>
        <w:t>Systems (NCHEMS).   From these sources, the input, mediating and dependent variables were collected.  Obtained from IPEDS, the input variables included five types of institutional expenditures -  instruction, research, public service, academic support, and student services - per student</w:t>
      </w:r>
      <w:r w:rsidR="0004427C">
        <w:rPr>
          <w:rFonts w:eastAsia="Calibri"/>
        </w:rPr>
        <w:t xml:space="preserve"> FTE </w:t>
      </w:r>
      <w:r w:rsidRPr="00CA71E5">
        <w:rPr>
          <w:rFonts w:eastAsia="Calibri"/>
        </w:rPr>
        <w:t>enrollment and averaged over the 2006 through 2008 timeframe.  Mediating variables at the institution level were also obtained from IPEDS and from the U.S. Bureau of Labor Statistics and NCHEMS for the regional mediating variables.  Hierarchical linear regression provided the best statistical tool to find the answers to the research questions, as the data variables being analyzed were nested at two different levels:  institutional data nested within each state and region.  Chapter IV will provide the results of these data analyses.</w:t>
      </w:r>
    </w:p>
    <w:p w14:paraId="2467F91C" w14:textId="77777777" w:rsidR="00EB21EB" w:rsidRPr="001B07A0" w:rsidRDefault="00421437" w:rsidP="00421437">
      <w:pPr>
        <w:rPr>
          <w:rFonts w:eastAsia="Calibri"/>
        </w:rPr>
      </w:pPr>
      <w:r w:rsidRPr="001B07A0">
        <w:rPr>
          <w:rFonts w:eastAsia="Calibri"/>
        </w:rPr>
        <w:br w:type="page"/>
      </w:r>
    </w:p>
    <w:p w14:paraId="43CC703A" w14:textId="77777777" w:rsidR="00EB21EB" w:rsidRPr="003E1CE3" w:rsidRDefault="00EB21EB" w:rsidP="00EB21EB">
      <w:pPr>
        <w:spacing w:after="160" w:line="480" w:lineRule="auto"/>
        <w:jc w:val="center"/>
        <w:rPr>
          <w:rFonts w:eastAsia="Calibri"/>
          <w:b/>
        </w:rPr>
      </w:pPr>
      <w:r w:rsidRPr="003E1CE3">
        <w:rPr>
          <w:rFonts w:eastAsia="Calibri"/>
          <w:b/>
        </w:rPr>
        <w:lastRenderedPageBreak/>
        <w:t>CHAPTER IV</w:t>
      </w:r>
    </w:p>
    <w:p w14:paraId="14FA3EBC" w14:textId="77777777" w:rsidR="00EB21EB" w:rsidRPr="003E1CE3" w:rsidRDefault="00EB21EB" w:rsidP="00EB21EB">
      <w:pPr>
        <w:spacing w:after="160" w:line="480" w:lineRule="auto"/>
        <w:jc w:val="center"/>
        <w:rPr>
          <w:rFonts w:eastAsia="Calibri"/>
          <w:b/>
        </w:rPr>
      </w:pPr>
      <w:r w:rsidRPr="003E1CE3">
        <w:rPr>
          <w:rFonts w:eastAsia="Calibri"/>
          <w:b/>
        </w:rPr>
        <w:t>RESULTS</w:t>
      </w:r>
    </w:p>
    <w:p w14:paraId="5F4567B8" w14:textId="77777777" w:rsidR="00EB21EB" w:rsidRPr="00232FD3" w:rsidRDefault="00A46B0F" w:rsidP="00EB21EB">
      <w:pPr>
        <w:spacing w:after="160" w:line="480" w:lineRule="auto"/>
        <w:jc w:val="center"/>
        <w:rPr>
          <w:rFonts w:eastAsia="Calibri"/>
          <w:b/>
        </w:rPr>
      </w:pPr>
      <w:r>
        <w:rPr>
          <w:rFonts w:eastAsia="Calibri"/>
          <w:b/>
        </w:rPr>
        <w:t>Introduction</w:t>
      </w:r>
    </w:p>
    <w:p w14:paraId="04A8EB3E" w14:textId="51339C7F" w:rsidR="00D67420" w:rsidRPr="00D67420" w:rsidRDefault="00D67420" w:rsidP="00D67420">
      <w:pPr>
        <w:spacing w:after="160" w:line="480" w:lineRule="auto"/>
        <w:ind w:firstLine="720"/>
        <w:rPr>
          <w:rFonts w:eastAsia="Calibri"/>
        </w:rPr>
      </w:pPr>
      <w:r w:rsidRPr="00D67420">
        <w:rPr>
          <w:rFonts w:eastAsia="Calibri"/>
        </w:rPr>
        <w:t xml:space="preserve">The </w:t>
      </w:r>
      <w:r w:rsidR="005714F9" w:rsidRPr="00232FD3">
        <w:rPr>
          <w:rFonts w:eastAsia="Calibri"/>
        </w:rPr>
        <w:t xml:space="preserve">purpose of this study is to analyze the relationship institutional expenditures have on graduation rates in public higher education institutions – when accounting for </w:t>
      </w:r>
      <w:r w:rsidR="005714F9">
        <w:rPr>
          <w:rFonts w:eastAsia="Calibri"/>
        </w:rPr>
        <w:t xml:space="preserve">both </w:t>
      </w:r>
      <w:r w:rsidR="005714F9" w:rsidRPr="00232FD3">
        <w:rPr>
          <w:rFonts w:eastAsia="Calibri"/>
        </w:rPr>
        <w:t xml:space="preserve">institutional </w:t>
      </w:r>
      <w:r w:rsidR="005714F9">
        <w:rPr>
          <w:rFonts w:eastAsia="Calibri"/>
        </w:rPr>
        <w:t>and state level differences</w:t>
      </w:r>
      <w:r w:rsidR="000A5B6A" w:rsidRPr="000A5B6A">
        <w:rPr>
          <w:rFonts w:eastAsia="Calibri"/>
        </w:rPr>
        <w:t>.</w:t>
      </w:r>
      <w:r w:rsidRPr="00D67420">
        <w:rPr>
          <w:rFonts w:eastAsia="Calibri"/>
        </w:rPr>
        <w:t xml:space="preserve">  Specific to these intentions, this study seeks answers to the following questions: </w:t>
      </w:r>
    </w:p>
    <w:p w14:paraId="5F55647E" w14:textId="77777777" w:rsidR="00D67420" w:rsidRPr="00D67420" w:rsidRDefault="00D67420" w:rsidP="00D67420">
      <w:pPr>
        <w:spacing w:after="160" w:line="480" w:lineRule="auto"/>
        <w:ind w:firstLine="720"/>
        <w:rPr>
          <w:rFonts w:eastAsia="Calibri"/>
        </w:rPr>
      </w:pPr>
      <w:r w:rsidRPr="00D67420">
        <w:rPr>
          <w:rFonts w:eastAsia="Calibri"/>
        </w:rPr>
        <w:t>1.  What are the associations between different types of higher education institution expenditures and graduation rates after controlling for institutional characteristics?</w:t>
      </w:r>
    </w:p>
    <w:p w14:paraId="69FD0DBD" w14:textId="77777777" w:rsidR="00D67420" w:rsidRPr="00D67420" w:rsidRDefault="00D67420" w:rsidP="00D67420">
      <w:pPr>
        <w:spacing w:after="160" w:line="480" w:lineRule="auto"/>
        <w:ind w:firstLine="720"/>
        <w:rPr>
          <w:rFonts w:eastAsia="Calibri"/>
        </w:rPr>
      </w:pPr>
      <w:r w:rsidRPr="00D67420">
        <w:rPr>
          <w:rFonts w:eastAsia="Calibri"/>
        </w:rPr>
        <w:t xml:space="preserve">2.   What are the associations between different types of higher education institution expenditures and graduation rates after controlling for state level variables?  </w:t>
      </w:r>
    </w:p>
    <w:p w14:paraId="2C04EEF1" w14:textId="77777777" w:rsidR="00D67420" w:rsidRDefault="00D67420" w:rsidP="00D67420">
      <w:pPr>
        <w:spacing w:after="160" w:line="480" w:lineRule="auto"/>
        <w:ind w:firstLine="720"/>
        <w:rPr>
          <w:rFonts w:eastAsia="Calibri"/>
        </w:rPr>
      </w:pPr>
      <w:r w:rsidRPr="00D67420">
        <w:rPr>
          <w:rFonts w:eastAsia="Calibri"/>
        </w:rPr>
        <w:t>3.  What are the differences in effect levels between higher education institution level factors and state level factors on graduation rates?</w:t>
      </w:r>
    </w:p>
    <w:p w14:paraId="544F60E0" w14:textId="77777777" w:rsidR="00A33DE6" w:rsidRDefault="00A33DE6" w:rsidP="00D67420">
      <w:pPr>
        <w:spacing w:after="160" w:line="480" w:lineRule="auto"/>
        <w:ind w:firstLine="720"/>
        <w:rPr>
          <w:rFonts w:eastAsia="Calibri"/>
        </w:rPr>
      </w:pPr>
      <w:r>
        <w:rPr>
          <w:rFonts w:eastAsia="Calibri"/>
        </w:rPr>
        <w:t>This chapter provides the detailed findings of this study’s data analyses conducted for the purpose of answering the research questions above.  The first section of the chapter</w:t>
      </w:r>
      <w:r w:rsidR="000E4221">
        <w:rPr>
          <w:rFonts w:eastAsia="Calibri"/>
        </w:rPr>
        <w:t xml:space="preserve"> explains the results of the preliminary </w:t>
      </w:r>
      <w:r w:rsidR="00B203BC">
        <w:rPr>
          <w:rFonts w:eastAsia="Calibri"/>
        </w:rPr>
        <w:t xml:space="preserve">and inferential </w:t>
      </w:r>
      <w:r w:rsidR="000E4221">
        <w:rPr>
          <w:rFonts w:eastAsia="Calibri"/>
        </w:rPr>
        <w:t xml:space="preserve">analyses conducted for the purpose of </w:t>
      </w:r>
      <w:r w:rsidR="00B203BC">
        <w:rPr>
          <w:rFonts w:eastAsia="Calibri"/>
        </w:rPr>
        <w:t>identifying the</w:t>
      </w:r>
      <w:r w:rsidR="000E4221">
        <w:rPr>
          <w:rFonts w:eastAsia="Calibri"/>
        </w:rPr>
        <w:t xml:space="preserve"> relationships </w:t>
      </w:r>
      <w:r w:rsidR="00B203BC">
        <w:rPr>
          <w:rFonts w:eastAsia="Calibri"/>
        </w:rPr>
        <w:t>between public higher education institutional expenditures per student</w:t>
      </w:r>
      <w:r w:rsidR="0004427C">
        <w:rPr>
          <w:rFonts w:eastAsia="Calibri"/>
        </w:rPr>
        <w:t xml:space="preserve"> FTE </w:t>
      </w:r>
      <w:r w:rsidR="00B203BC">
        <w:rPr>
          <w:rFonts w:eastAsia="Calibri"/>
        </w:rPr>
        <w:t>by type – instruction, research, public service, academic support, and student services – and six-year graduation rates</w:t>
      </w:r>
      <w:r w:rsidR="000E4221">
        <w:rPr>
          <w:rFonts w:eastAsia="Calibri"/>
        </w:rPr>
        <w:t xml:space="preserve">.  The second section of the </w:t>
      </w:r>
      <w:r w:rsidR="000E4221">
        <w:rPr>
          <w:rFonts w:eastAsia="Calibri"/>
        </w:rPr>
        <w:lastRenderedPageBreak/>
        <w:t>chapter details the results of the HLM inferential analyses</w:t>
      </w:r>
      <w:r w:rsidR="00B203BC">
        <w:rPr>
          <w:rFonts w:eastAsia="Calibri"/>
        </w:rPr>
        <w:t xml:space="preserve"> with regard to the effects of the </w:t>
      </w:r>
      <w:r w:rsidR="005B2014">
        <w:rPr>
          <w:rFonts w:eastAsia="Calibri"/>
        </w:rPr>
        <w:t>institution level</w:t>
      </w:r>
      <w:r w:rsidR="00B203BC">
        <w:rPr>
          <w:rFonts w:eastAsia="Calibri"/>
        </w:rPr>
        <w:t xml:space="preserve"> mediating </w:t>
      </w:r>
      <w:r w:rsidR="00C34A94">
        <w:rPr>
          <w:rFonts w:eastAsia="Calibri"/>
        </w:rPr>
        <w:t>factors</w:t>
      </w:r>
      <w:r w:rsidR="00B203BC">
        <w:rPr>
          <w:rFonts w:eastAsia="Calibri"/>
        </w:rPr>
        <w:t xml:space="preserve"> of:  race, gender, ACT scores, </w:t>
      </w:r>
      <w:r w:rsidR="00C34A94">
        <w:rPr>
          <w:rFonts w:eastAsia="Calibri"/>
        </w:rPr>
        <w:t>and Carnegie classification</w:t>
      </w:r>
      <w:r w:rsidR="000E4221">
        <w:rPr>
          <w:rFonts w:eastAsia="Calibri"/>
        </w:rPr>
        <w:t xml:space="preserve">.  </w:t>
      </w:r>
      <w:r w:rsidR="00C34A94">
        <w:rPr>
          <w:rFonts w:eastAsia="Calibri"/>
        </w:rPr>
        <w:t xml:space="preserve">The third section of the chapter explores the analyses results pertaining to the state economic factors:  state higher education spending per capita, unemployment rate, and average household income.  </w:t>
      </w:r>
    </w:p>
    <w:p w14:paraId="04445C9A" w14:textId="77777777" w:rsidR="002060E4" w:rsidRPr="00232FD3" w:rsidRDefault="002060E4" w:rsidP="002060E4">
      <w:pPr>
        <w:spacing w:after="160" w:line="480" w:lineRule="auto"/>
        <w:jc w:val="center"/>
        <w:rPr>
          <w:rFonts w:eastAsia="Calibri"/>
          <w:b/>
        </w:rPr>
      </w:pPr>
      <w:r>
        <w:rPr>
          <w:rFonts w:eastAsia="Calibri"/>
          <w:b/>
        </w:rPr>
        <w:t>Expenditure Effects on Graduation Rates</w:t>
      </w:r>
    </w:p>
    <w:p w14:paraId="4DA130A6" w14:textId="1B26FA85" w:rsidR="006236C8" w:rsidRDefault="00737F83" w:rsidP="00A954FC">
      <w:pPr>
        <w:spacing w:after="160" w:line="480" w:lineRule="auto"/>
        <w:ind w:firstLine="720"/>
        <w:rPr>
          <w:rFonts w:eastAsia="Calibri"/>
        </w:rPr>
      </w:pPr>
      <w:r w:rsidRPr="00A954FC">
        <w:rPr>
          <w:rFonts w:eastAsia="Calibri"/>
        </w:rPr>
        <w:t>To better understand</w:t>
      </w:r>
      <w:r w:rsidR="00A954FC">
        <w:rPr>
          <w:rFonts w:eastAsia="Calibri"/>
        </w:rPr>
        <w:t xml:space="preserve"> the relationships between the study variables, </w:t>
      </w:r>
      <w:commentRangeStart w:id="5"/>
      <w:r w:rsidR="00A954FC" w:rsidRPr="00A954FC">
        <w:rPr>
          <w:rFonts w:eastAsia="Calibri"/>
        </w:rPr>
        <w:t>SPSS</w:t>
      </w:r>
      <w:commentRangeEnd w:id="5"/>
      <w:r w:rsidR="003A6ED3">
        <w:rPr>
          <w:rStyle w:val="CommentReference"/>
        </w:rPr>
        <w:commentReference w:id="5"/>
      </w:r>
      <w:r w:rsidR="00A954FC" w:rsidRPr="00A954FC">
        <w:rPr>
          <w:rFonts w:eastAsia="Calibri"/>
        </w:rPr>
        <w:t xml:space="preserve">, statistical software </w:t>
      </w:r>
      <w:r w:rsidR="00A954FC">
        <w:rPr>
          <w:rFonts w:eastAsia="Calibri"/>
        </w:rPr>
        <w:t xml:space="preserve">was used to </w:t>
      </w:r>
      <w:r w:rsidR="00A954FC" w:rsidRPr="00A954FC">
        <w:rPr>
          <w:rFonts w:eastAsia="Calibri"/>
        </w:rPr>
        <w:t>test the study variables</w:t>
      </w:r>
      <w:r w:rsidR="00F82F3D">
        <w:rPr>
          <w:rFonts w:eastAsia="Calibri"/>
        </w:rPr>
        <w:t xml:space="preserve"> for normality</w:t>
      </w:r>
      <w:r w:rsidR="00A954FC" w:rsidRPr="00A954FC">
        <w:rPr>
          <w:rFonts w:eastAsia="Calibri"/>
        </w:rPr>
        <w:t xml:space="preserve"> and multicollinearity</w:t>
      </w:r>
      <w:r w:rsidR="00F82F3D">
        <w:rPr>
          <w:rFonts w:eastAsia="Calibri"/>
        </w:rPr>
        <w:t>.</w:t>
      </w:r>
      <w:r w:rsidR="00A954FC" w:rsidRPr="00A954FC">
        <w:rPr>
          <w:rFonts w:eastAsia="Calibri"/>
        </w:rPr>
        <w:t xml:space="preserve">.  </w:t>
      </w:r>
      <w:r w:rsidR="00F82F3D">
        <w:rPr>
          <w:rFonts w:eastAsia="Calibri"/>
        </w:rPr>
        <w:t xml:space="preserve">None of the study </w:t>
      </w:r>
      <w:r w:rsidR="00A954FC" w:rsidRPr="00A954FC">
        <w:rPr>
          <w:rFonts w:eastAsia="Calibri"/>
        </w:rPr>
        <w:t>variables show</w:t>
      </w:r>
      <w:r w:rsidR="00A954FC">
        <w:rPr>
          <w:rFonts w:eastAsia="Calibri"/>
        </w:rPr>
        <w:t>ed</w:t>
      </w:r>
      <w:r w:rsidR="00A954FC" w:rsidRPr="00A954FC">
        <w:rPr>
          <w:rFonts w:eastAsia="Calibri"/>
        </w:rPr>
        <w:t xml:space="preserve"> </w:t>
      </w:r>
      <w:r w:rsidR="00F82F3D">
        <w:rPr>
          <w:rFonts w:eastAsia="Calibri"/>
        </w:rPr>
        <w:t xml:space="preserve">signs </w:t>
      </w:r>
      <w:r w:rsidR="00C03CB6">
        <w:rPr>
          <w:rFonts w:eastAsia="Calibri"/>
        </w:rPr>
        <w:t xml:space="preserve">of </w:t>
      </w:r>
      <w:r w:rsidR="00C03CB6" w:rsidRPr="00A954FC">
        <w:rPr>
          <w:rFonts w:eastAsia="Calibri"/>
        </w:rPr>
        <w:t>multicollinearity</w:t>
      </w:r>
      <w:r w:rsidR="00F82F3D">
        <w:rPr>
          <w:rFonts w:eastAsia="Calibri"/>
        </w:rPr>
        <w:t xml:space="preserve"> or non-normality, therefore none</w:t>
      </w:r>
      <w:r w:rsidR="00C03CB6">
        <w:rPr>
          <w:rFonts w:eastAsia="Calibri"/>
        </w:rPr>
        <w:t xml:space="preserve"> </w:t>
      </w:r>
      <w:r w:rsidR="00A954FC" w:rsidRPr="00A954FC">
        <w:rPr>
          <w:rFonts w:eastAsia="Calibri"/>
        </w:rPr>
        <w:t>w</w:t>
      </w:r>
      <w:r w:rsidR="00A954FC">
        <w:rPr>
          <w:rFonts w:eastAsia="Calibri"/>
        </w:rPr>
        <w:t>ere</w:t>
      </w:r>
      <w:r w:rsidR="00A954FC" w:rsidRPr="00A954FC">
        <w:rPr>
          <w:rFonts w:eastAsia="Calibri"/>
        </w:rPr>
        <w:t xml:space="preserve"> removed from further statistic</w:t>
      </w:r>
      <w:r w:rsidR="00F82F3D">
        <w:rPr>
          <w:rFonts w:eastAsia="Calibri"/>
        </w:rPr>
        <w:t>al analyse</w:t>
      </w:r>
      <w:r w:rsidR="00A954FC" w:rsidRPr="00A954FC">
        <w:rPr>
          <w:rFonts w:eastAsia="Calibri"/>
        </w:rPr>
        <w:t>s.</w:t>
      </w:r>
      <w:r w:rsidR="006236C8">
        <w:rPr>
          <w:rFonts w:eastAsia="Calibri"/>
        </w:rPr>
        <w:t xml:space="preserve">  Prior to conducting the SPSS linear regression, mean imputation was used to supply fifty-four institutions with missing independent variable values. </w:t>
      </w:r>
      <w:r w:rsidR="0022492F">
        <w:rPr>
          <w:rFonts w:eastAsia="Calibri"/>
        </w:rPr>
        <w:t xml:space="preserve"> Additionally, </w:t>
      </w:r>
      <w:r w:rsidR="003D3389" w:rsidRPr="0040342C">
        <w:rPr>
          <w:rFonts w:eastAsia="Calibri"/>
        </w:rPr>
        <w:t>the</w:t>
      </w:r>
      <w:r w:rsidR="0040342C" w:rsidRPr="0040342C">
        <w:rPr>
          <w:rFonts w:eastAsia="Calibri"/>
        </w:rPr>
        <w:t xml:space="preserve"> state average income variable </w:t>
      </w:r>
      <w:r w:rsidR="0040342C">
        <w:rPr>
          <w:rFonts w:eastAsia="Calibri"/>
        </w:rPr>
        <w:t xml:space="preserve">values were each </w:t>
      </w:r>
      <w:r w:rsidR="0040342C" w:rsidRPr="0040342C">
        <w:rPr>
          <w:rFonts w:eastAsia="Calibri"/>
        </w:rPr>
        <w:t xml:space="preserve">divided by one thousand for better interpretation of the </w:t>
      </w:r>
      <w:r w:rsidR="0040342C">
        <w:rPr>
          <w:rFonts w:eastAsia="Calibri"/>
        </w:rPr>
        <w:t>regression results.</w:t>
      </w:r>
      <w:r w:rsidR="0022492F">
        <w:rPr>
          <w:rFonts w:eastAsia="Calibri"/>
        </w:rPr>
        <w:t xml:space="preserve">  </w:t>
      </w:r>
    </w:p>
    <w:p w14:paraId="3BD42CB1" w14:textId="77777777" w:rsidR="00FB14D6" w:rsidRDefault="00FB14D6" w:rsidP="00FB14D6">
      <w:pPr>
        <w:spacing w:after="160" w:line="480" w:lineRule="auto"/>
        <w:rPr>
          <w:rFonts w:eastAsia="Calibri"/>
          <w:b/>
        </w:rPr>
      </w:pPr>
      <w:r w:rsidRPr="00FB14D6">
        <w:rPr>
          <w:rFonts w:eastAsia="Calibri"/>
          <w:b/>
        </w:rPr>
        <w:t>2006 – 2014 Expenditure Correlations</w:t>
      </w:r>
    </w:p>
    <w:p w14:paraId="55C35AB7" w14:textId="77777777" w:rsidR="0040342C" w:rsidRDefault="00FB14D6" w:rsidP="00FB14D6">
      <w:pPr>
        <w:spacing w:after="160" w:line="480" w:lineRule="auto"/>
        <w:rPr>
          <w:rFonts w:eastAsia="Calibri"/>
        </w:rPr>
      </w:pPr>
      <w:r>
        <w:rPr>
          <w:rFonts w:eastAsia="Calibri"/>
        </w:rPr>
        <w:t xml:space="preserve"> </w:t>
      </w:r>
      <w:r w:rsidR="00510B96">
        <w:rPr>
          <w:rFonts w:eastAsia="Calibri"/>
        </w:rPr>
        <w:tab/>
      </w:r>
      <w:r w:rsidR="0040342C" w:rsidRPr="0040342C">
        <w:rPr>
          <w:rFonts w:eastAsia="Calibri"/>
        </w:rPr>
        <w:t xml:space="preserve">To ensure that </w:t>
      </w:r>
      <w:r>
        <w:rPr>
          <w:rFonts w:eastAsia="Calibri"/>
        </w:rPr>
        <w:t>each of the</w:t>
      </w:r>
      <w:r w:rsidR="0040342C" w:rsidRPr="0040342C">
        <w:rPr>
          <w:rFonts w:eastAsia="Calibri"/>
        </w:rPr>
        <w:t xml:space="preserve"> expenditure</w:t>
      </w:r>
      <w:r>
        <w:rPr>
          <w:rFonts w:eastAsia="Calibri"/>
        </w:rPr>
        <w:t xml:space="preserve"> type</w:t>
      </w:r>
      <w:r w:rsidR="0040342C" w:rsidRPr="0040342C">
        <w:rPr>
          <w:rFonts w:eastAsia="Calibri"/>
        </w:rPr>
        <w:t>s maintain</w:t>
      </w:r>
      <w:r w:rsidR="0040342C">
        <w:rPr>
          <w:rFonts w:eastAsia="Calibri"/>
        </w:rPr>
        <w:t>ed</w:t>
      </w:r>
      <w:r w:rsidR="0040342C" w:rsidRPr="0040342C">
        <w:rPr>
          <w:rFonts w:eastAsia="Calibri"/>
        </w:rPr>
        <w:t xml:space="preserve"> </w:t>
      </w:r>
      <w:r>
        <w:rPr>
          <w:rFonts w:eastAsia="Calibri"/>
        </w:rPr>
        <w:t xml:space="preserve">annual </w:t>
      </w:r>
      <w:r w:rsidR="0040342C" w:rsidRPr="0040342C">
        <w:rPr>
          <w:rFonts w:eastAsia="Calibri"/>
        </w:rPr>
        <w:t xml:space="preserve">stability over the </w:t>
      </w:r>
      <w:r>
        <w:rPr>
          <w:rFonts w:eastAsia="Calibri"/>
        </w:rPr>
        <w:t xml:space="preserve">study’s </w:t>
      </w:r>
      <w:r w:rsidR="0040342C" w:rsidRPr="0040342C">
        <w:rPr>
          <w:rFonts w:eastAsia="Calibri"/>
        </w:rPr>
        <w:t>enrollment timeframe</w:t>
      </w:r>
      <w:r>
        <w:rPr>
          <w:rFonts w:eastAsia="Calibri"/>
        </w:rPr>
        <w:t xml:space="preserve"> of 2006 through 2014</w:t>
      </w:r>
      <w:r w:rsidR="0040342C" w:rsidRPr="0040342C">
        <w:rPr>
          <w:rFonts w:eastAsia="Calibri"/>
        </w:rPr>
        <w:t xml:space="preserve">, Spearman-rho correlation analysis was </w:t>
      </w:r>
      <w:r w:rsidR="0040342C">
        <w:rPr>
          <w:rFonts w:eastAsia="Calibri"/>
        </w:rPr>
        <w:t>run using SPSS</w:t>
      </w:r>
      <w:r w:rsidR="0040342C" w:rsidRPr="0040342C">
        <w:rPr>
          <w:rFonts w:eastAsia="Calibri"/>
        </w:rPr>
        <w:t xml:space="preserve"> to identify any potential fluctuations in the expenditure </w:t>
      </w:r>
      <w:r>
        <w:rPr>
          <w:rFonts w:eastAsia="Calibri"/>
        </w:rPr>
        <w:t>amounts</w:t>
      </w:r>
      <w:r w:rsidR="0040342C">
        <w:rPr>
          <w:rFonts w:eastAsia="Calibri"/>
        </w:rPr>
        <w:t xml:space="preserve"> </w:t>
      </w:r>
      <w:r>
        <w:rPr>
          <w:rFonts w:eastAsia="Calibri"/>
        </w:rPr>
        <w:t>between each consecutive year of expenditure data</w:t>
      </w:r>
      <w:r w:rsidR="0040342C" w:rsidRPr="0040342C">
        <w:rPr>
          <w:rFonts w:eastAsia="Calibri"/>
        </w:rPr>
        <w:t>.</w:t>
      </w:r>
      <w:r w:rsidR="0076709D">
        <w:rPr>
          <w:rFonts w:eastAsia="Calibri"/>
        </w:rPr>
        <w:t xml:space="preserve">  </w:t>
      </w:r>
    </w:p>
    <w:p w14:paraId="427C0535" w14:textId="5DF1EF71" w:rsidR="000A6429" w:rsidRDefault="00754F03" w:rsidP="0040342C">
      <w:pPr>
        <w:spacing w:after="160" w:line="480" w:lineRule="auto"/>
        <w:ind w:firstLine="720"/>
        <w:rPr>
          <w:rFonts w:eastAsia="Calibri"/>
        </w:rPr>
      </w:pPr>
      <w:r>
        <w:rPr>
          <w:rFonts w:eastAsia="Calibri"/>
        </w:rPr>
        <w:t xml:space="preserve">Table 4.1 provides the </w:t>
      </w:r>
      <w:r w:rsidR="00372147">
        <w:rPr>
          <w:rFonts w:eastAsia="Calibri"/>
        </w:rPr>
        <w:t xml:space="preserve">SPSS results of the </w:t>
      </w:r>
      <w:r w:rsidR="00372147" w:rsidRPr="0040342C">
        <w:rPr>
          <w:rFonts w:eastAsia="Calibri"/>
        </w:rPr>
        <w:t xml:space="preserve">Spearman-rho correlation analysis </w:t>
      </w:r>
      <w:r w:rsidR="00372147">
        <w:rPr>
          <w:rFonts w:eastAsia="Calibri"/>
        </w:rPr>
        <w:t xml:space="preserve">for the 2006 through 2014 Instruction Expenditures per Student FTE variables.  As </w:t>
      </w:r>
      <w:r w:rsidR="009D2286">
        <w:rPr>
          <w:rFonts w:eastAsia="Calibri"/>
        </w:rPr>
        <w:t>detailed</w:t>
      </w:r>
      <w:r w:rsidR="00372147">
        <w:rPr>
          <w:rFonts w:eastAsia="Calibri"/>
        </w:rPr>
        <w:t xml:space="preserve"> </w:t>
      </w:r>
      <w:r w:rsidR="00372147">
        <w:rPr>
          <w:rFonts w:eastAsia="Calibri"/>
        </w:rPr>
        <w:lastRenderedPageBreak/>
        <w:t xml:space="preserve">in the table, the instruction expenditures across all 564 institutions </w:t>
      </w:r>
      <w:r w:rsidR="009D2286">
        <w:rPr>
          <w:rFonts w:eastAsia="Calibri"/>
        </w:rPr>
        <w:t xml:space="preserve">showed correlation coefficients above .900, indicating they </w:t>
      </w:r>
      <w:r w:rsidR="00C31916">
        <w:rPr>
          <w:rFonts w:eastAsia="Calibri"/>
        </w:rPr>
        <w:t>were highly correlated</w:t>
      </w:r>
      <w:r w:rsidR="00372147">
        <w:rPr>
          <w:rFonts w:eastAsia="Calibri"/>
        </w:rPr>
        <w:t xml:space="preserve"> between each consecutive year, without any significant </w:t>
      </w:r>
      <w:r w:rsidR="009D2286">
        <w:rPr>
          <w:rFonts w:eastAsia="Calibri"/>
        </w:rPr>
        <w:t>fluctuations</w:t>
      </w:r>
      <w:r w:rsidR="00372147">
        <w:rPr>
          <w:rFonts w:eastAsia="Calibri"/>
        </w:rPr>
        <w:t xml:space="preserve"> in instruction spending from year-to-year.</w:t>
      </w:r>
      <w:r w:rsidR="009D2286">
        <w:rPr>
          <w:rFonts w:eastAsia="Calibri"/>
        </w:rPr>
        <w:t xml:space="preserve">  </w:t>
      </w:r>
      <w:r w:rsidR="00D91B8D">
        <w:rPr>
          <w:rFonts w:eastAsia="Calibri"/>
        </w:rPr>
        <w:t xml:space="preserve">2014 to 2013 instruction expenses had a correlation coefficient of .970.  This indicated that the instruction expenses in 2013 were 97 percent predictive of the 2014 expenses.  </w:t>
      </w:r>
      <w:r w:rsidR="00BE79F9">
        <w:rPr>
          <w:rFonts w:eastAsia="Calibri"/>
        </w:rPr>
        <w:t xml:space="preserve">The correlations for any three consecutive years appear to be very similar to each other.  This suggests that all the expenditures remain stable across all of the institutions.  </w:t>
      </w:r>
    </w:p>
    <w:p w14:paraId="2AE09D38" w14:textId="77777777" w:rsidR="00372147" w:rsidRDefault="003B4D29" w:rsidP="0040342C">
      <w:pPr>
        <w:spacing w:after="160" w:line="480" w:lineRule="auto"/>
        <w:ind w:firstLine="720"/>
        <w:rPr>
          <w:rFonts w:eastAsia="Calibri"/>
        </w:rPr>
      </w:pPr>
      <w:r>
        <w:rPr>
          <w:rFonts w:eastAsia="Calibri"/>
        </w:rPr>
        <w:t xml:space="preserve">Looking at the first three years of the study timeframe, </w:t>
      </w:r>
      <w:r w:rsidR="00D91B8D">
        <w:rPr>
          <w:rFonts w:eastAsia="Calibri"/>
        </w:rPr>
        <w:t>2006 instruction expenses were 92.8 percent predictive of 2007 expenses</w:t>
      </w:r>
      <w:r>
        <w:rPr>
          <w:rFonts w:eastAsia="Calibri"/>
        </w:rPr>
        <w:t>,</w:t>
      </w:r>
      <w:r w:rsidR="00D91B8D">
        <w:rPr>
          <w:rFonts w:eastAsia="Calibri"/>
        </w:rPr>
        <w:t xml:space="preserve"> </w:t>
      </w:r>
      <w:r>
        <w:rPr>
          <w:rFonts w:eastAsia="Calibri"/>
        </w:rPr>
        <w:t>while</w:t>
      </w:r>
      <w:r w:rsidR="00D91B8D">
        <w:rPr>
          <w:rFonts w:eastAsia="Calibri"/>
        </w:rPr>
        <w:t xml:space="preserve"> 2007 expenses were 93.8 percent predictive of 2008 instruction expenses.   </w:t>
      </w:r>
      <w:r w:rsidR="009D2286">
        <w:rPr>
          <w:rFonts w:eastAsia="Calibri"/>
        </w:rPr>
        <w:t xml:space="preserve"> </w:t>
      </w:r>
      <w:r w:rsidR="00372147">
        <w:rPr>
          <w:rFonts w:eastAsia="Calibri"/>
        </w:rPr>
        <w:t xml:space="preserve">  </w:t>
      </w:r>
    </w:p>
    <w:tbl>
      <w:tblPr>
        <w:tblW w:w="8120" w:type="dxa"/>
        <w:tblLook w:val="04A0" w:firstRow="1" w:lastRow="0" w:firstColumn="1" w:lastColumn="0" w:noHBand="0" w:noVBand="1"/>
      </w:tblPr>
      <w:tblGrid>
        <w:gridCol w:w="662"/>
        <w:gridCol w:w="828"/>
        <w:gridCol w:w="828"/>
        <w:gridCol w:w="828"/>
        <w:gridCol w:w="828"/>
        <w:gridCol w:w="831"/>
        <w:gridCol w:w="828"/>
        <w:gridCol w:w="828"/>
        <w:gridCol w:w="828"/>
        <w:gridCol w:w="828"/>
        <w:gridCol w:w="6"/>
      </w:tblGrid>
      <w:tr w:rsidR="009D2286" w14:paraId="37750814" w14:textId="77777777" w:rsidTr="000A6429">
        <w:trPr>
          <w:trHeight w:val="206"/>
        </w:trPr>
        <w:tc>
          <w:tcPr>
            <w:tcW w:w="8120" w:type="dxa"/>
            <w:gridSpan w:val="11"/>
            <w:tcBorders>
              <w:top w:val="nil"/>
              <w:left w:val="nil"/>
              <w:bottom w:val="nil"/>
              <w:right w:val="nil"/>
            </w:tcBorders>
            <w:shd w:val="clear" w:color="000000" w:fill="FFFFFF"/>
            <w:noWrap/>
            <w:vAlign w:val="bottom"/>
            <w:hideMark/>
          </w:tcPr>
          <w:p w14:paraId="05FC3474" w14:textId="77777777" w:rsidR="009D2286" w:rsidRDefault="009D2286">
            <w:pPr>
              <w:rPr>
                <w:color w:val="000000"/>
              </w:rPr>
            </w:pPr>
            <w:r>
              <w:rPr>
                <w:color w:val="000000"/>
              </w:rPr>
              <w:t>Table 4.1   2006 - 2014 Instruction Expenditures per FTE Correlations</w:t>
            </w:r>
          </w:p>
        </w:tc>
      </w:tr>
      <w:tr w:rsidR="000A6429" w14:paraId="34E8FA98" w14:textId="77777777" w:rsidTr="000A6429">
        <w:trPr>
          <w:gridAfter w:val="1"/>
          <w:wAfter w:w="6" w:type="dxa"/>
          <w:trHeight w:val="95"/>
        </w:trPr>
        <w:tc>
          <w:tcPr>
            <w:tcW w:w="662" w:type="dxa"/>
            <w:tcBorders>
              <w:top w:val="nil"/>
              <w:left w:val="nil"/>
              <w:bottom w:val="nil"/>
              <w:right w:val="nil"/>
            </w:tcBorders>
            <w:shd w:val="clear" w:color="000000" w:fill="FFFFFF"/>
            <w:noWrap/>
            <w:vAlign w:val="bottom"/>
            <w:hideMark/>
          </w:tcPr>
          <w:p w14:paraId="1FC3BB1D" w14:textId="77777777" w:rsidR="009D2286" w:rsidRDefault="009D2286">
            <w:pP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32EE04D4" w14:textId="77777777" w:rsidR="009D2286" w:rsidRDefault="009D2286">
            <w:pP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703C02D1" w14:textId="77777777" w:rsidR="009D2286" w:rsidRDefault="009D2286">
            <w:pP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494508E8" w14:textId="77777777" w:rsidR="009D2286" w:rsidRDefault="009D2286">
            <w:pP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78738538" w14:textId="77777777" w:rsidR="009D2286" w:rsidRDefault="009D2286">
            <w:pP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02CAA67D" w14:textId="77777777" w:rsidR="009D2286" w:rsidRDefault="009D2286">
            <w:pP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3361C7AD" w14:textId="77777777" w:rsidR="009D2286" w:rsidRDefault="009D2286">
            <w:pP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49360F84" w14:textId="77777777" w:rsidR="009D2286" w:rsidRDefault="009D2286">
            <w:pP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39FE195D" w14:textId="77777777" w:rsidR="009D2286" w:rsidRDefault="009D2286">
            <w:pP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641FD987" w14:textId="77777777" w:rsidR="009D2286" w:rsidRDefault="009D2286">
            <w:pPr>
              <w:rPr>
                <w:color w:val="000000"/>
              </w:rPr>
            </w:pPr>
            <w:r>
              <w:rPr>
                <w:color w:val="000000"/>
              </w:rPr>
              <w:t> </w:t>
            </w:r>
          </w:p>
        </w:tc>
      </w:tr>
      <w:tr w:rsidR="009D2286" w14:paraId="4E5446F0" w14:textId="77777777" w:rsidTr="000A6429">
        <w:trPr>
          <w:trHeight w:val="451"/>
        </w:trPr>
        <w:tc>
          <w:tcPr>
            <w:tcW w:w="8120" w:type="dxa"/>
            <w:gridSpan w:val="11"/>
            <w:tcBorders>
              <w:top w:val="single" w:sz="4" w:space="0" w:color="auto"/>
              <w:left w:val="nil"/>
              <w:bottom w:val="single" w:sz="4" w:space="0" w:color="auto"/>
              <w:right w:val="nil"/>
            </w:tcBorders>
            <w:shd w:val="clear" w:color="000000" w:fill="FFFFFF"/>
            <w:vAlign w:val="bottom"/>
            <w:hideMark/>
          </w:tcPr>
          <w:p w14:paraId="68E257EE" w14:textId="77777777" w:rsidR="009D2286" w:rsidRDefault="009D2286" w:rsidP="00D91B8D">
            <w:pPr>
              <w:jc w:val="center"/>
              <w:rPr>
                <w:color w:val="000000"/>
                <w:sz w:val="22"/>
                <w:szCs w:val="22"/>
              </w:rPr>
            </w:pPr>
            <w:r>
              <w:rPr>
                <w:color w:val="000000"/>
                <w:sz w:val="22"/>
                <w:szCs w:val="22"/>
              </w:rPr>
              <w:t xml:space="preserve">Spearman Correlation </w:t>
            </w:r>
            <w:r w:rsidR="00D91B8D">
              <w:rPr>
                <w:color w:val="000000"/>
                <w:sz w:val="22"/>
                <w:szCs w:val="22"/>
              </w:rPr>
              <w:t>Coefficients</w:t>
            </w:r>
            <w:r>
              <w:rPr>
                <w:color w:val="000000"/>
                <w:sz w:val="22"/>
                <w:szCs w:val="22"/>
              </w:rPr>
              <w:t xml:space="preserve"> of Instruction Expenditures per FTE                           Fiscal Years 2006 through 2014</w:t>
            </w:r>
          </w:p>
        </w:tc>
      </w:tr>
      <w:tr w:rsidR="000A6429" w14:paraId="25648977" w14:textId="77777777" w:rsidTr="000A6429">
        <w:trPr>
          <w:gridAfter w:val="1"/>
          <w:wAfter w:w="6" w:type="dxa"/>
          <w:trHeight w:val="116"/>
        </w:trPr>
        <w:tc>
          <w:tcPr>
            <w:tcW w:w="662" w:type="dxa"/>
            <w:tcBorders>
              <w:top w:val="nil"/>
              <w:left w:val="nil"/>
              <w:bottom w:val="nil"/>
              <w:right w:val="nil"/>
            </w:tcBorders>
            <w:shd w:val="clear" w:color="000000" w:fill="FFFFFF"/>
            <w:noWrap/>
            <w:vAlign w:val="bottom"/>
            <w:hideMark/>
          </w:tcPr>
          <w:p w14:paraId="12323A3C" w14:textId="77777777" w:rsidR="009D2286" w:rsidRDefault="009D2286">
            <w:pPr>
              <w:rPr>
                <w:i/>
                <w:iCs/>
                <w:color w:val="000000"/>
              </w:rPr>
            </w:pPr>
            <w:r>
              <w:rPr>
                <w:i/>
                <w:iCs/>
                <w:color w:val="000000"/>
              </w:rPr>
              <w:t> </w:t>
            </w:r>
          </w:p>
        </w:tc>
        <w:tc>
          <w:tcPr>
            <w:tcW w:w="828" w:type="dxa"/>
            <w:tcBorders>
              <w:top w:val="nil"/>
              <w:left w:val="nil"/>
              <w:bottom w:val="nil"/>
              <w:right w:val="nil"/>
            </w:tcBorders>
            <w:shd w:val="clear" w:color="000000" w:fill="FFFFFF"/>
            <w:noWrap/>
            <w:vAlign w:val="bottom"/>
            <w:hideMark/>
          </w:tcPr>
          <w:p w14:paraId="2BF0C97E" w14:textId="77777777" w:rsidR="009D2286" w:rsidRDefault="009D2286">
            <w:pPr>
              <w:rPr>
                <w:i/>
                <w:iCs/>
                <w:color w:val="000000"/>
              </w:rPr>
            </w:pPr>
            <w:r>
              <w:rPr>
                <w:i/>
                <w:iCs/>
                <w:color w:val="000000"/>
              </w:rPr>
              <w:t> </w:t>
            </w:r>
          </w:p>
        </w:tc>
        <w:tc>
          <w:tcPr>
            <w:tcW w:w="828" w:type="dxa"/>
            <w:tcBorders>
              <w:top w:val="nil"/>
              <w:left w:val="nil"/>
              <w:bottom w:val="nil"/>
              <w:right w:val="nil"/>
            </w:tcBorders>
            <w:shd w:val="clear" w:color="000000" w:fill="FFFFFF"/>
            <w:noWrap/>
            <w:vAlign w:val="bottom"/>
            <w:hideMark/>
          </w:tcPr>
          <w:p w14:paraId="4F6EBB5E" w14:textId="77777777" w:rsidR="009D2286" w:rsidRDefault="009D2286">
            <w:pP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6616E1C2" w14:textId="77777777" w:rsidR="009D2286" w:rsidRDefault="009D2286">
            <w:pP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16DFBCCD" w14:textId="77777777" w:rsidR="009D2286" w:rsidRDefault="009D2286">
            <w:pPr>
              <w:jc w:val="cente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205AB87A" w14:textId="77777777" w:rsidR="009D2286" w:rsidRDefault="009D2286">
            <w:pPr>
              <w:jc w:val="cente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5363D60B" w14:textId="77777777" w:rsidR="009D2286" w:rsidRDefault="009D2286">
            <w:pPr>
              <w:jc w:val="cente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381746E7" w14:textId="77777777" w:rsidR="009D2286" w:rsidRDefault="009D2286">
            <w:pPr>
              <w:jc w:val="cente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7007DCC3" w14:textId="77777777" w:rsidR="009D2286" w:rsidRDefault="009D2286">
            <w:pPr>
              <w:jc w:val="cente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78AD24AA" w14:textId="77777777" w:rsidR="009D2286" w:rsidRDefault="009D2286">
            <w:pPr>
              <w:jc w:val="center"/>
              <w:rPr>
                <w:color w:val="000000"/>
              </w:rPr>
            </w:pPr>
            <w:r>
              <w:rPr>
                <w:color w:val="000000"/>
              </w:rPr>
              <w:t> </w:t>
            </w:r>
          </w:p>
        </w:tc>
      </w:tr>
      <w:tr w:rsidR="000A6429" w14:paraId="30FE83E0" w14:textId="77777777" w:rsidTr="000A6429">
        <w:trPr>
          <w:gridAfter w:val="1"/>
          <w:wAfter w:w="6" w:type="dxa"/>
          <w:trHeight w:val="263"/>
        </w:trPr>
        <w:tc>
          <w:tcPr>
            <w:tcW w:w="662" w:type="dxa"/>
            <w:tcBorders>
              <w:top w:val="nil"/>
              <w:left w:val="nil"/>
              <w:bottom w:val="nil"/>
              <w:right w:val="nil"/>
            </w:tcBorders>
            <w:shd w:val="clear" w:color="000000" w:fill="FFFFFF"/>
            <w:noWrap/>
            <w:vAlign w:val="bottom"/>
            <w:hideMark/>
          </w:tcPr>
          <w:p w14:paraId="1CFA6FE0" w14:textId="77777777" w:rsidR="009D2286" w:rsidRDefault="009D2286">
            <w:pPr>
              <w:rPr>
                <w:i/>
                <w:iCs/>
                <w:color w:val="000000"/>
                <w:sz w:val="22"/>
                <w:szCs w:val="22"/>
              </w:rPr>
            </w:pPr>
            <w:r>
              <w:rPr>
                <w:i/>
                <w:iCs/>
                <w:color w:val="000000"/>
                <w:sz w:val="22"/>
                <w:szCs w:val="22"/>
              </w:rPr>
              <w:t> </w:t>
            </w:r>
          </w:p>
        </w:tc>
        <w:tc>
          <w:tcPr>
            <w:tcW w:w="828" w:type="dxa"/>
            <w:tcBorders>
              <w:top w:val="nil"/>
              <w:left w:val="nil"/>
              <w:bottom w:val="nil"/>
              <w:right w:val="nil"/>
            </w:tcBorders>
            <w:shd w:val="clear" w:color="000000" w:fill="FFFFFF"/>
            <w:noWrap/>
            <w:vAlign w:val="bottom"/>
            <w:hideMark/>
          </w:tcPr>
          <w:p w14:paraId="4EA2AF74" w14:textId="77777777" w:rsidR="009D2286" w:rsidRDefault="009D2286">
            <w:pPr>
              <w:jc w:val="center"/>
              <w:rPr>
                <w:color w:val="000000"/>
                <w:sz w:val="22"/>
                <w:szCs w:val="22"/>
                <w:u w:val="single"/>
              </w:rPr>
            </w:pPr>
            <w:r>
              <w:rPr>
                <w:color w:val="000000"/>
                <w:sz w:val="22"/>
                <w:szCs w:val="22"/>
                <w:u w:val="single"/>
              </w:rPr>
              <w:t>2014</w:t>
            </w:r>
          </w:p>
        </w:tc>
        <w:tc>
          <w:tcPr>
            <w:tcW w:w="828" w:type="dxa"/>
            <w:tcBorders>
              <w:top w:val="nil"/>
              <w:left w:val="nil"/>
              <w:bottom w:val="nil"/>
              <w:right w:val="nil"/>
            </w:tcBorders>
            <w:shd w:val="clear" w:color="000000" w:fill="FFFFFF"/>
            <w:noWrap/>
            <w:vAlign w:val="bottom"/>
            <w:hideMark/>
          </w:tcPr>
          <w:p w14:paraId="5231CF21" w14:textId="77777777" w:rsidR="009D2286" w:rsidRDefault="009D2286">
            <w:pPr>
              <w:jc w:val="center"/>
              <w:rPr>
                <w:color w:val="000000"/>
                <w:sz w:val="22"/>
                <w:szCs w:val="22"/>
                <w:u w:val="single"/>
              </w:rPr>
            </w:pPr>
            <w:r>
              <w:rPr>
                <w:color w:val="000000"/>
                <w:sz w:val="22"/>
                <w:szCs w:val="22"/>
                <w:u w:val="single"/>
              </w:rPr>
              <w:t>2013</w:t>
            </w:r>
          </w:p>
        </w:tc>
        <w:tc>
          <w:tcPr>
            <w:tcW w:w="828" w:type="dxa"/>
            <w:tcBorders>
              <w:top w:val="nil"/>
              <w:left w:val="nil"/>
              <w:bottom w:val="nil"/>
              <w:right w:val="nil"/>
            </w:tcBorders>
            <w:shd w:val="clear" w:color="000000" w:fill="FFFFFF"/>
            <w:noWrap/>
            <w:vAlign w:val="bottom"/>
            <w:hideMark/>
          </w:tcPr>
          <w:p w14:paraId="5BE40498" w14:textId="77777777" w:rsidR="009D2286" w:rsidRDefault="009D2286">
            <w:pPr>
              <w:jc w:val="center"/>
              <w:rPr>
                <w:color w:val="000000"/>
                <w:sz w:val="22"/>
                <w:szCs w:val="22"/>
                <w:u w:val="single"/>
              </w:rPr>
            </w:pPr>
            <w:r>
              <w:rPr>
                <w:color w:val="000000"/>
                <w:sz w:val="22"/>
                <w:szCs w:val="22"/>
                <w:u w:val="single"/>
              </w:rPr>
              <w:t>2012</w:t>
            </w:r>
          </w:p>
        </w:tc>
        <w:tc>
          <w:tcPr>
            <w:tcW w:w="828" w:type="dxa"/>
            <w:tcBorders>
              <w:top w:val="nil"/>
              <w:left w:val="nil"/>
              <w:bottom w:val="nil"/>
              <w:right w:val="nil"/>
            </w:tcBorders>
            <w:shd w:val="clear" w:color="000000" w:fill="FFFFFF"/>
            <w:vAlign w:val="bottom"/>
            <w:hideMark/>
          </w:tcPr>
          <w:p w14:paraId="559132BA" w14:textId="77777777" w:rsidR="009D2286" w:rsidRDefault="009D2286">
            <w:pPr>
              <w:jc w:val="center"/>
              <w:rPr>
                <w:color w:val="000000"/>
                <w:sz w:val="22"/>
                <w:szCs w:val="22"/>
                <w:u w:val="single"/>
              </w:rPr>
            </w:pPr>
            <w:r>
              <w:rPr>
                <w:color w:val="000000"/>
                <w:sz w:val="22"/>
                <w:szCs w:val="22"/>
                <w:u w:val="single"/>
              </w:rPr>
              <w:t>2011</w:t>
            </w:r>
          </w:p>
        </w:tc>
        <w:tc>
          <w:tcPr>
            <w:tcW w:w="828" w:type="dxa"/>
            <w:tcBorders>
              <w:top w:val="nil"/>
              <w:left w:val="nil"/>
              <w:bottom w:val="nil"/>
              <w:right w:val="nil"/>
            </w:tcBorders>
            <w:shd w:val="clear" w:color="000000" w:fill="FFFFFF"/>
            <w:vAlign w:val="bottom"/>
            <w:hideMark/>
          </w:tcPr>
          <w:p w14:paraId="3E53FEE9" w14:textId="77777777" w:rsidR="009D2286" w:rsidRDefault="009D2286">
            <w:pPr>
              <w:jc w:val="center"/>
              <w:rPr>
                <w:color w:val="000000"/>
                <w:sz w:val="22"/>
                <w:szCs w:val="22"/>
                <w:u w:val="single"/>
              </w:rPr>
            </w:pPr>
            <w:r>
              <w:rPr>
                <w:color w:val="000000"/>
                <w:sz w:val="22"/>
                <w:szCs w:val="22"/>
                <w:u w:val="single"/>
              </w:rPr>
              <w:t>2010</w:t>
            </w:r>
          </w:p>
        </w:tc>
        <w:tc>
          <w:tcPr>
            <w:tcW w:w="828" w:type="dxa"/>
            <w:tcBorders>
              <w:top w:val="nil"/>
              <w:left w:val="nil"/>
              <w:bottom w:val="nil"/>
              <w:right w:val="nil"/>
            </w:tcBorders>
            <w:shd w:val="clear" w:color="000000" w:fill="FFFFFF"/>
            <w:vAlign w:val="bottom"/>
            <w:hideMark/>
          </w:tcPr>
          <w:p w14:paraId="3766F55B" w14:textId="77777777" w:rsidR="009D2286" w:rsidRDefault="009D2286">
            <w:pPr>
              <w:jc w:val="center"/>
              <w:rPr>
                <w:color w:val="000000"/>
                <w:sz w:val="22"/>
                <w:szCs w:val="22"/>
                <w:u w:val="single"/>
              </w:rPr>
            </w:pPr>
            <w:r>
              <w:rPr>
                <w:color w:val="000000"/>
                <w:sz w:val="22"/>
                <w:szCs w:val="22"/>
                <w:u w:val="single"/>
              </w:rPr>
              <w:t>2009</w:t>
            </w:r>
          </w:p>
        </w:tc>
        <w:tc>
          <w:tcPr>
            <w:tcW w:w="828" w:type="dxa"/>
            <w:tcBorders>
              <w:top w:val="nil"/>
              <w:left w:val="nil"/>
              <w:bottom w:val="nil"/>
              <w:right w:val="nil"/>
            </w:tcBorders>
            <w:shd w:val="clear" w:color="000000" w:fill="FFFFFF"/>
            <w:vAlign w:val="bottom"/>
            <w:hideMark/>
          </w:tcPr>
          <w:p w14:paraId="03DF6D31" w14:textId="77777777" w:rsidR="009D2286" w:rsidRDefault="009D2286">
            <w:pPr>
              <w:jc w:val="center"/>
              <w:rPr>
                <w:color w:val="000000"/>
                <w:sz w:val="22"/>
                <w:szCs w:val="22"/>
                <w:u w:val="single"/>
              </w:rPr>
            </w:pPr>
            <w:r>
              <w:rPr>
                <w:color w:val="000000"/>
                <w:sz w:val="22"/>
                <w:szCs w:val="22"/>
                <w:u w:val="single"/>
              </w:rPr>
              <w:t>2008</w:t>
            </w:r>
          </w:p>
        </w:tc>
        <w:tc>
          <w:tcPr>
            <w:tcW w:w="828" w:type="dxa"/>
            <w:tcBorders>
              <w:top w:val="nil"/>
              <w:left w:val="nil"/>
              <w:bottom w:val="nil"/>
              <w:right w:val="nil"/>
            </w:tcBorders>
            <w:shd w:val="clear" w:color="000000" w:fill="FFFFFF"/>
            <w:vAlign w:val="bottom"/>
            <w:hideMark/>
          </w:tcPr>
          <w:p w14:paraId="2D6CAF11" w14:textId="77777777" w:rsidR="009D2286" w:rsidRDefault="009D2286">
            <w:pPr>
              <w:jc w:val="center"/>
              <w:rPr>
                <w:color w:val="000000"/>
                <w:sz w:val="22"/>
                <w:szCs w:val="22"/>
                <w:u w:val="single"/>
              </w:rPr>
            </w:pPr>
            <w:r>
              <w:rPr>
                <w:color w:val="000000"/>
                <w:sz w:val="22"/>
                <w:szCs w:val="22"/>
                <w:u w:val="single"/>
              </w:rPr>
              <w:t>2007</w:t>
            </w:r>
          </w:p>
        </w:tc>
        <w:tc>
          <w:tcPr>
            <w:tcW w:w="828" w:type="dxa"/>
            <w:tcBorders>
              <w:top w:val="nil"/>
              <w:left w:val="nil"/>
              <w:bottom w:val="nil"/>
              <w:right w:val="nil"/>
            </w:tcBorders>
            <w:shd w:val="clear" w:color="000000" w:fill="FFFFFF"/>
            <w:vAlign w:val="bottom"/>
            <w:hideMark/>
          </w:tcPr>
          <w:p w14:paraId="3D84F6D8" w14:textId="77777777" w:rsidR="009D2286" w:rsidRDefault="009D2286">
            <w:pPr>
              <w:jc w:val="center"/>
              <w:rPr>
                <w:color w:val="000000"/>
                <w:sz w:val="22"/>
                <w:szCs w:val="22"/>
                <w:u w:val="single"/>
              </w:rPr>
            </w:pPr>
            <w:r>
              <w:rPr>
                <w:color w:val="000000"/>
                <w:sz w:val="22"/>
                <w:szCs w:val="22"/>
                <w:u w:val="single"/>
              </w:rPr>
              <w:t>2006</w:t>
            </w:r>
          </w:p>
        </w:tc>
      </w:tr>
      <w:tr w:rsidR="000A6429" w14:paraId="662D2F91" w14:textId="77777777" w:rsidTr="000A6429">
        <w:trPr>
          <w:gridAfter w:val="1"/>
          <w:wAfter w:w="6" w:type="dxa"/>
          <w:trHeight w:val="263"/>
        </w:trPr>
        <w:tc>
          <w:tcPr>
            <w:tcW w:w="662" w:type="dxa"/>
            <w:tcBorders>
              <w:top w:val="nil"/>
              <w:left w:val="nil"/>
              <w:bottom w:val="nil"/>
              <w:right w:val="nil"/>
            </w:tcBorders>
            <w:shd w:val="clear" w:color="000000" w:fill="FFFFFF"/>
            <w:noWrap/>
            <w:vAlign w:val="bottom"/>
            <w:hideMark/>
          </w:tcPr>
          <w:p w14:paraId="2F160630" w14:textId="77777777" w:rsidR="009D2286" w:rsidRDefault="009D2286">
            <w:pPr>
              <w:jc w:val="center"/>
              <w:rPr>
                <w:color w:val="000000"/>
                <w:sz w:val="22"/>
                <w:szCs w:val="22"/>
                <w:u w:val="single"/>
              </w:rPr>
            </w:pPr>
            <w:r>
              <w:rPr>
                <w:color w:val="000000"/>
                <w:sz w:val="22"/>
                <w:szCs w:val="22"/>
                <w:u w:val="single"/>
              </w:rPr>
              <w:t>2014</w:t>
            </w:r>
          </w:p>
        </w:tc>
        <w:tc>
          <w:tcPr>
            <w:tcW w:w="828" w:type="dxa"/>
            <w:tcBorders>
              <w:top w:val="nil"/>
              <w:left w:val="nil"/>
              <w:bottom w:val="nil"/>
              <w:right w:val="nil"/>
            </w:tcBorders>
            <w:shd w:val="clear" w:color="000000" w:fill="FFFFFF"/>
            <w:noWrap/>
            <w:vAlign w:val="bottom"/>
            <w:hideMark/>
          </w:tcPr>
          <w:p w14:paraId="7AF822CB" w14:textId="77777777" w:rsidR="009D2286" w:rsidRDefault="009D2286">
            <w:pPr>
              <w:jc w:val="center"/>
              <w:rPr>
                <w:color w:val="000000"/>
                <w:sz w:val="22"/>
                <w:szCs w:val="22"/>
              </w:rPr>
            </w:pPr>
            <w:r>
              <w:rPr>
                <w:color w:val="000000"/>
                <w:sz w:val="22"/>
                <w:szCs w:val="22"/>
              </w:rPr>
              <w:t>1.000</w:t>
            </w:r>
          </w:p>
        </w:tc>
        <w:tc>
          <w:tcPr>
            <w:tcW w:w="828" w:type="dxa"/>
            <w:tcBorders>
              <w:top w:val="nil"/>
              <w:left w:val="nil"/>
              <w:bottom w:val="nil"/>
              <w:right w:val="nil"/>
            </w:tcBorders>
            <w:shd w:val="clear" w:color="000000" w:fill="FFFFFF"/>
            <w:noWrap/>
            <w:vAlign w:val="bottom"/>
            <w:hideMark/>
          </w:tcPr>
          <w:p w14:paraId="1C5BD144" w14:textId="77777777" w:rsidR="009D2286" w:rsidRDefault="009D2286">
            <w:pPr>
              <w:jc w:val="center"/>
              <w:rPr>
                <w:color w:val="000000"/>
                <w:sz w:val="22"/>
                <w:szCs w:val="22"/>
              </w:rPr>
            </w:pPr>
            <w:r>
              <w:rPr>
                <w:color w:val="000000"/>
                <w:sz w:val="22"/>
                <w:szCs w:val="22"/>
              </w:rPr>
              <w:t>.970**</w:t>
            </w:r>
          </w:p>
        </w:tc>
        <w:tc>
          <w:tcPr>
            <w:tcW w:w="828" w:type="dxa"/>
            <w:tcBorders>
              <w:top w:val="nil"/>
              <w:left w:val="nil"/>
              <w:bottom w:val="nil"/>
              <w:right w:val="nil"/>
            </w:tcBorders>
            <w:shd w:val="clear" w:color="000000" w:fill="FFFFFF"/>
            <w:noWrap/>
            <w:vAlign w:val="bottom"/>
            <w:hideMark/>
          </w:tcPr>
          <w:p w14:paraId="0977D993" w14:textId="77777777" w:rsidR="009D2286" w:rsidRDefault="009D2286">
            <w:pPr>
              <w:jc w:val="center"/>
              <w:rPr>
                <w:color w:val="000000"/>
                <w:sz w:val="22"/>
                <w:szCs w:val="22"/>
              </w:rPr>
            </w:pPr>
            <w:r>
              <w:rPr>
                <w:color w:val="000000"/>
                <w:sz w:val="22"/>
                <w:szCs w:val="22"/>
              </w:rPr>
              <w:t>.952**</w:t>
            </w:r>
          </w:p>
        </w:tc>
        <w:tc>
          <w:tcPr>
            <w:tcW w:w="828" w:type="dxa"/>
            <w:tcBorders>
              <w:top w:val="nil"/>
              <w:left w:val="nil"/>
              <w:bottom w:val="nil"/>
              <w:right w:val="nil"/>
            </w:tcBorders>
            <w:shd w:val="clear" w:color="000000" w:fill="FFFFFF"/>
            <w:noWrap/>
            <w:vAlign w:val="bottom"/>
            <w:hideMark/>
          </w:tcPr>
          <w:p w14:paraId="55E294E6" w14:textId="77777777" w:rsidR="009D2286" w:rsidRDefault="009D2286">
            <w:pPr>
              <w:jc w:val="center"/>
              <w:rPr>
                <w:color w:val="000000"/>
                <w:sz w:val="22"/>
                <w:szCs w:val="22"/>
              </w:rPr>
            </w:pPr>
            <w:r>
              <w:rPr>
                <w:color w:val="000000"/>
                <w:sz w:val="22"/>
                <w:szCs w:val="22"/>
              </w:rPr>
              <w:t>.932**</w:t>
            </w:r>
          </w:p>
        </w:tc>
        <w:tc>
          <w:tcPr>
            <w:tcW w:w="828" w:type="dxa"/>
            <w:tcBorders>
              <w:top w:val="nil"/>
              <w:left w:val="nil"/>
              <w:bottom w:val="nil"/>
              <w:right w:val="nil"/>
            </w:tcBorders>
            <w:shd w:val="clear" w:color="000000" w:fill="FFFFFF"/>
            <w:noWrap/>
            <w:vAlign w:val="bottom"/>
            <w:hideMark/>
          </w:tcPr>
          <w:p w14:paraId="707713BE" w14:textId="77777777" w:rsidR="009D2286" w:rsidRDefault="009D2286">
            <w:pPr>
              <w:jc w:val="center"/>
              <w:rPr>
                <w:color w:val="000000"/>
                <w:sz w:val="22"/>
                <w:szCs w:val="22"/>
              </w:rPr>
            </w:pPr>
            <w:r>
              <w:rPr>
                <w:color w:val="000000"/>
                <w:sz w:val="22"/>
                <w:szCs w:val="22"/>
              </w:rPr>
              <w:t>.913**</w:t>
            </w:r>
          </w:p>
        </w:tc>
        <w:tc>
          <w:tcPr>
            <w:tcW w:w="828" w:type="dxa"/>
            <w:tcBorders>
              <w:top w:val="nil"/>
              <w:left w:val="nil"/>
              <w:bottom w:val="nil"/>
              <w:right w:val="nil"/>
            </w:tcBorders>
            <w:shd w:val="clear" w:color="000000" w:fill="FFFFFF"/>
            <w:noWrap/>
            <w:vAlign w:val="bottom"/>
            <w:hideMark/>
          </w:tcPr>
          <w:p w14:paraId="233D5836" w14:textId="77777777" w:rsidR="009D2286" w:rsidRDefault="009D2286">
            <w:pPr>
              <w:jc w:val="center"/>
              <w:rPr>
                <w:color w:val="000000"/>
                <w:sz w:val="22"/>
                <w:szCs w:val="22"/>
              </w:rPr>
            </w:pPr>
            <w:r>
              <w:rPr>
                <w:color w:val="000000"/>
                <w:sz w:val="22"/>
                <w:szCs w:val="22"/>
              </w:rPr>
              <w:t>.858**</w:t>
            </w:r>
          </w:p>
        </w:tc>
        <w:tc>
          <w:tcPr>
            <w:tcW w:w="828" w:type="dxa"/>
            <w:tcBorders>
              <w:top w:val="nil"/>
              <w:left w:val="nil"/>
              <w:bottom w:val="nil"/>
              <w:right w:val="nil"/>
            </w:tcBorders>
            <w:shd w:val="clear" w:color="000000" w:fill="FFFFFF"/>
            <w:noWrap/>
            <w:vAlign w:val="bottom"/>
            <w:hideMark/>
          </w:tcPr>
          <w:p w14:paraId="036DD096" w14:textId="77777777" w:rsidR="009D2286" w:rsidRDefault="009D2286">
            <w:pPr>
              <w:jc w:val="center"/>
              <w:rPr>
                <w:color w:val="000000"/>
                <w:sz w:val="22"/>
                <w:szCs w:val="22"/>
              </w:rPr>
            </w:pPr>
            <w:r>
              <w:rPr>
                <w:color w:val="000000"/>
                <w:sz w:val="22"/>
                <w:szCs w:val="22"/>
              </w:rPr>
              <w:t>.836**</w:t>
            </w:r>
          </w:p>
        </w:tc>
        <w:tc>
          <w:tcPr>
            <w:tcW w:w="828" w:type="dxa"/>
            <w:tcBorders>
              <w:top w:val="nil"/>
              <w:left w:val="nil"/>
              <w:bottom w:val="nil"/>
              <w:right w:val="nil"/>
            </w:tcBorders>
            <w:shd w:val="clear" w:color="000000" w:fill="FFFFFF"/>
            <w:noWrap/>
            <w:vAlign w:val="bottom"/>
            <w:hideMark/>
          </w:tcPr>
          <w:p w14:paraId="26E7AA1D" w14:textId="77777777" w:rsidR="009D2286" w:rsidRDefault="009D2286">
            <w:pPr>
              <w:jc w:val="center"/>
              <w:rPr>
                <w:color w:val="000000"/>
                <w:sz w:val="22"/>
                <w:szCs w:val="22"/>
              </w:rPr>
            </w:pPr>
            <w:r>
              <w:rPr>
                <w:color w:val="000000"/>
                <w:sz w:val="22"/>
                <w:szCs w:val="22"/>
              </w:rPr>
              <w:t>.818**</w:t>
            </w:r>
          </w:p>
        </w:tc>
        <w:tc>
          <w:tcPr>
            <w:tcW w:w="828" w:type="dxa"/>
            <w:tcBorders>
              <w:top w:val="nil"/>
              <w:left w:val="nil"/>
              <w:bottom w:val="nil"/>
              <w:right w:val="nil"/>
            </w:tcBorders>
            <w:shd w:val="clear" w:color="000000" w:fill="FFFFFF"/>
            <w:noWrap/>
            <w:vAlign w:val="bottom"/>
            <w:hideMark/>
          </w:tcPr>
          <w:p w14:paraId="2075E70A" w14:textId="77777777" w:rsidR="009D2286" w:rsidRDefault="009D2286">
            <w:pPr>
              <w:jc w:val="center"/>
              <w:rPr>
                <w:color w:val="000000"/>
                <w:sz w:val="22"/>
                <w:szCs w:val="22"/>
              </w:rPr>
            </w:pPr>
            <w:r>
              <w:rPr>
                <w:color w:val="000000"/>
                <w:sz w:val="22"/>
                <w:szCs w:val="22"/>
              </w:rPr>
              <w:t>.799**</w:t>
            </w:r>
          </w:p>
        </w:tc>
      </w:tr>
      <w:tr w:rsidR="000A6429" w14:paraId="19358FEB" w14:textId="77777777" w:rsidTr="000A6429">
        <w:trPr>
          <w:gridAfter w:val="1"/>
          <w:wAfter w:w="6" w:type="dxa"/>
          <w:trHeight w:val="263"/>
        </w:trPr>
        <w:tc>
          <w:tcPr>
            <w:tcW w:w="662" w:type="dxa"/>
            <w:tcBorders>
              <w:top w:val="nil"/>
              <w:left w:val="nil"/>
              <w:bottom w:val="nil"/>
              <w:right w:val="nil"/>
            </w:tcBorders>
            <w:shd w:val="clear" w:color="000000" w:fill="FFFFFF"/>
            <w:noWrap/>
            <w:vAlign w:val="bottom"/>
            <w:hideMark/>
          </w:tcPr>
          <w:p w14:paraId="6E86ABB5" w14:textId="77777777" w:rsidR="009D2286" w:rsidRDefault="009D2286">
            <w:pPr>
              <w:jc w:val="center"/>
              <w:rPr>
                <w:color w:val="000000"/>
                <w:sz w:val="22"/>
                <w:szCs w:val="22"/>
                <w:u w:val="single"/>
              </w:rPr>
            </w:pPr>
            <w:r>
              <w:rPr>
                <w:color w:val="000000"/>
                <w:sz w:val="22"/>
                <w:szCs w:val="22"/>
                <w:u w:val="single"/>
              </w:rPr>
              <w:t>2013</w:t>
            </w:r>
          </w:p>
        </w:tc>
        <w:tc>
          <w:tcPr>
            <w:tcW w:w="828" w:type="dxa"/>
            <w:tcBorders>
              <w:top w:val="nil"/>
              <w:left w:val="nil"/>
              <w:bottom w:val="nil"/>
              <w:right w:val="nil"/>
            </w:tcBorders>
            <w:shd w:val="clear" w:color="000000" w:fill="FFFFFF"/>
            <w:noWrap/>
            <w:vAlign w:val="bottom"/>
            <w:hideMark/>
          </w:tcPr>
          <w:p w14:paraId="3F763D62" w14:textId="77777777" w:rsidR="009D2286" w:rsidRDefault="009D2286">
            <w:pPr>
              <w:jc w:val="center"/>
              <w:rPr>
                <w:color w:val="000000"/>
                <w:sz w:val="22"/>
                <w:szCs w:val="22"/>
              </w:rPr>
            </w:pPr>
            <w:r>
              <w:rPr>
                <w:color w:val="000000"/>
                <w:sz w:val="22"/>
                <w:szCs w:val="22"/>
              </w:rPr>
              <w:t>.970**</w:t>
            </w:r>
          </w:p>
        </w:tc>
        <w:tc>
          <w:tcPr>
            <w:tcW w:w="828" w:type="dxa"/>
            <w:tcBorders>
              <w:top w:val="nil"/>
              <w:left w:val="nil"/>
              <w:bottom w:val="nil"/>
              <w:right w:val="nil"/>
            </w:tcBorders>
            <w:shd w:val="clear" w:color="000000" w:fill="FFFFFF"/>
            <w:noWrap/>
            <w:vAlign w:val="bottom"/>
            <w:hideMark/>
          </w:tcPr>
          <w:p w14:paraId="361DB18B" w14:textId="77777777" w:rsidR="009D2286" w:rsidRDefault="009D2286">
            <w:pPr>
              <w:jc w:val="center"/>
              <w:rPr>
                <w:color w:val="000000"/>
                <w:sz w:val="22"/>
                <w:szCs w:val="22"/>
              </w:rPr>
            </w:pPr>
            <w:r>
              <w:rPr>
                <w:color w:val="000000"/>
                <w:sz w:val="22"/>
                <w:szCs w:val="22"/>
              </w:rPr>
              <w:t>1.000</w:t>
            </w:r>
          </w:p>
        </w:tc>
        <w:tc>
          <w:tcPr>
            <w:tcW w:w="828" w:type="dxa"/>
            <w:tcBorders>
              <w:top w:val="nil"/>
              <w:left w:val="nil"/>
              <w:bottom w:val="nil"/>
              <w:right w:val="nil"/>
            </w:tcBorders>
            <w:shd w:val="clear" w:color="000000" w:fill="FFFFFF"/>
            <w:noWrap/>
            <w:vAlign w:val="bottom"/>
            <w:hideMark/>
          </w:tcPr>
          <w:p w14:paraId="2C30EC47" w14:textId="77777777" w:rsidR="009D2286" w:rsidRDefault="009D2286">
            <w:pPr>
              <w:jc w:val="center"/>
              <w:rPr>
                <w:color w:val="000000"/>
                <w:sz w:val="22"/>
                <w:szCs w:val="22"/>
              </w:rPr>
            </w:pPr>
            <w:r>
              <w:rPr>
                <w:color w:val="000000"/>
                <w:sz w:val="22"/>
                <w:szCs w:val="22"/>
              </w:rPr>
              <w:t>.968**</w:t>
            </w:r>
          </w:p>
        </w:tc>
        <w:tc>
          <w:tcPr>
            <w:tcW w:w="828" w:type="dxa"/>
            <w:tcBorders>
              <w:top w:val="nil"/>
              <w:left w:val="nil"/>
              <w:bottom w:val="nil"/>
              <w:right w:val="nil"/>
            </w:tcBorders>
            <w:shd w:val="clear" w:color="000000" w:fill="FFFFFF"/>
            <w:noWrap/>
            <w:vAlign w:val="bottom"/>
            <w:hideMark/>
          </w:tcPr>
          <w:p w14:paraId="6BE51DE8" w14:textId="77777777" w:rsidR="009D2286" w:rsidRDefault="009D2286">
            <w:pPr>
              <w:jc w:val="center"/>
              <w:rPr>
                <w:color w:val="000000"/>
                <w:sz w:val="22"/>
                <w:szCs w:val="22"/>
              </w:rPr>
            </w:pPr>
            <w:r>
              <w:rPr>
                <w:color w:val="000000"/>
                <w:sz w:val="22"/>
                <w:szCs w:val="22"/>
              </w:rPr>
              <w:t>.948**</w:t>
            </w:r>
          </w:p>
        </w:tc>
        <w:tc>
          <w:tcPr>
            <w:tcW w:w="828" w:type="dxa"/>
            <w:tcBorders>
              <w:top w:val="nil"/>
              <w:left w:val="nil"/>
              <w:bottom w:val="nil"/>
              <w:right w:val="nil"/>
            </w:tcBorders>
            <w:shd w:val="clear" w:color="000000" w:fill="FFFFFF"/>
            <w:noWrap/>
            <w:vAlign w:val="bottom"/>
            <w:hideMark/>
          </w:tcPr>
          <w:p w14:paraId="4FB93D60" w14:textId="77777777" w:rsidR="009D2286" w:rsidRDefault="009D2286">
            <w:pPr>
              <w:jc w:val="center"/>
              <w:rPr>
                <w:color w:val="000000"/>
                <w:sz w:val="22"/>
                <w:szCs w:val="22"/>
              </w:rPr>
            </w:pPr>
            <w:r>
              <w:rPr>
                <w:color w:val="000000"/>
                <w:sz w:val="22"/>
                <w:szCs w:val="22"/>
              </w:rPr>
              <w:t>.923**</w:t>
            </w:r>
          </w:p>
        </w:tc>
        <w:tc>
          <w:tcPr>
            <w:tcW w:w="828" w:type="dxa"/>
            <w:tcBorders>
              <w:top w:val="nil"/>
              <w:left w:val="nil"/>
              <w:bottom w:val="nil"/>
              <w:right w:val="nil"/>
            </w:tcBorders>
            <w:shd w:val="clear" w:color="000000" w:fill="FFFFFF"/>
            <w:noWrap/>
            <w:vAlign w:val="bottom"/>
            <w:hideMark/>
          </w:tcPr>
          <w:p w14:paraId="10745B87" w14:textId="77777777" w:rsidR="009D2286" w:rsidRDefault="009D2286">
            <w:pPr>
              <w:jc w:val="center"/>
              <w:rPr>
                <w:color w:val="000000"/>
                <w:sz w:val="22"/>
                <w:szCs w:val="22"/>
              </w:rPr>
            </w:pPr>
            <w:r>
              <w:rPr>
                <w:color w:val="000000"/>
                <w:sz w:val="22"/>
                <w:szCs w:val="22"/>
              </w:rPr>
              <w:t>.875**</w:t>
            </w:r>
          </w:p>
        </w:tc>
        <w:tc>
          <w:tcPr>
            <w:tcW w:w="828" w:type="dxa"/>
            <w:tcBorders>
              <w:top w:val="nil"/>
              <w:left w:val="nil"/>
              <w:bottom w:val="nil"/>
              <w:right w:val="nil"/>
            </w:tcBorders>
            <w:shd w:val="clear" w:color="000000" w:fill="FFFFFF"/>
            <w:noWrap/>
            <w:vAlign w:val="bottom"/>
            <w:hideMark/>
          </w:tcPr>
          <w:p w14:paraId="5AE800BD" w14:textId="77777777" w:rsidR="009D2286" w:rsidRDefault="009D2286">
            <w:pPr>
              <w:jc w:val="center"/>
              <w:rPr>
                <w:color w:val="000000"/>
                <w:sz w:val="22"/>
                <w:szCs w:val="22"/>
              </w:rPr>
            </w:pPr>
            <w:r>
              <w:rPr>
                <w:color w:val="000000"/>
                <w:sz w:val="22"/>
                <w:szCs w:val="22"/>
              </w:rPr>
              <w:t>.857**</w:t>
            </w:r>
          </w:p>
        </w:tc>
        <w:tc>
          <w:tcPr>
            <w:tcW w:w="828" w:type="dxa"/>
            <w:tcBorders>
              <w:top w:val="nil"/>
              <w:left w:val="nil"/>
              <w:bottom w:val="nil"/>
              <w:right w:val="nil"/>
            </w:tcBorders>
            <w:shd w:val="clear" w:color="000000" w:fill="FFFFFF"/>
            <w:noWrap/>
            <w:vAlign w:val="bottom"/>
            <w:hideMark/>
          </w:tcPr>
          <w:p w14:paraId="1171436E" w14:textId="77777777" w:rsidR="009D2286" w:rsidRDefault="009D2286">
            <w:pPr>
              <w:jc w:val="center"/>
              <w:rPr>
                <w:color w:val="000000"/>
                <w:sz w:val="22"/>
                <w:szCs w:val="22"/>
              </w:rPr>
            </w:pPr>
            <w:r>
              <w:rPr>
                <w:color w:val="000000"/>
                <w:sz w:val="22"/>
                <w:szCs w:val="22"/>
              </w:rPr>
              <w:t>.831**</w:t>
            </w:r>
          </w:p>
        </w:tc>
        <w:tc>
          <w:tcPr>
            <w:tcW w:w="828" w:type="dxa"/>
            <w:tcBorders>
              <w:top w:val="nil"/>
              <w:left w:val="nil"/>
              <w:bottom w:val="nil"/>
              <w:right w:val="nil"/>
            </w:tcBorders>
            <w:shd w:val="clear" w:color="000000" w:fill="FFFFFF"/>
            <w:noWrap/>
            <w:vAlign w:val="bottom"/>
            <w:hideMark/>
          </w:tcPr>
          <w:p w14:paraId="41349499" w14:textId="77777777" w:rsidR="009D2286" w:rsidRDefault="009D2286">
            <w:pPr>
              <w:jc w:val="center"/>
              <w:rPr>
                <w:color w:val="000000"/>
                <w:sz w:val="22"/>
                <w:szCs w:val="22"/>
              </w:rPr>
            </w:pPr>
            <w:r>
              <w:rPr>
                <w:color w:val="000000"/>
                <w:sz w:val="22"/>
                <w:szCs w:val="22"/>
              </w:rPr>
              <w:t>.827**</w:t>
            </w:r>
          </w:p>
        </w:tc>
      </w:tr>
      <w:tr w:rsidR="000A6429" w14:paraId="01E04D00" w14:textId="77777777" w:rsidTr="000A6429">
        <w:trPr>
          <w:gridAfter w:val="1"/>
          <w:wAfter w:w="6" w:type="dxa"/>
          <w:trHeight w:val="263"/>
        </w:trPr>
        <w:tc>
          <w:tcPr>
            <w:tcW w:w="662" w:type="dxa"/>
            <w:tcBorders>
              <w:top w:val="nil"/>
              <w:left w:val="nil"/>
              <w:bottom w:val="nil"/>
              <w:right w:val="nil"/>
            </w:tcBorders>
            <w:shd w:val="clear" w:color="000000" w:fill="FFFFFF"/>
            <w:noWrap/>
            <w:vAlign w:val="bottom"/>
            <w:hideMark/>
          </w:tcPr>
          <w:p w14:paraId="36DEF826" w14:textId="77777777" w:rsidR="009D2286" w:rsidRDefault="009D2286">
            <w:pPr>
              <w:jc w:val="center"/>
              <w:rPr>
                <w:color w:val="000000"/>
                <w:sz w:val="22"/>
                <w:szCs w:val="22"/>
                <w:u w:val="single"/>
              </w:rPr>
            </w:pPr>
            <w:r>
              <w:rPr>
                <w:color w:val="000000"/>
                <w:sz w:val="22"/>
                <w:szCs w:val="22"/>
                <w:u w:val="single"/>
              </w:rPr>
              <w:t>2012</w:t>
            </w:r>
          </w:p>
        </w:tc>
        <w:tc>
          <w:tcPr>
            <w:tcW w:w="828" w:type="dxa"/>
            <w:tcBorders>
              <w:top w:val="nil"/>
              <w:left w:val="nil"/>
              <w:bottom w:val="nil"/>
              <w:right w:val="nil"/>
            </w:tcBorders>
            <w:shd w:val="clear" w:color="000000" w:fill="FFFFFF"/>
            <w:noWrap/>
            <w:vAlign w:val="bottom"/>
            <w:hideMark/>
          </w:tcPr>
          <w:p w14:paraId="22E2921D" w14:textId="77777777" w:rsidR="009D2286" w:rsidRDefault="009D2286">
            <w:pPr>
              <w:jc w:val="center"/>
              <w:rPr>
                <w:color w:val="000000"/>
                <w:sz w:val="22"/>
                <w:szCs w:val="22"/>
              </w:rPr>
            </w:pPr>
            <w:r>
              <w:rPr>
                <w:color w:val="000000"/>
                <w:sz w:val="22"/>
                <w:szCs w:val="22"/>
              </w:rPr>
              <w:t>.952**</w:t>
            </w:r>
          </w:p>
        </w:tc>
        <w:tc>
          <w:tcPr>
            <w:tcW w:w="828" w:type="dxa"/>
            <w:tcBorders>
              <w:top w:val="nil"/>
              <w:left w:val="nil"/>
              <w:bottom w:val="nil"/>
              <w:right w:val="nil"/>
            </w:tcBorders>
            <w:shd w:val="clear" w:color="000000" w:fill="FFFFFF"/>
            <w:noWrap/>
            <w:vAlign w:val="bottom"/>
            <w:hideMark/>
          </w:tcPr>
          <w:p w14:paraId="690C20E0" w14:textId="77777777" w:rsidR="009D2286" w:rsidRDefault="009D2286">
            <w:pPr>
              <w:jc w:val="center"/>
              <w:rPr>
                <w:color w:val="000000"/>
                <w:sz w:val="22"/>
                <w:szCs w:val="22"/>
              </w:rPr>
            </w:pPr>
            <w:r>
              <w:rPr>
                <w:color w:val="000000"/>
                <w:sz w:val="22"/>
                <w:szCs w:val="22"/>
              </w:rPr>
              <w:t>.968**</w:t>
            </w:r>
          </w:p>
        </w:tc>
        <w:tc>
          <w:tcPr>
            <w:tcW w:w="828" w:type="dxa"/>
            <w:tcBorders>
              <w:top w:val="nil"/>
              <w:left w:val="nil"/>
              <w:bottom w:val="nil"/>
              <w:right w:val="nil"/>
            </w:tcBorders>
            <w:shd w:val="clear" w:color="000000" w:fill="FFFFFF"/>
            <w:noWrap/>
            <w:vAlign w:val="bottom"/>
            <w:hideMark/>
          </w:tcPr>
          <w:p w14:paraId="11561003" w14:textId="77777777" w:rsidR="009D2286" w:rsidRDefault="009D2286">
            <w:pPr>
              <w:jc w:val="center"/>
              <w:rPr>
                <w:color w:val="000000"/>
                <w:sz w:val="22"/>
                <w:szCs w:val="22"/>
              </w:rPr>
            </w:pPr>
            <w:r>
              <w:rPr>
                <w:color w:val="000000"/>
                <w:sz w:val="22"/>
                <w:szCs w:val="22"/>
              </w:rPr>
              <w:t>1.000</w:t>
            </w:r>
          </w:p>
        </w:tc>
        <w:tc>
          <w:tcPr>
            <w:tcW w:w="828" w:type="dxa"/>
            <w:tcBorders>
              <w:top w:val="nil"/>
              <w:left w:val="nil"/>
              <w:bottom w:val="nil"/>
              <w:right w:val="nil"/>
            </w:tcBorders>
            <w:shd w:val="clear" w:color="000000" w:fill="FFFFFF"/>
            <w:noWrap/>
            <w:vAlign w:val="bottom"/>
            <w:hideMark/>
          </w:tcPr>
          <w:p w14:paraId="2DB10660" w14:textId="77777777" w:rsidR="009D2286" w:rsidRDefault="009D2286">
            <w:pPr>
              <w:jc w:val="center"/>
              <w:rPr>
                <w:color w:val="000000"/>
                <w:sz w:val="22"/>
                <w:szCs w:val="22"/>
              </w:rPr>
            </w:pPr>
            <w:r>
              <w:rPr>
                <w:color w:val="000000"/>
                <w:sz w:val="22"/>
                <w:szCs w:val="22"/>
              </w:rPr>
              <w:t>.969**</w:t>
            </w:r>
          </w:p>
        </w:tc>
        <w:tc>
          <w:tcPr>
            <w:tcW w:w="828" w:type="dxa"/>
            <w:tcBorders>
              <w:top w:val="nil"/>
              <w:left w:val="nil"/>
              <w:bottom w:val="nil"/>
              <w:right w:val="nil"/>
            </w:tcBorders>
            <w:shd w:val="clear" w:color="000000" w:fill="FFFFFF"/>
            <w:noWrap/>
            <w:vAlign w:val="bottom"/>
            <w:hideMark/>
          </w:tcPr>
          <w:p w14:paraId="7B4E6F0E" w14:textId="77777777" w:rsidR="009D2286" w:rsidRDefault="009D2286">
            <w:pPr>
              <w:jc w:val="center"/>
              <w:rPr>
                <w:color w:val="000000"/>
                <w:sz w:val="22"/>
                <w:szCs w:val="22"/>
              </w:rPr>
            </w:pPr>
            <w:r>
              <w:rPr>
                <w:color w:val="000000"/>
                <w:sz w:val="22"/>
                <w:szCs w:val="22"/>
              </w:rPr>
              <w:t>.949**</w:t>
            </w:r>
          </w:p>
        </w:tc>
        <w:tc>
          <w:tcPr>
            <w:tcW w:w="828" w:type="dxa"/>
            <w:tcBorders>
              <w:top w:val="nil"/>
              <w:left w:val="nil"/>
              <w:bottom w:val="nil"/>
              <w:right w:val="nil"/>
            </w:tcBorders>
            <w:shd w:val="clear" w:color="000000" w:fill="FFFFFF"/>
            <w:noWrap/>
            <w:vAlign w:val="bottom"/>
            <w:hideMark/>
          </w:tcPr>
          <w:p w14:paraId="0B0778A8" w14:textId="77777777" w:rsidR="009D2286" w:rsidRDefault="009D2286">
            <w:pPr>
              <w:jc w:val="center"/>
              <w:rPr>
                <w:color w:val="000000"/>
                <w:sz w:val="22"/>
                <w:szCs w:val="22"/>
              </w:rPr>
            </w:pPr>
            <w:r>
              <w:rPr>
                <w:color w:val="000000"/>
                <w:sz w:val="22"/>
                <w:szCs w:val="22"/>
              </w:rPr>
              <w:t>.893**</w:t>
            </w:r>
          </w:p>
        </w:tc>
        <w:tc>
          <w:tcPr>
            <w:tcW w:w="828" w:type="dxa"/>
            <w:tcBorders>
              <w:top w:val="nil"/>
              <w:left w:val="nil"/>
              <w:bottom w:val="nil"/>
              <w:right w:val="nil"/>
            </w:tcBorders>
            <w:shd w:val="clear" w:color="000000" w:fill="FFFFFF"/>
            <w:noWrap/>
            <w:vAlign w:val="bottom"/>
            <w:hideMark/>
          </w:tcPr>
          <w:p w14:paraId="38AC6F37" w14:textId="77777777" w:rsidR="009D2286" w:rsidRDefault="009D2286">
            <w:pPr>
              <w:jc w:val="center"/>
              <w:rPr>
                <w:color w:val="000000"/>
                <w:sz w:val="22"/>
                <w:szCs w:val="22"/>
              </w:rPr>
            </w:pPr>
            <w:r>
              <w:rPr>
                <w:color w:val="000000"/>
                <w:sz w:val="22"/>
                <w:szCs w:val="22"/>
              </w:rPr>
              <w:t>.877**</w:t>
            </w:r>
          </w:p>
        </w:tc>
        <w:tc>
          <w:tcPr>
            <w:tcW w:w="828" w:type="dxa"/>
            <w:tcBorders>
              <w:top w:val="nil"/>
              <w:left w:val="nil"/>
              <w:bottom w:val="nil"/>
              <w:right w:val="nil"/>
            </w:tcBorders>
            <w:shd w:val="clear" w:color="000000" w:fill="FFFFFF"/>
            <w:noWrap/>
            <w:vAlign w:val="bottom"/>
            <w:hideMark/>
          </w:tcPr>
          <w:p w14:paraId="4A3374EF" w14:textId="77777777" w:rsidR="009D2286" w:rsidRDefault="009D2286">
            <w:pPr>
              <w:jc w:val="center"/>
              <w:rPr>
                <w:color w:val="000000"/>
                <w:sz w:val="22"/>
                <w:szCs w:val="22"/>
              </w:rPr>
            </w:pPr>
            <w:r>
              <w:rPr>
                <w:color w:val="000000"/>
                <w:sz w:val="22"/>
                <w:szCs w:val="22"/>
              </w:rPr>
              <w:t>.849**</w:t>
            </w:r>
          </w:p>
        </w:tc>
        <w:tc>
          <w:tcPr>
            <w:tcW w:w="828" w:type="dxa"/>
            <w:tcBorders>
              <w:top w:val="nil"/>
              <w:left w:val="nil"/>
              <w:bottom w:val="nil"/>
              <w:right w:val="nil"/>
            </w:tcBorders>
            <w:shd w:val="clear" w:color="000000" w:fill="FFFFFF"/>
            <w:noWrap/>
            <w:vAlign w:val="bottom"/>
            <w:hideMark/>
          </w:tcPr>
          <w:p w14:paraId="3319DA81" w14:textId="77777777" w:rsidR="009D2286" w:rsidRDefault="009D2286">
            <w:pPr>
              <w:jc w:val="center"/>
              <w:rPr>
                <w:color w:val="000000"/>
                <w:sz w:val="22"/>
                <w:szCs w:val="22"/>
              </w:rPr>
            </w:pPr>
            <w:r>
              <w:rPr>
                <w:color w:val="000000"/>
                <w:sz w:val="22"/>
                <w:szCs w:val="22"/>
              </w:rPr>
              <w:t>.830**</w:t>
            </w:r>
          </w:p>
        </w:tc>
      </w:tr>
      <w:tr w:rsidR="000A6429" w14:paraId="6E7535EB" w14:textId="77777777" w:rsidTr="000A6429">
        <w:trPr>
          <w:gridAfter w:val="1"/>
          <w:wAfter w:w="6" w:type="dxa"/>
          <w:trHeight w:val="263"/>
        </w:trPr>
        <w:tc>
          <w:tcPr>
            <w:tcW w:w="662" w:type="dxa"/>
            <w:tcBorders>
              <w:top w:val="nil"/>
              <w:left w:val="nil"/>
              <w:bottom w:val="nil"/>
              <w:right w:val="nil"/>
            </w:tcBorders>
            <w:shd w:val="clear" w:color="000000" w:fill="FFFFFF"/>
            <w:noWrap/>
            <w:vAlign w:val="bottom"/>
            <w:hideMark/>
          </w:tcPr>
          <w:p w14:paraId="14F6AD14" w14:textId="77777777" w:rsidR="009D2286" w:rsidRDefault="009D2286">
            <w:pPr>
              <w:jc w:val="center"/>
              <w:rPr>
                <w:color w:val="000000"/>
                <w:sz w:val="22"/>
                <w:szCs w:val="22"/>
                <w:u w:val="single"/>
              </w:rPr>
            </w:pPr>
            <w:r>
              <w:rPr>
                <w:color w:val="000000"/>
                <w:sz w:val="22"/>
                <w:szCs w:val="22"/>
                <w:u w:val="single"/>
              </w:rPr>
              <w:t>2011</w:t>
            </w:r>
          </w:p>
        </w:tc>
        <w:tc>
          <w:tcPr>
            <w:tcW w:w="828" w:type="dxa"/>
            <w:tcBorders>
              <w:top w:val="nil"/>
              <w:left w:val="nil"/>
              <w:bottom w:val="nil"/>
              <w:right w:val="nil"/>
            </w:tcBorders>
            <w:shd w:val="clear" w:color="000000" w:fill="FFFFFF"/>
            <w:noWrap/>
            <w:vAlign w:val="bottom"/>
            <w:hideMark/>
          </w:tcPr>
          <w:p w14:paraId="565A94F5" w14:textId="77777777" w:rsidR="009D2286" w:rsidRDefault="009D2286">
            <w:pPr>
              <w:jc w:val="center"/>
              <w:rPr>
                <w:color w:val="000000"/>
                <w:sz w:val="22"/>
                <w:szCs w:val="22"/>
              </w:rPr>
            </w:pPr>
            <w:r>
              <w:rPr>
                <w:color w:val="000000"/>
                <w:sz w:val="22"/>
                <w:szCs w:val="22"/>
              </w:rPr>
              <w:t>.932**</w:t>
            </w:r>
          </w:p>
        </w:tc>
        <w:tc>
          <w:tcPr>
            <w:tcW w:w="828" w:type="dxa"/>
            <w:tcBorders>
              <w:top w:val="nil"/>
              <w:left w:val="nil"/>
              <w:bottom w:val="nil"/>
              <w:right w:val="nil"/>
            </w:tcBorders>
            <w:shd w:val="clear" w:color="000000" w:fill="FFFFFF"/>
            <w:noWrap/>
            <w:vAlign w:val="bottom"/>
            <w:hideMark/>
          </w:tcPr>
          <w:p w14:paraId="6C1170CA" w14:textId="77777777" w:rsidR="009D2286" w:rsidRDefault="009D2286">
            <w:pPr>
              <w:jc w:val="center"/>
              <w:rPr>
                <w:color w:val="000000"/>
                <w:sz w:val="22"/>
                <w:szCs w:val="22"/>
              </w:rPr>
            </w:pPr>
            <w:r>
              <w:rPr>
                <w:color w:val="000000"/>
                <w:sz w:val="22"/>
                <w:szCs w:val="22"/>
              </w:rPr>
              <w:t>.948**</w:t>
            </w:r>
          </w:p>
        </w:tc>
        <w:tc>
          <w:tcPr>
            <w:tcW w:w="828" w:type="dxa"/>
            <w:tcBorders>
              <w:top w:val="nil"/>
              <w:left w:val="nil"/>
              <w:bottom w:val="nil"/>
              <w:right w:val="nil"/>
            </w:tcBorders>
            <w:shd w:val="clear" w:color="000000" w:fill="FFFFFF"/>
            <w:noWrap/>
            <w:vAlign w:val="bottom"/>
            <w:hideMark/>
          </w:tcPr>
          <w:p w14:paraId="7420E3E6" w14:textId="77777777" w:rsidR="009D2286" w:rsidRDefault="009D2286">
            <w:pPr>
              <w:jc w:val="center"/>
              <w:rPr>
                <w:color w:val="000000"/>
                <w:sz w:val="22"/>
                <w:szCs w:val="22"/>
              </w:rPr>
            </w:pPr>
            <w:r>
              <w:rPr>
                <w:color w:val="000000"/>
                <w:sz w:val="22"/>
                <w:szCs w:val="22"/>
              </w:rPr>
              <w:t>.969**</w:t>
            </w:r>
          </w:p>
        </w:tc>
        <w:tc>
          <w:tcPr>
            <w:tcW w:w="828" w:type="dxa"/>
            <w:tcBorders>
              <w:top w:val="nil"/>
              <w:left w:val="nil"/>
              <w:bottom w:val="nil"/>
              <w:right w:val="nil"/>
            </w:tcBorders>
            <w:shd w:val="clear" w:color="000000" w:fill="FFFFFF"/>
            <w:noWrap/>
            <w:vAlign w:val="bottom"/>
            <w:hideMark/>
          </w:tcPr>
          <w:p w14:paraId="2CD3EBC3" w14:textId="77777777" w:rsidR="009D2286" w:rsidRDefault="009D2286">
            <w:pPr>
              <w:jc w:val="center"/>
              <w:rPr>
                <w:color w:val="000000"/>
                <w:sz w:val="22"/>
                <w:szCs w:val="22"/>
              </w:rPr>
            </w:pPr>
            <w:r>
              <w:rPr>
                <w:color w:val="000000"/>
                <w:sz w:val="22"/>
                <w:szCs w:val="22"/>
              </w:rPr>
              <w:t>1.000</w:t>
            </w:r>
          </w:p>
        </w:tc>
        <w:tc>
          <w:tcPr>
            <w:tcW w:w="828" w:type="dxa"/>
            <w:tcBorders>
              <w:top w:val="nil"/>
              <w:left w:val="nil"/>
              <w:bottom w:val="nil"/>
              <w:right w:val="nil"/>
            </w:tcBorders>
            <w:shd w:val="clear" w:color="000000" w:fill="FFFFFF"/>
            <w:noWrap/>
            <w:vAlign w:val="bottom"/>
            <w:hideMark/>
          </w:tcPr>
          <w:p w14:paraId="59085F65" w14:textId="77777777" w:rsidR="009D2286" w:rsidRDefault="009D2286">
            <w:pPr>
              <w:jc w:val="center"/>
              <w:rPr>
                <w:color w:val="000000"/>
                <w:sz w:val="22"/>
                <w:szCs w:val="22"/>
              </w:rPr>
            </w:pPr>
            <w:r>
              <w:rPr>
                <w:color w:val="000000"/>
                <w:sz w:val="22"/>
                <w:szCs w:val="22"/>
              </w:rPr>
              <w:t>.967**</w:t>
            </w:r>
          </w:p>
        </w:tc>
        <w:tc>
          <w:tcPr>
            <w:tcW w:w="828" w:type="dxa"/>
            <w:tcBorders>
              <w:top w:val="nil"/>
              <w:left w:val="nil"/>
              <w:bottom w:val="nil"/>
              <w:right w:val="nil"/>
            </w:tcBorders>
            <w:shd w:val="clear" w:color="000000" w:fill="FFFFFF"/>
            <w:noWrap/>
            <w:vAlign w:val="bottom"/>
            <w:hideMark/>
          </w:tcPr>
          <w:p w14:paraId="31409171" w14:textId="77777777" w:rsidR="009D2286" w:rsidRDefault="009D2286">
            <w:pPr>
              <w:jc w:val="center"/>
              <w:rPr>
                <w:color w:val="000000"/>
                <w:sz w:val="22"/>
                <w:szCs w:val="22"/>
              </w:rPr>
            </w:pPr>
            <w:r>
              <w:rPr>
                <w:color w:val="000000"/>
                <w:sz w:val="22"/>
                <w:szCs w:val="22"/>
              </w:rPr>
              <w:t>.907**</w:t>
            </w:r>
          </w:p>
        </w:tc>
        <w:tc>
          <w:tcPr>
            <w:tcW w:w="828" w:type="dxa"/>
            <w:tcBorders>
              <w:top w:val="nil"/>
              <w:left w:val="nil"/>
              <w:bottom w:val="nil"/>
              <w:right w:val="nil"/>
            </w:tcBorders>
            <w:shd w:val="clear" w:color="000000" w:fill="FFFFFF"/>
            <w:noWrap/>
            <w:vAlign w:val="bottom"/>
            <w:hideMark/>
          </w:tcPr>
          <w:p w14:paraId="1518572C" w14:textId="77777777" w:rsidR="009D2286" w:rsidRDefault="009D2286">
            <w:pPr>
              <w:jc w:val="center"/>
              <w:rPr>
                <w:color w:val="000000"/>
                <w:sz w:val="22"/>
                <w:szCs w:val="22"/>
              </w:rPr>
            </w:pPr>
            <w:r>
              <w:rPr>
                <w:color w:val="000000"/>
                <w:sz w:val="22"/>
                <w:szCs w:val="22"/>
              </w:rPr>
              <w:t>.885**</w:t>
            </w:r>
          </w:p>
        </w:tc>
        <w:tc>
          <w:tcPr>
            <w:tcW w:w="828" w:type="dxa"/>
            <w:tcBorders>
              <w:top w:val="nil"/>
              <w:left w:val="nil"/>
              <w:bottom w:val="nil"/>
              <w:right w:val="nil"/>
            </w:tcBorders>
            <w:shd w:val="clear" w:color="000000" w:fill="FFFFFF"/>
            <w:noWrap/>
            <w:vAlign w:val="bottom"/>
            <w:hideMark/>
          </w:tcPr>
          <w:p w14:paraId="61D4F286" w14:textId="77777777" w:rsidR="009D2286" w:rsidRDefault="009D2286">
            <w:pPr>
              <w:jc w:val="center"/>
              <w:rPr>
                <w:color w:val="000000"/>
                <w:sz w:val="22"/>
                <w:szCs w:val="22"/>
              </w:rPr>
            </w:pPr>
            <w:r>
              <w:rPr>
                <w:color w:val="000000"/>
                <w:sz w:val="22"/>
                <w:szCs w:val="22"/>
              </w:rPr>
              <w:t>.854**</w:t>
            </w:r>
          </w:p>
        </w:tc>
        <w:tc>
          <w:tcPr>
            <w:tcW w:w="828" w:type="dxa"/>
            <w:tcBorders>
              <w:top w:val="nil"/>
              <w:left w:val="nil"/>
              <w:bottom w:val="nil"/>
              <w:right w:val="nil"/>
            </w:tcBorders>
            <w:shd w:val="clear" w:color="000000" w:fill="FFFFFF"/>
            <w:noWrap/>
            <w:vAlign w:val="bottom"/>
            <w:hideMark/>
          </w:tcPr>
          <w:p w14:paraId="4168D9B8" w14:textId="77777777" w:rsidR="009D2286" w:rsidRDefault="009D2286">
            <w:pPr>
              <w:jc w:val="center"/>
              <w:rPr>
                <w:color w:val="000000"/>
                <w:sz w:val="22"/>
                <w:szCs w:val="22"/>
              </w:rPr>
            </w:pPr>
            <w:r>
              <w:rPr>
                <w:color w:val="000000"/>
                <w:sz w:val="22"/>
                <w:szCs w:val="22"/>
              </w:rPr>
              <w:t>.842**</w:t>
            </w:r>
          </w:p>
        </w:tc>
      </w:tr>
      <w:tr w:rsidR="000A6429" w14:paraId="74307B33" w14:textId="77777777" w:rsidTr="000A6429">
        <w:trPr>
          <w:gridAfter w:val="1"/>
          <w:wAfter w:w="6" w:type="dxa"/>
          <w:trHeight w:val="263"/>
        </w:trPr>
        <w:tc>
          <w:tcPr>
            <w:tcW w:w="662" w:type="dxa"/>
            <w:tcBorders>
              <w:top w:val="nil"/>
              <w:left w:val="nil"/>
              <w:bottom w:val="nil"/>
              <w:right w:val="nil"/>
            </w:tcBorders>
            <w:shd w:val="clear" w:color="000000" w:fill="FFFFFF"/>
            <w:noWrap/>
            <w:vAlign w:val="bottom"/>
            <w:hideMark/>
          </w:tcPr>
          <w:p w14:paraId="21A25C8D" w14:textId="77777777" w:rsidR="009D2286" w:rsidRDefault="009D2286">
            <w:pPr>
              <w:jc w:val="center"/>
              <w:rPr>
                <w:color w:val="000000"/>
                <w:sz w:val="22"/>
                <w:szCs w:val="22"/>
                <w:u w:val="single"/>
              </w:rPr>
            </w:pPr>
            <w:r>
              <w:rPr>
                <w:color w:val="000000"/>
                <w:sz w:val="22"/>
                <w:szCs w:val="22"/>
                <w:u w:val="single"/>
              </w:rPr>
              <w:t>2010</w:t>
            </w:r>
          </w:p>
        </w:tc>
        <w:tc>
          <w:tcPr>
            <w:tcW w:w="828" w:type="dxa"/>
            <w:tcBorders>
              <w:top w:val="nil"/>
              <w:left w:val="nil"/>
              <w:bottom w:val="nil"/>
              <w:right w:val="nil"/>
            </w:tcBorders>
            <w:shd w:val="clear" w:color="000000" w:fill="FFFFFF"/>
            <w:noWrap/>
            <w:vAlign w:val="bottom"/>
            <w:hideMark/>
          </w:tcPr>
          <w:p w14:paraId="6CC56184" w14:textId="77777777" w:rsidR="009D2286" w:rsidRDefault="009D2286">
            <w:pPr>
              <w:jc w:val="center"/>
              <w:rPr>
                <w:color w:val="000000"/>
                <w:sz w:val="22"/>
                <w:szCs w:val="22"/>
              </w:rPr>
            </w:pPr>
            <w:r>
              <w:rPr>
                <w:color w:val="000000"/>
                <w:sz w:val="22"/>
                <w:szCs w:val="22"/>
              </w:rPr>
              <w:t>.913**</w:t>
            </w:r>
          </w:p>
        </w:tc>
        <w:tc>
          <w:tcPr>
            <w:tcW w:w="828" w:type="dxa"/>
            <w:tcBorders>
              <w:top w:val="nil"/>
              <w:left w:val="nil"/>
              <w:bottom w:val="nil"/>
              <w:right w:val="nil"/>
            </w:tcBorders>
            <w:shd w:val="clear" w:color="000000" w:fill="FFFFFF"/>
            <w:noWrap/>
            <w:vAlign w:val="bottom"/>
            <w:hideMark/>
          </w:tcPr>
          <w:p w14:paraId="6B3AEC0D" w14:textId="77777777" w:rsidR="009D2286" w:rsidRDefault="009D2286">
            <w:pPr>
              <w:jc w:val="center"/>
              <w:rPr>
                <w:color w:val="000000"/>
                <w:sz w:val="22"/>
                <w:szCs w:val="22"/>
              </w:rPr>
            </w:pPr>
            <w:r>
              <w:rPr>
                <w:color w:val="000000"/>
                <w:sz w:val="22"/>
                <w:szCs w:val="22"/>
              </w:rPr>
              <w:t>.923**</w:t>
            </w:r>
          </w:p>
        </w:tc>
        <w:tc>
          <w:tcPr>
            <w:tcW w:w="828" w:type="dxa"/>
            <w:tcBorders>
              <w:top w:val="nil"/>
              <w:left w:val="nil"/>
              <w:bottom w:val="nil"/>
              <w:right w:val="nil"/>
            </w:tcBorders>
            <w:shd w:val="clear" w:color="000000" w:fill="FFFFFF"/>
            <w:noWrap/>
            <w:vAlign w:val="bottom"/>
            <w:hideMark/>
          </w:tcPr>
          <w:p w14:paraId="4E7EAC87" w14:textId="77777777" w:rsidR="009D2286" w:rsidRDefault="009D2286">
            <w:pPr>
              <w:jc w:val="center"/>
              <w:rPr>
                <w:color w:val="000000"/>
                <w:sz w:val="22"/>
                <w:szCs w:val="22"/>
              </w:rPr>
            </w:pPr>
            <w:r>
              <w:rPr>
                <w:color w:val="000000"/>
                <w:sz w:val="22"/>
                <w:szCs w:val="22"/>
              </w:rPr>
              <w:t>.949**</w:t>
            </w:r>
          </w:p>
        </w:tc>
        <w:tc>
          <w:tcPr>
            <w:tcW w:w="828" w:type="dxa"/>
            <w:tcBorders>
              <w:top w:val="nil"/>
              <w:left w:val="nil"/>
              <w:bottom w:val="nil"/>
              <w:right w:val="nil"/>
            </w:tcBorders>
            <w:shd w:val="clear" w:color="000000" w:fill="FFFFFF"/>
            <w:noWrap/>
            <w:vAlign w:val="bottom"/>
            <w:hideMark/>
          </w:tcPr>
          <w:p w14:paraId="6CAD8FFB" w14:textId="77777777" w:rsidR="009D2286" w:rsidRDefault="009D2286">
            <w:pPr>
              <w:jc w:val="center"/>
              <w:rPr>
                <w:color w:val="000000"/>
                <w:sz w:val="22"/>
                <w:szCs w:val="22"/>
              </w:rPr>
            </w:pPr>
            <w:r>
              <w:rPr>
                <w:color w:val="000000"/>
                <w:sz w:val="22"/>
                <w:szCs w:val="22"/>
              </w:rPr>
              <w:t>.967**</w:t>
            </w:r>
          </w:p>
        </w:tc>
        <w:tc>
          <w:tcPr>
            <w:tcW w:w="828" w:type="dxa"/>
            <w:tcBorders>
              <w:top w:val="nil"/>
              <w:left w:val="nil"/>
              <w:bottom w:val="nil"/>
              <w:right w:val="nil"/>
            </w:tcBorders>
            <w:shd w:val="clear" w:color="000000" w:fill="FFFFFF"/>
            <w:noWrap/>
            <w:vAlign w:val="bottom"/>
            <w:hideMark/>
          </w:tcPr>
          <w:p w14:paraId="59798153" w14:textId="77777777" w:rsidR="009D2286" w:rsidRDefault="009D2286">
            <w:pPr>
              <w:jc w:val="center"/>
              <w:rPr>
                <w:color w:val="000000"/>
                <w:sz w:val="22"/>
                <w:szCs w:val="22"/>
              </w:rPr>
            </w:pPr>
            <w:r>
              <w:rPr>
                <w:color w:val="000000"/>
                <w:sz w:val="22"/>
                <w:szCs w:val="22"/>
              </w:rPr>
              <w:t>1.000</w:t>
            </w:r>
          </w:p>
        </w:tc>
        <w:tc>
          <w:tcPr>
            <w:tcW w:w="828" w:type="dxa"/>
            <w:tcBorders>
              <w:top w:val="nil"/>
              <w:left w:val="nil"/>
              <w:bottom w:val="nil"/>
              <w:right w:val="nil"/>
            </w:tcBorders>
            <w:shd w:val="clear" w:color="000000" w:fill="FFFFFF"/>
            <w:noWrap/>
            <w:vAlign w:val="bottom"/>
            <w:hideMark/>
          </w:tcPr>
          <w:p w14:paraId="256331C8" w14:textId="77777777" w:rsidR="009D2286" w:rsidRDefault="009D2286">
            <w:pPr>
              <w:jc w:val="center"/>
              <w:rPr>
                <w:color w:val="000000"/>
                <w:sz w:val="22"/>
                <w:szCs w:val="22"/>
              </w:rPr>
            </w:pPr>
            <w:r>
              <w:rPr>
                <w:color w:val="000000"/>
                <w:sz w:val="22"/>
                <w:szCs w:val="22"/>
              </w:rPr>
              <w:t>.940**</w:t>
            </w:r>
          </w:p>
        </w:tc>
        <w:tc>
          <w:tcPr>
            <w:tcW w:w="828" w:type="dxa"/>
            <w:tcBorders>
              <w:top w:val="nil"/>
              <w:left w:val="nil"/>
              <w:bottom w:val="nil"/>
              <w:right w:val="nil"/>
            </w:tcBorders>
            <w:shd w:val="clear" w:color="000000" w:fill="FFFFFF"/>
            <w:noWrap/>
            <w:vAlign w:val="bottom"/>
            <w:hideMark/>
          </w:tcPr>
          <w:p w14:paraId="69799D52" w14:textId="77777777" w:rsidR="009D2286" w:rsidRDefault="009D2286">
            <w:pPr>
              <w:jc w:val="center"/>
              <w:rPr>
                <w:color w:val="000000"/>
                <w:sz w:val="22"/>
                <w:szCs w:val="22"/>
              </w:rPr>
            </w:pPr>
            <w:r>
              <w:rPr>
                <w:color w:val="000000"/>
                <w:sz w:val="22"/>
                <w:szCs w:val="22"/>
              </w:rPr>
              <w:t>.910**</w:t>
            </w:r>
          </w:p>
        </w:tc>
        <w:tc>
          <w:tcPr>
            <w:tcW w:w="828" w:type="dxa"/>
            <w:tcBorders>
              <w:top w:val="nil"/>
              <w:left w:val="nil"/>
              <w:bottom w:val="nil"/>
              <w:right w:val="nil"/>
            </w:tcBorders>
            <w:shd w:val="clear" w:color="000000" w:fill="FFFFFF"/>
            <w:noWrap/>
            <w:vAlign w:val="bottom"/>
            <w:hideMark/>
          </w:tcPr>
          <w:p w14:paraId="7995408E" w14:textId="77777777" w:rsidR="009D2286" w:rsidRDefault="009D2286">
            <w:pPr>
              <w:jc w:val="center"/>
              <w:rPr>
                <w:color w:val="000000"/>
                <w:sz w:val="22"/>
                <w:szCs w:val="22"/>
              </w:rPr>
            </w:pPr>
            <w:r>
              <w:rPr>
                <w:color w:val="000000"/>
                <w:sz w:val="22"/>
                <w:szCs w:val="22"/>
              </w:rPr>
              <w:t>.882**</w:t>
            </w:r>
          </w:p>
        </w:tc>
        <w:tc>
          <w:tcPr>
            <w:tcW w:w="828" w:type="dxa"/>
            <w:tcBorders>
              <w:top w:val="nil"/>
              <w:left w:val="nil"/>
              <w:bottom w:val="nil"/>
              <w:right w:val="nil"/>
            </w:tcBorders>
            <w:shd w:val="clear" w:color="000000" w:fill="FFFFFF"/>
            <w:noWrap/>
            <w:vAlign w:val="bottom"/>
            <w:hideMark/>
          </w:tcPr>
          <w:p w14:paraId="6DDA8BC2" w14:textId="77777777" w:rsidR="009D2286" w:rsidRDefault="009D2286">
            <w:pPr>
              <w:jc w:val="center"/>
              <w:rPr>
                <w:color w:val="000000"/>
                <w:sz w:val="22"/>
                <w:szCs w:val="22"/>
              </w:rPr>
            </w:pPr>
            <w:r>
              <w:rPr>
                <w:color w:val="000000"/>
                <w:sz w:val="22"/>
                <w:szCs w:val="22"/>
              </w:rPr>
              <w:t>.863**</w:t>
            </w:r>
          </w:p>
        </w:tc>
      </w:tr>
      <w:tr w:rsidR="000A6429" w14:paraId="7985075E" w14:textId="77777777" w:rsidTr="000A6429">
        <w:trPr>
          <w:gridAfter w:val="1"/>
          <w:wAfter w:w="6" w:type="dxa"/>
          <w:trHeight w:val="263"/>
        </w:trPr>
        <w:tc>
          <w:tcPr>
            <w:tcW w:w="662" w:type="dxa"/>
            <w:tcBorders>
              <w:top w:val="nil"/>
              <w:left w:val="nil"/>
              <w:bottom w:val="nil"/>
              <w:right w:val="nil"/>
            </w:tcBorders>
            <w:shd w:val="clear" w:color="000000" w:fill="FFFFFF"/>
            <w:noWrap/>
            <w:vAlign w:val="bottom"/>
            <w:hideMark/>
          </w:tcPr>
          <w:p w14:paraId="02F338C2" w14:textId="77777777" w:rsidR="009D2286" w:rsidRDefault="009D2286">
            <w:pPr>
              <w:jc w:val="center"/>
              <w:rPr>
                <w:color w:val="000000"/>
                <w:sz w:val="22"/>
                <w:szCs w:val="22"/>
                <w:u w:val="single"/>
              </w:rPr>
            </w:pPr>
            <w:r>
              <w:rPr>
                <w:color w:val="000000"/>
                <w:sz w:val="22"/>
                <w:szCs w:val="22"/>
                <w:u w:val="single"/>
              </w:rPr>
              <w:t>2009</w:t>
            </w:r>
          </w:p>
        </w:tc>
        <w:tc>
          <w:tcPr>
            <w:tcW w:w="828" w:type="dxa"/>
            <w:tcBorders>
              <w:top w:val="nil"/>
              <w:left w:val="nil"/>
              <w:bottom w:val="nil"/>
              <w:right w:val="nil"/>
            </w:tcBorders>
            <w:shd w:val="clear" w:color="000000" w:fill="FFFFFF"/>
            <w:noWrap/>
            <w:vAlign w:val="bottom"/>
            <w:hideMark/>
          </w:tcPr>
          <w:p w14:paraId="47D52D3D" w14:textId="77777777" w:rsidR="009D2286" w:rsidRDefault="009D2286">
            <w:pPr>
              <w:jc w:val="center"/>
              <w:rPr>
                <w:color w:val="000000"/>
                <w:sz w:val="22"/>
                <w:szCs w:val="22"/>
              </w:rPr>
            </w:pPr>
            <w:r>
              <w:rPr>
                <w:color w:val="000000"/>
                <w:sz w:val="22"/>
                <w:szCs w:val="22"/>
              </w:rPr>
              <w:t>.858**</w:t>
            </w:r>
          </w:p>
        </w:tc>
        <w:tc>
          <w:tcPr>
            <w:tcW w:w="828" w:type="dxa"/>
            <w:tcBorders>
              <w:top w:val="nil"/>
              <w:left w:val="nil"/>
              <w:bottom w:val="nil"/>
              <w:right w:val="nil"/>
            </w:tcBorders>
            <w:shd w:val="clear" w:color="000000" w:fill="FFFFFF"/>
            <w:noWrap/>
            <w:vAlign w:val="bottom"/>
            <w:hideMark/>
          </w:tcPr>
          <w:p w14:paraId="583550EE" w14:textId="77777777" w:rsidR="009D2286" w:rsidRDefault="009D2286">
            <w:pPr>
              <w:jc w:val="center"/>
              <w:rPr>
                <w:color w:val="000000"/>
                <w:sz w:val="22"/>
                <w:szCs w:val="22"/>
              </w:rPr>
            </w:pPr>
            <w:r>
              <w:rPr>
                <w:color w:val="000000"/>
                <w:sz w:val="22"/>
                <w:szCs w:val="22"/>
              </w:rPr>
              <w:t>.875**</w:t>
            </w:r>
          </w:p>
        </w:tc>
        <w:tc>
          <w:tcPr>
            <w:tcW w:w="828" w:type="dxa"/>
            <w:tcBorders>
              <w:top w:val="nil"/>
              <w:left w:val="nil"/>
              <w:bottom w:val="nil"/>
              <w:right w:val="nil"/>
            </w:tcBorders>
            <w:shd w:val="clear" w:color="000000" w:fill="FFFFFF"/>
            <w:noWrap/>
            <w:vAlign w:val="bottom"/>
            <w:hideMark/>
          </w:tcPr>
          <w:p w14:paraId="106EAE27" w14:textId="77777777" w:rsidR="009D2286" w:rsidRDefault="009D2286">
            <w:pPr>
              <w:jc w:val="center"/>
              <w:rPr>
                <w:color w:val="000000"/>
                <w:sz w:val="22"/>
                <w:szCs w:val="22"/>
              </w:rPr>
            </w:pPr>
            <w:r>
              <w:rPr>
                <w:color w:val="000000"/>
                <w:sz w:val="22"/>
                <w:szCs w:val="22"/>
              </w:rPr>
              <w:t>.893**</w:t>
            </w:r>
          </w:p>
        </w:tc>
        <w:tc>
          <w:tcPr>
            <w:tcW w:w="828" w:type="dxa"/>
            <w:tcBorders>
              <w:top w:val="nil"/>
              <w:left w:val="nil"/>
              <w:bottom w:val="nil"/>
              <w:right w:val="nil"/>
            </w:tcBorders>
            <w:shd w:val="clear" w:color="000000" w:fill="FFFFFF"/>
            <w:noWrap/>
            <w:vAlign w:val="bottom"/>
            <w:hideMark/>
          </w:tcPr>
          <w:p w14:paraId="011BD308" w14:textId="77777777" w:rsidR="009D2286" w:rsidRDefault="009D2286">
            <w:pPr>
              <w:jc w:val="center"/>
              <w:rPr>
                <w:color w:val="000000"/>
                <w:sz w:val="22"/>
                <w:szCs w:val="22"/>
              </w:rPr>
            </w:pPr>
            <w:r>
              <w:rPr>
                <w:color w:val="000000"/>
                <w:sz w:val="22"/>
                <w:szCs w:val="22"/>
              </w:rPr>
              <w:t>.907**</w:t>
            </w:r>
          </w:p>
        </w:tc>
        <w:tc>
          <w:tcPr>
            <w:tcW w:w="828" w:type="dxa"/>
            <w:tcBorders>
              <w:top w:val="nil"/>
              <w:left w:val="nil"/>
              <w:bottom w:val="nil"/>
              <w:right w:val="nil"/>
            </w:tcBorders>
            <w:shd w:val="clear" w:color="000000" w:fill="FFFFFF"/>
            <w:noWrap/>
            <w:vAlign w:val="bottom"/>
            <w:hideMark/>
          </w:tcPr>
          <w:p w14:paraId="237B8A9D" w14:textId="77777777" w:rsidR="009D2286" w:rsidRDefault="009D2286">
            <w:pPr>
              <w:jc w:val="center"/>
              <w:rPr>
                <w:color w:val="000000"/>
                <w:sz w:val="22"/>
                <w:szCs w:val="22"/>
              </w:rPr>
            </w:pPr>
            <w:r>
              <w:rPr>
                <w:color w:val="000000"/>
                <w:sz w:val="22"/>
                <w:szCs w:val="22"/>
              </w:rPr>
              <w:t>.940**</w:t>
            </w:r>
          </w:p>
        </w:tc>
        <w:tc>
          <w:tcPr>
            <w:tcW w:w="828" w:type="dxa"/>
            <w:tcBorders>
              <w:top w:val="nil"/>
              <w:left w:val="nil"/>
              <w:bottom w:val="nil"/>
              <w:right w:val="nil"/>
            </w:tcBorders>
            <w:shd w:val="clear" w:color="000000" w:fill="FFFFFF"/>
            <w:noWrap/>
            <w:vAlign w:val="bottom"/>
            <w:hideMark/>
          </w:tcPr>
          <w:p w14:paraId="55815F0F" w14:textId="77777777" w:rsidR="009D2286" w:rsidRDefault="009D2286">
            <w:pPr>
              <w:jc w:val="center"/>
              <w:rPr>
                <w:color w:val="000000"/>
                <w:sz w:val="22"/>
                <w:szCs w:val="22"/>
              </w:rPr>
            </w:pPr>
            <w:r>
              <w:rPr>
                <w:color w:val="000000"/>
                <w:sz w:val="22"/>
                <w:szCs w:val="22"/>
              </w:rPr>
              <w:t>1.000</w:t>
            </w:r>
          </w:p>
        </w:tc>
        <w:tc>
          <w:tcPr>
            <w:tcW w:w="828" w:type="dxa"/>
            <w:tcBorders>
              <w:top w:val="nil"/>
              <w:left w:val="nil"/>
              <w:bottom w:val="nil"/>
              <w:right w:val="nil"/>
            </w:tcBorders>
            <w:shd w:val="clear" w:color="000000" w:fill="FFFFFF"/>
            <w:noWrap/>
            <w:vAlign w:val="bottom"/>
            <w:hideMark/>
          </w:tcPr>
          <w:p w14:paraId="5F28A65D" w14:textId="77777777" w:rsidR="009D2286" w:rsidRDefault="009D2286">
            <w:pPr>
              <w:jc w:val="center"/>
              <w:rPr>
                <w:color w:val="000000"/>
                <w:sz w:val="22"/>
                <w:szCs w:val="22"/>
              </w:rPr>
            </w:pPr>
            <w:r>
              <w:rPr>
                <w:color w:val="000000"/>
                <w:sz w:val="22"/>
                <w:szCs w:val="22"/>
              </w:rPr>
              <w:t>.967**</w:t>
            </w:r>
          </w:p>
        </w:tc>
        <w:tc>
          <w:tcPr>
            <w:tcW w:w="828" w:type="dxa"/>
            <w:tcBorders>
              <w:top w:val="nil"/>
              <w:left w:val="nil"/>
              <w:bottom w:val="nil"/>
              <w:right w:val="nil"/>
            </w:tcBorders>
            <w:shd w:val="clear" w:color="000000" w:fill="FFFFFF"/>
            <w:noWrap/>
            <w:vAlign w:val="bottom"/>
            <w:hideMark/>
          </w:tcPr>
          <w:p w14:paraId="35833320" w14:textId="77777777" w:rsidR="009D2286" w:rsidRDefault="009D2286">
            <w:pPr>
              <w:jc w:val="center"/>
              <w:rPr>
                <w:color w:val="000000"/>
                <w:sz w:val="22"/>
                <w:szCs w:val="22"/>
              </w:rPr>
            </w:pPr>
            <w:r>
              <w:rPr>
                <w:color w:val="000000"/>
                <w:sz w:val="22"/>
                <w:szCs w:val="22"/>
              </w:rPr>
              <w:t>.927**</w:t>
            </w:r>
          </w:p>
        </w:tc>
        <w:tc>
          <w:tcPr>
            <w:tcW w:w="828" w:type="dxa"/>
            <w:tcBorders>
              <w:top w:val="nil"/>
              <w:left w:val="nil"/>
              <w:bottom w:val="nil"/>
              <w:right w:val="nil"/>
            </w:tcBorders>
            <w:shd w:val="clear" w:color="000000" w:fill="FFFFFF"/>
            <w:noWrap/>
            <w:vAlign w:val="bottom"/>
            <w:hideMark/>
          </w:tcPr>
          <w:p w14:paraId="054D1757" w14:textId="77777777" w:rsidR="009D2286" w:rsidRDefault="009D2286">
            <w:pPr>
              <w:jc w:val="center"/>
              <w:rPr>
                <w:color w:val="000000"/>
                <w:sz w:val="22"/>
                <w:szCs w:val="22"/>
              </w:rPr>
            </w:pPr>
            <w:r>
              <w:rPr>
                <w:color w:val="000000"/>
                <w:sz w:val="22"/>
                <w:szCs w:val="22"/>
              </w:rPr>
              <w:t>.906**</w:t>
            </w:r>
          </w:p>
        </w:tc>
      </w:tr>
      <w:tr w:rsidR="000A6429" w14:paraId="12D0A9E9" w14:textId="77777777" w:rsidTr="000A6429">
        <w:trPr>
          <w:gridAfter w:val="1"/>
          <w:wAfter w:w="6" w:type="dxa"/>
          <w:trHeight w:val="263"/>
        </w:trPr>
        <w:tc>
          <w:tcPr>
            <w:tcW w:w="662" w:type="dxa"/>
            <w:tcBorders>
              <w:top w:val="nil"/>
              <w:left w:val="nil"/>
              <w:bottom w:val="nil"/>
              <w:right w:val="nil"/>
            </w:tcBorders>
            <w:shd w:val="clear" w:color="000000" w:fill="FFFFFF"/>
            <w:noWrap/>
            <w:vAlign w:val="bottom"/>
            <w:hideMark/>
          </w:tcPr>
          <w:p w14:paraId="7F78AC23" w14:textId="77777777" w:rsidR="009D2286" w:rsidRDefault="009D2286">
            <w:pPr>
              <w:jc w:val="center"/>
              <w:rPr>
                <w:color w:val="000000"/>
                <w:sz w:val="22"/>
                <w:szCs w:val="22"/>
                <w:u w:val="single"/>
              </w:rPr>
            </w:pPr>
            <w:r>
              <w:rPr>
                <w:color w:val="000000"/>
                <w:sz w:val="22"/>
                <w:szCs w:val="22"/>
                <w:u w:val="single"/>
              </w:rPr>
              <w:t>2008</w:t>
            </w:r>
          </w:p>
        </w:tc>
        <w:tc>
          <w:tcPr>
            <w:tcW w:w="828" w:type="dxa"/>
            <w:tcBorders>
              <w:top w:val="nil"/>
              <w:left w:val="nil"/>
              <w:bottom w:val="nil"/>
              <w:right w:val="nil"/>
            </w:tcBorders>
            <w:shd w:val="clear" w:color="000000" w:fill="FFFFFF"/>
            <w:noWrap/>
            <w:vAlign w:val="bottom"/>
            <w:hideMark/>
          </w:tcPr>
          <w:p w14:paraId="5370B8D1" w14:textId="77777777" w:rsidR="009D2286" w:rsidRDefault="009D2286">
            <w:pPr>
              <w:jc w:val="center"/>
              <w:rPr>
                <w:color w:val="000000"/>
                <w:sz w:val="22"/>
                <w:szCs w:val="22"/>
              </w:rPr>
            </w:pPr>
            <w:r>
              <w:rPr>
                <w:color w:val="000000"/>
                <w:sz w:val="22"/>
                <w:szCs w:val="22"/>
              </w:rPr>
              <w:t>.836**</w:t>
            </w:r>
          </w:p>
        </w:tc>
        <w:tc>
          <w:tcPr>
            <w:tcW w:w="828" w:type="dxa"/>
            <w:tcBorders>
              <w:top w:val="nil"/>
              <w:left w:val="nil"/>
              <w:bottom w:val="nil"/>
              <w:right w:val="nil"/>
            </w:tcBorders>
            <w:shd w:val="clear" w:color="000000" w:fill="FFFFFF"/>
            <w:noWrap/>
            <w:vAlign w:val="bottom"/>
            <w:hideMark/>
          </w:tcPr>
          <w:p w14:paraId="266F1EBE" w14:textId="77777777" w:rsidR="009D2286" w:rsidRDefault="009D2286">
            <w:pPr>
              <w:jc w:val="center"/>
              <w:rPr>
                <w:color w:val="000000"/>
                <w:sz w:val="22"/>
                <w:szCs w:val="22"/>
              </w:rPr>
            </w:pPr>
            <w:r>
              <w:rPr>
                <w:color w:val="000000"/>
                <w:sz w:val="22"/>
                <w:szCs w:val="22"/>
              </w:rPr>
              <w:t>.857**</w:t>
            </w:r>
          </w:p>
        </w:tc>
        <w:tc>
          <w:tcPr>
            <w:tcW w:w="828" w:type="dxa"/>
            <w:tcBorders>
              <w:top w:val="nil"/>
              <w:left w:val="nil"/>
              <w:bottom w:val="nil"/>
              <w:right w:val="nil"/>
            </w:tcBorders>
            <w:shd w:val="clear" w:color="000000" w:fill="FFFFFF"/>
            <w:noWrap/>
            <w:vAlign w:val="bottom"/>
            <w:hideMark/>
          </w:tcPr>
          <w:p w14:paraId="0FFB1952" w14:textId="77777777" w:rsidR="009D2286" w:rsidRDefault="009D2286">
            <w:pPr>
              <w:jc w:val="center"/>
              <w:rPr>
                <w:color w:val="000000"/>
                <w:sz w:val="22"/>
                <w:szCs w:val="22"/>
              </w:rPr>
            </w:pPr>
            <w:r>
              <w:rPr>
                <w:color w:val="000000"/>
                <w:sz w:val="22"/>
                <w:szCs w:val="22"/>
              </w:rPr>
              <w:t>.877**</w:t>
            </w:r>
          </w:p>
        </w:tc>
        <w:tc>
          <w:tcPr>
            <w:tcW w:w="828" w:type="dxa"/>
            <w:tcBorders>
              <w:top w:val="nil"/>
              <w:left w:val="nil"/>
              <w:bottom w:val="nil"/>
              <w:right w:val="nil"/>
            </w:tcBorders>
            <w:shd w:val="clear" w:color="000000" w:fill="FFFFFF"/>
            <w:noWrap/>
            <w:vAlign w:val="bottom"/>
            <w:hideMark/>
          </w:tcPr>
          <w:p w14:paraId="2F071E68" w14:textId="77777777" w:rsidR="009D2286" w:rsidRDefault="009D2286">
            <w:pPr>
              <w:jc w:val="center"/>
              <w:rPr>
                <w:color w:val="000000"/>
                <w:sz w:val="22"/>
                <w:szCs w:val="22"/>
              </w:rPr>
            </w:pPr>
            <w:r>
              <w:rPr>
                <w:color w:val="000000"/>
                <w:sz w:val="22"/>
                <w:szCs w:val="22"/>
              </w:rPr>
              <w:t>.885**</w:t>
            </w:r>
          </w:p>
        </w:tc>
        <w:tc>
          <w:tcPr>
            <w:tcW w:w="828" w:type="dxa"/>
            <w:tcBorders>
              <w:top w:val="nil"/>
              <w:left w:val="nil"/>
              <w:bottom w:val="nil"/>
              <w:right w:val="nil"/>
            </w:tcBorders>
            <w:shd w:val="clear" w:color="000000" w:fill="FFFFFF"/>
            <w:noWrap/>
            <w:vAlign w:val="bottom"/>
            <w:hideMark/>
          </w:tcPr>
          <w:p w14:paraId="3F26376D" w14:textId="77777777" w:rsidR="009D2286" w:rsidRDefault="009D2286">
            <w:pPr>
              <w:jc w:val="center"/>
              <w:rPr>
                <w:color w:val="000000"/>
                <w:sz w:val="22"/>
                <w:szCs w:val="22"/>
              </w:rPr>
            </w:pPr>
            <w:r>
              <w:rPr>
                <w:color w:val="000000"/>
                <w:sz w:val="22"/>
                <w:szCs w:val="22"/>
              </w:rPr>
              <w:t>.910**</w:t>
            </w:r>
          </w:p>
        </w:tc>
        <w:tc>
          <w:tcPr>
            <w:tcW w:w="828" w:type="dxa"/>
            <w:tcBorders>
              <w:top w:val="nil"/>
              <w:left w:val="nil"/>
              <w:bottom w:val="nil"/>
              <w:right w:val="nil"/>
            </w:tcBorders>
            <w:shd w:val="clear" w:color="000000" w:fill="FFFFFF"/>
            <w:noWrap/>
            <w:vAlign w:val="bottom"/>
            <w:hideMark/>
          </w:tcPr>
          <w:p w14:paraId="38291A8D" w14:textId="77777777" w:rsidR="009D2286" w:rsidRDefault="009D2286">
            <w:pPr>
              <w:jc w:val="center"/>
              <w:rPr>
                <w:color w:val="000000"/>
                <w:sz w:val="22"/>
                <w:szCs w:val="22"/>
              </w:rPr>
            </w:pPr>
            <w:r>
              <w:rPr>
                <w:color w:val="000000"/>
                <w:sz w:val="22"/>
                <w:szCs w:val="22"/>
              </w:rPr>
              <w:t>.967**</w:t>
            </w:r>
          </w:p>
        </w:tc>
        <w:tc>
          <w:tcPr>
            <w:tcW w:w="828" w:type="dxa"/>
            <w:tcBorders>
              <w:top w:val="nil"/>
              <w:left w:val="nil"/>
              <w:bottom w:val="nil"/>
              <w:right w:val="nil"/>
            </w:tcBorders>
            <w:shd w:val="clear" w:color="000000" w:fill="FFFFFF"/>
            <w:noWrap/>
            <w:vAlign w:val="bottom"/>
            <w:hideMark/>
          </w:tcPr>
          <w:p w14:paraId="1BEC77C7" w14:textId="77777777" w:rsidR="009D2286" w:rsidRDefault="009D2286">
            <w:pPr>
              <w:jc w:val="center"/>
              <w:rPr>
                <w:color w:val="000000"/>
                <w:sz w:val="22"/>
                <w:szCs w:val="22"/>
              </w:rPr>
            </w:pPr>
            <w:r>
              <w:rPr>
                <w:color w:val="000000"/>
                <w:sz w:val="22"/>
                <w:szCs w:val="22"/>
              </w:rPr>
              <w:t>1.000</w:t>
            </w:r>
          </w:p>
        </w:tc>
        <w:tc>
          <w:tcPr>
            <w:tcW w:w="828" w:type="dxa"/>
            <w:tcBorders>
              <w:top w:val="nil"/>
              <w:left w:val="nil"/>
              <w:bottom w:val="nil"/>
              <w:right w:val="nil"/>
            </w:tcBorders>
            <w:shd w:val="clear" w:color="000000" w:fill="FFFFFF"/>
            <w:noWrap/>
            <w:vAlign w:val="bottom"/>
            <w:hideMark/>
          </w:tcPr>
          <w:p w14:paraId="59BBDDFD" w14:textId="77777777" w:rsidR="009D2286" w:rsidRDefault="009D2286">
            <w:pPr>
              <w:jc w:val="center"/>
              <w:rPr>
                <w:color w:val="000000"/>
                <w:sz w:val="22"/>
                <w:szCs w:val="22"/>
              </w:rPr>
            </w:pPr>
            <w:r>
              <w:rPr>
                <w:color w:val="000000"/>
                <w:sz w:val="22"/>
                <w:szCs w:val="22"/>
              </w:rPr>
              <w:t>.938**</w:t>
            </w:r>
          </w:p>
        </w:tc>
        <w:tc>
          <w:tcPr>
            <w:tcW w:w="828" w:type="dxa"/>
            <w:tcBorders>
              <w:top w:val="nil"/>
              <w:left w:val="nil"/>
              <w:bottom w:val="nil"/>
              <w:right w:val="nil"/>
            </w:tcBorders>
            <w:shd w:val="clear" w:color="000000" w:fill="FFFFFF"/>
            <w:noWrap/>
            <w:vAlign w:val="bottom"/>
            <w:hideMark/>
          </w:tcPr>
          <w:p w14:paraId="174024CE" w14:textId="77777777" w:rsidR="009D2286" w:rsidRDefault="009D2286">
            <w:pPr>
              <w:jc w:val="center"/>
              <w:rPr>
                <w:color w:val="000000"/>
                <w:sz w:val="22"/>
                <w:szCs w:val="22"/>
              </w:rPr>
            </w:pPr>
            <w:r>
              <w:rPr>
                <w:color w:val="000000"/>
                <w:sz w:val="22"/>
                <w:szCs w:val="22"/>
              </w:rPr>
              <w:t>.919**</w:t>
            </w:r>
          </w:p>
        </w:tc>
      </w:tr>
      <w:tr w:rsidR="000A6429" w14:paraId="1D61E383" w14:textId="77777777" w:rsidTr="000A6429">
        <w:trPr>
          <w:gridAfter w:val="1"/>
          <w:wAfter w:w="6" w:type="dxa"/>
          <w:trHeight w:val="263"/>
        </w:trPr>
        <w:tc>
          <w:tcPr>
            <w:tcW w:w="662" w:type="dxa"/>
            <w:tcBorders>
              <w:top w:val="nil"/>
              <w:left w:val="nil"/>
              <w:bottom w:val="nil"/>
              <w:right w:val="nil"/>
            </w:tcBorders>
            <w:shd w:val="clear" w:color="000000" w:fill="FFFFFF"/>
            <w:noWrap/>
            <w:vAlign w:val="bottom"/>
            <w:hideMark/>
          </w:tcPr>
          <w:p w14:paraId="6A131686" w14:textId="77777777" w:rsidR="009D2286" w:rsidRDefault="009D2286">
            <w:pPr>
              <w:jc w:val="center"/>
              <w:rPr>
                <w:color w:val="000000"/>
                <w:sz w:val="22"/>
                <w:szCs w:val="22"/>
                <w:u w:val="single"/>
              </w:rPr>
            </w:pPr>
            <w:r>
              <w:rPr>
                <w:color w:val="000000"/>
                <w:sz w:val="22"/>
                <w:szCs w:val="22"/>
                <w:u w:val="single"/>
              </w:rPr>
              <w:t>2007</w:t>
            </w:r>
          </w:p>
        </w:tc>
        <w:tc>
          <w:tcPr>
            <w:tcW w:w="828" w:type="dxa"/>
            <w:tcBorders>
              <w:top w:val="nil"/>
              <w:left w:val="nil"/>
              <w:bottom w:val="nil"/>
              <w:right w:val="nil"/>
            </w:tcBorders>
            <w:shd w:val="clear" w:color="000000" w:fill="FFFFFF"/>
            <w:noWrap/>
            <w:vAlign w:val="bottom"/>
            <w:hideMark/>
          </w:tcPr>
          <w:p w14:paraId="79540C6F" w14:textId="77777777" w:rsidR="009D2286" w:rsidRDefault="009D2286">
            <w:pPr>
              <w:jc w:val="center"/>
              <w:rPr>
                <w:color w:val="000000"/>
                <w:sz w:val="22"/>
                <w:szCs w:val="22"/>
              </w:rPr>
            </w:pPr>
            <w:r>
              <w:rPr>
                <w:color w:val="000000"/>
                <w:sz w:val="22"/>
                <w:szCs w:val="22"/>
              </w:rPr>
              <w:t>.818**</w:t>
            </w:r>
          </w:p>
        </w:tc>
        <w:tc>
          <w:tcPr>
            <w:tcW w:w="828" w:type="dxa"/>
            <w:tcBorders>
              <w:top w:val="nil"/>
              <w:left w:val="nil"/>
              <w:bottom w:val="nil"/>
              <w:right w:val="nil"/>
            </w:tcBorders>
            <w:shd w:val="clear" w:color="000000" w:fill="FFFFFF"/>
            <w:noWrap/>
            <w:vAlign w:val="bottom"/>
            <w:hideMark/>
          </w:tcPr>
          <w:p w14:paraId="286E04E6" w14:textId="77777777" w:rsidR="009D2286" w:rsidRDefault="009D2286">
            <w:pPr>
              <w:jc w:val="center"/>
              <w:rPr>
                <w:color w:val="000000"/>
                <w:sz w:val="22"/>
                <w:szCs w:val="22"/>
              </w:rPr>
            </w:pPr>
            <w:r>
              <w:rPr>
                <w:color w:val="000000"/>
                <w:sz w:val="22"/>
                <w:szCs w:val="22"/>
              </w:rPr>
              <w:t>.831**</w:t>
            </w:r>
          </w:p>
        </w:tc>
        <w:tc>
          <w:tcPr>
            <w:tcW w:w="828" w:type="dxa"/>
            <w:tcBorders>
              <w:top w:val="nil"/>
              <w:left w:val="nil"/>
              <w:bottom w:val="nil"/>
              <w:right w:val="nil"/>
            </w:tcBorders>
            <w:shd w:val="clear" w:color="000000" w:fill="FFFFFF"/>
            <w:noWrap/>
            <w:vAlign w:val="bottom"/>
            <w:hideMark/>
          </w:tcPr>
          <w:p w14:paraId="1FBEA7B9" w14:textId="77777777" w:rsidR="009D2286" w:rsidRDefault="009D2286">
            <w:pPr>
              <w:jc w:val="center"/>
              <w:rPr>
                <w:color w:val="000000"/>
                <w:sz w:val="22"/>
                <w:szCs w:val="22"/>
              </w:rPr>
            </w:pPr>
            <w:r>
              <w:rPr>
                <w:color w:val="000000"/>
                <w:sz w:val="22"/>
                <w:szCs w:val="22"/>
              </w:rPr>
              <w:t>.849**</w:t>
            </w:r>
          </w:p>
        </w:tc>
        <w:tc>
          <w:tcPr>
            <w:tcW w:w="828" w:type="dxa"/>
            <w:tcBorders>
              <w:top w:val="nil"/>
              <w:left w:val="nil"/>
              <w:bottom w:val="nil"/>
              <w:right w:val="nil"/>
            </w:tcBorders>
            <w:shd w:val="clear" w:color="000000" w:fill="FFFFFF"/>
            <w:noWrap/>
            <w:vAlign w:val="bottom"/>
            <w:hideMark/>
          </w:tcPr>
          <w:p w14:paraId="70353893" w14:textId="77777777" w:rsidR="009D2286" w:rsidRDefault="009D2286">
            <w:pPr>
              <w:jc w:val="center"/>
              <w:rPr>
                <w:color w:val="000000"/>
                <w:sz w:val="22"/>
                <w:szCs w:val="22"/>
              </w:rPr>
            </w:pPr>
            <w:r>
              <w:rPr>
                <w:color w:val="000000"/>
                <w:sz w:val="22"/>
                <w:szCs w:val="22"/>
              </w:rPr>
              <w:t>.854**</w:t>
            </w:r>
          </w:p>
        </w:tc>
        <w:tc>
          <w:tcPr>
            <w:tcW w:w="828" w:type="dxa"/>
            <w:tcBorders>
              <w:top w:val="nil"/>
              <w:left w:val="nil"/>
              <w:bottom w:val="nil"/>
              <w:right w:val="nil"/>
            </w:tcBorders>
            <w:shd w:val="clear" w:color="000000" w:fill="FFFFFF"/>
            <w:noWrap/>
            <w:vAlign w:val="bottom"/>
            <w:hideMark/>
          </w:tcPr>
          <w:p w14:paraId="44C84D79" w14:textId="77777777" w:rsidR="009D2286" w:rsidRDefault="009D2286">
            <w:pPr>
              <w:jc w:val="center"/>
              <w:rPr>
                <w:color w:val="000000"/>
                <w:sz w:val="22"/>
                <w:szCs w:val="22"/>
              </w:rPr>
            </w:pPr>
            <w:r>
              <w:rPr>
                <w:color w:val="000000"/>
                <w:sz w:val="22"/>
                <w:szCs w:val="22"/>
              </w:rPr>
              <w:t>.882**</w:t>
            </w:r>
          </w:p>
        </w:tc>
        <w:tc>
          <w:tcPr>
            <w:tcW w:w="828" w:type="dxa"/>
            <w:tcBorders>
              <w:top w:val="nil"/>
              <w:left w:val="nil"/>
              <w:bottom w:val="nil"/>
              <w:right w:val="nil"/>
            </w:tcBorders>
            <w:shd w:val="clear" w:color="000000" w:fill="FFFFFF"/>
            <w:noWrap/>
            <w:vAlign w:val="bottom"/>
            <w:hideMark/>
          </w:tcPr>
          <w:p w14:paraId="5350EE5A" w14:textId="77777777" w:rsidR="009D2286" w:rsidRDefault="009D2286">
            <w:pPr>
              <w:jc w:val="center"/>
              <w:rPr>
                <w:color w:val="000000"/>
                <w:sz w:val="22"/>
                <w:szCs w:val="22"/>
              </w:rPr>
            </w:pPr>
            <w:r>
              <w:rPr>
                <w:color w:val="000000"/>
                <w:sz w:val="22"/>
                <w:szCs w:val="22"/>
              </w:rPr>
              <w:t>.927**</w:t>
            </w:r>
          </w:p>
        </w:tc>
        <w:tc>
          <w:tcPr>
            <w:tcW w:w="828" w:type="dxa"/>
            <w:tcBorders>
              <w:top w:val="nil"/>
              <w:left w:val="nil"/>
              <w:bottom w:val="nil"/>
              <w:right w:val="nil"/>
            </w:tcBorders>
            <w:shd w:val="clear" w:color="000000" w:fill="FFFFFF"/>
            <w:noWrap/>
            <w:vAlign w:val="bottom"/>
            <w:hideMark/>
          </w:tcPr>
          <w:p w14:paraId="62D4D2E7" w14:textId="77777777" w:rsidR="009D2286" w:rsidRDefault="009D2286">
            <w:pPr>
              <w:jc w:val="center"/>
              <w:rPr>
                <w:color w:val="000000"/>
                <w:sz w:val="22"/>
                <w:szCs w:val="22"/>
              </w:rPr>
            </w:pPr>
            <w:r>
              <w:rPr>
                <w:color w:val="000000"/>
                <w:sz w:val="22"/>
                <w:szCs w:val="22"/>
              </w:rPr>
              <w:t>.938**</w:t>
            </w:r>
          </w:p>
        </w:tc>
        <w:tc>
          <w:tcPr>
            <w:tcW w:w="828" w:type="dxa"/>
            <w:tcBorders>
              <w:top w:val="nil"/>
              <w:left w:val="nil"/>
              <w:bottom w:val="nil"/>
              <w:right w:val="nil"/>
            </w:tcBorders>
            <w:shd w:val="clear" w:color="000000" w:fill="FFFFFF"/>
            <w:noWrap/>
            <w:vAlign w:val="bottom"/>
            <w:hideMark/>
          </w:tcPr>
          <w:p w14:paraId="19ABCA74" w14:textId="77777777" w:rsidR="009D2286" w:rsidRDefault="009D2286">
            <w:pPr>
              <w:jc w:val="center"/>
              <w:rPr>
                <w:color w:val="000000"/>
                <w:sz w:val="22"/>
                <w:szCs w:val="22"/>
              </w:rPr>
            </w:pPr>
            <w:r>
              <w:rPr>
                <w:color w:val="000000"/>
                <w:sz w:val="22"/>
                <w:szCs w:val="22"/>
              </w:rPr>
              <w:t>1.000</w:t>
            </w:r>
          </w:p>
        </w:tc>
        <w:tc>
          <w:tcPr>
            <w:tcW w:w="828" w:type="dxa"/>
            <w:tcBorders>
              <w:top w:val="nil"/>
              <w:left w:val="nil"/>
              <w:bottom w:val="nil"/>
              <w:right w:val="nil"/>
            </w:tcBorders>
            <w:shd w:val="clear" w:color="000000" w:fill="FFFFFF"/>
            <w:noWrap/>
            <w:vAlign w:val="bottom"/>
            <w:hideMark/>
          </w:tcPr>
          <w:p w14:paraId="6E827225" w14:textId="77777777" w:rsidR="009D2286" w:rsidRDefault="009D2286">
            <w:pPr>
              <w:jc w:val="center"/>
              <w:rPr>
                <w:color w:val="000000"/>
                <w:sz w:val="22"/>
                <w:szCs w:val="22"/>
              </w:rPr>
            </w:pPr>
            <w:r>
              <w:rPr>
                <w:color w:val="000000"/>
                <w:sz w:val="22"/>
                <w:szCs w:val="22"/>
              </w:rPr>
              <w:t>.928**</w:t>
            </w:r>
          </w:p>
        </w:tc>
      </w:tr>
      <w:tr w:rsidR="000A6429" w14:paraId="2064593E" w14:textId="77777777" w:rsidTr="000A6429">
        <w:trPr>
          <w:gridAfter w:val="1"/>
          <w:wAfter w:w="6" w:type="dxa"/>
          <w:trHeight w:val="263"/>
        </w:trPr>
        <w:tc>
          <w:tcPr>
            <w:tcW w:w="662" w:type="dxa"/>
            <w:tcBorders>
              <w:top w:val="nil"/>
              <w:left w:val="nil"/>
              <w:bottom w:val="nil"/>
              <w:right w:val="nil"/>
            </w:tcBorders>
            <w:shd w:val="clear" w:color="000000" w:fill="FFFFFF"/>
            <w:noWrap/>
            <w:vAlign w:val="bottom"/>
            <w:hideMark/>
          </w:tcPr>
          <w:p w14:paraId="4F61EBFC" w14:textId="77777777" w:rsidR="009D2286" w:rsidRDefault="009D2286">
            <w:pPr>
              <w:jc w:val="center"/>
              <w:rPr>
                <w:color w:val="000000"/>
                <w:sz w:val="22"/>
                <w:szCs w:val="22"/>
                <w:u w:val="single"/>
              </w:rPr>
            </w:pPr>
            <w:r>
              <w:rPr>
                <w:color w:val="000000"/>
                <w:sz w:val="22"/>
                <w:szCs w:val="22"/>
                <w:u w:val="single"/>
              </w:rPr>
              <w:t>2006</w:t>
            </w:r>
          </w:p>
        </w:tc>
        <w:tc>
          <w:tcPr>
            <w:tcW w:w="828" w:type="dxa"/>
            <w:tcBorders>
              <w:top w:val="nil"/>
              <w:left w:val="nil"/>
              <w:bottom w:val="nil"/>
              <w:right w:val="nil"/>
            </w:tcBorders>
            <w:shd w:val="clear" w:color="000000" w:fill="FFFFFF"/>
            <w:noWrap/>
            <w:vAlign w:val="bottom"/>
            <w:hideMark/>
          </w:tcPr>
          <w:p w14:paraId="7AA702C0" w14:textId="77777777" w:rsidR="009D2286" w:rsidRDefault="009D2286">
            <w:pPr>
              <w:jc w:val="center"/>
              <w:rPr>
                <w:color w:val="000000"/>
                <w:sz w:val="22"/>
                <w:szCs w:val="22"/>
              </w:rPr>
            </w:pPr>
            <w:r>
              <w:rPr>
                <w:color w:val="000000"/>
                <w:sz w:val="22"/>
                <w:szCs w:val="22"/>
              </w:rPr>
              <w:t>.799**</w:t>
            </w:r>
          </w:p>
        </w:tc>
        <w:tc>
          <w:tcPr>
            <w:tcW w:w="828" w:type="dxa"/>
            <w:tcBorders>
              <w:top w:val="nil"/>
              <w:left w:val="nil"/>
              <w:bottom w:val="nil"/>
              <w:right w:val="nil"/>
            </w:tcBorders>
            <w:shd w:val="clear" w:color="000000" w:fill="FFFFFF"/>
            <w:noWrap/>
            <w:vAlign w:val="bottom"/>
            <w:hideMark/>
          </w:tcPr>
          <w:p w14:paraId="742188A4" w14:textId="77777777" w:rsidR="009D2286" w:rsidRDefault="009D2286">
            <w:pPr>
              <w:jc w:val="center"/>
              <w:rPr>
                <w:color w:val="000000"/>
                <w:sz w:val="22"/>
                <w:szCs w:val="22"/>
              </w:rPr>
            </w:pPr>
            <w:r>
              <w:rPr>
                <w:color w:val="000000"/>
                <w:sz w:val="22"/>
                <w:szCs w:val="22"/>
              </w:rPr>
              <w:t>.827**</w:t>
            </w:r>
          </w:p>
        </w:tc>
        <w:tc>
          <w:tcPr>
            <w:tcW w:w="828" w:type="dxa"/>
            <w:tcBorders>
              <w:top w:val="nil"/>
              <w:left w:val="nil"/>
              <w:bottom w:val="nil"/>
              <w:right w:val="nil"/>
            </w:tcBorders>
            <w:shd w:val="clear" w:color="000000" w:fill="FFFFFF"/>
            <w:noWrap/>
            <w:vAlign w:val="bottom"/>
            <w:hideMark/>
          </w:tcPr>
          <w:p w14:paraId="4583F663" w14:textId="77777777" w:rsidR="009D2286" w:rsidRDefault="009D2286">
            <w:pPr>
              <w:jc w:val="center"/>
              <w:rPr>
                <w:color w:val="000000"/>
                <w:sz w:val="22"/>
                <w:szCs w:val="22"/>
              </w:rPr>
            </w:pPr>
            <w:r>
              <w:rPr>
                <w:color w:val="000000"/>
                <w:sz w:val="22"/>
                <w:szCs w:val="22"/>
              </w:rPr>
              <w:t>.830**</w:t>
            </w:r>
          </w:p>
        </w:tc>
        <w:tc>
          <w:tcPr>
            <w:tcW w:w="828" w:type="dxa"/>
            <w:tcBorders>
              <w:top w:val="nil"/>
              <w:left w:val="nil"/>
              <w:bottom w:val="nil"/>
              <w:right w:val="nil"/>
            </w:tcBorders>
            <w:shd w:val="clear" w:color="000000" w:fill="FFFFFF"/>
            <w:noWrap/>
            <w:vAlign w:val="bottom"/>
            <w:hideMark/>
          </w:tcPr>
          <w:p w14:paraId="729002B6" w14:textId="77777777" w:rsidR="009D2286" w:rsidRDefault="009D2286">
            <w:pPr>
              <w:jc w:val="center"/>
              <w:rPr>
                <w:color w:val="000000"/>
                <w:sz w:val="22"/>
                <w:szCs w:val="22"/>
              </w:rPr>
            </w:pPr>
            <w:r>
              <w:rPr>
                <w:color w:val="000000"/>
                <w:sz w:val="22"/>
                <w:szCs w:val="22"/>
              </w:rPr>
              <w:t>.842**</w:t>
            </w:r>
          </w:p>
        </w:tc>
        <w:tc>
          <w:tcPr>
            <w:tcW w:w="828" w:type="dxa"/>
            <w:tcBorders>
              <w:top w:val="nil"/>
              <w:left w:val="nil"/>
              <w:bottom w:val="nil"/>
              <w:right w:val="nil"/>
            </w:tcBorders>
            <w:shd w:val="clear" w:color="000000" w:fill="FFFFFF"/>
            <w:noWrap/>
            <w:vAlign w:val="bottom"/>
            <w:hideMark/>
          </w:tcPr>
          <w:p w14:paraId="19C4FCA7" w14:textId="77777777" w:rsidR="009D2286" w:rsidRDefault="009D2286">
            <w:pPr>
              <w:jc w:val="center"/>
              <w:rPr>
                <w:color w:val="000000"/>
                <w:sz w:val="22"/>
                <w:szCs w:val="22"/>
              </w:rPr>
            </w:pPr>
            <w:r>
              <w:rPr>
                <w:color w:val="000000"/>
                <w:sz w:val="22"/>
                <w:szCs w:val="22"/>
              </w:rPr>
              <w:t>.863**</w:t>
            </w:r>
          </w:p>
        </w:tc>
        <w:tc>
          <w:tcPr>
            <w:tcW w:w="828" w:type="dxa"/>
            <w:tcBorders>
              <w:top w:val="nil"/>
              <w:left w:val="nil"/>
              <w:bottom w:val="nil"/>
              <w:right w:val="nil"/>
            </w:tcBorders>
            <w:shd w:val="clear" w:color="000000" w:fill="FFFFFF"/>
            <w:noWrap/>
            <w:vAlign w:val="bottom"/>
            <w:hideMark/>
          </w:tcPr>
          <w:p w14:paraId="351D41F3" w14:textId="77777777" w:rsidR="009D2286" w:rsidRDefault="009D2286">
            <w:pPr>
              <w:jc w:val="center"/>
              <w:rPr>
                <w:color w:val="000000"/>
                <w:sz w:val="22"/>
                <w:szCs w:val="22"/>
              </w:rPr>
            </w:pPr>
            <w:r>
              <w:rPr>
                <w:color w:val="000000"/>
                <w:sz w:val="22"/>
                <w:szCs w:val="22"/>
              </w:rPr>
              <w:t>.906**</w:t>
            </w:r>
          </w:p>
        </w:tc>
        <w:tc>
          <w:tcPr>
            <w:tcW w:w="828" w:type="dxa"/>
            <w:tcBorders>
              <w:top w:val="nil"/>
              <w:left w:val="nil"/>
              <w:bottom w:val="nil"/>
              <w:right w:val="nil"/>
            </w:tcBorders>
            <w:shd w:val="clear" w:color="000000" w:fill="FFFFFF"/>
            <w:noWrap/>
            <w:vAlign w:val="bottom"/>
            <w:hideMark/>
          </w:tcPr>
          <w:p w14:paraId="3E77D25B" w14:textId="77777777" w:rsidR="009D2286" w:rsidRDefault="009D2286">
            <w:pPr>
              <w:jc w:val="center"/>
              <w:rPr>
                <w:color w:val="000000"/>
                <w:sz w:val="22"/>
                <w:szCs w:val="22"/>
              </w:rPr>
            </w:pPr>
            <w:r>
              <w:rPr>
                <w:color w:val="000000"/>
                <w:sz w:val="22"/>
                <w:szCs w:val="22"/>
              </w:rPr>
              <w:t>.919**</w:t>
            </w:r>
          </w:p>
        </w:tc>
        <w:tc>
          <w:tcPr>
            <w:tcW w:w="828" w:type="dxa"/>
            <w:tcBorders>
              <w:top w:val="nil"/>
              <w:left w:val="nil"/>
              <w:bottom w:val="nil"/>
              <w:right w:val="nil"/>
            </w:tcBorders>
            <w:shd w:val="clear" w:color="000000" w:fill="FFFFFF"/>
            <w:noWrap/>
            <w:vAlign w:val="bottom"/>
            <w:hideMark/>
          </w:tcPr>
          <w:p w14:paraId="15CDC70D" w14:textId="77777777" w:rsidR="009D2286" w:rsidRDefault="009D2286">
            <w:pPr>
              <w:jc w:val="center"/>
              <w:rPr>
                <w:color w:val="000000"/>
                <w:sz w:val="22"/>
                <w:szCs w:val="22"/>
              </w:rPr>
            </w:pPr>
            <w:r>
              <w:rPr>
                <w:color w:val="000000"/>
                <w:sz w:val="22"/>
                <w:szCs w:val="22"/>
              </w:rPr>
              <w:t>.928**</w:t>
            </w:r>
          </w:p>
        </w:tc>
        <w:tc>
          <w:tcPr>
            <w:tcW w:w="828" w:type="dxa"/>
            <w:tcBorders>
              <w:top w:val="nil"/>
              <w:left w:val="nil"/>
              <w:bottom w:val="nil"/>
              <w:right w:val="nil"/>
            </w:tcBorders>
            <w:shd w:val="clear" w:color="000000" w:fill="FFFFFF"/>
            <w:noWrap/>
            <w:vAlign w:val="bottom"/>
            <w:hideMark/>
          </w:tcPr>
          <w:p w14:paraId="1259F6F9" w14:textId="77777777" w:rsidR="009D2286" w:rsidRDefault="009D2286">
            <w:pPr>
              <w:jc w:val="center"/>
              <w:rPr>
                <w:color w:val="000000"/>
                <w:sz w:val="22"/>
                <w:szCs w:val="22"/>
              </w:rPr>
            </w:pPr>
            <w:r>
              <w:rPr>
                <w:color w:val="000000"/>
                <w:sz w:val="22"/>
                <w:szCs w:val="22"/>
              </w:rPr>
              <w:t>1.000</w:t>
            </w:r>
          </w:p>
        </w:tc>
      </w:tr>
      <w:tr w:rsidR="000A6429" w14:paraId="10C12D4A" w14:textId="77777777" w:rsidTr="000A6429">
        <w:trPr>
          <w:gridAfter w:val="1"/>
          <w:wAfter w:w="6" w:type="dxa"/>
          <w:trHeight w:val="116"/>
        </w:trPr>
        <w:tc>
          <w:tcPr>
            <w:tcW w:w="662" w:type="dxa"/>
            <w:tcBorders>
              <w:top w:val="nil"/>
              <w:left w:val="nil"/>
              <w:bottom w:val="nil"/>
              <w:right w:val="nil"/>
            </w:tcBorders>
            <w:shd w:val="clear" w:color="000000" w:fill="FFFFFF"/>
            <w:noWrap/>
            <w:vAlign w:val="bottom"/>
            <w:hideMark/>
          </w:tcPr>
          <w:p w14:paraId="44C06E7F" w14:textId="77777777" w:rsidR="009D2286" w:rsidRDefault="009D2286">
            <w:pPr>
              <w:jc w:val="center"/>
              <w:rPr>
                <w:color w:val="000000"/>
                <w:sz w:val="22"/>
                <w:szCs w:val="22"/>
                <w:u w:val="single"/>
              </w:rPr>
            </w:pPr>
          </w:p>
        </w:tc>
        <w:tc>
          <w:tcPr>
            <w:tcW w:w="828" w:type="dxa"/>
            <w:tcBorders>
              <w:top w:val="nil"/>
              <w:left w:val="nil"/>
              <w:bottom w:val="nil"/>
              <w:right w:val="nil"/>
            </w:tcBorders>
            <w:shd w:val="clear" w:color="000000" w:fill="FFFFFF"/>
            <w:noWrap/>
            <w:vAlign w:val="bottom"/>
            <w:hideMark/>
          </w:tcPr>
          <w:p w14:paraId="255BE936" w14:textId="77777777" w:rsidR="009D2286" w:rsidRDefault="009D2286">
            <w:pPr>
              <w:jc w:val="center"/>
              <w:rPr>
                <w:color w:val="000000"/>
                <w:sz w:val="22"/>
                <w:szCs w:val="22"/>
              </w:rPr>
            </w:pPr>
            <w:r>
              <w:rPr>
                <w:color w:val="000000"/>
                <w:sz w:val="22"/>
                <w:szCs w:val="22"/>
              </w:rPr>
              <w:t> </w:t>
            </w:r>
          </w:p>
        </w:tc>
        <w:tc>
          <w:tcPr>
            <w:tcW w:w="828" w:type="dxa"/>
            <w:tcBorders>
              <w:top w:val="nil"/>
              <w:left w:val="nil"/>
              <w:bottom w:val="nil"/>
              <w:right w:val="nil"/>
            </w:tcBorders>
            <w:shd w:val="clear" w:color="000000" w:fill="FFFFFF"/>
            <w:noWrap/>
            <w:vAlign w:val="bottom"/>
            <w:hideMark/>
          </w:tcPr>
          <w:p w14:paraId="520E85BF" w14:textId="77777777" w:rsidR="009D2286" w:rsidRDefault="009D2286">
            <w:pPr>
              <w:jc w:val="center"/>
              <w:rPr>
                <w:color w:val="000000"/>
                <w:sz w:val="22"/>
                <w:szCs w:val="22"/>
              </w:rPr>
            </w:pPr>
            <w:r>
              <w:rPr>
                <w:color w:val="000000"/>
                <w:sz w:val="22"/>
                <w:szCs w:val="22"/>
              </w:rPr>
              <w:t> </w:t>
            </w:r>
          </w:p>
        </w:tc>
        <w:tc>
          <w:tcPr>
            <w:tcW w:w="828" w:type="dxa"/>
            <w:tcBorders>
              <w:top w:val="nil"/>
              <w:left w:val="nil"/>
              <w:bottom w:val="nil"/>
              <w:right w:val="nil"/>
            </w:tcBorders>
            <w:shd w:val="clear" w:color="000000" w:fill="FFFFFF"/>
            <w:noWrap/>
            <w:vAlign w:val="bottom"/>
            <w:hideMark/>
          </w:tcPr>
          <w:p w14:paraId="122DD505" w14:textId="77777777" w:rsidR="009D2286" w:rsidRDefault="009D2286">
            <w:pPr>
              <w:jc w:val="center"/>
              <w:rPr>
                <w:color w:val="000000"/>
                <w:sz w:val="22"/>
                <w:szCs w:val="22"/>
              </w:rPr>
            </w:pPr>
            <w:r>
              <w:rPr>
                <w:color w:val="000000"/>
                <w:sz w:val="22"/>
                <w:szCs w:val="22"/>
              </w:rPr>
              <w:t> </w:t>
            </w:r>
          </w:p>
        </w:tc>
        <w:tc>
          <w:tcPr>
            <w:tcW w:w="828" w:type="dxa"/>
            <w:tcBorders>
              <w:top w:val="nil"/>
              <w:left w:val="nil"/>
              <w:bottom w:val="nil"/>
              <w:right w:val="nil"/>
            </w:tcBorders>
            <w:shd w:val="clear" w:color="000000" w:fill="FFFFFF"/>
            <w:noWrap/>
            <w:vAlign w:val="bottom"/>
            <w:hideMark/>
          </w:tcPr>
          <w:p w14:paraId="0351D220" w14:textId="77777777" w:rsidR="009D2286" w:rsidRDefault="009D2286">
            <w:pPr>
              <w:jc w:val="center"/>
              <w:rPr>
                <w:color w:val="000000"/>
                <w:sz w:val="22"/>
                <w:szCs w:val="22"/>
              </w:rPr>
            </w:pPr>
            <w:r>
              <w:rPr>
                <w:color w:val="000000"/>
                <w:sz w:val="22"/>
                <w:szCs w:val="22"/>
              </w:rPr>
              <w:t> </w:t>
            </w:r>
          </w:p>
        </w:tc>
        <w:tc>
          <w:tcPr>
            <w:tcW w:w="828" w:type="dxa"/>
            <w:tcBorders>
              <w:top w:val="nil"/>
              <w:left w:val="nil"/>
              <w:bottom w:val="nil"/>
              <w:right w:val="nil"/>
            </w:tcBorders>
            <w:shd w:val="clear" w:color="000000" w:fill="FFFFFF"/>
            <w:noWrap/>
            <w:vAlign w:val="bottom"/>
            <w:hideMark/>
          </w:tcPr>
          <w:p w14:paraId="74F6B6AA" w14:textId="77777777" w:rsidR="009D2286" w:rsidRDefault="009D2286">
            <w:pPr>
              <w:jc w:val="center"/>
              <w:rPr>
                <w:color w:val="000000"/>
                <w:sz w:val="22"/>
                <w:szCs w:val="22"/>
              </w:rPr>
            </w:pPr>
            <w:r>
              <w:rPr>
                <w:color w:val="000000"/>
                <w:sz w:val="22"/>
                <w:szCs w:val="22"/>
              </w:rPr>
              <w:t> </w:t>
            </w:r>
          </w:p>
        </w:tc>
        <w:tc>
          <w:tcPr>
            <w:tcW w:w="828" w:type="dxa"/>
            <w:tcBorders>
              <w:top w:val="nil"/>
              <w:left w:val="nil"/>
              <w:bottom w:val="nil"/>
              <w:right w:val="nil"/>
            </w:tcBorders>
            <w:shd w:val="clear" w:color="000000" w:fill="FFFFFF"/>
            <w:noWrap/>
            <w:vAlign w:val="bottom"/>
            <w:hideMark/>
          </w:tcPr>
          <w:p w14:paraId="37CA9BEF" w14:textId="77777777" w:rsidR="009D2286" w:rsidRDefault="009D2286">
            <w:pPr>
              <w:jc w:val="center"/>
              <w:rPr>
                <w:color w:val="000000"/>
                <w:sz w:val="22"/>
                <w:szCs w:val="22"/>
              </w:rPr>
            </w:pPr>
            <w:r>
              <w:rPr>
                <w:color w:val="000000"/>
                <w:sz w:val="22"/>
                <w:szCs w:val="22"/>
              </w:rPr>
              <w:t> </w:t>
            </w:r>
          </w:p>
        </w:tc>
        <w:tc>
          <w:tcPr>
            <w:tcW w:w="828" w:type="dxa"/>
            <w:tcBorders>
              <w:top w:val="nil"/>
              <w:left w:val="nil"/>
              <w:bottom w:val="nil"/>
              <w:right w:val="nil"/>
            </w:tcBorders>
            <w:shd w:val="clear" w:color="000000" w:fill="FFFFFF"/>
            <w:noWrap/>
            <w:vAlign w:val="bottom"/>
            <w:hideMark/>
          </w:tcPr>
          <w:p w14:paraId="72CCFA43" w14:textId="77777777" w:rsidR="009D2286" w:rsidRDefault="009D2286">
            <w:pPr>
              <w:jc w:val="center"/>
              <w:rPr>
                <w:color w:val="000000"/>
                <w:sz w:val="22"/>
                <w:szCs w:val="22"/>
              </w:rPr>
            </w:pPr>
            <w:r>
              <w:rPr>
                <w:color w:val="000000"/>
                <w:sz w:val="22"/>
                <w:szCs w:val="22"/>
              </w:rPr>
              <w:t> </w:t>
            </w:r>
          </w:p>
        </w:tc>
        <w:tc>
          <w:tcPr>
            <w:tcW w:w="828" w:type="dxa"/>
            <w:tcBorders>
              <w:top w:val="nil"/>
              <w:left w:val="nil"/>
              <w:bottom w:val="nil"/>
              <w:right w:val="nil"/>
            </w:tcBorders>
            <w:shd w:val="clear" w:color="000000" w:fill="FFFFFF"/>
            <w:noWrap/>
            <w:vAlign w:val="bottom"/>
            <w:hideMark/>
          </w:tcPr>
          <w:p w14:paraId="3CA9BF65" w14:textId="77777777" w:rsidR="009D2286" w:rsidRDefault="009D2286">
            <w:pPr>
              <w:jc w:val="center"/>
              <w:rPr>
                <w:color w:val="000000"/>
                <w:sz w:val="22"/>
                <w:szCs w:val="22"/>
              </w:rPr>
            </w:pPr>
            <w:r>
              <w:rPr>
                <w:color w:val="000000"/>
                <w:sz w:val="22"/>
                <w:szCs w:val="22"/>
              </w:rPr>
              <w:t> </w:t>
            </w:r>
          </w:p>
        </w:tc>
        <w:tc>
          <w:tcPr>
            <w:tcW w:w="828" w:type="dxa"/>
            <w:tcBorders>
              <w:top w:val="nil"/>
              <w:left w:val="nil"/>
              <w:bottom w:val="nil"/>
              <w:right w:val="nil"/>
            </w:tcBorders>
            <w:shd w:val="clear" w:color="000000" w:fill="FFFFFF"/>
            <w:noWrap/>
            <w:vAlign w:val="bottom"/>
            <w:hideMark/>
          </w:tcPr>
          <w:p w14:paraId="572064A0" w14:textId="77777777" w:rsidR="009D2286" w:rsidRDefault="009D2286">
            <w:pPr>
              <w:jc w:val="center"/>
              <w:rPr>
                <w:color w:val="000000"/>
                <w:sz w:val="22"/>
                <w:szCs w:val="22"/>
              </w:rPr>
            </w:pPr>
            <w:r>
              <w:rPr>
                <w:color w:val="000000"/>
                <w:sz w:val="22"/>
                <w:szCs w:val="22"/>
              </w:rPr>
              <w:t> </w:t>
            </w:r>
          </w:p>
        </w:tc>
      </w:tr>
      <w:tr w:rsidR="00EC7037" w14:paraId="7942AA25" w14:textId="77777777" w:rsidTr="000A6429">
        <w:trPr>
          <w:gridAfter w:val="1"/>
          <w:wAfter w:w="3" w:type="dxa"/>
          <w:trHeight w:val="146"/>
        </w:trPr>
        <w:tc>
          <w:tcPr>
            <w:tcW w:w="4805" w:type="dxa"/>
            <w:gridSpan w:val="6"/>
            <w:tcBorders>
              <w:top w:val="nil"/>
              <w:left w:val="nil"/>
              <w:bottom w:val="nil"/>
              <w:right w:val="nil"/>
            </w:tcBorders>
            <w:shd w:val="clear" w:color="000000" w:fill="FFFFFF"/>
            <w:noWrap/>
            <w:vAlign w:val="bottom"/>
            <w:hideMark/>
          </w:tcPr>
          <w:p w14:paraId="5DF31738" w14:textId="77777777" w:rsidR="009D2286" w:rsidRDefault="009D2286">
            <w:pPr>
              <w:rPr>
                <w:color w:val="000000"/>
                <w:sz w:val="16"/>
                <w:szCs w:val="16"/>
              </w:rPr>
            </w:pPr>
            <w:r>
              <w:rPr>
                <w:color w:val="000000"/>
                <w:sz w:val="16"/>
                <w:szCs w:val="16"/>
              </w:rPr>
              <w:t xml:space="preserve">N = 564 4-Year Public Higher Education Institutions </w:t>
            </w:r>
          </w:p>
        </w:tc>
        <w:tc>
          <w:tcPr>
            <w:tcW w:w="828" w:type="dxa"/>
            <w:tcBorders>
              <w:top w:val="nil"/>
              <w:left w:val="nil"/>
              <w:bottom w:val="nil"/>
              <w:right w:val="nil"/>
            </w:tcBorders>
            <w:shd w:val="clear" w:color="000000" w:fill="FFFFFF"/>
            <w:noWrap/>
            <w:vAlign w:val="bottom"/>
            <w:hideMark/>
          </w:tcPr>
          <w:p w14:paraId="51CEA70B" w14:textId="77777777" w:rsidR="009D2286" w:rsidRDefault="009D2286">
            <w:pPr>
              <w:rPr>
                <w:color w:val="000000"/>
                <w:sz w:val="16"/>
                <w:szCs w:val="16"/>
              </w:rPr>
            </w:pPr>
            <w:r>
              <w:rPr>
                <w:color w:val="000000"/>
                <w:sz w:val="16"/>
                <w:szCs w:val="16"/>
              </w:rPr>
              <w:t> </w:t>
            </w:r>
          </w:p>
        </w:tc>
        <w:tc>
          <w:tcPr>
            <w:tcW w:w="828" w:type="dxa"/>
            <w:tcBorders>
              <w:top w:val="nil"/>
              <w:left w:val="nil"/>
              <w:bottom w:val="nil"/>
              <w:right w:val="nil"/>
            </w:tcBorders>
            <w:shd w:val="clear" w:color="000000" w:fill="FFFFFF"/>
            <w:noWrap/>
            <w:vAlign w:val="bottom"/>
            <w:hideMark/>
          </w:tcPr>
          <w:p w14:paraId="7FEB39D1" w14:textId="77777777" w:rsidR="009D2286" w:rsidRDefault="009D2286">
            <w:pPr>
              <w:rPr>
                <w:color w:val="000000"/>
                <w:sz w:val="16"/>
                <w:szCs w:val="16"/>
              </w:rPr>
            </w:pPr>
            <w:r>
              <w:rPr>
                <w:color w:val="000000"/>
                <w:sz w:val="16"/>
                <w:szCs w:val="16"/>
              </w:rPr>
              <w:t> </w:t>
            </w:r>
          </w:p>
        </w:tc>
        <w:tc>
          <w:tcPr>
            <w:tcW w:w="828" w:type="dxa"/>
            <w:tcBorders>
              <w:top w:val="nil"/>
              <w:left w:val="nil"/>
              <w:bottom w:val="nil"/>
              <w:right w:val="nil"/>
            </w:tcBorders>
            <w:shd w:val="clear" w:color="000000" w:fill="FFFFFF"/>
            <w:noWrap/>
            <w:vAlign w:val="bottom"/>
            <w:hideMark/>
          </w:tcPr>
          <w:p w14:paraId="7E160B8C" w14:textId="77777777" w:rsidR="009D2286" w:rsidRDefault="009D2286">
            <w:pPr>
              <w:rPr>
                <w:color w:val="000000"/>
                <w:sz w:val="16"/>
                <w:szCs w:val="16"/>
              </w:rPr>
            </w:pPr>
            <w:r>
              <w:rPr>
                <w:color w:val="000000"/>
                <w:sz w:val="16"/>
                <w:szCs w:val="16"/>
              </w:rPr>
              <w:t> </w:t>
            </w:r>
          </w:p>
        </w:tc>
        <w:tc>
          <w:tcPr>
            <w:tcW w:w="828" w:type="dxa"/>
            <w:tcBorders>
              <w:top w:val="nil"/>
              <w:left w:val="nil"/>
              <w:bottom w:val="nil"/>
              <w:right w:val="nil"/>
            </w:tcBorders>
            <w:shd w:val="clear" w:color="000000" w:fill="FFFFFF"/>
            <w:noWrap/>
            <w:vAlign w:val="bottom"/>
            <w:hideMark/>
          </w:tcPr>
          <w:p w14:paraId="2EC5E72E" w14:textId="77777777" w:rsidR="009D2286" w:rsidRDefault="009D2286">
            <w:pPr>
              <w:rPr>
                <w:color w:val="000000"/>
                <w:sz w:val="16"/>
                <w:szCs w:val="16"/>
              </w:rPr>
            </w:pPr>
            <w:r>
              <w:rPr>
                <w:color w:val="000000"/>
                <w:sz w:val="16"/>
                <w:szCs w:val="16"/>
              </w:rPr>
              <w:t> </w:t>
            </w:r>
          </w:p>
        </w:tc>
      </w:tr>
      <w:tr w:rsidR="00EC7037" w14:paraId="61CDAAC5" w14:textId="77777777" w:rsidTr="000A6429">
        <w:trPr>
          <w:gridAfter w:val="1"/>
          <w:wAfter w:w="3" w:type="dxa"/>
          <w:trHeight w:val="146"/>
        </w:trPr>
        <w:tc>
          <w:tcPr>
            <w:tcW w:w="4805" w:type="dxa"/>
            <w:gridSpan w:val="6"/>
            <w:tcBorders>
              <w:top w:val="nil"/>
              <w:left w:val="nil"/>
              <w:bottom w:val="single" w:sz="4" w:space="0" w:color="auto"/>
              <w:right w:val="nil"/>
            </w:tcBorders>
            <w:shd w:val="clear" w:color="000000" w:fill="FFFFFF"/>
            <w:noWrap/>
            <w:vAlign w:val="bottom"/>
            <w:hideMark/>
          </w:tcPr>
          <w:p w14:paraId="0D8656DD" w14:textId="77777777" w:rsidR="009D2286" w:rsidRDefault="009D2286">
            <w:pPr>
              <w:rPr>
                <w:color w:val="000000"/>
                <w:sz w:val="16"/>
                <w:szCs w:val="16"/>
              </w:rPr>
            </w:pPr>
            <w:r>
              <w:rPr>
                <w:color w:val="000000"/>
                <w:sz w:val="16"/>
                <w:szCs w:val="16"/>
              </w:rPr>
              <w:t xml:space="preserve">**Correlation is significant at the 0.01 level (2-tailed). </w:t>
            </w:r>
          </w:p>
        </w:tc>
        <w:tc>
          <w:tcPr>
            <w:tcW w:w="828" w:type="dxa"/>
            <w:tcBorders>
              <w:top w:val="nil"/>
              <w:left w:val="nil"/>
              <w:bottom w:val="single" w:sz="4" w:space="0" w:color="auto"/>
              <w:right w:val="nil"/>
            </w:tcBorders>
            <w:shd w:val="clear" w:color="000000" w:fill="FFFFFF"/>
            <w:vAlign w:val="bottom"/>
            <w:hideMark/>
          </w:tcPr>
          <w:p w14:paraId="75BF14DA" w14:textId="77777777" w:rsidR="009D2286" w:rsidRDefault="009D2286">
            <w:pPr>
              <w:jc w:val="center"/>
              <w:rPr>
                <w:color w:val="000000"/>
                <w:sz w:val="16"/>
                <w:szCs w:val="16"/>
              </w:rPr>
            </w:pPr>
            <w:r>
              <w:rPr>
                <w:color w:val="000000"/>
                <w:sz w:val="16"/>
                <w:szCs w:val="16"/>
              </w:rPr>
              <w:t> </w:t>
            </w:r>
          </w:p>
        </w:tc>
        <w:tc>
          <w:tcPr>
            <w:tcW w:w="828" w:type="dxa"/>
            <w:tcBorders>
              <w:top w:val="nil"/>
              <w:left w:val="nil"/>
              <w:bottom w:val="single" w:sz="4" w:space="0" w:color="auto"/>
              <w:right w:val="nil"/>
            </w:tcBorders>
            <w:shd w:val="clear" w:color="000000" w:fill="FFFFFF"/>
            <w:vAlign w:val="bottom"/>
            <w:hideMark/>
          </w:tcPr>
          <w:p w14:paraId="3E8FF4B8" w14:textId="77777777" w:rsidR="009D2286" w:rsidRDefault="009D2286">
            <w:pPr>
              <w:jc w:val="center"/>
              <w:rPr>
                <w:color w:val="000000"/>
                <w:sz w:val="16"/>
                <w:szCs w:val="16"/>
              </w:rPr>
            </w:pPr>
            <w:r>
              <w:rPr>
                <w:color w:val="000000"/>
                <w:sz w:val="16"/>
                <w:szCs w:val="16"/>
              </w:rPr>
              <w:t> </w:t>
            </w:r>
          </w:p>
        </w:tc>
        <w:tc>
          <w:tcPr>
            <w:tcW w:w="828" w:type="dxa"/>
            <w:tcBorders>
              <w:top w:val="nil"/>
              <w:left w:val="nil"/>
              <w:bottom w:val="single" w:sz="4" w:space="0" w:color="auto"/>
              <w:right w:val="nil"/>
            </w:tcBorders>
            <w:shd w:val="clear" w:color="000000" w:fill="FFFFFF"/>
            <w:vAlign w:val="bottom"/>
            <w:hideMark/>
          </w:tcPr>
          <w:p w14:paraId="33AC04B2" w14:textId="77777777" w:rsidR="009D2286" w:rsidRDefault="009D2286">
            <w:pPr>
              <w:jc w:val="center"/>
              <w:rPr>
                <w:color w:val="000000"/>
                <w:sz w:val="16"/>
                <w:szCs w:val="16"/>
              </w:rPr>
            </w:pPr>
            <w:r>
              <w:rPr>
                <w:color w:val="000000"/>
                <w:sz w:val="16"/>
                <w:szCs w:val="16"/>
              </w:rPr>
              <w:t> </w:t>
            </w:r>
          </w:p>
        </w:tc>
        <w:tc>
          <w:tcPr>
            <w:tcW w:w="828" w:type="dxa"/>
            <w:tcBorders>
              <w:top w:val="nil"/>
              <w:left w:val="nil"/>
              <w:bottom w:val="single" w:sz="4" w:space="0" w:color="auto"/>
              <w:right w:val="nil"/>
            </w:tcBorders>
            <w:shd w:val="clear" w:color="000000" w:fill="FFFFFF"/>
            <w:vAlign w:val="bottom"/>
            <w:hideMark/>
          </w:tcPr>
          <w:p w14:paraId="693CEFF0" w14:textId="77777777" w:rsidR="009D2286" w:rsidRDefault="009D2286">
            <w:pPr>
              <w:jc w:val="center"/>
              <w:rPr>
                <w:color w:val="000000"/>
                <w:sz w:val="16"/>
                <w:szCs w:val="16"/>
              </w:rPr>
            </w:pPr>
            <w:r>
              <w:rPr>
                <w:color w:val="000000"/>
                <w:sz w:val="16"/>
                <w:szCs w:val="16"/>
              </w:rPr>
              <w:t> </w:t>
            </w:r>
          </w:p>
        </w:tc>
      </w:tr>
    </w:tbl>
    <w:p w14:paraId="2A1D2694" w14:textId="77777777" w:rsidR="00372147" w:rsidRDefault="00372147" w:rsidP="00EC7037">
      <w:pPr>
        <w:spacing w:before="240" w:after="160" w:line="480" w:lineRule="auto"/>
        <w:ind w:firstLine="720"/>
        <w:rPr>
          <w:rFonts w:eastAsia="Calibri"/>
        </w:rPr>
      </w:pPr>
      <w:r>
        <w:rPr>
          <w:rFonts w:eastAsia="Calibri"/>
        </w:rPr>
        <w:t xml:space="preserve">Because of this stability, </w:t>
      </w:r>
      <w:r w:rsidR="009D1516">
        <w:rPr>
          <w:rFonts w:eastAsia="Calibri"/>
        </w:rPr>
        <w:t>there appeared reasonable justification to use only</w:t>
      </w:r>
      <w:r>
        <w:rPr>
          <w:rFonts w:eastAsia="Calibri"/>
        </w:rPr>
        <w:t xml:space="preserve"> the first three years (2006, 2007, and 2008) of instruction expenditures to represent institutional spending on instruction over the entire 2006 through 2014 timeframe. </w:t>
      </w:r>
    </w:p>
    <w:p w14:paraId="3B5DBB88" w14:textId="77777777" w:rsidR="000A6429" w:rsidRDefault="00C31916" w:rsidP="00C31916">
      <w:pPr>
        <w:spacing w:after="160" w:line="480" w:lineRule="auto"/>
        <w:ind w:firstLine="720"/>
        <w:rPr>
          <w:rFonts w:eastAsia="Calibri"/>
        </w:rPr>
      </w:pPr>
      <w:r>
        <w:rPr>
          <w:rFonts w:eastAsia="Calibri"/>
        </w:rPr>
        <w:lastRenderedPageBreak/>
        <w:t xml:space="preserve">Table 4.2 gives SPSS results of the </w:t>
      </w:r>
      <w:r w:rsidRPr="0040342C">
        <w:rPr>
          <w:rFonts w:eastAsia="Calibri"/>
        </w:rPr>
        <w:t xml:space="preserve">Spearman-rho correlation analysis </w:t>
      </w:r>
      <w:r>
        <w:rPr>
          <w:rFonts w:eastAsia="Calibri"/>
        </w:rPr>
        <w:t xml:space="preserve">for the 2006 through 2014 Research Expenditures per Student FTE variables.  </w:t>
      </w:r>
      <w:r w:rsidR="0086063E">
        <w:rPr>
          <w:rFonts w:eastAsia="Calibri"/>
        </w:rPr>
        <w:t>Similar to instruction expenditures, research expenses</w:t>
      </w:r>
      <w:r>
        <w:rPr>
          <w:rFonts w:eastAsia="Calibri"/>
        </w:rPr>
        <w:t xml:space="preserve"> were highly correlated between each consecutive year, without any </w:t>
      </w:r>
      <w:r w:rsidR="0086063E">
        <w:rPr>
          <w:rFonts w:eastAsia="Calibri"/>
        </w:rPr>
        <w:t>s</w:t>
      </w:r>
      <w:r>
        <w:rPr>
          <w:rFonts w:eastAsia="Calibri"/>
        </w:rPr>
        <w:t xml:space="preserve">ignificant increases or decreases in </w:t>
      </w:r>
      <w:r w:rsidR="0086063E">
        <w:rPr>
          <w:rFonts w:eastAsia="Calibri"/>
        </w:rPr>
        <w:t>research</w:t>
      </w:r>
      <w:r>
        <w:rPr>
          <w:rFonts w:eastAsia="Calibri"/>
        </w:rPr>
        <w:t xml:space="preserve"> spending from year-to-year.  </w:t>
      </w:r>
    </w:p>
    <w:p w14:paraId="15F019FD" w14:textId="77777777" w:rsidR="00C31916" w:rsidRDefault="0036017D" w:rsidP="00C31916">
      <w:pPr>
        <w:spacing w:after="160" w:line="480" w:lineRule="auto"/>
        <w:ind w:firstLine="720"/>
        <w:rPr>
          <w:rFonts w:eastAsia="Calibri"/>
        </w:rPr>
      </w:pPr>
      <w:r>
        <w:rPr>
          <w:rFonts w:eastAsia="Calibri"/>
        </w:rPr>
        <w:t>Looking at the first three years of the study timeframe, 2006 research expenses were 98.8 percent predictive of 2007 expenses, while 2007 expenses were 98.4 percent predictive of 2008 instruction expenses.  These high (above .900) correlation coefficients remain very high – above .900 – across all successive years.</w:t>
      </w:r>
    </w:p>
    <w:tbl>
      <w:tblPr>
        <w:tblW w:w="8144" w:type="dxa"/>
        <w:tblLook w:val="04A0" w:firstRow="1" w:lastRow="0" w:firstColumn="1" w:lastColumn="0" w:noHBand="0" w:noVBand="1"/>
      </w:tblPr>
      <w:tblGrid>
        <w:gridCol w:w="701"/>
        <w:gridCol w:w="826"/>
        <w:gridCol w:w="826"/>
        <w:gridCol w:w="826"/>
        <w:gridCol w:w="829"/>
        <w:gridCol w:w="828"/>
        <w:gridCol w:w="826"/>
        <w:gridCol w:w="826"/>
        <w:gridCol w:w="829"/>
        <w:gridCol w:w="827"/>
      </w:tblGrid>
      <w:tr w:rsidR="0086063E" w14:paraId="5F1C4AD4" w14:textId="77777777" w:rsidTr="000A6429">
        <w:trPr>
          <w:trHeight w:val="323"/>
        </w:trPr>
        <w:tc>
          <w:tcPr>
            <w:tcW w:w="7317" w:type="dxa"/>
            <w:gridSpan w:val="9"/>
            <w:tcBorders>
              <w:top w:val="nil"/>
              <w:left w:val="nil"/>
              <w:bottom w:val="nil"/>
              <w:right w:val="nil"/>
            </w:tcBorders>
            <w:shd w:val="clear" w:color="000000" w:fill="FFFFFF"/>
            <w:noWrap/>
            <w:vAlign w:val="bottom"/>
            <w:hideMark/>
          </w:tcPr>
          <w:p w14:paraId="3721C0A0" w14:textId="77777777" w:rsidR="0086063E" w:rsidRDefault="0086063E">
            <w:pPr>
              <w:rPr>
                <w:color w:val="000000"/>
              </w:rPr>
            </w:pPr>
            <w:r>
              <w:rPr>
                <w:color w:val="000000"/>
              </w:rPr>
              <w:t>Table 4.2   2006 - 2014 Research Expenditures per FTE Correlations</w:t>
            </w:r>
          </w:p>
        </w:tc>
        <w:tc>
          <w:tcPr>
            <w:tcW w:w="827" w:type="dxa"/>
            <w:tcBorders>
              <w:top w:val="nil"/>
              <w:left w:val="nil"/>
              <w:bottom w:val="nil"/>
              <w:right w:val="nil"/>
            </w:tcBorders>
            <w:shd w:val="clear" w:color="000000" w:fill="FFFFFF"/>
            <w:noWrap/>
            <w:vAlign w:val="bottom"/>
            <w:hideMark/>
          </w:tcPr>
          <w:p w14:paraId="24E77911" w14:textId="77777777" w:rsidR="0086063E" w:rsidRDefault="0086063E">
            <w:pPr>
              <w:rPr>
                <w:color w:val="000000"/>
              </w:rPr>
            </w:pPr>
            <w:r>
              <w:rPr>
                <w:color w:val="000000"/>
              </w:rPr>
              <w:t> </w:t>
            </w:r>
          </w:p>
        </w:tc>
      </w:tr>
      <w:tr w:rsidR="0036017D" w14:paraId="197A6A67" w14:textId="77777777" w:rsidTr="000A6429">
        <w:trPr>
          <w:trHeight w:val="153"/>
        </w:trPr>
        <w:tc>
          <w:tcPr>
            <w:tcW w:w="701" w:type="dxa"/>
            <w:tcBorders>
              <w:top w:val="nil"/>
              <w:left w:val="nil"/>
              <w:bottom w:val="nil"/>
              <w:right w:val="nil"/>
            </w:tcBorders>
            <w:shd w:val="clear" w:color="000000" w:fill="FFFFFF"/>
            <w:noWrap/>
            <w:vAlign w:val="bottom"/>
            <w:hideMark/>
          </w:tcPr>
          <w:p w14:paraId="5B6F960F" w14:textId="77777777" w:rsidR="0086063E" w:rsidRDefault="0086063E">
            <w:pPr>
              <w:rPr>
                <w:color w:val="000000"/>
              </w:rPr>
            </w:pPr>
            <w:r>
              <w:rPr>
                <w:color w:val="000000"/>
              </w:rPr>
              <w:t> </w:t>
            </w:r>
          </w:p>
        </w:tc>
        <w:tc>
          <w:tcPr>
            <w:tcW w:w="826" w:type="dxa"/>
            <w:tcBorders>
              <w:top w:val="nil"/>
              <w:left w:val="nil"/>
              <w:bottom w:val="nil"/>
              <w:right w:val="nil"/>
            </w:tcBorders>
            <w:shd w:val="clear" w:color="000000" w:fill="FFFFFF"/>
            <w:noWrap/>
            <w:vAlign w:val="bottom"/>
            <w:hideMark/>
          </w:tcPr>
          <w:p w14:paraId="62DC9EA1" w14:textId="77777777" w:rsidR="0086063E" w:rsidRDefault="0086063E">
            <w:pPr>
              <w:rPr>
                <w:color w:val="000000"/>
              </w:rPr>
            </w:pPr>
            <w:r>
              <w:rPr>
                <w:color w:val="000000"/>
              </w:rPr>
              <w:t> </w:t>
            </w:r>
          </w:p>
        </w:tc>
        <w:tc>
          <w:tcPr>
            <w:tcW w:w="826" w:type="dxa"/>
            <w:tcBorders>
              <w:top w:val="nil"/>
              <w:left w:val="nil"/>
              <w:bottom w:val="nil"/>
              <w:right w:val="nil"/>
            </w:tcBorders>
            <w:shd w:val="clear" w:color="000000" w:fill="FFFFFF"/>
            <w:noWrap/>
            <w:vAlign w:val="bottom"/>
            <w:hideMark/>
          </w:tcPr>
          <w:p w14:paraId="44BE76E1" w14:textId="77777777" w:rsidR="0086063E" w:rsidRDefault="0086063E">
            <w:pPr>
              <w:rPr>
                <w:color w:val="000000"/>
              </w:rPr>
            </w:pPr>
            <w:r>
              <w:rPr>
                <w:color w:val="000000"/>
              </w:rPr>
              <w:t> </w:t>
            </w:r>
          </w:p>
        </w:tc>
        <w:tc>
          <w:tcPr>
            <w:tcW w:w="826" w:type="dxa"/>
            <w:tcBorders>
              <w:top w:val="nil"/>
              <w:left w:val="nil"/>
              <w:bottom w:val="nil"/>
              <w:right w:val="nil"/>
            </w:tcBorders>
            <w:shd w:val="clear" w:color="000000" w:fill="FFFFFF"/>
            <w:noWrap/>
            <w:vAlign w:val="bottom"/>
            <w:hideMark/>
          </w:tcPr>
          <w:p w14:paraId="59E38142" w14:textId="77777777" w:rsidR="0086063E" w:rsidRDefault="0086063E">
            <w:pP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07E2B3EC" w14:textId="77777777" w:rsidR="0086063E" w:rsidRDefault="0086063E">
            <w:pPr>
              <w:rPr>
                <w:color w:val="000000"/>
              </w:rPr>
            </w:pPr>
            <w:r>
              <w:rPr>
                <w:color w:val="000000"/>
              </w:rPr>
              <w:t> </w:t>
            </w:r>
          </w:p>
        </w:tc>
        <w:tc>
          <w:tcPr>
            <w:tcW w:w="827" w:type="dxa"/>
            <w:tcBorders>
              <w:top w:val="nil"/>
              <w:left w:val="nil"/>
              <w:bottom w:val="nil"/>
              <w:right w:val="nil"/>
            </w:tcBorders>
            <w:shd w:val="clear" w:color="000000" w:fill="FFFFFF"/>
            <w:noWrap/>
            <w:vAlign w:val="bottom"/>
            <w:hideMark/>
          </w:tcPr>
          <w:p w14:paraId="1F1D0A47" w14:textId="77777777" w:rsidR="0086063E" w:rsidRDefault="0086063E">
            <w:pPr>
              <w:rPr>
                <w:color w:val="000000"/>
              </w:rPr>
            </w:pPr>
            <w:r>
              <w:rPr>
                <w:color w:val="000000"/>
              </w:rPr>
              <w:t> </w:t>
            </w:r>
          </w:p>
        </w:tc>
        <w:tc>
          <w:tcPr>
            <w:tcW w:w="826" w:type="dxa"/>
            <w:tcBorders>
              <w:top w:val="nil"/>
              <w:left w:val="nil"/>
              <w:bottom w:val="nil"/>
              <w:right w:val="nil"/>
            </w:tcBorders>
            <w:shd w:val="clear" w:color="000000" w:fill="FFFFFF"/>
            <w:noWrap/>
            <w:vAlign w:val="bottom"/>
            <w:hideMark/>
          </w:tcPr>
          <w:p w14:paraId="381FF958" w14:textId="77777777" w:rsidR="0086063E" w:rsidRDefault="0086063E">
            <w:pPr>
              <w:rPr>
                <w:color w:val="000000"/>
              </w:rPr>
            </w:pPr>
            <w:r>
              <w:rPr>
                <w:color w:val="000000"/>
              </w:rPr>
              <w:t> </w:t>
            </w:r>
          </w:p>
        </w:tc>
        <w:tc>
          <w:tcPr>
            <w:tcW w:w="826" w:type="dxa"/>
            <w:tcBorders>
              <w:top w:val="nil"/>
              <w:left w:val="nil"/>
              <w:bottom w:val="nil"/>
              <w:right w:val="nil"/>
            </w:tcBorders>
            <w:shd w:val="clear" w:color="000000" w:fill="FFFFFF"/>
            <w:noWrap/>
            <w:vAlign w:val="bottom"/>
            <w:hideMark/>
          </w:tcPr>
          <w:p w14:paraId="3DAD7D9C" w14:textId="77777777" w:rsidR="0086063E" w:rsidRDefault="0086063E">
            <w:pP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43B89EF1" w14:textId="77777777" w:rsidR="0086063E" w:rsidRDefault="0086063E">
            <w:pPr>
              <w:rPr>
                <w:color w:val="000000"/>
              </w:rPr>
            </w:pPr>
            <w:r>
              <w:rPr>
                <w:color w:val="000000"/>
              </w:rPr>
              <w:t> </w:t>
            </w:r>
          </w:p>
        </w:tc>
        <w:tc>
          <w:tcPr>
            <w:tcW w:w="827" w:type="dxa"/>
            <w:tcBorders>
              <w:top w:val="nil"/>
              <w:left w:val="nil"/>
              <w:bottom w:val="nil"/>
              <w:right w:val="nil"/>
            </w:tcBorders>
            <w:shd w:val="clear" w:color="000000" w:fill="FFFFFF"/>
            <w:noWrap/>
            <w:vAlign w:val="bottom"/>
            <w:hideMark/>
          </w:tcPr>
          <w:p w14:paraId="1CB65227" w14:textId="77777777" w:rsidR="0086063E" w:rsidRDefault="0086063E">
            <w:pPr>
              <w:rPr>
                <w:color w:val="000000"/>
              </w:rPr>
            </w:pPr>
            <w:r>
              <w:rPr>
                <w:color w:val="000000"/>
              </w:rPr>
              <w:t> </w:t>
            </w:r>
          </w:p>
        </w:tc>
      </w:tr>
      <w:tr w:rsidR="0086063E" w14:paraId="19683024" w14:textId="77777777" w:rsidTr="000A6429">
        <w:trPr>
          <w:trHeight w:val="709"/>
        </w:trPr>
        <w:tc>
          <w:tcPr>
            <w:tcW w:w="8144" w:type="dxa"/>
            <w:gridSpan w:val="10"/>
            <w:tcBorders>
              <w:top w:val="single" w:sz="4" w:space="0" w:color="auto"/>
              <w:left w:val="nil"/>
              <w:bottom w:val="single" w:sz="4" w:space="0" w:color="auto"/>
              <w:right w:val="nil"/>
            </w:tcBorders>
            <w:shd w:val="clear" w:color="000000" w:fill="FFFFFF"/>
            <w:vAlign w:val="bottom"/>
            <w:hideMark/>
          </w:tcPr>
          <w:p w14:paraId="0850A8CB" w14:textId="77777777" w:rsidR="0086063E" w:rsidRDefault="0086063E">
            <w:pPr>
              <w:jc w:val="center"/>
              <w:rPr>
                <w:color w:val="000000"/>
                <w:sz w:val="22"/>
                <w:szCs w:val="22"/>
              </w:rPr>
            </w:pPr>
            <w:r>
              <w:rPr>
                <w:color w:val="000000"/>
                <w:sz w:val="22"/>
                <w:szCs w:val="22"/>
              </w:rPr>
              <w:t>Spearman Correlation Coeffic</w:t>
            </w:r>
            <w:r w:rsidR="0036017D">
              <w:rPr>
                <w:color w:val="000000"/>
                <w:sz w:val="22"/>
                <w:szCs w:val="22"/>
              </w:rPr>
              <w:t>i</w:t>
            </w:r>
            <w:r>
              <w:rPr>
                <w:color w:val="000000"/>
                <w:sz w:val="22"/>
                <w:szCs w:val="22"/>
              </w:rPr>
              <w:t>ents of Research Expenditures per FTE                           Fiscal Years 2006 through 2014</w:t>
            </w:r>
          </w:p>
        </w:tc>
      </w:tr>
      <w:tr w:rsidR="0036017D" w14:paraId="0A9EB659" w14:textId="77777777" w:rsidTr="000A6429">
        <w:trPr>
          <w:trHeight w:val="184"/>
        </w:trPr>
        <w:tc>
          <w:tcPr>
            <w:tcW w:w="701" w:type="dxa"/>
            <w:tcBorders>
              <w:top w:val="nil"/>
              <w:left w:val="nil"/>
              <w:bottom w:val="nil"/>
              <w:right w:val="nil"/>
            </w:tcBorders>
            <w:shd w:val="clear" w:color="000000" w:fill="FFFFFF"/>
            <w:noWrap/>
            <w:vAlign w:val="bottom"/>
            <w:hideMark/>
          </w:tcPr>
          <w:p w14:paraId="4D0B97FD" w14:textId="77777777" w:rsidR="0086063E" w:rsidRDefault="0086063E">
            <w:pPr>
              <w:rPr>
                <w:i/>
                <w:iCs/>
                <w:color w:val="000000"/>
              </w:rPr>
            </w:pPr>
            <w:r>
              <w:rPr>
                <w:i/>
                <w:iCs/>
                <w:color w:val="000000"/>
              </w:rPr>
              <w:t> </w:t>
            </w:r>
          </w:p>
        </w:tc>
        <w:tc>
          <w:tcPr>
            <w:tcW w:w="826" w:type="dxa"/>
            <w:tcBorders>
              <w:top w:val="nil"/>
              <w:left w:val="nil"/>
              <w:bottom w:val="nil"/>
              <w:right w:val="nil"/>
            </w:tcBorders>
            <w:shd w:val="clear" w:color="000000" w:fill="FFFFFF"/>
            <w:noWrap/>
            <w:vAlign w:val="bottom"/>
            <w:hideMark/>
          </w:tcPr>
          <w:p w14:paraId="50D2A69E" w14:textId="77777777" w:rsidR="0086063E" w:rsidRDefault="0086063E">
            <w:pPr>
              <w:rPr>
                <w:i/>
                <w:iCs/>
                <w:color w:val="000000"/>
              </w:rPr>
            </w:pPr>
            <w:r>
              <w:rPr>
                <w:i/>
                <w:iCs/>
                <w:color w:val="000000"/>
              </w:rPr>
              <w:t> </w:t>
            </w:r>
          </w:p>
        </w:tc>
        <w:tc>
          <w:tcPr>
            <w:tcW w:w="826" w:type="dxa"/>
            <w:tcBorders>
              <w:top w:val="nil"/>
              <w:left w:val="nil"/>
              <w:bottom w:val="nil"/>
              <w:right w:val="nil"/>
            </w:tcBorders>
            <w:shd w:val="clear" w:color="000000" w:fill="FFFFFF"/>
            <w:noWrap/>
            <w:vAlign w:val="bottom"/>
            <w:hideMark/>
          </w:tcPr>
          <w:p w14:paraId="3C4ECFD8" w14:textId="77777777" w:rsidR="0086063E" w:rsidRDefault="0086063E">
            <w:pPr>
              <w:rPr>
                <w:color w:val="000000"/>
              </w:rPr>
            </w:pPr>
            <w:r>
              <w:rPr>
                <w:color w:val="000000"/>
              </w:rPr>
              <w:t> </w:t>
            </w:r>
          </w:p>
        </w:tc>
        <w:tc>
          <w:tcPr>
            <w:tcW w:w="826" w:type="dxa"/>
            <w:tcBorders>
              <w:top w:val="nil"/>
              <w:left w:val="nil"/>
              <w:bottom w:val="nil"/>
              <w:right w:val="nil"/>
            </w:tcBorders>
            <w:shd w:val="clear" w:color="000000" w:fill="FFFFFF"/>
            <w:noWrap/>
            <w:vAlign w:val="bottom"/>
            <w:hideMark/>
          </w:tcPr>
          <w:p w14:paraId="36886025" w14:textId="77777777" w:rsidR="0086063E" w:rsidRDefault="0086063E">
            <w:pP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28DD3AA4" w14:textId="77777777" w:rsidR="0086063E" w:rsidRDefault="0086063E">
            <w:pPr>
              <w:jc w:val="center"/>
              <w:rPr>
                <w:color w:val="000000"/>
              </w:rPr>
            </w:pPr>
            <w:r>
              <w:rPr>
                <w:color w:val="000000"/>
              </w:rPr>
              <w:t> </w:t>
            </w:r>
          </w:p>
        </w:tc>
        <w:tc>
          <w:tcPr>
            <w:tcW w:w="827" w:type="dxa"/>
            <w:tcBorders>
              <w:top w:val="nil"/>
              <w:left w:val="nil"/>
              <w:bottom w:val="nil"/>
              <w:right w:val="nil"/>
            </w:tcBorders>
            <w:shd w:val="clear" w:color="000000" w:fill="FFFFFF"/>
            <w:noWrap/>
            <w:vAlign w:val="bottom"/>
            <w:hideMark/>
          </w:tcPr>
          <w:p w14:paraId="4A1F7F31" w14:textId="77777777" w:rsidR="0086063E" w:rsidRDefault="0086063E">
            <w:pPr>
              <w:jc w:val="center"/>
              <w:rPr>
                <w:color w:val="000000"/>
              </w:rPr>
            </w:pPr>
            <w:r>
              <w:rPr>
                <w:color w:val="000000"/>
              </w:rPr>
              <w:t> </w:t>
            </w:r>
          </w:p>
        </w:tc>
        <w:tc>
          <w:tcPr>
            <w:tcW w:w="826" w:type="dxa"/>
            <w:tcBorders>
              <w:top w:val="nil"/>
              <w:left w:val="nil"/>
              <w:bottom w:val="nil"/>
              <w:right w:val="nil"/>
            </w:tcBorders>
            <w:shd w:val="clear" w:color="000000" w:fill="FFFFFF"/>
            <w:noWrap/>
            <w:vAlign w:val="bottom"/>
            <w:hideMark/>
          </w:tcPr>
          <w:p w14:paraId="355F5DEF" w14:textId="77777777" w:rsidR="0086063E" w:rsidRDefault="0086063E">
            <w:pPr>
              <w:jc w:val="center"/>
              <w:rPr>
                <w:color w:val="000000"/>
              </w:rPr>
            </w:pPr>
            <w:r>
              <w:rPr>
                <w:color w:val="000000"/>
              </w:rPr>
              <w:t> </w:t>
            </w:r>
          </w:p>
        </w:tc>
        <w:tc>
          <w:tcPr>
            <w:tcW w:w="826" w:type="dxa"/>
            <w:tcBorders>
              <w:top w:val="nil"/>
              <w:left w:val="nil"/>
              <w:bottom w:val="nil"/>
              <w:right w:val="nil"/>
            </w:tcBorders>
            <w:shd w:val="clear" w:color="000000" w:fill="FFFFFF"/>
            <w:noWrap/>
            <w:vAlign w:val="bottom"/>
            <w:hideMark/>
          </w:tcPr>
          <w:p w14:paraId="26A35937" w14:textId="77777777" w:rsidR="0086063E" w:rsidRDefault="0086063E">
            <w:pPr>
              <w:jc w:val="center"/>
              <w:rPr>
                <w:color w:val="000000"/>
              </w:rPr>
            </w:pPr>
            <w:r>
              <w:rPr>
                <w:color w:val="000000"/>
              </w:rPr>
              <w:t> </w:t>
            </w:r>
          </w:p>
        </w:tc>
        <w:tc>
          <w:tcPr>
            <w:tcW w:w="828" w:type="dxa"/>
            <w:tcBorders>
              <w:top w:val="nil"/>
              <w:left w:val="nil"/>
              <w:bottom w:val="nil"/>
              <w:right w:val="nil"/>
            </w:tcBorders>
            <w:shd w:val="clear" w:color="000000" w:fill="FFFFFF"/>
            <w:noWrap/>
            <w:vAlign w:val="bottom"/>
            <w:hideMark/>
          </w:tcPr>
          <w:p w14:paraId="63A26014" w14:textId="77777777" w:rsidR="0086063E" w:rsidRDefault="0086063E">
            <w:pPr>
              <w:jc w:val="center"/>
              <w:rPr>
                <w:color w:val="000000"/>
              </w:rPr>
            </w:pPr>
            <w:r>
              <w:rPr>
                <w:color w:val="000000"/>
              </w:rPr>
              <w:t> </w:t>
            </w:r>
          </w:p>
        </w:tc>
        <w:tc>
          <w:tcPr>
            <w:tcW w:w="827" w:type="dxa"/>
            <w:tcBorders>
              <w:top w:val="nil"/>
              <w:left w:val="nil"/>
              <w:bottom w:val="nil"/>
              <w:right w:val="nil"/>
            </w:tcBorders>
            <w:shd w:val="clear" w:color="000000" w:fill="FFFFFF"/>
            <w:noWrap/>
            <w:vAlign w:val="bottom"/>
            <w:hideMark/>
          </w:tcPr>
          <w:p w14:paraId="674CDBF2" w14:textId="77777777" w:rsidR="0086063E" w:rsidRDefault="0086063E">
            <w:pPr>
              <w:jc w:val="center"/>
              <w:rPr>
                <w:color w:val="000000"/>
              </w:rPr>
            </w:pPr>
            <w:r>
              <w:rPr>
                <w:color w:val="000000"/>
              </w:rPr>
              <w:t> </w:t>
            </w:r>
          </w:p>
        </w:tc>
      </w:tr>
      <w:tr w:rsidR="0036017D" w14:paraId="5923F31E" w14:textId="77777777" w:rsidTr="000A6429">
        <w:trPr>
          <w:trHeight w:val="308"/>
        </w:trPr>
        <w:tc>
          <w:tcPr>
            <w:tcW w:w="701" w:type="dxa"/>
            <w:tcBorders>
              <w:top w:val="nil"/>
              <w:left w:val="nil"/>
              <w:bottom w:val="nil"/>
              <w:right w:val="nil"/>
            </w:tcBorders>
            <w:shd w:val="clear" w:color="000000" w:fill="FFFFFF"/>
            <w:noWrap/>
            <w:vAlign w:val="bottom"/>
            <w:hideMark/>
          </w:tcPr>
          <w:p w14:paraId="05C6293C" w14:textId="77777777" w:rsidR="0086063E" w:rsidRDefault="0086063E">
            <w:pPr>
              <w:rPr>
                <w:i/>
                <w:iCs/>
                <w:color w:val="000000"/>
              </w:rPr>
            </w:pPr>
            <w:r>
              <w:rPr>
                <w:i/>
                <w:iCs/>
                <w:color w:val="000000"/>
              </w:rPr>
              <w:t> </w:t>
            </w:r>
          </w:p>
        </w:tc>
        <w:tc>
          <w:tcPr>
            <w:tcW w:w="826" w:type="dxa"/>
            <w:tcBorders>
              <w:top w:val="nil"/>
              <w:left w:val="nil"/>
              <w:bottom w:val="nil"/>
              <w:right w:val="nil"/>
            </w:tcBorders>
            <w:shd w:val="clear" w:color="000000" w:fill="FFFFFF"/>
            <w:noWrap/>
            <w:vAlign w:val="bottom"/>
            <w:hideMark/>
          </w:tcPr>
          <w:p w14:paraId="1E289F6B" w14:textId="77777777" w:rsidR="0086063E" w:rsidRDefault="0086063E">
            <w:pPr>
              <w:jc w:val="center"/>
              <w:rPr>
                <w:color w:val="000000"/>
                <w:u w:val="single"/>
              </w:rPr>
            </w:pPr>
            <w:r>
              <w:rPr>
                <w:color w:val="000000"/>
                <w:u w:val="single"/>
              </w:rPr>
              <w:t>2014</w:t>
            </w:r>
          </w:p>
        </w:tc>
        <w:tc>
          <w:tcPr>
            <w:tcW w:w="826" w:type="dxa"/>
            <w:tcBorders>
              <w:top w:val="nil"/>
              <w:left w:val="nil"/>
              <w:bottom w:val="nil"/>
              <w:right w:val="nil"/>
            </w:tcBorders>
            <w:shd w:val="clear" w:color="000000" w:fill="FFFFFF"/>
            <w:noWrap/>
            <w:vAlign w:val="bottom"/>
            <w:hideMark/>
          </w:tcPr>
          <w:p w14:paraId="17787D54" w14:textId="77777777" w:rsidR="0086063E" w:rsidRDefault="0086063E">
            <w:pPr>
              <w:jc w:val="center"/>
              <w:rPr>
                <w:color w:val="000000"/>
                <w:u w:val="single"/>
              </w:rPr>
            </w:pPr>
            <w:r>
              <w:rPr>
                <w:color w:val="000000"/>
                <w:u w:val="single"/>
              </w:rPr>
              <w:t>2013</w:t>
            </w:r>
          </w:p>
        </w:tc>
        <w:tc>
          <w:tcPr>
            <w:tcW w:w="826" w:type="dxa"/>
            <w:tcBorders>
              <w:top w:val="nil"/>
              <w:left w:val="nil"/>
              <w:bottom w:val="nil"/>
              <w:right w:val="nil"/>
            </w:tcBorders>
            <w:shd w:val="clear" w:color="000000" w:fill="FFFFFF"/>
            <w:noWrap/>
            <w:vAlign w:val="bottom"/>
            <w:hideMark/>
          </w:tcPr>
          <w:p w14:paraId="046CAE80" w14:textId="77777777" w:rsidR="0086063E" w:rsidRDefault="0086063E">
            <w:pPr>
              <w:jc w:val="center"/>
              <w:rPr>
                <w:color w:val="000000"/>
                <w:u w:val="single"/>
              </w:rPr>
            </w:pPr>
            <w:r>
              <w:rPr>
                <w:color w:val="000000"/>
                <w:u w:val="single"/>
              </w:rPr>
              <w:t>2012</w:t>
            </w:r>
          </w:p>
        </w:tc>
        <w:tc>
          <w:tcPr>
            <w:tcW w:w="828" w:type="dxa"/>
            <w:tcBorders>
              <w:top w:val="nil"/>
              <w:left w:val="nil"/>
              <w:bottom w:val="nil"/>
              <w:right w:val="nil"/>
            </w:tcBorders>
            <w:shd w:val="clear" w:color="000000" w:fill="FFFFFF"/>
            <w:vAlign w:val="bottom"/>
            <w:hideMark/>
          </w:tcPr>
          <w:p w14:paraId="586F13B4" w14:textId="77777777" w:rsidR="0086063E" w:rsidRDefault="0086063E">
            <w:pPr>
              <w:jc w:val="center"/>
              <w:rPr>
                <w:color w:val="000000"/>
                <w:u w:val="single"/>
              </w:rPr>
            </w:pPr>
            <w:r>
              <w:rPr>
                <w:color w:val="000000"/>
                <w:u w:val="single"/>
              </w:rPr>
              <w:t>2011</w:t>
            </w:r>
          </w:p>
        </w:tc>
        <w:tc>
          <w:tcPr>
            <w:tcW w:w="827" w:type="dxa"/>
            <w:tcBorders>
              <w:top w:val="nil"/>
              <w:left w:val="nil"/>
              <w:bottom w:val="nil"/>
              <w:right w:val="nil"/>
            </w:tcBorders>
            <w:shd w:val="clear" w:color="000000" w:fill="FFFFFF"/>
            <w:vAlign w:val="bottom"/>
            <w:hideMark/>
          </w:tcPr>
          <w:p w14:paraId="3853CADD" w14:textId="77777777" w:rsidR="0086063E" w:rsidRDefault="0086063E">
            <w:pPr>
              <w:jc w:val="center"/>
              <w:rPr>
                <w:color w:val="000000"/>
                <w:u w:val="single"/>
              </w:rPr>
            </w:pPr>
            <w:r>
              <w:rPr>
                <w:color w:val="000000"/>
                <w:u w:val="single"/>
              </w:rPr>
              <w:t>2010</w:t>
            </w:r>
          </w:p>
        </w:tc>
        <w:tc>
          <w:tcPr>
            <w:tcW w:w="826" w:type="dxa"/>
            <w:tcBorders>
              <w:top w:val="nil"/>
              <w:left w:val="nil"/>
              <w:bottom w:val="nil"/>
              <w:right w:val="nil"/>
            </w:tcBorders>
            <w:shd w:val="clear" w:color="000000" w:fill="FFFFFF"/>
            <w:vAlign w:val="bottom"/>
            <w:hideMark/>
          </w:tcPr>
          <w:p w14:paraId="019A5E66" w14:textId="77777777" w:rsidR="0086063E" w:rsidRDefault="0086063E">
            <w:pPr>
              <w:jc w:val="center"/>
              <w:rPr>
                <w:color w:val="000000"/>
                <w:u w:val="single"/>
              </w:rPr>
            </w:pPr>
            <w:r>
              <w:rPr>
                <w:color w:val="000000"/>
                <w:u w:val="single"/>
              </w:rPr>
              <w:t>2009</w:t>
            </w:r>
          </w:p>
        </w:tc>
        <w:tc>
          <w:tcPr>
            <w:tcW w:w="826" w:type="dxa"/>
            <w:tcBorders>
              <w:top w:val="nil"/>
              <w:left w:val="nil"/>
              <w:bottom w:val="nil"/>
              <w:right w:val="nil"/>
            </w:tcBorders>
            <w:shd w:val="clear" w:color="000000" w:fill="FFFFFF"/>
            <w:vAlign w:val="bottom"/>
            <w:hideMark/>
          </w:tcPr>
          <w:p w14:paraId="1A2427EE" w14:textId="77777777" w:rsidR="0086063E" w:rsidRDefault="0086063E">
            <w:pPr>
              <w:jc w:val="center"/>
              <w:rPr>
                <w:color w:val="000000"/>
                <w:u w:val="single"/>
              </w:rPr>
            </w:pPr>
            <w:r>
              <w:rPr>
                <w:color w:val="000000"/>
                <w:u w:val="single"/>
              </w:rPr>
              <w:t>2008</w:t>
            </w:r>
          </w:p>
        </w:tc>
        <w:tc>
          <w:tcPr>
            <w:tcW w:w="828" w:type="dxa"/>
            <w:tcBorders>
              <w:top w:val="nil"/>
              <w:left w:val="nil"/>
              <w:bottom w:val="nil"/>
              <w:right w:val="nil"/>
            </w:tcBorders>
            <w:shd w:val="clear" w:color="000000" w:fill="FFFFFF"/>
            <w:vAlign w:val="bottom"/>
            <w:hideMark/>
          </w:tcPr>
          <w:p w14:paraId="781C83C4" w14:textId="77777777" w:rsidR="0086063E" w:rsidRDefault="0086063E">
            <w:pPr>
              <w:jc w:val="center"/>
              <w:rPr>
                <w:color w:val="000000"/>
                <w:u w:val="single"/>
              </w:rPr>
            </w:pPr>
            <w:r>
              <w:rPr>
                <w:color w:val="000000"/>
                <w:u w:val="single"/>
              </w:rPr>
              <w:t>2007</w:t>
            </w:r>
          </w:p>
        </w:tc>
        <w:tc>
          <w:tcPr>
            <w:tcW w:w="827" w:type="dxa"/>
            <w:tcBorders>
              <w:top w:val="nil"/>
              <w:left w:val="nil"/>
              <w:bottom w:val="nil"/>
              <w:right w:val="nil"/>
            </w:tcBorders>
            <w:shd w:val="clear" w:color="000000" w:fill="FFFFFF"/>
            <w:vAlign w:val="bottom"/>
            <w:hideMark/>
          </w:tcPr>
          <w:p w14:paraId="78F7E548" w14:textId="77777777" w:rsidR="0086063E" w:rsidRDefault="0086063E">
            <w:pPr>
              <w:jc w:val="center"/>
              <w:rPr>
                <w:color w:val="000000"/>
                <w:u w:val="single"/>
              </w:rPr>
            </w:pPr>
            <w:r>
              <w:rPr>
                <w:color w:val="000000"/>
                <w:u w:val="single"/>
              </w:rPr>
              <w:t>2006</w:t>
            </w:r>
          </w:p>
        </w:tc>
      </w:tr>
      <w:tr w:rsidR="0036017D" w14:paraId="7B9723C0" w14:textId="77777777" w:rsidTr="000A6429">
        <w:trPr>
          <w:trHeight w:val="308"/>
        </w:trPr>
        <w:tc>
          <w:tcPr>
            <w:tcW w:w="701" w:type="dxa"/>
            <w:tcBorders>
              <w:top w:val="nil"/>
              <w:left w:val="nil"/>
              <w:bottom w:val="nil"/>
              <w:right w:val="nil"/>
            </w:tcBorders>
            <w:shd w:val="clear" w:color="000000" w:fill="FFFFFF"/>
            <w:noWrap/>
            <w:vAlign w:val="bottom"/>
            <w:hideMark/>
          </w:tcPr>
          <w:p w14:paraId="53329865" w14:textId="77777777" w:rsidR="0086063E" w:rsidRDefault="0086063E">
            <w:pPr>
              <w:jc w:val="center"/>
              <w:rPr>
                <w:color w:val="000000"/>
                <w:u w:val="single"/>
              </w:rPr>
            </w:pPr>
            <w:r>
              <w:rPr>
                <w:color w:val="000000"/>
                <w:u w:val="single"/>
              </w:rPr>
              <w:t>2014</w:t>
            </w:r>
          </w:p>
        </w:tc>
        <w:tc>
          <w:tcPr>
            <w:tcW w:w="826" w:type="dxa"/>
            <w:tcBorders>
              <w:top w:val="nil"/>
              <w:left w:val="nil"/>
              <w:bottom w:val="nil"/>
              <w:right w:val="nil"/>
            </w:tcBorders>
            <w:shd w:val="clear" w:color="000000" w:fill="FFFFFF"/>
            <w:noWrap/>
            <w:vAlign w:val="bottom"/>
            <w:hideMark/>
          </w:tcPr>
          <w:p w14:paraId="570D3401" w14:textId="77777777" w:rsidR="0086063E" w:rsidRDefault="0086063E">
            <w:pPr>
              <w:jc w:val="center"/>
              <w:rPr>
                <w:color w:val="000000"/>
                <w:sz w:val="22"/>
                <w:szCs w:val="22"/>
              </w:rPr>
            </w:pPr>
            <w:r>
              <w:rPr>
                <w:color w:val="000000"/>
                <w:sz w:val="22"/>
                <w:szCs w:val="22"/>
              </w:rPr>
              <w:t>1.000</w:t>
            </w:r>
          </w:p>
        </w:tc>
        <w:tc>
          <w:tcPr>
            <w:tcW w:w="826" w:type="dxa"/>
            <w:tcBorders>
              <w:top w:val="nil"/>
              <w:left w:val="nil"/>
              <w:bottom w:val="nil"/>
              <w:right w:val="nil"/>
            </w:tcBorders>
            <w:shd w:val="clear" w:color="000000" w:fill="FFFFFF"/>
            <w:noWrap/>
            <w:vAlign w:val="bottom"/>
            <w:hideMark/>
          </w:tcPr>
          <w:p w14:paraId="3090F7FC" w14:textId="77777777" w:rsidR="0086063E" w:rsidRDefault="0086063E">
            <w:pPr>
              <w:jc w:val="center"/>
              <w:rPr>
                <w:color w:val="000000"/>
                <w:sz w:val="22"/>
                <w:szCs w:val="22"/>
              </w:rPr>
            </w:pPr>
            <w:r>
              <w:rPr>
                <w:color w:val="000000"/>
                <w:sz w:val="22"/>
                <w:szCs w:val="22"/>
              </w:rPr>
              <w:t>.987**</w:t>
            </w:r>
          </w:p>
        </w:tc>
        <w:tc>
          <w:tcPr>
            <w:tcW w:w="826" w:type="dxa"/>
            <w:tcBorders>
              <w:top w:val="nil"/>
              <w:left w:val="nil"/>
              <w:bottom w:val="nil"/>
              <w:right w:val="nil"/>
            </w:tcBorders>
            <w:shd w:val="clear" w:color="000000" w:fill="FFFFFF"/>
            <w:noWrap/>
            <w:vAlign w:val="bottom"/>
            <w:hideMark/>
          </w:tcPr>
          <w:p w14:paraId="44864E6C" w14:textId="77777777" w:rsidR="0086063E" w:rsidRDefault="0086063E">
            <w:pPr>
              <w:jc w:val="center"/>
              <w:rPr>
                <w:color w:val="000000"/>
                <w:sz w:val="22"/>
                <w:szCs w:val="22"/>
              </w:rPr>
            </w:pPr>
            <w:r>
              <w:rPr>
                <w:color w:val="000000"/>
                <w:sz w:val="22"/>
                <w:szCs w:val="22"/>
              </w:rPr>
              <w:t>.980**</w:t>
            </w:r>
          </w:p>
        </w:tc>
        <w:tc>
          <w:tcPr>
            <w:tcW w:w="828" w:type="dxa"/>
            <w:tcBorders>
              <w:top w:val="nil"/>
              <w:left w:val="nil"/>
              <w:bottom w:val="nil"/>
              <w:right w:val="nil"/>
            </w:tcBorders>
            <w:shd w:val="clear" w:color="000000" w:fill="FFFFFF"/>
            <w:noWrap/>
            <w:vAlign w:val="bottom"/>
            <w:hideMark/>
          </w:tcPr>
          <w:p w14:paraId="6F7B50D6" w14:textId="77777777" w:rsidR="0086063E" w:rsidRDefault="0086063E">
            <w:pPr>
              <w:jc w:val="center"/>
              <w:rPr>
                <w:color w:val="000000"/>
                <w:sz w:val="22"/>
                <w:szCs w:val="22"/>
              </w:rPr>
            </w:pPr>
            <w:r>
              <w:rPr>
                <w:color w:val="000000"/>
                <w:sz w:val="22"/>
                <w:szCs w:val="22"/>
              </w:rPr>
              <w:t>.970**</w:t>
            </w:r>
          </w:p>
        </w:tc>
        <w:tc>
          <w:tcPr>
            <w:tcW w:w="827" w:type="dxa"/>
            <w:tcBorders>
              <w:top w:val="nil"/>
              <w:left w:val="nil"/>
              <w:bottom w:val="nil"/>
              <w:right w:val="nil"/>
            </w:tcBorders>
            <w:shd w:val="clear" w:color="000000" w:fill="FFFFFF"/>
            <w:noWrap/>
            <w:vAlign w:val="bottom"/>
            <w:hideMark/>
          </w:tcPr>
          <w:p w14:paraId="68D90625" w14:textId="77777777" w:rsidR="0086063E" w:rsidRDefault="0086063E">
            <w:pPr>
              <w:jc w:val="center"/>
              <w:rPr>
                <w:color w:val="000000"/>
                <w:sz w:val="22"/>
                <w:szCs w:val="22"/>
              </w:rPr>
            </w:pPr>
            <w:r>
              <w:rPr>
                <w:color w:val="000000"/>
                <w:sz w:val="22"/>
                <w:szCs w:val="22"/>
              </w:rPr>
              <w:t>.959**</w:t>
            </w:r>
          </w:p>
        </w:tc>
        <w:tc>
          <w:tcPr>
            <w:tcW w:w="826" w:type="dxa"/>
            <w:tcBorders>
              <w:top w:val="nil"/>
              <w:left w:val="nil"/>
              <w:bottom w:val="nil"/>
              <w:right w:val="nil"/>
            </w:tcBorders>
            <w:shd w:val="clear" w:color="000000" w:fill="FFFFFF"/>
            <w:noWrap/>
            <w:vAlign w:val="bottom"/>
            <w:hideMark/>
          </w:tcPr>
          <w:p w14:paraId="68CDA290" w14:textId="77777777" w:rsidR="0086063E" w:rsidRDefault="0086063E">
            <w:pPr>
              <w:jc w:val="center"/>
              <w:rPr>
                <w:color w:val="000000"/>
                <w:sz w:val="22"/>
                <w:szCs w:val="22"/>
              </w:rPr>
            </w:pPr>
            <w:r>
              <w:rPr>
                <w:color w:val="000000"/>
                <w:sz w:val="22"/>
                <w:szCs w:val="22"/>
              </w:rPr>
              <w:t>.954**</w:t>
            </w:r>
          </w:p>
        </w:tc>
        <w:tc>
          <w:tcPr>
            <w:tcW w:w="826" w:type="dxa"/>
            <w:tcBorders>
              <w:top w:val="nil"/>
              <w:left w:val="nil"/>
              <w:bottom w:val="nil"/>
              <w:right w:val="nil"/>
            </w:tcBorders>
            <w:shd w:val="clear" w:color="000000" w:fill="FFFFFF"/>
            <w:noWrap/>
            <w:vAlign w:val="bottom"/>
            <w:hideMark/>
          </w:tcPr>
          <w:p w14:paraId="33E26872" w14:textId="77777777" w:rsidR="0086063E" w:rsidRDefault="0086063E">
            <w:pPr>
              <w:jc w:val="center"/>
              <w:rPr>
                <w:color w:val="000000"/>
                <w:sz w:val="22"/>
                <w:szCs w:val="22"/>
              </w:rPr>
            </w:pPr>
            <w:r>
              <w:rPr>
                <w:color w:val="000000"/>
                <w:sz w:val="22"/>
                <w:szCs w:val="22"/>
              </w:rPr>
              <w:t>.941**</w:t>
            </w:r>
          </w:p>
        </w:tc>
        <w:tc>
          <w:tcPr>
            <w:tcW w:w="828" w:type="dxa"/>
            <w:tcBorders>
              <w:top w:val="nil"/>
              <w:left w:val="nil"/>
              <w:bottom w:val="nil"/>
              <w:right w:val="nil"/>
            </w:tcBorders>
            <w:shd w:val="clear" w:color="000000" w:fill="FFFFFF"/>
            <w:noWrap/>
            <w:vAlign w:val="bottom"/>
            <w:hideMark/>
          </w:tcPr>
          <w:p w14:paraId="0FCDBA1B" w14:textId="77777777" w:rsidR="0086063E" w:rsidRDefault="0086063E">
            <w:pPr>
              <w:jc w:val="center"/>
              <w:rPr>
                <w:color w:val="000000"/>
                <w:sz w:val="22"/>
                <w:szCs w:val="22"/>
              </w:rPr>
            </w:pPr>
            <w:r>
              <w:rPr>
                <w:color w:val="000000"/>
                <w:sz w:val="22"/>
                <w:szCs w:val="22"/>
              </w:rPr>
              <w:t>.936**</w:t>
            </w:r>
          </w:p>
        </w:tc>
        <w:tc>
          <w:tcPr>
            <w:tcW w:w="827" w:type="dxa"/>
            <w:tcBorders>
              <w:top w:val="nil"/>
              <w:left w:val="nil"/>
              <w:bottom w:val="nil"/>
              <w:right w:val="nil"/>
            </w:tcBorders>
            <w:shd w:val="clear" w:color="000000" w:fill="FFFFFF"/>
            <w:noWrap/>
            <w:vAlign w:val="bottom"/>
            <w:hideMark/>
          </w:tcPr>
          <w:p w14:paraId="6269455E" w14:textId="77777777" w:rsidR="0086063E" w:rsidRDefault="0086063E">
            <w:pPr>
              <w:jc w:val="center"/>
              <w:rPr>
                <w:color w:val="000000"/>
                <w:sz w:val="22"/>
                <w:szCs w:val="22"/>
              </w:rPr>
            </w:pPr>
            <w:r>
              <w:rPr>
                <w:color w:val="000000"/>
                <w:sz w:val="22"/>
                <w:szCs w:val="22"/>
              </w:rPr>
              <w:t>.933**</w:t>
            </w:r>
          </w:p>
        </w:tc>
      </w:tr>
      <w:tr w:rsidR="0036017D" w14:paraId="194D13CA" w14:textId="77777777" w:rsidTr="000A6429">
        <w:trPr>
          <w:trHeight w:val="308"/>
        </w:trPr>
        <w:tc>
          <w:tcPr>
            <w:tcW w:w="701" w:type="dxa"/>
            <w:tcBorders>
              <w:top w:val="nil"/>
              <w:left w:val="nil"/>
              <w:bottom w:val="nil"/>
              <w:right w:val="nil"/>
            </w:tcBorders>
            <w:shd w:val="clear" w:color="000000" w:fill="FFFFFF"/>
            <w:noWrap/>
            <w:vAlign w:val="bottom"/>
            <w:hideMark/>
          </w:tcPr>
          <w:p w14:paraId="70437F92" w14:textId="77777777" w:rsidR="0086063E" w:rsidRDefault="0086063E">
            <w:pPr>
              <w:jc w:val="center"/>
              <w:rPr>
                <w:color w:val="000000"/>
                <w:u w:val="single"/>
              </w:rPr>
            </w:pPr>
            <w:r>
              <w:rPr>
                <w:color w:val="000000"/>
                <w:u w:val="single"/>
              </w:rPr>
              <w:t>2013</w:t>
            </w:r>
          </w:p>
        </w:tc>
        <w:tc>
          <w:tcPr>
            <w:tcW w:w="826" w:type="dxa"/>
            <w:tcBorders>
              <w:top w:val="nil"/>
              <w:left w:val="nil"/>
              <w:bottom w:val="nil"/>
              <w:right w:val="nil"/>
            </w:tcBorders>
            <w:shd w:val="clear" w:color="000000" w:fill="FFFFFF"/>
            <w:noWrap/>
            <w:vAlign w:val="bottom"/>
            <w:hideMark/>
          </w:tcPr>
          <w:p w14:paraId="688209EF" w14:textId="77777777" w:rsidR="0086063E" w:rsidRDefault="0086063E">
            <w:pPr>
              <w:jc w:val="center"/>
              <w:rPr>
                <w:color w:val="000000"/>
                <w:sz w:val="22"/>
                <w:szCs w:val="22"/>
              </w:rPr>
            </w:pPr>
            <w:r>
              <w:rPr>
                <w:color w:val="000000"/>
                <w:sz w:val="22"/>
                <w:szCs w:val="22"/>
              </w:rPr>
              <w:t>.987**</w:t>
            </w:r>
          </w:p>
        </w:tc>
        <w:tc>
          <w:tcPr>
            <w:tcW w:w="826" w:type="dxa"/>
            <w:tcBorders>
              <w:top w:val="nil"/>
              <w:left w:val="nil"/>
              <w:bottom w:val="nil"/>
              <w:right w:val="nil"/>
            </w:tcBorders>
            <w:shd w:val="clear" w:color="000000" w:fill="FFFFFF"/>
            <w:noWrap/>
            <w:vAlign w:val="bottom"/>
            <w:hideMark/>
          </w:tcPr>
          <w:p w14:paraId="5FC40671" w14:textId="77777777" w:rsidR="0086063E" w:rsidRDefault="0086063E">
            <w:pPr>
              <w:jc w:val="center"/>
              <w:rPr>
                <w:color w:val="000000"/>
                <w:sz w:val="22"/>
                <w:szCs w:val="22"/>
              </w:rPr>
            </w:pPr>
            <w:r>
              <w:rPr>
                <w:color w:val="000000"/>
                <w:sz w:val="22"/>
                <w:szCs w:val="22"/>
              </w:rPr>
              <w:t>1.000</w:t>
            </w:r>
          </w:p>
        </w:tc>
        <w:tc>
          <w:tcPr>
            <w:tcW w:w="826" w:type="dxa"/>
            <w:tcBorders>
              <w:top w:val="nil"/>
              <w:left w:val="nil"/>
              <w:bottom w:val="nil"/>
              <w:right w:val="nil"/>
            </w:tcBorders>
            <w:shd w:val="clear" w:color="000000" w:fill="FFFFFF"/>
            <w:noWrap/>
            <w:vAlign w:val="bottom"/>
            <w:hideMark/>
          </w:tcPr>
          <w:p w14:paraId="7E37F71C" w14:textId="77777777" w:rsidR="0086063E" w:rsidRDefault="0086063E">
            <w:pPr>
              <w:jc w:val="center"/>
              <w:rPr>
                <w:color w:val="000000"/>
                <w:sz w:val="22"/>
                <w:szCs w:val="22"/>
              </w:rPr>
            </w:pPr>
            <w:r>
              <w:rPr>
                <w:color w:val="000000"/>
                <w:sz w:val="22"/>
                <w:szCs w:val="22"/>
              </w:rPr>
              <w:t>.987**</w:t>
            </w:r>
          </w:p>
        </w:tc>
        <w:tc>
          <w:tcPr>
            <w:tcW w:w="828" w:type="dxa"/>
            <w:tcBorders>
              <w:top w:val="nil"/>
              <w:left w:val="nil"/>
              <w:bottom w:val="nil"/>
              <w:right w:val="nil"/>
            </w:tcBorders>
            <w:shd w:val="clear" w:color="000000" w:fill="FFFFFF"/>
            <w:noWrap/>
            <w:vAlign w:val="bottom"/>
            <w:hideMark/>
          </w:tcPr>
          <w:p w14:paraId="440FFA1D" w14:textId="77777777" w:rsidR="0086063E" w:rsidRDefault="0086063E">
            <w:pPr>
              <w:jc w:val="center"/>
              <w:rPr>
                <w:color w:val="000000"/>
                <w:sz w:val="22"/>
                <w:szCs w:val="22"/>
              </w:rPr>
            </w:pPr>
            <w:r>
              <w:rPr>
                <w:color w:val="000000"/>
                <w:sz w:val="22"/>
                <w:szCs w:val="22"/>
              </w:rPr>
              <w:t>.976**</w:t>
            </w:r>
          </w:p>
        </w:tc>
        <w:tc>
          <w:tcPr>
            <w:tcW w:w="827" w:type="dxa"/>
            <w:tcBorders>
              <w:top w:val="nil"/>
              <w:left w:val="nil"/>
              <w:bottom w:val="nil"/>
              <w:right w:val="nil"/>
            </w:tcBorders>
            <w:shd w:val="clear" w:color="000000" w:fill="FFFFFF"/>
            <w:noWrap/>
            <w:vAlign w:val="bottom"/>
            <w:hideMark/>
          </w:tcPr>
          <w:p w14:paraId="33FAF7A3" w14:textId="77777777" w:rsidR="0086063E" w:rsidRDefault="0086063E">
            <w:pPr>
              <w:jc w:val="center"/>
              <w:rPr>
                <w:color w:val="000000"/>
                <w:sz w:val="22"/>
                <w:szCs w:val="22"/>
              </w:rPr>
            </w:pPr>
            <w:r>
              <w:rPr>
                <w:color w:val="000000"/>
                <w:sz w:val="22"/>
                <w:szCs w:val="22"/>
              </w:rPr>
              <w:t>.969**</w:t>
            </w:r>
          </w:p>
        </w:tc>
        <w:tc>
          <w:tcPr>
            <w:tcW w:w="826" w:type="dxa"/>
            <w:tcBorders>
              <w:top w:val="nil"/>
              <w:left w:val="nil"/>
              <w:bottom w:val="nil"/>
              <w:right w:val="nil"/>
            </w:tcBorders>
            <w:shd w:val="clear" w:color="000000" w:fill="FFFFFF"/>
            <w:noWrap/>
            <w:vAlign w:val="bottom"/>
            <w:hideMark/>
          </w:tcPr>
          <w:p w14:paraId="3DFAFE88" w14:textId="77777777" w:rsidR="0086063E" w:rsidRDefault="0086063E">
            <w:pPr>
              <w:jc w:val="center"/>
              <w:rPr>
                <w:color w:val="000000"/>
                <w:sz w:val="22"/>
                <w:szCs w:val="22"/>
              </w:rPr>
            </w:pPr>
            <w:r>
              <w:rPr>
                <w:color w:val="000000"/>
                <w:sz w:val="22"/>
                <w:szCs w:val="22"/>
              </w:rPr>
              <w:t>.963**</w:t>
            </w:r>
          </w:p>
        </w:tc>
        <w:tc>
          <w:tcPr>
            <w:tcW w:w="826" w:type="dxa"/>
            <w:tcBorders>
              <w:top w:val="nil"/>
              <w:left w:val="nil"/>
              <w:bottom w:val="nil"/>
              <w:right w:val="nil"/>
            </w:tcBorders>
            <w:shd w:val="clear" w:color="000000" w:fill="FFFFFF"/>
            <w:noWrap/>
            <w:vAlign w:val="bottom"/>
            <w:hideMark/>
          </w:tcPr>
          <w:p w14:paraId="61038AD6" w14:textId="77777777" w:rsidR="0086063E" w:rsidRDefault="0086063E">
            <w:pPr>
              <w:jc w:val="center"/>
              <w:rPr>
                <w:color w:val="000000"/>
                <w:sz w:val="22"/>
                <w:szCs w:val="22"/>
              </w:rPr>
            </w:pPr>
            <w:r>
              <w:rPr>
                <w:color w:val="000000"/>
                <w:sz w:val="22"/>
                <w:szCs w:val="22"/>
              </w:rPr>
              <w:t>.947**</w:t>
            </w:r>
          </w:p>
        </w:tc>
        <w:tc>
          <w:tcPr>
            <w:tcW w:w="828" w:type="dxa"/>
            <w:tcBorders>
              <w:top w:val="nil"/>
              <w:left w:val="nil"/>
              <w:bottom w:val="nil"/>
              <w:right w:val="nil"/>
            </w:tcBorders>
            <w:shd w:val="clear" w:color="000000" w:fill="FFFFFF"/>
            <w:noWrap/>
            <w:vAlign w:val="bottom"/>
            <w:hideMark/>
          </w:tcPr>
          <w:p w14:paraId="5FF20F01" w14:textId="77777777" w:rsidR="0086063E" w:rsidRDefault="0086063E">
            <w:pPr>
              <w:jc w:val="center"/>
              <w:rPr>
                <w:color w:val="000000"/>
                <w:sz w:val="22"/>
                <w:szCs w:val="22"/>
              </w:rPr>
            </w:pPr>
            <w:r>
              <w:rPr>
                <w:color w:val="000000"/>
                <w:sz w:val="22"/>
                <w:szCs w:val="22"/>
              </w:rPr>
              <w:t>.941**</w:t>
            </w:r>
          </w:p>
        </w:tc>
        <w:tc>
          <w:tcPr>
            <w:tcW w:w="827" w:type="dxa"/>
            <w:tcBorders>
              <w:top w:val="nil"/>
              <w:left w:val="nil"/>
              <w:bottom w:val="nil"/>
              <w:right w:val="nil"/>
            </w:tcBorders>
            <w:shd w:val="clear" w:color="000000" w:fill="FFFFFF"/>
            <w:noWrap/>
            <w:vAlign w:val="bottom"/>
            <w:hideMark/>
          </w:tcPr>
          <w:p w14:paraId="64367C57" w14:textId="77777777" w:rsidR="0086063E" w:rsidRDefault="0086063E">
            <w:pPr>
              <w:jc w:val="center"/>
              <w:rPr>
                <w:color w:val="000000"/>
                <w:sz w:val="22"/>
                <w:szCs w:val="22"/>
              </w:rPr>
            </w:pPr>
            <w:r>
              <w:rPr>
                <w:color w:val="000000"/>
                <w:sz w:val="22"/>
                <w:szCs w:val="22"/>
              </w:rPr>
              <w:t>.939**</w:t>
            </w:r>
          </w:p>
        </w:tc>
      </w:tr>
      <w:tr w:rsidR="0036017D" w14:paraId="6772F392" w14:textId="77777777" w:rsidTr="000A6429">
        <w:trPr>
          <w:trHeight w:val="308"/>
        </w:trPr>
        <w:tc>
          <w:tcPr>
            <w:tcW w:w="701" w:type="dxa"/>
            <w:tcBorders>
              <w:top w:val="nil"/>
              <w:left w:val="nil"/>
              <w:bottom w:val="nil"/>
              <w:right w:val="nil"/>
            </w:tcBorders>
            <w:shd w:val="clear" w:color="000000" w:fill="FFFFFF"/>
            <w:noWrap/>
            <w:vAlign w:val="bottom"/>
            <w:hideMark/>
          </w:tcPr>
          <w:p w14:paraId="3CFCDB5D" w14:textId="77777777" w:rsidR="0086063E" w:rsidRDefault="0086063E">
            <w:pPr>
              <w:jc w:val="center"/>
              <w:rPr>
                <w:color w:val="000000"/>
                <w:u w:val="single"/>
              </w:rPr>
            </w:pPr>
            <w:r>
              <w:rPr>
                <w:color w:val="000000"/>
                <w:u w:val="single"/>
              </w:rPr>
              <w:t>2012</w:t>
            </w:r>
          </w:p>
        </w:tc>
        <w:tc>
          <w:tcPr>
            <w:tcW w:w="826" w:type="dxa"/>
            <w:tcBorders>
              <w:top w:val="nil"/>
              <w:left w:val="nil"/>
              <w:bottom w:val="nil"/>
              <w:right w:val="nil"/>
            </w:tcBorders>
            <w:shd w:val="clear" w:color="000000" w:fill="FFFFFF"/>
            <w:noWrap/>
            <w:vAlign w:val="bottom"/>
            <w:hideMark/>
          </w:tcPr>
          <w:p w14:paraId="4B78545A" w14:textId="77777777" w:rsidR="0086063E" w:rsidRDefault="0086063E">
            <w:pPr>
              <w:jc w:val="center"/>
              <w:rPr>
                <w:color w:val="000000"/>
                <w:sz w:val="22"/>
                <w:szCs w:val="22"/>
              </w:rPr>
            </w:pPr>
            <w:r>
              <w:rPr>
                <w:color w:val="000000"/>
                <w:sz w:val="22"/>
                <w:szCs w:val="22"/>
              </w:rPr>
              <w:t>.980**</w:t>
            </w:r>
          </w:p>
        </w:tc>
        <w:tc>
          <w:tcPr>
            <w:tcW w:w="826" w:type="dxa"/>
            <w:tcBorders>
              <w:top w:val="nil"/>
              <w:left w:val="nil"/>
              <w:bottom w:val="nil"/>
              <w:right w:val="nil"/>
            </w:tcBorders>
            <w:shd w:val="clear" w:color="000000" w:fill="FFFFFF"/>
            <w:noWrap/>
            <w:vAlign w:val="bottom"/>
            <w:hideMark/>
          </w:tcPr>
          <w:p w14:paraId="6248EB2B" w14:textId="77777777" w:rsidR="0086063E" w:rsidRDefault="0086063E">
            <w:pPr>
              <w:jc w:val="center"/>
              <w:rPr>
                <w:color w:val="000000"/>
                <w:sz w:val="22"/>
                <w:szCs w:val="22"/>
              </w:rPr>
            </w:pPr>
            <w:r>
              <w:rPr>
                <w:color w:val="000000"/>
                <w:sz w:val="22"/>
                <w:szCs w:val="22"/>
              </w:rPr>
              <w:t>.987**</w:t>
            </w:r>
          </w:p>
        </w:tc>
        <w:tc>
          <w:tcPr>
            <w:tcW w:w="826" w:type="dxa"/>
            <w:tcBorders>
              <w:top w:val="nil"/>
              <w:left w:val="nil"/>
              <w:bottom w:val="nil"/>
              <w:right w:val="nil"/>
            </w:tcBorders>
            <w:shd w:val="clear" w:color="000000" w:fill="FFFFFF"/>
            <w:noWrap/>
            <w:vAlign w:val="bottom"/>
            <w:hideMark/>
          </w:tcPr>
          <w:p w14:paraId="2272AEBC" w14:textId="77777777" w:rsidR="0086063E" w:rsidRDefault="0086063E">
            <w:pPr>
              <w:jc w:val="center"/>
              <w:rPr>
                <w:color w:val="000000"/>
                <w:sz w:val="22"/>
                <w:szCs w:val="22"/>
              </w:rPr>
            </w:pPr>
            <w:r>
              <w:rPr>
                <w:color w:val="000000"/>
                <w:sz w:val="22"/>
                <w:szCs w:val="22"/>
              </w:rPr>
              <w:t>1.000</w:t>
            </w:r>
          </w:p>
        </w:tc>
        <w:tc>
          <w:tcPr>
            <w:tcW w:w="828" w:type="dxa"/>
            <w:tcBorders>
              <w:top w:val="nil"/>
              <w:left w:val="nil"/>
              <w:bottom w:val="nil"/>
              <w:right w:val="nil"/>
            </w:tcBorders>
            <w:shd w:val="clear" w:color="000000" w:fill="FFFFFF"/>
            <w:noWrap/>
            <w:vAlign w:val="bottom"/>
            <w:hideMark/>
          </w:tcPr>
          <w:p w14:paraId="24A61B2B" w14:textId="77777777" w:rsidR="0086063E" w:rsidRDefault="0086063E">
            <w:pPr>
              <w:jc w:val="center"/>
              <w:rPr>
                <w:color w:val="000000"/>
                <w:sz w:val="22"/>
                <w:szCs w:val="22"/>
              </w:rPr>
            </w:pPr>
            <w:r>
              <w:rPr>
                <w:color w:val="000000"/>
                <w:sz w:val="22"/>
                <w:szCs w:val="22"/>
              </w:rPr>
              <w:t>.989**</w:t>
            </w:r>
          </w:p>
        </w:tc>
        <w:tc>
          <w:tcPr>
            <w:tcW w:w="827" w:type="dxa"/>
            <w:tcBorders>
              <w:top w:val="nil"/>
              <w:left w:val="nil"/>
              <w:bottom w:val="nil"/>
              <w:right w:val="nil"/>
            </w:tcBorders>
            <w:shd w:val="clear" w:color="000000" w:fill="FFFFFF"/>
            <w:noWrap/>
            <w:vAlign w:val="bottom"/>
            <w:hideMark/>
          </w:tcPr>
          <w:p w14:paraId="136D154B" w14:textId="77777777" w:rsidR="0086063E" w:rsidRDefault="0086063E">
            <w:pPr>
              <w:jc w:val="center"/>
              <w:rPr>
                <w:color w:val="000000"/>
                <w:sz w:val="22"/>
                <w:szCs w:val="22"/>
              </w:rPr>
            </w:pPr>
            <w:r>
              <w:rPr>
                <w:color w:val="000000"/>
                <w:sz w:val="22"/>
                <w:szCs w:val="22"/>
              </w:rPr>
              <w:t>.980**</w:t>
            </w:r>
          </w:p>
        </w:tc>
        <w:tc>
          <w:tcPr>
            <w:tcW w:w="826" w:type="dxa"/>
            <w:tcBorders>
              <w:top w:val="nil"/>
              <w:left w:val="nil"/>
              <w:bottom w:val="nil"/>
              <w:right w:val="nil"/>
            </w:tcBorders>
            <w:shd w:val="clear" w:color="000000" w:fill="FFFFFF"/>
            <w:noWrap/>
            <w:vAlign w:val="bottom"/>
            <w:hideMark/>
          </w:tcPr>
          <w:p w14:paraId="5AD69B76" w14:textId="77777777" w:rsidR="0086063E" w:rsidRDefault="0086063E">
            <w:pPr>
              <w:jc w:val="center"/>
              <w:rPr>
                <w:color w:val="000000"/>
                <w:sz w:val="22"/>
                <w:szCs w:val="22"/>
              </w:rPr>
            </w:pPr>
            <w:r>
              <w:rPr>
                <w:color w:val="000000"/>
                <w:sz w:val="22"/>
                <w:szCs w:val="22"/>
              </w:rPr>
              <w:t>.972**</w:t>
            </w:r>
          </w:p>
        </w:tc>
        <w:tc>
          <w:tcPr>
            <w:tcW w:w="826" w:type="dxa"/>
            <w:tcBorders>
              <w:top w:val="nil"/>
              <w:left w:val="nil"/>
              <w:bottom w:val="nil"/>
              <w:right w:val="nil"/>
            </w:tcBorders>
            <w:shd w:val="clear" w:color="000000" w:fill="FFFFFF"/>
            <w:noWrap/>
            <w:vAlign w:val="bottom"/>
            <w:hideMark/>
          </w:tcPr>
          <w:p w14:paraId="7616E710" w14:textId="77777777" w:rsidR="0086063E" w:rsidRDefault="0086063E">
            <w:pPr>
              <w:jc w:val="center"/>
              <w:rPr>
                <w:color w:val="000000"/>
                <w:sz w:val="22"/>
                <w:szCs w:val="22"/>
              </w:rPr>
            </w:pPr>
            <w:r>
              <w:rPr>
                <w:color w:val="000000"/>
                <w:sz w:val="22"/>
                <w:szCs w:val="22"/>
              </w:rPr>
              <w:t>.957**</w:t>
            </w:r>
          </w:p>
        </w:tc>
        <w:tc>
          <w:tcPr>
            <w:tcW w:w="828" w:type="dxa"/>
            <w:tcBorders>
              <w:top w:val="nil"/>
              <w:left w:val="nil"/>
              <w:bottom w:val="nil"/>
              <w:right w:val="nil"/>
            </w:tcBorders>
            <w:shd w:val="clear" w:color="000000" w:fill="FFFFFF"/>
            <w:noWrap/>
            <w:vAlign w:val="bottom"/>
            <w:hideMark/>
          </w:tcPr>
          <w:p w14:paraId="67AB51E9" w14:textId="77777777" w:rsidR="0086063E" w:rsidRDefault="0086063E">
            <w:pPr>
              <w:jc w:val="center"/>
              <w:rPr>
                <w:color w:val="000000"/>
                <w:sz w:val="22"/>
                <w:szCs w:val="22"/>
              </w:rPr>
            </w:pPr>
            <w:r>
              <w:rPr>
                <w:color w:val="000000"/>
                <w:sz w:val="22"/>
                <w:szCs w:val="22"/>
              </w:rPr>
              <w:t>.952**</w:t>
            </w:r>
          </w:p>
        </w:tc>
        <w:tc>
          <w:tcPr>
            <w:tcW w:w="827" w:type="dxa"/>
            <w:tcBorders>
              <w:top w:val="nil"/>
              <w:left w:val="nil"/>
              <w:bottom w:val="nil"/>
              <w:right w:val="nil"/>
            </w:tcBorders>
            <w:shd w:val="clear" w:color="000000" w:fill="FFFFFF"/>
            <w:noWrap/>
            <w:vAlign w:val="bottom"/>
            <w:hideMark/>
          </w:tcPr>
          <w:p w14:paraId="327256A6" w14:textId="77777777" w:rsidR="0086063E" w:rsidRDefault="0086063E">
            <w:pPr>
              <w:jc w:val="center"/>
              <w:rPr>
                <w:color w:val="000000"/>
                <w:sz w:val="22"/>
                <w:szCs w:val="22"/>
              </w:rPr>
            </w:pPr>
            <w:r>
              <w:rPr>
                <w:color w:val="000000"/>
                <w:sz w:val="22"/>
                <w:szCs w:val="22"/>
              </w:rPr>
              <w:t>.950**</w:t>
            </w:r>
          </w:p>
        </w:tc>
      </w:tr>
      <w:tr w:rsidR="0036017D" w14:paraId="4F7F3312" w14:textId="77777777" w:rsidTr="000A6429">
        <w:trPr>
          <w:trHeight w:val="308"/>
        </w:trPr>
        <w:tc>
          <w:tcPr>
            <w:tcW w:w="701" w:type="dxa"/>
            <w:tcBorders>
              <w:top w:val="nil"/>
              <w:left w:val="nil"/>
              <w:bottom w:val="nil"/>
              <w:right w:val="nil"/>
            </w:tcBorders>
            <w:shd w:val="clear" w:color="000000" w:fill="FFFFFF"/>
            <w:noWrap/>
            <w:vAlign w:val="bottom"/>
            <w:hideMark/>
          </w:tcPr>
          <w:p w14:paraId="3FF71D01" w14:textId="77777777" w:rsidR="0086063E" w:rsidRDefault="0086063E">
            <w:pPr>
              <w:jc w:val="center"/>
              <w:rPr>
                <w:color w:val="000000"/>
                <w:u w:val="single"/>
              </w:rPr>
            </w:pPr>
            <w:r>
              <w:rPr>
                <w:color w:val="000000"/>
                <w:u w:val="single"/>
              </w:rPr>
              <w:t>2011</w:t>
            </w:r>
          </w:p>
        </w:tc>
        <w:tc>
          <w:tcPr>
            <w:tcW w:w="826" w:type="dxa"/>
            <w:tcBorders>
              <w:top w:val="nil"/>
              <w:left w:val="nil"/>
              <w:bottom w:val="nil"/>
              <w:right w:val="nil"/>
            </w:tcBorders>
            <w:shd w:val="clear" w:color="000000" w:fill="FFFFFF"/>
            <w:noWrap/>
            <w:vAlign w:val="bottom"/>
            <w:hideMark/>
          </w:tcPr>
          <w:p w14:paraId="06207799" w14:textId="77777777" w:rsidR="0086063E" w:rsidRDefault="0086063E">
            <w:pPr>
              <w:jc w:val="center"/>
              <w:rPr>
                <w:color w:val="000000"/>
                <w:sz w:val="22"/>
                <w:szCs w:val="22"/>
              </w:rPr>
            </w:pPr>
            <w:r>
              <w:rPr>
                <w:color w:val="000000"/>
                <w:sz w:val="22"/>
                <w:szCs w:val="22"/>
              </w:rPr>
              <w:t>.970**</w:t>
            </w:r>
          </w:p>
        </w:tc>
        <w:tc>
          <w:tcPr>
            <w:tcW w:w="826" w:type="dxa"/>
            <w:tcBorders>
              <w:top w:val="nil"/>
              <w:left w:val="nil"/>
              <w:bottom w:val="nil"/>
              <w:right w:val="nil"/>
            </w:tcBorders>
            <w:shd w:val="clear" w:color="000000" w:fill="FFFFFF"/>
            <w:noWrap/>
            <w:vAlign w:val="bottom"/>
            <w:hideMark/>
          </w:tcPr>
          <w:p w14:paraId="2698DFF5" w14:textId="77777777" w:rsidR="0086063E" w:rsidRDefault="0086063E">
            <w:pPr>
              <w:jc w:val="center"/>
              <w:rPr>
                <w:color w:val="000000"/>
                <w:sz w:val="22"/>
                <w:szCs w:val="22"/>
              </w:rPr>
            </w:pPr>
            <w:r>
              <w:rPr>
                <w:color w:val="000000"/>
                <w:sz w:val="22"/>
                <w:szCs w:val="22"/>
              </w:rPr>
              <w:t>.976**</w:t>
            </w:r>
          </w:p>
        </w:tc>
        <w:tc>
          <w:tcPr>
            <w:tcW w:w="826" w:type="dxa"/>
            <w:tcBorders>
              <w:top w:val="nil"/>
              <w:left w:val="nil"/>
              <w:bottom w:val="nil"/>
              <w:right w:val="nil"/>
            </w:tcBorders>
            <w:shd w:val="clear" w:color="000000" w:fill="FFFFFF"/>
            <w:noWrap/>
            <w:vAlign w:val="bottom"/>
            <w:hideMark/>
          </w:tcPr>
          <w:p w14:paraId="51D47665" w14:textId="77777777" w:rsidR="0086063E" w:rsidRDefault="0086063E">
            <w:pPr>
              <w:jc w:val="center"/>
              <w:rPr>
                <w:color w:val="000000"/>
                <w:sz w:val="22"/>
                <w:szCs w:val="22"/>
              </w:rPr>
            </w:pPr>
            <w:r>
              <w:rPr>
                <w:color w:val="000000"/>
                <w:sz w:val="22"/>
                <w:szCs w:val="22"/>
              </w:rPr>
              <w:t>.989**</w:t>
            </w:r>
          </w:p>
        </w:tc>
        <w:tc>
          <w:tcPr>
            <w:tcW w:w="828" w:type="dxa"/>
            <w:tcBorders>
              <w:top w:val="nil"/>
              <w:left w:val="nil"/>
              <w:bottom w:val="nil"/>
              <w:right w:val="nil"/>
            </w:tcBorders>
            <w:shd w:val="clear" w:color="000000" w:fill="FFFFFF"/>
            <w:noWrap/>
            <w:vAlign w:val="bottom"/>
            <w:hideMark/>
          </w:tcPr>
          <w:p w14:paraId="5ECEE9F7" w14:textId="77777777" w:rsidR="0086063E" w:rsidRDefault="0086063E">
            <w:pPr>
              <w:jc w:val="center"/>
              <w:rPr>
                <w:color w:val="000000"/>
                <w:sz w:val="22"/>
                <w:szCs w:val="22"/>
              </w:rPr>
            </w:pPr>
            <w:r>
              <w:rPr>
                <w:color w:val="000000"/>
                <w:sz w:val="22"/>
                <w:szCs w:val="22"/>
              </w:rPr>
              <w:t>1.000</w:t>
            </w:r>
          </w:p>
        </w:tc>
        <w:tc>
          <w:tcPr>
            <w:tcW w:w="827" w:type="dxa"/>
            <w:tcBorders>
              <w:top w:val="nil"/>
              <w:left w:val="nil"/>
              <w:bottom w:val="nil"/>
              <w:right w:val="nil"/>
            </w:tcBorders>
            <w:shd w:val="clear" w:color="000000" w:fill="FFFFFF"/>
            <w:noWrap/>
            <w:vAlign w:val="bottom"/>
            <w:hideMark/>
          </w:tcPr>
          <w:p w14:paraId="42F28A70" w14:textId="77777777" w:rsidR="0086063E" w:rsidRDefault="0086063E">
            <w:pPr>
              <w:jc w:val="center"/>
              <w:rPr>
                <w:color w:val="000000"/>
                <w:sz w:val="22"/>
                <w:szCs w:val="22"/>
              </w:rPr>
            </w:pPr>
            <w:r>
              <w:rPr>
                <w:color w:val="000000"/>
                <w:sz w:val="22"/>
                <w:szCs w:val="22"/>
              </w:rPr>
              <w:t>.990**</w:t>
            </w:r>
          </w:p>
        </w:tc>
        <w:tc>
          <w:tcPr>
            <w:tcW w:w="826" w:type="dxa"/>
            <w:tcBorders>
              <w:top w:val="nil"/>
              <w:left w:val="nil"/>
              <w:bottom w:val="nil"/>
              <w:right w:val="nil"/>
            </w:tcBorders>
            <w:shd w:val="clear" w:color="000000" w:fill="FFFFFF"/>
            <w:noWrap/>
            <w:vAlign w:val="bottom"/>
            <w:hideMark/>
          </w:tcPr>
          <w:p w14:paraId="6DB5BF21" w14:textId="77777777" w:rsidR="0086063E" w:rsidRDefault="0086063E">
            <w:pPr>
              <w:jc w:val="center"/>
              <w:rPr>
                <w:color w:val="000000"/>
                <w:sz w:val="22"/>
                <w:szCs w:val="22"/>
              </w:rPr>
            </w:pPr>
            <w:r>
              <w:rPr>
                <w:color w:val="000000"/>
                <w:sz w:val="22"/>
                <w:szCs w:val="22"/>
              </w:rPr>
              <w:t>.978**</w:t>
            </w:r>
          </w:p>
        </w:tc>
        <w:tc>
          <w:tcPr>
            <w:tcW w:w="826" w:type="dxa"/>
            <w:tcBorders>
              <w:top w:val="nil"/>
              <w:left w:val="nil"/>
              <w:bottom w:val="nil"/>
              <w:right w:val="nil"/>
            </w:tcBorders>
            <w:shd w:val="clear" w:color="000000" w:fill="FFFFFF"/>
            <w:noWrap/>
            <w:vAlign w:val="bottom"/>
            <w:hideMark/>
          </w:tcPr>
          <w:p w14:paraId="70724A06" w14:textId="77777777" w:rsidR="0086063E" w:rsidRDefault="0086063E">
            <w:pPr>
              <w:jc w:val="center"/>
              <w:rPr>
                <w:color w:val="000000"/>
                <w:sz w:val="22"/>
                <w:szCs w:val="22"/>
              </w:rPr>
            </w:pPr>
            <w:r>
              <w:rPr>
                <w:color w:val="000000"/>
                <w:sz w:val="22"/>
                <w:szCs w:val="22"/>
              </w:rPr>
              <w:t>.961**</w:t>
            </w:r>
          </w:p>
        </w:tc>
        <w:tc>
          <w:tcPr>
            <w:tcW w:w="828" w:type="dxa"/>
            <w:tcBorders>
              <w:top w:val="nil"/>
              <w:left w:val="nil"/>
              <w:bottom w:val="nil"/>
              <w:right w:val="nil"/>
            </w:tcBorders>
            <w:shd w:val="clear" w:color="000000" w:fill="FFFFFF"/>
            <w:noWrap/>
            <w:vAlign w:val="bottom"/>
            <w:hideMark/>
          </w:tcPr>
          <w:p w14:paraId="6B8EBDE4" w14:textId="77777777" w:rsidR="0086063E" w:rsidRDefault="0086063E">
            <w:pPr>
              <w:jc w:val="center"/>
              <w:rPr>
                <w:color w:val="000000"/>
                <w:sz w:val="22"/>
                <w:szCs w:val="22"/>
              </w:rPr>
            </w:pPr>
            <w:r>
              <w:rPr>
                <w:color w:val="000000"/>
                <w:sz w:val="22"/>
                <w:szCs w:val="22"/>
              </w:rPr>
              <w:t>.955**</w:t>
            </w:r>
          </w:p>
        </w:tc>
        <w:tc>
          <w:tcPr>
            <w:tcW w:w="827" w:type="dxa"/>
            <w:tcBorders>
              <w:top w:val="nil"/>
              <w:left w:val="nil"/>
              <w:bottom w:val="nil"/>
              <w:right w:val="nil"/>
            </w:tcBorders>
            <w:shd w:val="clear" w:color="000000" w:fill="FFFFFF"/>
            <w:noWrap/>
            <w:vAlign w:val="bottom"/>
            <w:hideMark/>
          </w:tcPr>
          <w:p w14:paraId="5E17BB74" w14:textId="77777777" w:rsidR="0086063E" w:rsidRDefault="0086063E">
            <w:pPr>
              <w:jc w:val="center"/>
              <w:rPr>
                <w:color w:val="000000"/>
                <w:sz w:val="22"/>
                <w:szCs w:val="22"/>
              </w:rPr>
            </w:pPr>
            <w:r>
              <w:rPr>
                <w:color w:val="000000"/>
                <w:sz w:val="22"/>
                <w:szCs w:val="22"/>
              </w:rPr>
              <w:t>.951**</w:t>
            </w:r>
          </w:p>
        </w:tc>
      </w:tr>
      <w:tr w:rsidR="0036017D" w14:paraId="7AA2B2C8" w14:textId="77777777" w:rsidTr="000A6429">
        <w:trPr>
          <w:trHeight w:val="308"/>
        </w:trPr>
        <w:tc>
          <w:tcPr>
            <w:tcW w:w="701" w:type="dxa"/>
            <w:tcBorders>
              <w:top w:val="nil"/>
              <w:left w:val="nil"/>
              <w:bottom w:val="nil"/>
              <w:right w:val="nil"/>
            </w:tcBorders>
            <w:shd w:val="clear" w:color="000000" w:fill="FFFFFF"/>
            <w:noWrap/>
            <w:vAlign w:val="bottom"/>
            <w:hideMark/>
          </w:tcPr>
          <w:p w14:paraId="5DD722E3" w14:textId="77777777" w:rsidR="0086063E" w:rsidRDefault="0086063E">
            <w:pPr>
              <w:jc w:val="center"/>
              <w:rPr>
                <w:color w:val="000000"/>
                <w:u w:val="single"/>
              </w:rPr>
            </w:pPr>
            <w:r>
              <w:rPr>
                <w:color w:val="000000"/>
                <w:u w:val="single"/>
              </w:rPr>
              <w:t>2010</w:t>
            </w:r>
          </w:p>
        </w:tc>
        <w:tc>
          <w:tcPr>
            <w:tcW w:w="826" w:type="dxa"/>
            <w:tcBorders>
              <w:top w:val="nil"/>
              <w:left w:val="nil"/>
              <w:bottom w:val="nil"/>
              <w:right w:val="nil"/>
            </w:tcBorders>
            <w:shd w:val="clear" w:color="000000" w:fill="FFFFFF"/>
            <w:noWrap/>
            <w:vAlign w:val="bottom"/>
            <w:hideMark/>
          </w:tcPr>
          <w:p w14:paraId="21624724" w14:textId="77777777" w:rsidR="0086063E" w:rsidRDefault="0086063E">
            <w:pPr>
              <w:jc w:val="center"/>
              <w:rPr>
                <w:color w:val="000000"/>
                <w:sz w:val="22"/>
                <w:szCs w:val="22"/>
              </w:rPr>
            </w:pPr>
            <w:r>
              <w:rPr>
                <w:color w:val="000000"/>
                <w:sz w:val="22"/>
                <w:szCs w:val="22"/>
              </w:rPr>
              <w:t>.959**</w:t>
            </w:r>
          </w:p>
        </w:tc>
        <w:tc>
          <w:tcPr>
            <w:tcW w:w="826" w:type="dxa"/>
            <w:tcBorders>
              <w:top w:val="nil"/>
              <w:left w:val="nil"/>
              <w:bottom w:val="nil"/>
              <w:right w:val="nil"/>
            </w:tcBorders>
            <w:shd w:val="clear" w:color="000000" w:fill="FFFFFF"/>
            <w:noWrap/>
            <w:vAlign w:val="bottom"/>
            <w:hideMark/>
          </w:tcPr>
          <w:p w14:paraId="52500067" w14:textId="77777777" w:rsidR="0086063E" w:rsidRDefault="0086063E">
            <w:pPr>
              <w:jc w:val="center"/>
              <w:rPr>
                <w:color w:val="000000"/>
                <w:sz w:val="22"/>
                <w:szCs w:val="22"/>
              </w:rPr>
            </w:pPr>
            <w:r>
              <w:rPr>
                <w:color w:val="000000"/>
                <w:sz w:val="22"/>
                <w:szCs w:val="22"/>
              </w:rPr>
              <w:t>.969**</w:t>
            </w:r>
          </w:p>
        </w:tc>
        <w:tc>
          <w:tcPr>
            <w:tcW w:w="826" w:type="dxa"/>
            <w:tcBorders>
              <w:top w:val="nil"/>
              <w:left w:val="nil"/>
              <w:bottom w:val="nil"/>
              <w:right w:val="nil"/>
            </w:tcBorders>
            <w:shd w:val="clear" w:color="000000" w:fill="FFFFFF"/>
            <w:noWrap/>
            <w:vAlign w:val="bottom"/>
            <w:hideMark/>
          </w:tcPr>
          <w:p w14:paraId="622C3E77" w14:textId="77777777" w:rsidR="0086063E" w:rsidRDefault="0086063E">
            <w:pPr>
              <w:jc w:val="center"/>
              <w:rPr>
                <w:color w:val="000000"/>
                <w:sz w:val="22"/>
                <w:szCs w:val="22"/>
              </w:rPr>
            </w:pPr>
            <w:r>
              <w:rPr>
                <w:color w:val="000000"/>
                <w:sz w:val="22"/>
                <w:szCs w:val="22"/>
              </w:rPr>
              <w:t>.980**</w:t>
            </w:r>
          </w:p>
        </w:tc>
        <w:tc>
          <w:tcPr>
            <w:tcW w:w="828" w:type="dxa"/>
            <w:tcBorders>
              <w:top w:val="nil"/>
              <w:left w:val="nil"/>
              <w:bottom w:val="nil"/>
              <w:right w:val="nil"/>
            </w:tcBorders>
            <w:shd w:val="clear" w:color="000000" w:fill="FFFFFF"/>
            <w:noWrap/>
            <w:vAlign w:val="bottom"/>
            <w:hideMark/>
          </w:tcPr>
          <w:p w14:paraId="56654D45" w14:textId="77777777" w:rsidR="0086063E" w:rsidRDefault="0086063E">
            <w:pPr>
              <w:jc w:val="center"/>
              <w:rPr>
                <w:color w:val="000000"/>
                <w:sz w:val="22"/>
                <w:szCs w:val="22"/>
              </w:rPr>
            </w:pPr>
            <w:r>
              <w:rPr>
                <w:color w:val="000000"/>
                <w:sz w:val="22"/>
                <w:szCs w:val="22"/>
              </w:rPr>
              <w:t>.990**</w:t>
            </w:r>
          </w:p>
        </w:tc>
        <w:tc>
          <w:tcPr>
            <w:tcW w:w="827" w:type="dxa"/>
            <w:tcBorders>
              <w:top w:val="nil"/>
              <w:left w:val="nil"/>
              <w:bottom w:val="nil"/>
              <w:right w:val="nil"/>
            </w:tcBorders>
            <w:shd w:val="clear" w:color="000000" w:fill="FFFFFF"/>
            <w:noWrap/>
            <w:vAlign w:val="bottom"/>
            <w:hideMark/>
          </w:tcPr>
          <w:p w14:paraId="07523B71" w14:textId="77777777" w:rsidR="0086063E" w:rsidRDefault="0086063E">
            <w:pPr>
              <w:jc w:val="center"/>
              <w:rPr>
                <w:color w:val="000000"/>
                <w:sz w:val="22"/>
                <w:szCs w:val="22"/>
              </w:rPr>
            </w:pPr>
            <w:r>
              <w:rPr>
                <w:color w:val="000000"/>
                <w:sz w:val="22"/>
                <w:szCs w:val="22"/>
              </w:rPr>
              <w:t>1.000</w:t>
            </w:r>
          </w:p>
        </w:tc>
        <w:tc>
          <w:tcPr>
            <w:tcW w:w="826" w:type="dxa"/>
            <w:tcBorders>
              <w:top w:val="nil"/>
              <w:left w:val="nil"/>
              <w:bottom w:val="nil"/>
              <w:right w:val="nil"/>
            </w:tcBorders>
            <w:shd w:val="clear" w:color="000000" w:fill="FFFFFF"/>
            <w:noWrap/>
            <w:vAlign w:val="bottom"/>
            <w:hideMark/>
          </w:tcPr>
          <w:p w14:paraId="78BF1CB0" w14:textId="77777777" w:rsidR="0086063E" w:rsidRDefault="0086063E">
            <w:pPr>
              <w:jc w:val="center"/>
              <w:rPr>
                <w:color w:val="000000"/>
                <w:sz w:val="22"/>
                <w:szCs w:val="22"/>
              </w:rPr>
            </w:pPr>
            <w:r>
              <w:rPr>
                <w:color w:val="000000"/>
                <w:sz w:val="22"/>
                <w:szCs w:val="22"/>
              </w:rPr>
              <w:t>.987**</w:t>
            </w:r>
          </w:p>
        </w:tc>
        <w:tc>
          <w:tcPr>
            <w:tcW w:w="826" w:type="dxa"/>
            <w:tcBorders>
              <w:top w:val="nil"/>
              <w:left w:val="nil"/>
              <w:bottom w:val="nil"/>
              <w:right w:val="nil"/>
            </w:tcBorders>
            <w:shd w:val="clear" w:color="000000" w:fill="FFFFFF"/>
            <w:noWrap/>
            <w:vAlign w:val="bottom"/>
            <w:hideMark/>
          </w:tcPr>
          <w:p w14:paraId="56BC8672" w14:textId="77777777" w:rsidR="0086063E" w:rsidRDefault="0086063E">
            <w:pPr>
              <w:jc w:val="center"/>
              <w:rPr>
                <w:color w:val="000000"/>
                <w:sz w:val="22"/>
                <w:szCs w:val="22"/>
              </w:rPr>
            </w:pPr>
            <w:r>
              <w:rPr>
                <w:color w:val="000000"/>
                <w:sz w:val="22"/>
                <w:szCs w:val="22"/>
              </w:rPr>
              <w:t>.967**</w:t>
            </w:r>
          </w:p>
        </w:tc>
        <w:tc>
          <w:tcPr>
            <w:tcW w:w="828" w:type="dxa"/>
            <w:tcBorders>
              <w:top w:val="nil"/>
              <w:left w:val="nil"/>
              <w:bottom w:val="nil"/>
              <w:right w:val="nil"/>
            </w:tcBorders>
            <w:shd w:val="clear" w:color="000000" w:fill="FFFFFF"/>
            <w:noWrap/>
            <w:vAlign w:val="bottom"/>
            <w:hideMark/>
          </w:tcPr>
          <w:p w14:paraId="197E9CA8" w14:textId="77777777" w:rsidR="0086063E" w:rsidRDefault="0086063E">
            <w:pPr>
              <w:jc w:val="center"/>
              <w:rPr>
                <w:color w:val="000000"/>
                <w:sz w:val="22"/>
                <w:szCs w:val="22"/>
              </w:rPr>
            </w:pPr>
            <w:r>
              <w:rPr>
                <w:color w:val="000000"/>
                <w:sz w:val="22"/>
                <w:szCs w:val="22"/>
              </w:rPr>
              <w:t>.959**</w:t>
            </w:r>
          </w:p>
        </w:tc>
        <w:tc>
          <w:tcPr>
            <w:tcW w:w="827" w:type="dxa"/>
            <w:tcBorders>
              <w:top w:val="nil"/>
              <w:left w:val="nil"/>
              <w:bottom w:val="nil"/>
              <w:right w:val="nil"/>
            </w:tcBorders>
            <w:shd w:val="clear" w:color="000000" w:fill="FFFFFF"/>
            <w:noWrap/>
            <w:vAlign w:val="bottom"/>
            <w:hideMark/>
          </w:tcPr>
          <w:p w14:paraId="294C9952" w14:textId="77777777" w:rsidR="0086063E" w:rsidRDefault="0086063E">
            <w:pPr>
              <w:jc w:val="center"/>
              <w:rPr>
                <w:color w:val="000000"/>
                <w:sz w:val="22"/>
                <w:szCs w:val="22"/>
              </w:rPr>
            </w:pPr>
            <w:r>
              <w:rPr>
                <w:color w:val="000000"/>
                <w:sz w:val="22"/>
                <w:szCs w:val="22"/>
              </w:rPr>
              <w:t>.952**</w:t>
            </w:r>
          </w:p>
        </w:tc>
      </w:tr>
      <w:tr w:rsidR="0036017D" w14:paraId="5B991EE0" w14:textId="77777777" w:rsidTr="000A6429">
        <w:trPr>
          <w:trHeight w:val="308"/>
        </w:trPr>
        <w:tc>
          <w:tcPr>
            <w:tcW w:w="701" w:type="dxa"/>
            <w:tcBorders>
              <w:top w:val="nil"/>
              <w:left w:val="nil"/>
              <w:bottom w:val="nil"/>
              <w:right w:val="nil"/>
            </w:tcBorders>
            <w:shd w:val="clear" w:color="000000" w:fill="FFFFFF"/>
            <w:noWrap/>
            <w:vAlign w:val="bottom"/>
            <w:hideMark/>
          </w:tcPr>
          <w:p w14:paraId="4EB1943F" w14:textId="77777777" w:rsidR="0086063E" w:rsidRDefault="0086063E">
            <w:pPr>
              <w:jc w:val="center"/>
              <w:rPr>
                <w:color w:val="000000"/>
                <w:u w:val="single"/>
              </w:rPr>
            </w:pPr>
            <w:r>
              <w:rPr>
                <w:color w:val="000000"/>
                <w:u w:val="single"/>
              </w:rPr>
              <w:t>2009</w:t>
            </w:r>
          </w:p>
        </w:tc>
        <w:tc>
          <w:tcPr>
            <w:tcW w:w="826" w:type="dxa"/>
            <w:tcBorders>
              <w:top w:val="nil"/>
              <w:left w:val="nil"/>
              <w:bottom w:val="nil"/>
              <w:right w:val="nil"/>
            </w:tcBorders>
            <w:shd w:val="clear" w:color="000000" w:fill="FFFFFF"/>
            <w:noWrap/>
            <w:vAlign w:val="bottom"/>
            <w:hideMark/>
          </w:tcPr>
          <w:p w14:paraId="0D911CD1" w14:textId="77777777" w:rsidR="0086063E" w:rsidRDefault="0086063E">
            <w:pPr>
              <w:jc w:val="center"/>
              <w:rPr>
                <w:color w:val="000000"/>
                <w:sz w:val="22"/>
                <w:szCs w:val="22"/>
              </w:rPr>
            </w:pPr>
            <w:r>
              <w:rPr>
                <w:color w:val="000000"/>
                <w:sz w:val="22"/>
                <w:szCs w:val="22"/>
              </w:rPr>
              <w:t>.954**</w:t>
            </w:r>
          </w:p>
        </w:tc>
        <w:tc>
          <w:tcPr>
            <w:tcW w:w="826" w:type="dxa"/>
            <w:tcBorders>
              <w:top w:val="nil"/>
              <w:left w:val="nil"/>
              <w:bottom w:val="nil"/>
              <w:right w:val="nil"/>
            </w:tcBorders>
            <w:shd w:val="clear" w:color="000000" w:fill="FFFFFF"/>
            <w:noWrap/>
            <w:vAlign w:val="bottom"/>
            <w:hideMark/>
          </w:tcPr>
          <w:p w14:paraId="130B2EEF" w14:textId="77777777" w:rsidR="0086063E" w:rsidRDefault="0086063E">
            <w:pPr>
              <w:jc w:val="center"/>
              <w:rPr>
                <w:color w:val="000000"/>
                <w:sz w:val="22"/>
                <w:szCs w:val="22"/>
              </w:rPr>
            </w:pPr>
            <w:r>
              <w:rPr>
                <w:color w:val="000000"/>
                <w:sz w:val="22"/>
                <w:szCs w:val="22"/>
              </w:rPr>
              <w:t>.963**</w:t>
            </w:r>
          </w:p>
        </w:tc>
        <w:tc>
          <w:tcPr>
            <w:tcW w:w="826" w:type="dxa"/>
            <w:tcBorders>
              <w:top w:val="nil"/>
              <w:left w:val="nil"/>
              <w:bottom w:val="nil"/>
              <w:right w:val="nil"/>
            </w:tcBorders>
            <w:shd w:val="clear" w:color="000000" w:fill="FFFFFF"/>
            <w:noWrap/>
            <w:vAlign w:val="bottom"/>
            <w:hideMark/>
          </w:tcPr>
          <w:p w14:paraId="2F14325C" w14:textId="77777777" w:rsidR="0086063E" w:rsidRDefault="0086063E">
            <w:pPr>
              <w:jc w:val="center"/>
              <w:rPr>
                <w:color w:val="000000"/>
                <w:sz w:val="22"/>
                <w:szCs w:val="22"/>
              </w:rPr>
            </w:pPr>
            <w:r>
              <w:rPr>
                <w:color w:val="000000"/>
                <w:sz w:val="22"/>
                <w:szCs w:val="22"/>
              </w:rPr>
              <w:t>.972**</w:t>
            </w:r>
          </w:p>
        </w:tc>
        <w:tc>
          <w:tcPr>
            <w:tcW w:w="828" w:type="dxa"/>
            <w:tcBorders>
              <w:top w:val="nil"/>
              <w:left w:val="nil"/>
              <w:bottom w:val="nil"/>
              <w:right w:val="nil"/>
            </w:tcBorders>
            <w:shd w:val="clear" w:color="000000" w:fill="FFFFFF"/>
            <w:noWrap/>
            <w:vAlign w:val="bottom"/>
            <w:hideMark/>
          </w:tcPr>
          <w:p w14:paraId="34DCBB5B" w14:textId="77777777" w:rsidR="0086063E" w:rsidRDefault="0086063E">
            <w:pPr>
              <w:jc w:val="center"/>
              <w:rPr>
                <w:color w:val="000000"/>
                <w:sz w:val="22"/>
                <w:szCs w:val="22"/>
              </w:rPr>
            </w:pPr>
            <w:r>
              <w:rPr>
                <w:color w:val="000000"/>
                <w:sz w:val="22"/>
                <w:szCs w:val="22"/>
              </w:rPr>
              <w:t>.978**</w:t>
            </w:r>
          </w:p>
        </w:tc>
        <w:tc>
          <w:tcPr>
            <w:tcW w:w="827" w:type="dxa"/>
            <w:tcBorders>
              <w:top w:val="nil"/>
              <w:left w:val="nil"/>
              <w:bottom w:val="nil"/>
              <w:right w:val="nil"/>
            </w:tcBorders>
            <w:shd w:val="clear" w:color="000000" w:fill="FFFFFF"/>
            <w:noWrap/>
            <w:vAlign w:val="bottom"/>
            <w:hideMark/>
          </w:tcPr>
          <w:p w14:paraId="130C53EC" w14:textId="77777777" w:rsidR="0086063E" w:rsidRDefault="0086063E">
            <w:pPr>
              <w:jc w:val="center"/>
              <w:rPr>
                <w:color w:val="000000"/>
                <w:sz w:val="22"/>
                <w:szCs w:val="22"/>
              </w:rPr>
            </w:pPr>
            <w:r>
              <w:rPr>
                <w:color w:val="000000"/>
                <w:sz w:val="22"/>
                <w:szCs w:val="22"/>
              </w:rPr>
              <w:t>.987**</w:t>
            </w:r>
          </w:p>
        </w:tc>
        <w:tc>
          <w:tcPr>
            <w:tcW w:w="826" w:type="dxa"/>
            <w:tcBorders>
              <w:top w:val="nil"/>
              <w:left w:val="nil"/>
              <w:bottom w:val="nil"/>
              <w:right w:val="nil"/>
            </w:tcBorders>
            <w:shd w:val="clear" w:color="000000" w:fill="FFFFFF"/>
            <w:noWrap/>
            <w:vAlign w:val="bottom"/>
            <w:hideMark/>
          </w:tcPr>
          <w:p w14:paraId="5AFC519C" w14:textId="77777777" w:rsidR="0086063E" w:rsidRDefault="0086063E">
            <w:pPr>
              <w:jc w:val="center"/>
              <w:rPr>
                <w:color w:val="000000"/>
                <w:sz w:val="22"/>
                <w:szCs w:val="22"/>
              </w:rPr>
            </w:pPr>
            <w:r>
              <w:rPr>
                <w:color w:val="000000"/>
                <w:sz w:val="22"/>
                <w:szCs w:val="22"/>
              </w:rPr>
              <w:t>1.000</w:t>
            </w:r>
          </w:p>
        </w:tc>
        <w:tc>
          <w:tcPr>
            <w:tcW w:w="826" w:type="dxa"/>
            <w:tcBorders>
              <w:top w:val="nil"/>
              <w:left w:val="nil"/>
              <w:bottom w:val="nil"/>
              <w:right w:val="nil"/>
            </w:tcBorders>
            <w:shd w:val="clear" w:color="000000" w:fill="FFFFFF"/>
            <w:noWrap/>
            <w:vAlign w:val="bottom"/>
            <w:hideMark/>
          </w:tcPr>
          <w:p w14:paraId="1CD3B573" w14:textId="77777777" w:rsidR="0086063E" w:rsidRDefault="0086063E">
            <w:pPr>
              <w:jc w:val="center"/>
              <w:rPr>
                <w:color w:val="000000"/>
                <w:sz w:val="22"/>
                <w:szCs w:val="22"/>
              </w:rPr>
            </w:pPr>
            <w:r>
              <w:rPr>
                <w:color w:val="000000"/>
                <w:sz w:val="22"/>
                <w:szCs w:val="22"/>
              </w:rPr>
              <w:t>.980**</w:t>
            </w:r>
          </w:p>
        </w:tc>
        <w:tc>
          <w:tcPr>
            <w:tcW w:w="828" w:type="dxa"/>
            <w:tcBorders>
              <w:top w:val="nil"/>
              <w:left w:val="nil"/>
              <w:bottom w:val="nil"/>
              <w:right w:val="nil"/>
            </w:tcBorders>
            <w:shd w:val="clear" w:color="000000" w:fill="FFFFFF"/>
            <w:noWrap/>
            <w:vAlign w:val="bottom"/>
            <w:hideMark/>
          </w:tcPr>
          <w:p w14:paraId="00E4C636" w14:textId="77777777" w:rsidR="0086063E" w:rsidRDefault="0086063E">
            <w:pPr>
              <w:jc w:val="center"/>
              <w:rPr>
                <w:color w:val="000000"/>
                <w:sz w:val="22"/>
                <w:szCs w:val="22"/>
              </w:rPr>
            </w:pPr>
            <w:r>
              <w:rPr>
                <w:color w:val="000000"/>
                <w:sz w:val="22"/>
                <w:szCs w:val="22"/>
              </w:rPr>
              <w:t>.970**</w:t>
            </w:r>
          </w:p>
        </w:tc>
        <w:tc>
          <w:tcPr>
            <w:tcW w:w="827" w:type="dxa"/>
            <w:tcBorders>
              <w:top w:val="nil"/>
              <w:left w:val="nil"/>
              <w:bottom w:val="nil"/>
              <w:right w:val="nil"/>
            </w:tcBorders>
            <w:shd w:val="clear" w:color="000000" w:fill="FFFFFF"/>
            <w:noWrap/>
            <w:vAlign w:val="bottom"/>
            <w:hideMark/>
          </w:tcPr>
          <w:p w14:paraId="6394B964" w14:textId="77777777" w:rsidR="0086063E" w:rsidRDefault="0086063E">
            <w:pPr>
              <w:jc w:val="center"/>
              <w:rPr>
                <w:color w:val="000000"/>
                <w:sz w:val="22"/>
                <w:szCs w:val="22"/>
              </w:rPr>
            </w:pPr>
            <w:r>
              <w:rPr>
                <w:color w:val="000000"/>
                <w:sz w:val="22"/>
                <w:szCs w:val="22"/>
              </w:rPr>
              <w:t>.961**</w:t>
            </w:r>
          </w:p>
        </w:tc>
      </w:tr>
      <w:tr w:rsidR="0036017D" w14:paraId="42F16DF2" w14:textId="77777777" w:rsidTr="000A6429">
        <w:trPr>
          <w:trHeight w:val="308"/>
        </w:trPr>
        <w:tc>
          <w:tcPr>
            <w:tcW w:w="701" w:type="dxa"/>
            <w:tcBorders>
              <w:top w:val="nil"/>
              <w:left w:val="nil"/>
              <w:bottom w:val="nil"/>
              <w:right w:val="nil"/>
            </w:tcBorders>
            <w:shd w:val="clear" w:color="000000" w:fill="FFFFFF"/>
            <w:noWrap/>
            <w:vAlign w:val="bottom"/>
            <w:hideMark/>
          </w:tcPr>
          <w:p w14:paraId="1C424BBF" w14:textId="77777777" w:rsidR="0086063E" w:rsidRDefault="0086063E">
            <w:pPr>
              <w:jc w:val="center"/>
              <w:rPr>
                <w:color w:val="000000"/>
                <w:u w:val="single"/>
              </w:rPr>
            </w:pPr>
            <w:r>
              <w:rPr>
                <w:color w:val="000000"/>
                <w:u w:val="single"/>
              </w:rPr>
              <w:t>2008</w:t>
            </w:r>
          </w:p>
        </w:tc>
        <w:tc>
          <w:tcPr>
            <w:tcW w:w="826" w:type="dxa"/>
            <w:tcBorders>
              <w:top w:val="nil"/>
              <w:left w:val="nil"/>
              <w:bottom w:val="nil"/>
              <w:right w:val="nil"/>
            </w:tcBorders>
            <w:shd w:val="clear" w:color="000000" w:fill="FFFFFF"/>
            <w:noWrap/>
            <w:vAlign w:val="bottom"/>
            <w:hideMark/>
          </w:tcPr>
          <w:p w14:paraId="3660A618" w14:textId="77777777" w:rsidR="0086063E" w:rsidRDefault="0086063E">
            <w:pPr>
              <w:jc w:val="center"/>
              <w:rPr>
                <w:color w:val="000000"/>
                <w:sz w:val="22"/>
                <w:szCs w:val="22"/>
              </w:rPr>
            </w:pPr>
            <w:r>
              <w:rPr>
                <w:color w:val="000000"/>
                <w:sz w:val="22"/>
                <w:szCs w:val="22"/>
              </w:rPr>
              <w:t>.941**</w:t>
            </w:r>
          </w:p>
        </w:tc>
        <w:tc>
          <w:tcPr>
            <w:tcW w:w="826" w:type="dxa"/>
            <w:tcBorders>
              <w:top w:val="nil"/>
              <w:left w:val="nil"/>
              <w:bottom w:val="nil"/>
              <w:right w:val="nil"/>
            </w:tcBorders>
            <w:shd w:val="clear" w:color="000000" w:fill="FFFFFF"/>
            <w:noWrap/>
            <w:vAlign w:val="bottom"/>
            <w:hideMark/>
          </w:tcPr>
          <w:p w14:paraId="34D0BA0A" w14:textId="77777777" w:rsidR="0086063E" w:rsidRDefault="0086063E">
            <w:pPr>
              <w:jc w:val="center"/>
              <w:rPr>
                <w:color w:val="000000"/>
                <w:sz w:val="22"/>
                <w:szCs w:val="22"/>
              </w:rPr>
            </w:pPr>
            <w:r>
              <w:rPr>
                <w:color w:val="000000"/>
                <w:sz w:val="22"/>
                <w:szCs w:val="22"/>
              </w:rPr>
              <w:t>.947**</w:t>
            </w:r>
          </w:p>
        </w:tc>
        <w:tc>
          <w:tcPr>
            <w:tcW w:w="826" w:type="dxa"/>
            <w:tcBorders>
              <w:top w:val="nil"/>
              <w:left w:val="nil"/>
              <w:bottom w:val="nil"/>
              <w:right w:val="nil"/>
            </w:tcBorders>
            <w:shd w:val="clear" w:color="000000" w:fill="FFFFFF"/>
            <w:noWrap/>
            <w:vAlign w:val="bottom"/>
            <w:hideMark/>
          </w:tcPr>
          <w:p w14:paraId="467DEADF" w14:textId="77777777" w:rsidR="0086063E" w:rsidRDefault="0086063E">
            <w:pPr>
              <w:jc w:val="center"/>
              <w:rPr>
                <w:color w:val="000000"/>
                <w:sz w:val="22"/>
                <w:szCs w:val="22"/>
              </w:rPr>
            </w:pPr>
            <w:r>
              <w:rPr>
                <w:color w:val="000000"/>
                <w:sz w:val="22"/>
                <w:szCs w:val="22"/>
              </w:rPr>
              <w:t>.957**</w:t>
            </w:r>
          </w:p>
        </w:tc>
        <w:tc>
          <w:tcPr>
            <w:tcW w:w="828" w:type="dxa"/>
            <w:tcBorders>
              <w:top w:val="nil"/>
              <w:left w:val="nil"/>
              <w:bottom w:val="nil"/>
              <w:right w:val="nil"/>
            </w:tcBorders>
            <w:shd w:val="clear" w:color="000000" w:fill="FFFFFF"/>
            <w:noWrap/>
            <w:vAlign w:val="bottom"/>
            <w:hideMark/>
          </w:tcPr>
          <w:p w14:paraId="67A853A9" w14:textId="77777777" w:rsidR="0086063E" w:rsidRDefault="0086063E">
            <w:pPr>
              <w:jc w:val="center"/>
              <w:rPr>
                <w:color w:val="000000"/>
                <w:sz w:val="22"/>
                <w:szCs w:val="22"/>
              </w:rPr>
            </w:pPr>
            <w:r>
              <w:rPr>
                <w:color w:val="000000"/>
                <w:sz w:val="22"/>
                <w:szCs w:val="22"/>
              </w:rPr>
              <w:t>.961**</w:t>
            </w:r>
          </w:p>
        </w:tc>
        <w:tc>
          <w:tcPr>
            <w:tcW w:w="827" w:type="dxa"/>
            <w:tcBorders>
              <w:top w:val="nil"/>
              <w:left w:val="nil"/>
              <w:bottom w:val="nil"/>
              <w:right w:val="nil"/>
            </w:tcBorders>
            <w:shd w:val="clear" w:color="000000" w:fill="FFFFFF"/>
            <w:noWrap/>
            <w:vAlign w:val="bottom"/>
            <w:hideMark/>
          </w:tcPr>
          <w:p w14:paraId="3F9E74C1" w14:textId="77777777" w:rsidR="0086063E" w:rsidRDefault="0086063E">
            <w:pPr>
              <w:jc w:val="center"/>
              <w:rPr>
                <w:color w:val="000000"/>
                <w:sz w:val="22"/>
                <w:szCs w:val="22"/>
              </w:rPr>
            </w:pPr>
            <w:r>
              <w:rPr>
                <w:color w:val="000000"/>
                <w:sz w:val="22"/>
                <w:szCs w:val="22"/>
              </w:rPr>
              <w:t>.967**</w:t>
            </w:r>
          </w:p>
        </w:tc>
        <w:tc>
          <w:tcPr>
            <w:tcW w:w="826" w:type="dxa"/>
            <w:tcBorders>
              <w:top w:val="nil"/>
              <w:left w:val="nil"/>
              <w:bottom w:val="nil"/>
              <w:right w:val="nil"/>
            </w:tcBorders>
            <w:shd w:val="clear" w:color="000000" w:fill="FFFFFF"/>
            <w:noWrap/>
            <w:vAlign w:val="bottom"/>
            <w:hideMark/>
          </w:tcPr>
          <w:p w14:paraId="3CF1DB58" w14:textId="77777777" w:rsidR="0086063E" w:rsidRDefault="0086063E">
            <w:pPr>
              <w:jc w:val="center"/>
              <w:rPr>
                <w:color w:val="000000"/>
                <w:sz w:val="22"/>
                <w:szCs w:val="22"/>
              </w:rPr>
            </w:pPr>
            <w:r>
              <w:rPr>
                <w:color w:val="000000"/>
                <w:sz w:val="22"/>
                <w:szCs w:val="22"/>
              </w:rPr>
              <w:t>.980**</w:t>
            </w:r>
          </w:p>
        </w:tc>
        <w:tc>
          <w:tcPr>
            <w:tcW w:w="826" w:type="dxa"/>
            <w:tcBorders>
              <w:top w:val="nil"/>
              <w:left w:val="nil"/>
              <w:bottom w:val="nil"/>
              <w:right w:val="nil"/>
            </w:tcBorders>
            <w:shd w:val="clear" w:color="000000" w:fill="FFFFFF"/>
            <w:noWrap/>
            <w:vAlign w:val="bottom"/>
            <w:hideMark/>
          </w:tcPr>
          <w:p w14:paraId="25788088" w14:textId="77777777" w:rsidR="0086063E" w:rsidRDefault="0086063E">
            <w:pPr>
              <w:jc w:val="center"/>
              <w:rPr>
                <w:color w:val="000000"/>
                <w:sz w:val="22"/>
                <w:szCs w:val="22"/>
              </w:rPr>
            </w:pPr>
            <w:r>
              <w:rPr>
                <w:color w:val="000000"/>
                <w:sz w:val="22"/>
                <w:szCs w:val="22"/>
              </w:rPr>
              <w:t>1.000</w:t>
            </w:r>
          </w:p>
        </w:tc>
        <w:tc>
          <w:tcPr>
            <w:tcW w:w="828" w:type="dxa"/>
            <w:tcBorders>
              <w:top w:val="nil"/>
              <w:left w:val="nil"/>
              <w:bottom w:val="nil"/>
              <w:right w:val="nil"/>
            </w:tcBorders>
            <w:shd w:val="clear" w:color="000000" w:fill="FFFFFF"/>
            <w:noWrap/>
            <w:vAlign w:val="bottom"/>
            <w:hideMark/>
          </w:tcPr>
          <w:p w14:paraId="1AE7B8C6" w14:textId="77777777" w:rsidR="0086063E" w:rsidRDefault="0086063E">
            <w:pPr>
              <w:jc w:val="center"/>
              <w:rPr>
                <w:color w:val="000000"/>
                <w:sz w:val="22"/>
                <w:szCs w:val="22"/>
              </w:rPr>
            </w:pPr>
            <w:r>
              <w:rPr>
                <w:color w:val="000000"/>
                <w:sz w:val="22"/>
                <w:szCs w:val="22"/>
              </w:rPr>
              <w:t>.984**</w:t>
            </w:r>
          </w:p>
        </w:tc>
        <w:tc>
          <w:tcPr>
            <w:tcW w:w="827" w:type="dxa"/>
            <w:tcBorders>
              <w:top w:val="nil"/>
              <w:left w:val="nil"/>
              <w:bottom w:val="nil"/>
              <w:right w:val="nil"/>
            </w:tcBorders>
            <w:shd w:val="clear" w:color="000000" w:fill="FFFFFF"/>
            <w:noWrap/>
            <w:vAlign w:val="bottom"/>
            <w:hideMark/>
          </w:tcPr>
          <w:p w14:paraId="46A855D4" w14:textId="77777777" w:rsidR="0086063E" w:rsidRDefault="0086063E">
            <w:pPr>
              <w:jc w:val="center"/>
              <w:rPr>
                <w:color w:val="000000"/>
                <w:sz w:val="22"/>
                <w:szCs w:val="22"/>
              </w:rPr>
            </w:pPr>
            <w:r>
              <w:rPr>
                <w:color w:val="000000"/>
                <w:sz w:val="22"/>
                <w:szCs w:val="22"/>
              </w:rPr>
              <w:t>.974**</w:t>
            </w:r>
          </w:p>
        </w:tc>
      </w:tr>
      <w:tr w:rsidR="0036017D" w14:paraId="79998473" w14:textId="77777777" w:rsidTr="000A6429">
        <w:trPr>
          <w:trHeight w:val="308"/>
        </w:trPr>
        <w:tc>
          <w:tcPr>
            <w:tcW w:w="701" w:type="dxa"/>
            <w:tcBorders>
              <w:top w:val="nil"/>
              <w:left w:val="nil"/>
              <w:bottom w:val="nil"/>
              <w:right w:val="nil"/>
            </w:tcBorders>
            <w:shd w:val="clear" w:color="000000" w:fill="FFFFFF"/>
            <w:noWrap/>
            <w:vAlign w:val="bottom"/>
            <w:hideMark/>
          </w:tcPr>
          <w:p w14:paraId="4313C524" w14:textId="77777777" w:rsidR="0086063E" w:rsidRDefault="0086063E">
            <w:pPr>
              <w:jc w:val="center"/>
              <w:rPr>
                <w:color w:val="000000"/>
                <w:u w:val="single"/>
              </w:rPr>
            </w:pPr>
            <w:r>
              <w:rPr>
                <w:color w:val="000000"/>
                <w:u w:val="single"/>
              </w:rPr>
              <w:t>2007</w:t>
            </w:r>
          </w:p>
        </w:tc>
        <w:tc>
          <w:tcPr>
            <w:tcW w:w="826" w:type="dxa"/>
            <w:tcBorders>
              <w:top w:val="nil"/>
              <w:left w:val="nil"/>
              <w:bottom w:val="nil"/>
              <w:right w:val="nil"/>
            </w:tcBorders>
            <w:shd w:val="clear" w:color="000000" w:fill="FFFFFF"/>
            <w:noWrap/>
            <w:vAlign w:val="bottom"/>
            <w:hideMark/>
          </w:tcPr>
          <w:p w14:paraId="687EC2F4" w14:textId="77777777" w:rsidR="0086063E" w:rsidRDefault="0086063E">
            <w:pPr>
              <w:jc w:val="center"/>
              <w:rPr>
                <w:color w:val="000000"/>
                <w:sz w:val="22"/>
                <w:szCs w:val="22"/>
              </w:rPr>
            </w:pPr>
            <w:r>
              <w:rPr>
                <w:color w:val="000000"/>
                <w:sz w:val="22"/>
                <w:szCs w:val="22"/>
              </w:rPr>
              <w:t>.936**</w:t>
            </w:r>
          </w:p>
        </w:tc>
        <w:tc>
          <w:tcPr>
            <w:tcW w:w="826" w:type="dxa"/>
            <w:tcBorders>
              <w:top w:val="nil"/>
              <w:left w:val="nil"/>
              <w:bottom w:val="nil"/>
              <w:right w:val="nil"/>
            </w:tcBorders>
            <w:shd w:val="clear" w:color="000000" w:fill="FFFFFF"/>
            <w:noWrap/>
            <w:vAlign w:val="bottom"/>
            <w:hideMark/>
          </w:tcPr>
          <w:p w14:paraId="6209F26A" w14:textId="77777777" w:rsidR="0086063E" w:rsidRDefault="0086063E">
            <w:pPr>
              <w:jc w:val="center"/>
              <w:rPr>
                <w:color w:val="000000"/>
                <w:sz w:val="22"/>
                <w:szCs w:val="22"/>
              </w:rPr>
            </w:pPr>
            <w:r>
              <w:rPr>
                <w:color w:val="000000"/>
                <w:sz w:val="22"/>
                <w:szCs w:val="22"/>
              </w:rPr>
              <w:t>.941**</w:t>
            </w:r>
          </w:p>
        </w:tc>
        <w:tc>
          <w:tcPr>
            <w:tcW w:w="826" w:type="dxa"/>
            <w:tcBorders>
              <w:top w:val="nil"/>
              <w:left w:val="nil"/>
              <w:bottom w:val="nil"/>
              <w:right w:val="nil"/>
            </w:tcBorders>
            <w:shd w:val="clear" w:color="000000" w:fill="FFFFFF"/>
            <w:noWrap/>
            <w:vAlign w:val="bottom"/>
            <w:hideMark/>
          </w:tcPr>
          <w:p w14:paraId="32A5BC4D" w14:textId="77777777" w:rsidR="0086063E" w:rsidRDefault="0086063E">
            <w:pPr>
              <w:jc w:val="center"/>
              <w:rPr>
                <w:color w:val="000000"/>
                <w:sz w:val="22"/>
                <w:szCs w:val="22"/>
              </w:rPr>
            </w:pPr>
            <w:r>
              <w:rPr>
                <w:color w:val="000000"/>
                <w:sz w:val="22"/>
                <w:szCs w:val="22"/>
              </w:rPr>
              <w:t>.952**</w:t>
            </w:r>
          </w:p>
        </w:tc>
        <w:tc>
          <w:tcPr>
            <w:tcW w:w="828" w:type="dxa"/>
            <w:tcBorders>
              <w:top w:val="nil"/>
              <w:left w:val="nil"/>
              <w:bottom w:val="nil"/>
              <w:right w:val="nil"/>
            </w:tcBorders>
            <w:shd w:val="clear" w:color="000000" w:fill="FFFFFF"/>
            <w:noWrap/>
            <w:vAlign w:val="bottom"/>
            <w:hideMark/>
          </w:tcPr>
          <w:p w14:paraId="1B35B01D" w14:textId="77777777" w:rsidR="0086063E" w:rsidRDefault="0086063E">
            <w:pPr>
              <w:jc w:val="center"/>
              <w:rPr>
                <w:color w:val="000000"/>
                <w:sz w:val="22"/>
                <w:szCs w:val="22"/>
              </w:rPr>
            </w:pPr>
            <w:r>
              <w:rPr>
                <w:color w:val="000000"/>
                <w:sz w:val="22"/>
                <w:szCs w:val="22"/>
              </w:rPr>
              <w:t>.955**</w:t>
            </w:r>
          </w:p>
        </w:tc>
        <w:tc>
          <w:tcPr>
            <w:tcW w:w="827" w:type="dxa"/>
            <w:tcBorders>
              <w:top w:val="nil"/>
              <w:left w:val="nil"/>
              <w:bottom w:val="nil"/>
              <w:right w:val="nil"/>
            </w:tcBorders>
            <w:shd w:val="clear" w:color="000000" w:fill="FFFFFF"/>
            <w:noWrap/>
            <w:vAlign w:val="bottom"/>
            <w:hideMark/>
          </w:tcPr>
          <w:p w14:paraId="75B20FB7" w14:textId="77777777" w:rsidR="0086063E" w:rsidRDefault="0086063E">
            <w:pPr>
              <w:jc w:val="center"/>
              <w:rPr>
                <w:color w:val="000000"/>
                <w:sz w:val="22"/>
                <w:szCs w:val="22"/>
              </w:rPr>
            </w:pPr>
            <w:r>
              <w:rPr>
                <w:color w:val="000000"/>
                <w:sz w:val="22"/>
                <w:szCs w:val="22"/>
              </w:rPr>
              <w:t>.959**</w:t>
            </w:r>
          </w:p>
        </w:tc>
        <w:tc>
          <w:tcPr>
            <w:tcW w:w="826" w:type="dxa"/>
            <w:tcBorders>
              <w:top w:val="nil"/>
              <w:left w:val="nil"/>
              <w:bottom w:val="nil"/>
              <w:right w:val="nil"/>
            </w:tcBorders>
            <w:shd w:val="clear" w:color="000000" w:fill="FFFFFF"/>
            <w:noWrap/>
            <w:vAlign w:val="bottom"/>
            <w:hideMark/>
          </w:tcPr>
          <w:p w14:paraId="4B11CEC0" w14:textId="77777777" w:rsidR="0086063E" w:rsidRDefault="0086063E">
            <w:pPr>
              <w:jc w:val="center"/>
              <w:rPr>
                <w:color w:val="000000"/>
                <w:sz w:val="22"/>
                <w:szCs w:val="22"/>
              </w:rPr>
            </w:pPr>
            <w:r>
              <w:rPr>
                <w:color w:val="000000"/>
                <w:sz w:val="22"/>
                <w:szCs w:val="22"/>
              </w:rPr>
              <w:t>.970**</w:t>
            </w:r>
          </w:p>
        </w:tc>
        <w:tc>
          <w:tcPr>
            <w:tcW w:w="826" w:type="dxa"/>
            <w:tcBorders>
              <w:top w:val="nil"/>
              <w:left w:val="nil"/>
              <w:bottom w:val="nil"/>
              <w:right w:val="nil"/>
            </w:tcBorders>
            <w:shd w:val="clear" w:color="000000" w:fill="FFFFFF"/>
            <w:noWrap/>
            <w:vAlign w:val="bottom"/>
            <w:hideMark/>
          </w:tcPr>
          <w:p w14:paraId="05356B8D" w14:textId="77777777" w:rsidR="0086063E" w:rsidRDefault="0086063E">
            <w:pPr>
              <w:jc w:val="center"/>
              <w:rPr>
                <w:color w:val="000000"/>
                <w:sz w:val="22"/>
                <w:szCs w:val="22"/>
              </w:rPr>
            </w:pPr>
            <w:r>
              <w:rPr>
                <w:color w:val="000000"/>
                <w:sz w:val="22"/>
                <w:szCs w:val="22"/>
              </w:rPr>
              <w:t>.984**</w:t>
            </w:r>
          </w:p>
        </w:tc>
        <w:tc>
          <w:tcPr>
            <w:tcW w:w="828" w:type="dxa"/>
            <w:tcBorders>
              <w:top w:val="nil"/>
              <w:left w:val="nil"/>
              <w:bottom w:val="nil"/>
              <w:right w:val="nil"/>
            </w:tcBorders>
            <w:shd w:val="clear" w:color="000000" w:fill="FFFFFF"/>
            <w:noWrap/>
            <w:vAlign w:val="bottom"/>
            <w:hideMark/>
          </w:tcPr>
          <w:p w14:paraId="6D6BC4DB" w14:textId="77777777" w:rsidR="0086063E" w:rsidRDefault="0086063E">
            <w:pPr>
              <w:jc w:val="center"/>
              <w:rPr>
                <w:color w:val="000000"/>
                <w:sz w:val="22"/>
                <w:szCs w:val="22"/>
              </w:rPr>
            </w:pPr>
            <w:r>
              <w:rPr>
                <w:color w:val="000000"/>
                <w:sz w:val="22"/>
                <w:szCs w:val="22"/>
              </w:rPr>
              <w:t>1.000</w:t>
            </w:r>
          </w:p>
        </w:tc>
        <w:tc>
          <w:tcPr>
            <w:tcW w:w="827" w:type="dxa"/>
            <w:tcBorders>
              <w:top w:val="nil"/>
              <w:left w:val="nil"/>
              <w:bottom w:val="nil"/>
              <w:right w:val="nil"/>
            </w:tcBorders>
            <w:shd w:val="clear" w:color="000000" w:fill="FFFFFF"/>
            <w:noWrap/>
            <w:vAlign w:val="bottom"/>
            <w:hideMark/>
          </w:tcPr>
          <w:p w14:paraId="5A6BEE15" w14:textId="77777777" w:rsidR="0086063E" w:rsidRDefault="0086063E">
            <w:pPr>
              <w:jc w:val="center"/>
              <w:rPr>
                <w:color w:val="000000"/>
                <w:sz w:val="22"/>
                <w:szCs w:val="22"/>
              </w:rPr>
            </w:pPr>
            <w:r>
              <w:rPr>
                <w:color w:val="000000"/>
                <w:sz w:val="22"/>
                <w:szCs w:val="22"/>
              </w:rPr>
              <w:t>.988**</w:t>
            </w:r>
          </w:p>
        </w:tc>
      </w:tr>
      <w:tr w:rsidR="0036017D" w14:paraId="314A561A" w14:textId="77777777" w:rsidTr="000A6429">
        <w:trPr>
          <w:trHeight w:val="308"/>
        </w:trPr>
        <w:tc>
          <w:tcPr>
            <w:tcW w:w="701" w:type="dxa"/>
            <w:tcBorders>
              <w:top w:val="nil"/>
              <w:left w:val="nil"/>
              <w:bottom w:val="nil"/>
              <w:right w:val="nil"/>
            </w:tcBorders>
            <w:shd w:val="clear" w:color="000000" w:fill="FFFFFF"/>
            <w:noWrap/>
            <w:vAlign w:val="bottom"/>
            <w:hideMark/>
          </w:tcPr>
          <w:p w14:paraId="117B3467" w14:textId="77777777" w:rsidR="0086063E" w:rsidRDefault="0086063E">
            <w:pPr>
              <w:jc w:val="center"/>
              <w:rPr>
                <w:color w:val="000000"/>
                <w:u w:val="single"/>
              </w:rPr>
            </w:pPr>
            <w:r>
              <w:rPr>
                <w:color w:val="000000"/>
                <w:u w:val="single"/>
              </w:rPr>
              <w:t>2006</w:t>
            </w:r>
          </w:p>
        </w:tc>
        <w:tc>
          <w:tcPr>
            <w:tcW w:w="826" w:type="dxa"/>
            <w:tcBorders>
              <w:top w:val="nil"/>
              <w:left w:val="nil"/>
              <w:bottom w:val="nil"/>
              <w:right w:val="nil"/>
            </w:tcBorders>
            <w:shd w:val="clear" w:color="000000" w:fill="FFFFFF"/>
            <w:noWrap/>
            <w:vAlign w:val="bottom"/>
            <w:hideMark/>
          </w:tcPr>
          <w:p w14:paraId="3E961A60" w14:textId="77777777" w:rsidR="0086063E" w:rsidRDefault="0086063E">
            <w:pPr>
              <w:jc w:val="center"/>
              <w:rPr>
                <w:color w:val="000000"/>
                <w:sz w:val="22"/>
                <w:szCs w:val="22"/>
              </w:rPr>
            </w:pPr>
            <w:r>
              <w:rPr>
                <w:color w:val="000000"/>
                <w:sz w:val="22"/>
                <w:szCs w:val="22"/>
              </w:rPr>
              <w:t>.933**</w:t>
            </w:r>
          </w:p>
        </w:tc>
        <w:tc>
          <w:tcPr>
            <w:tcW w:w="826" w:type="dxa"/>
            <w:tcBorders>
              <w:top w:val="nil"/>
              <w:left w:val="nil"/>
              <w:bottom w:val="nil"/>
              <w:right w:val="nil"/>
            </w:tcBorders>
            <w:shd w:val="clear" w:color="000000" w:fill="FFFFFF"/>
            <w:noWrap/>
            <w:vAlign w:val="bottom"/>
            <w:hideMark/>
          </w:tcPr>
          <w:p w14:paraId="1F7EAF3E" w14:textId="77777777" w:rsidR="0086063E" w:rsidRDefault="0086063E">
            <w:pPr>
              <w:jc w:val="center"/>
              <w:rPr>
                <w:color w:val="000000"/>
                <w:sz w:val="22"/>
                <w:szCs w:val="22"/>
              </w:rPr>
            </w:pPr>
            <w:r>
              <w:rPr>
                <w:color w:val="000000"/>
                <w:sz w:val="22"/>
                <w:szCs w:val="22"/>
              </w:rPr>
              <w:t>.939**</w:t>
            </w:r>
          </w:p>
        </w:tc>
        <w:tc>
          <w:tcPr>
            <w:tcW w:w="826" w:type="dxa"/>
            <w:tcBorders>
              <w:top w:val="nil"/>
              <w:left w:val="nil"/>
              <w:bottom w:val="nil"/>
              <w:right w:val="nil"/>
            </w:tcBorders>
            <w:shd w:val="clear" w:color="000000" w:fill="FFFFFF"/>
            <w:noWrap/>
            <w:vAlign w:val="bottom"/>
            <w:hideMark/>
          </w:tcPr>
          <w:p w14:paraId="5A15933F" w14:textId="77777777" w:rsidR="0086063E" w:rsidRDefault="0086063E">
            <w:pPr>
              <w:jc w:val="center"/>
              <w:rPr>
                <w:color w:val="000000"/>
                <w:sz w:val="22"/>
                <w:szCs w:val="22"/>
              </w:rPr>
            </w:pPr>
            <w:r>
              <w:rPr>
                <w:color w:val="000000"/>
                <w:sz w:val="22"/>
                <w:szCs w:val="22"/>
              </w:rPr>
              <w:t>.950**</w:t>
            </w:r>
          </w:p>
        </w:tc>
        <w:tc>
          <w:tcPr>
            <w:tcW w:w="828" w:type="dxa"/>
            <w:tcBorders>
              <w:top w:val="nil"/>
              <w:left w:val="nil"/>
              <w:bottom w:val="nil"/>
              <w:right w:val="nil"/>
            </w:tcBorders>
            <w:shd w:val="clear" w:color="000000" w:fill="FFFFFF"/>
            <w:noWrap/>
            <w:vAlign w:val="bottom"/>
            <w:hideMark/>
          </w:tcPr>
          <w:p w14:paraId="08BEBACC" w14:textId="77777777" w:rsidR="0086063E" w:rsidRDefault="0086063E">
            <w:pPr>
              <w:jc w:val="center"/>
              <w:rPr>
                <w:color w:val="000000"/>
                <w:sz w:val="22"/>
                <w:szCs w:val="22"/>
              </w:rPr>
            </w:pPr>
            <w:r>
              <w:rPr>
                <w:color w:val="000000"/>
                <w:sz w:val="22"/>
                <w:szCs w:val="22"/>
              </w:rPr>
              <w:t>.951**</w:t>
            </w:r>
          </w:p>
        </w:tc>
        <w:tc>
          <w:tcPr>
            <w:tcW w:w="827" w:type="dxa"/>
            <w:tcBorders>
              <w:top w:val="nil"/>
              <w:left w:val="nil"/>
              <w:bottom w:val="nil"/>
              <w:right w:val="nil"/>
            </w:tcBorders>
            <w:shd w:val="clear" w:color="000000" w:fill="FFFFFF"/>
            <w:noWrap/>
            <w:vAlign w:val="bottom"/>
            <w:hideMark/>
          </w:tcPr>
          <w:p w14:paraId="1810CE99" w14:textId="77777777" w:rsidR="0086063E" w:rsidRDefault="0086063E">
            <w:pPr>
              <w:jc w:val="center"/>
              <w:rPr>
                <w:color w:val="000000"/>
                <w:sz w:val="22"/>
                <w:szCs w:val="22"/>
              </w:rPr>
            </w:pPr>
            <w:r>
              <w:rPr>
                <w:color w:val="000000"/>
                <w:sz w:val="22"/>
                <w:szCs w:val="22"/>
              </w:rPr>
              <w:t>.952**</w:t>
            </w:r>
          </w:p>
        </w:tc>
        <w:tc>
          <w:tcPr>
            <w:tcW w:w="826" w:type="dxa"/>
            <w:tcBorders>
              <w:top w:val="nil"/>
              <w:left w:val="nil"/>
              <w:bottom w:val="nil"/>
              <w:right w:val="nil"/>
            </w:tcBorders>
            <w:shd w:val="clear" w:color="000000" w:fill="FFFFFF"/>
            <w:noWrap/>
            <w:vAlign w:val="bottom"/>
            <w:hideMark/>
          </w:tcPr>
          <w:p w14:paraId="57D276AF" w14:textId="77777777" w:rsidR="0086063E" w:rsidRDefault="0086063E">
            <w:pPr>
              <w:jc w:val="center"/>
              <w:rPr>
                <w:color w:val="000000"/>
                <w:sz w:val="22"/>
                <w:szCs w:val="22"/>
              </w:rPr>
            </w:pPr>
            <w:r>
              <w:rPr>
                <w:color w:val="000000"/>
                <w:sz w:val="22"/>
                <w:szCs w:val="22"/>
              </w:rPr>
              <w:t>.961**</w:t>
            </w:r>
          </w:p>
        </w:tc>
        <w:tc>
          <w:tcPr>
            <w:tcW w:w="826" w:type="dxa"/>
            <w:tcBorders>
              <w:top w:val="nil"/>
              <w:left w:val="nil"/>
              <w:bottom w:val="nil"/>
              <w:right w:val="nil"/>
            </w:tcBorders>
            <w:shd w:val="clear" w:color="000000" w:fill="FFFFFF"/>
            <w:noWrap/>
            <w:vAlign w:val="bottom"/>
            <w:hideMark/>
          </w:tcPr>
          <w:p w14:paraId="401FECC5" w14:textId="77777777" w:rsidR="0086063E" w:rsidRDefault="0086063E">
            <w:pPr>
              <w:jc w:val="center"/>
              <w:rPr>
                <w:color w:val="000000"/>
                <w:sz w:val="22"/>
                <w:szCs w:val="22"/>
              </w:rPr>
            </w:pPr>
            <w:r>
              <w:rPr>
                <w:color w:val="000000"/>
                <w:sz w:val="22"/>
                <w:szCs w:val="22"/>
              </w:rPr>
              <w:t>.974**</w:t>
            </w:r>
          </w:p>
        </w:tc>
        <w:tc>
          <w:tcPr>
            <w:tcW w:w="828" w:type="dxa"/>
            <w:tcBorders>
              <w:top w:val="nil"/>
              <w:left w:val="nil"/>
              <w:bottom w:val="nil"/>
              <w:right w:val="nil"/>
            </w:tcBorders>
            <w:shd w:val="clear" w:color="000000" w:fill="FFFFFF"/>
            <w:noWrap/>
            <w:vAlign w:val="bottom"/>
            <w:hideMark/>
          </w:tcPr>
          <w:p w14:paraId="23CB0933" w14:textId="77777777" w:rsidR="0086063E" w:rsidRDefault="0086063E">
            <w:pPr>
              <w:jc w:val="center"/>
              <w:rPr>
                <w:color w:val="000000"/>
                <w:sz w:val="22"/>
                <w:szCs w:val="22"/>
              </w:rPr>
            </w:pPr>
            <w:r>
              <w:rPr>
                <w:color w:val="000000"/>
                <w:sz w:val="22"/>
                <w:szCs w:val="22"/>
              </w:rPr>
              <w:t>.988**</w:t>
            </w:r>
          </w:p>
        </w:tc>
        <w:tc>
          <w:tcPr>
            <w:tcW w:w="827" w:type="dxa"/>
            <w:tcBorders>
              <w:top w:val="nil"/>
              <w:left w:val="nil"/>
              <w:bottom w:val="nil"/>
              <w:right w:val="nil"/>
            </w:tcBorders>
            <w:shd w:val="clear" w:color="000000" w:fill="FFFFFF"/>
            <w:noWrap/>
            <w:vAlign w:val="bottom"/>
            <w:hideMark/>
          </w:tcPr>
          <w:p w14:paraId="3F2CB5E1" w14:textId="77777777" w:rsidR="0086063E" w:rsidRDefault="0086063E">
            <w:pPr>
              <w:jc w:val="center"/>
              <w:rPr>
                <w:color w:val="000000"/>
                <w:sz w:val="22"/>
                <w:szCs w:val="22"/>
              </w:rPr>
            </w:pPr>
            <w:r>
              <w:rPr>
                <w:color w:val="000000"/>
                <w:sz w:val="22"/>
                <w:szCs w:val="22"/>
              </w:rPr>
              <w:t>1.000</w:t>
            </w:r>
          </w:p>
        </w:tc>
      </w:tr>
      <w:tr w:rsidR="0036017D" w14:paraId="1A9C59C3" w14:textId="77777777" w:rsidTr="000A6429">
        <w:trPr>
          <w:trHeight w:val="184"/>
        </w:trPr>
        <w:tc>
          <w:tcPr>
            <w:tcW w:w="701" w:type="dxa"/>
            <w:tcBorders>
              <w:top w:val="nil"/>
              <w:left w:val="nil"/>
              <w:bottom w:val="nil"/>
              <w:right w:val="nil"/>
            </w:tcBorders>
            <w:shd w:val="clear" w:color="000000" w:fill="FFFFFF"/>
            <w:noWrap/>
            <w:vAlign w:val="bottom"/>
            <w:hideMark/>
          </w:tcPr>
          <w:p w14:paraId="0BD5E35D" w14:textId="77777777" w:rsidR="0086063E" w:rsidRDefault="0086063E">
            <w:pPr>
              <w:jc w:val="center"/>
              <w:rPr>
                <w:color w:val="000000"/>
                <w:u w:val="single"/>
              </w:rPr>
            </w:pPr>
          </w:p>
        </w:tc>
        <w:tc>
          <w:tcPr>
            <w:tcW w:w="826" w:type="dxa"/>
            <w:tcBorders>
              <w:top w:val="nil"/>
              <w:left w:val="nil"/>
              <w:bottom w:val="nil"/>
              <w:right w:val="nil"/>
            </w:tcBorders>
            <w:shd w:val="clear" w:color="000000" w:fill="FFFFFF"/>
            <w:noWrap/>
            <w:vAlign w:val="bottom"/>
            <w:hideMark/>
          </w:tcPr>
          <w:p w14:paraId="278017F1" w14:textId="77777777" w:rsidR="0086063E" w:rsidRDefault="0086063E">
            <w:pPr>
              <w:jc w:val="center"/>
              <w:rPr>
                <w:color w:val="000000"/>
                <w:sz w:val="22"/>
                <w:szCs w:val="22"/>
              </w:rPr>
            </w:pPr>
            <w:r>
              <w:rPr>
                <w:color w:val="000000"/>
                <w:sz w:val="22"/>
                <w:szCs w:val="22"/>
              </w:rPr>
              <w:t> </w:t>
            </w:r>
          </w:p>
        </w:tc>
        <w:tc>
          <w:tcPr>
            <w:tcW w:w="826" w:type="dxa"/>
            <w:tcBorders>
              <w:top w:val="nil"/>
              <w:left w:val="nil"/>
              <w:bottom w:val="nil"/>
              <w:right w:val="nil"/>
            </w:tcBorders>
            <w:shd w:val="clear" w:color="000000" w:fill="FFFFFF"/>
            <w:noWrap/>
            <w:vAlign w:val="bottom"/>
            <w:hideMark/>
          </w:tcPr>
          <w:p w14:paraId="78233205" w14:textId="77777777" w:rsidR="0086063E" w:rsidRDefault="0086063E">
            <w:pPr>
              <w:jc w:val="center"/>
              <w:rPr>
                <w:color w:val="000000"/>
                <w:sz w:val="22"/>
                <w:szCs w:val="22"/>
              </w:rPr>
            </w:pPr>
            <w:r>
              <w:rPr>
                <w:color w:val="000000"/>
                <w:sz w:val="22"/>
                <w:szCs w:val="22"/>
              </w:rPr>
              <w:t> </w:t>
            </w:r>
          </w:p>
        </w:tc>
        <w:tc>
          <w:tcPr>
            <w:tcW w:w="826" w:type="dxa"/>
            <w:tcBorders>
              <w:top w:val="nil"/>
              <w:left w:val="nil"/>
              <w:bottom w:val="nil"/>
              <w:right w:val="nil"/>
            </w:tcBorders>
            <w:shd w:val="clear" w:color="000000" w:fill="FFFFFF"/>
            <w:noWrap/>
            <w:vAlign w:val="bottom"/>
            <w:hideMark/>
          </w:tcPr>
          <w:p w14:paraId="7942CFDE" w14:textId="77777777" w:rsidR="0086063E" w:rsidRDefault="0086063E">
            <w:pPr>
              <w:jc w:val="center"/>
              <w:rPr>
                <w:color w:val="000000"/>
                <w:sz w:val="22"/>
                <w:szCs w:val="22"/>
              </w:rPr>
            </w:pPr>
            <w:r>
              <w:rPr>
                <w:color w:val="000000"/>
                <w:sz w:val="22"/>
                <w:szCs w:val="22"/>
              </w:rPr>
              <w:t> </w:t>
            </w:r>
          </w:p>
        </w:tc>
        <w:tc>
          <w:tcPr>
            <w:tcW w:w="828" w:type="dxa"/>
            <w:tcBorders>
              <w:top w:val="nil"/>
              <w:left w:val="nil"/>
              <w:bottom w:val="nil"/>
              <w:right w:val="nil"/>
            </w:tcBorders>
            <w:shd w:val="clear" w:color="000000" w:fill="FFFFFF"/>
            <w:noWrap/>
            <w:vAlign w:val="bottom"/>
            <w:hideMark/>
          </w:tcPr>
          <w:p w14:paraId="132D60C7" w14:textId="77777777" w:rsidR="0086063E" w:rsidRDefault="0086063E">
            <w:pPr>
              <w:jc w:val="center"/>
              <w:rPr>
                <w:color w:val="000000"/>
                <w:sz w:val="22"/>
                <w:szCs w:val="22"/>
              </w:rPr>
            </w:pPr>
            <w:r>
              <w:rPr>
                <w:color w:val="000000"/>
                <w:sz w:val="22"/>
                <w:szCs w:val="22"/>
              </w:rPr>
              <w:t> </w:t>
            </w:r>
          </w:p>
        </w:tc>
        <w:tc>
          <w:tcPr>
            <w:tcW w:w="827" w:type="dxa"/>
            <w:tcBorders>
              <w:top w:val="nil"/>
              <w:left w:val="nil"/>
              <w:bottom w:val="nil"/>
              <w:right w:val="nil"/>
            </w:tcBorders>
            <w:shd w:val="clear" w:color="000000" w:fill="FFFFFF"/>
            <w:noWrap/>
            <w:vAlign w:val="bottom"/>
            <w:hideMark/>
          </w:tcPr>
          <w:p w14:paraId="4EE65FC6" w14:textId="77777777" w:rsidR="0086063E" w:rsidRDefault="0086063E">
            <w:pPr>
              <w:jc w:val="center"/>
              <w:rPr>
                <w:color w:val="000000"/>
                <w:sz w:val="22"/>
                <w:szCs w:val="22"/>
              </w:rPr>
            </w:pPr>
            <w:r>
              <w:rPr>
                <w:color w:val="000000"/>
                <w:sz w:val="22"/>
                <w:szCs w:val="22"/>
              </w:rPr>
              <w:t> </w:t>
            </w:r>
          </w:p>
        </w:tc>
        <w:tc>
          <w:tcPr>
            <w:tcW w:w="826" w:type="dxa"/>
            <w:tcBorders>
              <w:top w:val="nil"/>
              <w:left w:val="nil"/>
              <w:bottom w:val="nil"/>
              <w:right w:val="nil"/>
            </w:tcBorders>
            <w:shd w:val="clear" w:color="000000" w:fill="FFFFFF"/>
            <w:noWrap/>
            <w:vAlign w:val="bottom"/>
            <w:hideMark/>
          </w:tcPr>
          <w:p w14:paraId="76F51295" w14:textId="77777777" w:rsidR="0086063E" w:rsidRDefault="0086063E">
            <w:pPr>
              <w:jc w:val="center"/>
              <w:rPr>
                <w:color w:val="000000"/>
                <w:sz w:val="22"/>
                <w:szCs w:val="22"/>
              </w:rPr>
            </w:pPr>
            <w:r>
              <w:rPr>
                <w:color w:val="000000"/>
                <w:sz w:val="22"/>
                <w:szCs w:val="22"/>
              </w:rPr>
              <w:t> </w:t>
            </w:r>
          </w:p>
        </w:tc>
        <w:tc>
          <w:tcPr>
            <w:tcW w:w="826" w:type="dxa"/>
            <w:tcBorders>
              <w:top w:val="nil"/>
              <w:left w:val="nil"/>
              <w:bottom w:val="nil"/>
              <w:right w:val="nil"/>
            </w:tcBorders>
            <w:shd w:val="clear" w:color="000000" w:fill="FFFFFF"/>
            <w:noWrap/>
            <w:vAlign w:val="bottom"/>
            <w:hideMark/>
          </w:tcPr>
          <w:p w14:paraId="32D6CE4C" w14:textId="77777777" w:rsidR="0086063E" w:rsidRDefault="0086063E">
            <w:pPr>
              <w:jc w:val="center"/>
              <w:rPr>
                <w:color w:val="000000"/>
                <w:sz w:val="22"/>
                <w:szCs w:val="22"/>
              </w:rPr>
            </w:pPr>
            <w:r>
              <w:rPr>
                <w:color w:val="000000"/>
                <w:sz w:val="22"/>
                <w:szCs w:val="22"/>
              </w:rPr>
              <w:t> </w:t>
            </w:r>
          </w:p>
        </w:tc>
        <w:tc>
          <w:tcPr>
            <w:tcW w:w="828" w:type="dxa"/>
            <w:tcBorders>
              <w:top w:val="nil"/>
              <w:left w:val="nil"/>
              <w:bottom w:val="nil"/>
              <w:right w:val="nil"/>
            </w:tcBorders>
            <w:shd w:val="clear" w:color="000000" w:fill="FFFFFF"/>
            <w:noWrap/>
            <w:vAlign w:val="bottom"/>
            <w:hideMark/>
          </w:tcPr>
          <w:p w14:paraId="75B5104C" w14:textId="77777777" w:rsidR="0086063E" w:rsidRDefault="0086063E">
            <w:pPr>
              <w:jc w:val="center"/>
              <w:rPr>
                <w:color w:val="000000"/>
                <w:sz w:val="22"/>
                <w:szCs w:val="22"/>
              </w:rPr>
            </w:pPr>
            <w:r>
              <w:rPr>
                <w:color w:val="000000"/>
                <w:sz w:val="22"/>
                <w:szCs w:val="22"/>
              </w:rPr>
              <w:t> </w:t>
            </w:r>
          </w:p>
        </w:tc>
        <w:tc>
          <w:tcPr>
            <w:tcW w:w="827" w:type="dxa"/>
            <w:tcBorders>
              <w:top w:val="nil"/>
              <w:left w:val="nil"/>
              <w:bottom w:val="nil"/>
              <w:right w:val="nil"/>
            </w:tcBorders>
            <w:shd w:val="clear" w:color="000000" w:fill="FFFFFF"/>
            <w:noWrap/>
            <w:vAlign w:val="bottom"/>
            <w:hideMark/>
          </w:tcPr>
          <w:p w14:paraId="3E3F39E2" w14:textId="77777777" w:rsidR="0086063E" w:rsidRDefault="0086063E">
            <w:pPr>
              <w:jc w:val="center"/>
              <w:rPr>
                <w:color w:val="000000"/>
                <w:sz w:val="22"/>
                <w:szCs w:val="22"/>
              </w:rPr>
            </w:pPr>
            <w:r>
              <w:rPr>
                <w:color w:val="000000"/>
                <w:sz w:val="22"/>
                <w:szCs w:val="22"/>
              </w:rPr>
              <w:t> </w:t>
            </w:r>
          </w:p>
        </w:tc>
      </w:tr>
      <w:tr w:rsidR="000A6429" w14:paraId="5A23B76E" w14:textId="77777777" w:rsidTr="000A6429">
        <w:trPr>
          <w:trHeight w:val="230"/>
        </w:trPr>
        <w:tc>
          <w:tcPr>
            <w:tcW w:w="4008" w:type="dxa"/>
            <w:gridSpan w:val="5"/>
            <w:tcBorders>
              <w:top w:val="nil"/>
              <w:left w:val="nil"/>
              <w:bottom w:val="nil"/>
              <w:right w:val="nil"/>
            </w:tcBorders>
            <w:shd w:val="clear" w:color="000000" w:fill="FFFFFF"/>
            <w:noWrap/>
            <w:vAlign w:val="bottom"/>
            <w:hideMark/>
          </w:tcPr>
          <w:p w14:paraId="7B2C4C54" w14:textId="77777777" w:rsidR="0086063E" w:rsidRDefault="0086063E">
            <w:pPr>
              <w:rPr>
                <w:color w:val="000000"/>
                <w:sz w:val="16"/>
                <w:szCs w:val="16"/>
              </w:rPr>
            </w:pPr>
            <w:r>
              <w:rPr>
                <w:color w:val="000000"/>
                <w:sz w:val="16"/>
                <w:szCs w:val="16"/>
              </w:rPr>
              <w:t xml:space="preserve">N = 564 4-Year Public Higher Education Institutions </w:t>
            </w:r>
          </w:p>
        </w:tc>
        <w:tc>
          <w:tcPr>
            <w:tcW w:w="827" w:type="dxa"/>
            <w:tcBorders>
              <w:top w:val="nil"/>
              <w:left w:val="nil"/>
              <w:bottom w:val="nil"/>
              <w:right w:val="nil"/>
            </w:tcBorders>
            <w:shd w:val="clear" w:color="000000" w:fill="FFFFFF"/>
            <w:noWrap/>
            <w:vAlign w:val="bottom"/>
            <w:hideMark/>
          </w:tcPr>
          <w:p w14:paraId="6D791F16" w14:textId="77777777" w:rsidR="0086063E" w:rsidRDefault="0086063E">
            <w:pPr>
              <w:rPr>
                <w:color w:val="000000"/>
                <w:sz w:val="16"/>
                <w:szCs w:val="16"/>
              </w:rPr>
            </w:pPr>
            <w:r>
              <w:rPr>
                <w:color w:val="000000"/>
                <w:sz w:val="16"/>
                <w:szCs w:val="16"/>
              </w:rPr>
              <w:t> </w:t>
            </w:r>
          </w:p>
        </w:tc>
        <w:tc>
          <w:tcPr>
            <w:tcW w:w="826" w:type="dxa"/>
            <w:tcBorders>
              <w:top w:val="nil"/>
              <w:left w:val="nil"/>
              <w:bottom w:val="nil"/>
              <w:right w:val="nil"/>
            </w:tcBorders>
            <w:shd w:val="clear" w:color="000000" w:fill="FFFFFF"/>
            <w:noWrap/>
            <w:vAlign w:val="bottom"/>
            <w:hideMark/>
          </w:tcPr>
          <w:p w14:paraId="5AAA7079" w14:textId="77777777" w:rsidR="0086063E" w:rsidRDefault="0086063E">
            <w:pPr>
              <w:rPr>
                <w:color w:val="000000"/>
                <w:sz w:val="16"/>
                <w:szCs w:val="16"/>
              </w:rPr>
            </w:pPr>
            <w:r>
              <w:rPr>
                <w:color w:val="000000"/>
                <w:sz w:val="16"/>
                <w:szCs w:val="16"/>
              </w:rPr>
              <w:t> </w:t>
            </w:r>
          </w:p>
        </w:tc>
        <w:tc>
          <w:tcPr>
            <w:tcW w:w="826" w:type="dxa"/>
            <w:tcBorders>
              <w:top w:val="nil"/>
              <w:left w:val="nil"/>
              <w:bottom w:val="nil"/>
              <w:right w:val="nil"/>
            </w:tcBorders>
            <w:shd w:val="clear" w:color="000000" w:fill="FFFFFF"/>
            <w:noWrap/>
            <w:vAlign w:val="bottom"/>
            <w:hideMark/>
          </w:tcPr>
          <w:p w14:paraId="57A9B7EF" w14:textId="77777777" w:rsidR="0086063E" w:rsidRDefault="0086063E">
            <w:pPr>
              <w:rPr>
                <w:color w:val="000000"/>
                <w:sz w:val="16"/>
                <w:szCs w:val="16"/>
              </w:rPr>
            </w:pPr>
            <w:r>
              <w:rPr>
                <w:color w:val="000000"/>
                <w:sz w:val="16"/>
                <w:szCs w:val="16"/>
              </w:rPr>
              <w:t> </w:t>
            </w:r>
          </w:p>
        </w:tc>
        <w:tc>
          <w:tcPr>
            <w:tcW w:w="828" w:type="dxa"/>
            <w:tcBorders>
              <w:top w:val="nil"/>
              <w:left w:val="nil"/>
              <w:bottom w:val="nil"/>
              <w:right w:val="nil"/>
            </w:tcBorders>
            <w:shd w:val="clear" w:color="000000" w:fill="FFFFFF"/>
            <w:noWrap/>
            <w:vAlign w:val="bottom"/>
            <w:hideMark/>
          </w:tcPr>
          <w:p w14:paraId="25022DD5" w14:textId="77777777" w:rsidR="0086063E" w:rsidRDefault="0086063E">
            <w:pPr>
              <w:rPr>
                <w:color w:val="000000"/>
                <w:sz w:val="16"/>
                <w:szCs w:val="16"/>
              </w:rPr>
            </w:pPr>
            <w:r>
              <w:rPr>
                <w:color w:val="000000"/>
                <w:sz w:val="16"/>
                <w:szCs w:val="16"/>
              </w:rPr>
              <w:t> </w:t>
            </w:r>
          </w:p>
        </w:tc>
        <w:tc>
          <w:tcPr>
            <w:tcW w:w="827" w:type="dxa"/>
            <w:tcBorders>
              <w:top w:val="nil"/>
              <w:left w:val="nil"/>
              <w:bottom w:val="nil"/>
              <w:right w:val="nil"/>
            </w:tcBorders>
            <w:shd w:val="clear" w:color="000000" w:fill="FFFFFF"/>
            <w:noWrap/>
            <w:vAlign w:val="bottom"/>
            <w:hideMark/>
          </w:tcPr>
          <w:p w14:paraId="5FA50E55" w14:textId="77777777" w:rsidR="0086063E" w:rsidRDefault="0086063E">
            <w:pPr>
              <w:rPr>
                <w:color w:val="000000"/>
                <w:sz w:val="16"/>
                <w:szCs w:val="16"/>
              </w:rPr>
            </w:pPr>
            <w:r>
              <w:rPr>
                <w:color w:val="000000"/>
                <w:sz w:val="16"/>
                <w:szCs w:val="16"/>
              </w:rPr>
              <w:t> </w:t>
            </w:r>
          </w:p>
        </w:tc>
      </w:tr>
      <w:tr w:rsidR="000A6429" w14:paraId="138B88AB" w14:textId="77777777" w:rsidTr="000A6429">
        <w:trPr>
          <w:trHeight w:val="230"/>
        </w:trPr>
        <w:tc>
          <w:tcPr>
            <w:tcW w:w="4836" w:type="dxa"/>
            <w:gridSpan w:val="6"/>
            <w:tcBorders>
              <w:top w:val="nil"/>
              <w:left w:val="nil"/>
              <w:bottom w:val="single" w:sz="4" w:space="0" w:color="auto"/>
              <w:right w:val="nil"/>
            </w:tcBorders>
            <w:shd w:val="clear" w:color="000000" w:fill="FFFFFF"/>
            <w:noWrap/>
            <w:vAlign w:val="bottom"/>
            <w:hideMark/>
          </w:tcPr>
          <w:p w14:paraId="2740EE06" w14:textId="77777777" w:rsidR="0086063E" w:rsidRDefault="0086063E">
            <w:pPr>
              <w:rPr>
                <w:color w:val="000000"/>
                <w:sz w:val="16"/>
                <w:szCs w:val="16"/>
              </w:rPr>
            </w:pPr>
            <w:r>
              <w:rPr>
                <w:color w:val="000000"/>
                <w:sz w:val="16"/>
                <w:szCs w:val="16"/>
              </w:rPr>
              <w:t xml:space="preserve">**Correlation is significant at the 0.01 level (2-tailed). </w:t>
            </w:r>
          </w:p>
        </w:tc>
        <w:tc>
          <w:tcPr>
            <w:tcW w:w="826" w:type="dxa"/>
            <w:tcBorders>
              <w:top w:val="nil"/>
              <w:left w:val="nil"/>
              <w:bottom w:val="single" w:sz="4" w:space="0" w:color="auto"/>
              <w:right w:val="nil"/>
            </w:tcBorders>
            <w:shd w:val="clear" w:color="000000" w:fill="FFFFFF"/>
            <w:vAlign w:val="bottom"/>
            <w:hideMark/>
          </w:tcPr>
          <w:p w14:paraId="00F827B6" w14:textId="77777777" w:rsidR="0086063E" w:rsidRDefault="0086063E">
            <w:pPr>
              <w:jc w:val="center"/>
              <w:rPr>
                <w:color w:val="000000"/>
                <w:sz w:val="16"/>
                <w:szCs w:val="16"/>
              </w:rPr>
            </w:pPr>
            <w:r>
              <w:rPr>
                <w:color w:val="000000"/>
                <w:sz w:val="16"/>
                <w:szCs w:val="16"/>
              </w:rPr>
              <w:t> </w:t>
            </w:r>
          </w:p>
        </w:tc>
        <w:tc>
          <w:tcPr>
            <w:tcW w:w="826" w:type="dxa"/>
            <w:tcBorders>
              <w:top w:val="nil"/>
              <w:left w:val="nil"/>
              <w:bottom w:val="single" w:sz="4" w:space="0" w:color="auto"/>
              <w:right w:val="nil"/>
            </w:tcBorders>
            <w:shd w:val="clear" w:color="000000" w:fill="FFFFFF"/>
            <w:vAlign w:val="bottom"/>
            <w:hideMark/>
          </w:tcPr>
          <w:p w14:paraId="4B182830" w14:textId="77777777" w:rsidR="0086063E" w:rsidRDefault="0086063E">
            <w:pPr>
              <w:jc w:val="center"/>
              <w:rPr>
                <w:color w:val="000000"/>
                <w:sz w:val="16"/>
                <w:szCs w:val="16"/>
              </w:rPr>
            </w:pPr>
            <w:r>
              <w:rPr>
                <w:color w:val="000000"/>
                <w:sz w:val="16"/>
                <w:szCs w:val="16"/>
              </w:rPr>
              <w:t> </w:t>
            </w:r>
          </w:p>
        </w:tc>
        <w:tc>
          <w:tcPr>
            <w:tcW w:w="828" w:type="dxa"/>
            <w:tcBorders>
              <w:top w:val="nil"/>
              <w:left w:val="nil"/>
              <w:bottom w:val="single" w:sz="4" w:space="0" w:color="auto"/>
              <w:right w:val="nil"/>
            </w:tcBorders>
            <w:shd w:val="clear" w:color="000000" w:fill="FFFFFF"/>
            <w:vAlign w:val="bottom"/>
            <w:hideMark/>
          </w:tcPr>
          <w:p w14:paraId="78CAA6AE" w14:textId="77777777" w:rsidR="0086063E" w:rsidRDefault="0086063E">
            <w:pPr>
              <w:jc w:val="center"/>
              <w:rPr>
                <w:color w:val="000000"/>
                <w:sz w:val="16"/>
                <w:szCs w:val="16"/>
              </w:rPr>
            </w:pPr>
            <w:r>
              <w:rPr>
                <w:color w:val="000000"/>
                <w:sz w:val="16"/>
                <w:szCs w:val="16"/>
              </w:rPr>
              <w:t> </w:t>
            </w:r>
          </w:p>
        </w:tc>
        <w:tc>
          <w:tcPr>
            <w:tcW w:w="827" w:type="dxa"/>
            <w:tcBorders>
              <w:top w:val="nil"/>
              <w:left w:val="nil"/>
              <w:bottom w:val="single" w:sz="4" w:space="0" w:color="auto"/>
              <w:right w:val="nil"/>
            </w:tcBorders>
            <w:shd w:val="clear" w:color="000000" w:fill="FFFFFF"/>
            <w:vAlign w:val="bottom"/>
            <w:hideMark/>
          </w:tcPr>
          <w:p w14:paraId="11696670" w14:textId="77777777" w:rsidR="0086063E" w:rsidRDefault="0086063E">
            <w:pPr>
              <w:jc w:val="center"/>
              <w:rPr>
                <w:color w:val="000000"/>
                <w:sz w:val="16"/>
                <w:szCs w:val="16"/>
              </w:rPr>
            </w:pPr>
            <w:r>
              <w:rPr>
                <w:color w:val="000000"/>
                <w:sz w:val="16"/>
                <w:szCs w:val="16"/>
              </w:rPr>
              <w:t> </w:t>
            </w:r>
          </w:p>
        </w:tc>
      </w:tr>
    </w:tbl>
    <w:p w14:paraId="6B06C184" w14:textId="77777777" w:rsidR="0036017D" w:rsidRDefault="0036017D" w:rsidP="0036017D">
      <w:pPr>
        <w:spacing w:before="240" w:after="160" w:line="480" w:lineRule="auto"/>
        <w:ind w:firstLine="720"/>
        <w:rPr>
          <w:rFonts w:eastAsia="Calibri"/>
        </w:rPr>
      </w:pPr>
      <w:r>
        <w:rPr>
          <w:rFonts w:eastAsia="Calibri"/>
        </w:rPr>
        <w:t xml:space="preserve">Because of this stability, there appeared reasonable justification to use only the first three years (2006, 2007, and 2008) of research expenditures to represent institutional spending on </w:t>
      </w:r>
      <w:r w:rsidR="001A0CF9">
        <w:rPr>
          <w:rFonts w:eastAsia="Calibri"/>
        </w:rPr>
        <w:t>research</w:t>
      </w:r>
      <w:r>
        <w:rPr>
          <w:rFonts w:eastAsia="Calibri"/>
        </w:rPr>
        <w:t xml:space="preserve"> over the entire 2006 through 2014 timeframe. </w:t>
      </w:r>
    </w:p>
    <w:p w14:paraId="7D3AC409" w14:textId="77777777" w:rsidR="000A6429" w:rsidRDefault="0036017D" w:rsidP="0040342C">
      <w:pPr>
        <w:spacing w:after="160" w:line="480" w:lineRule="auto"/>
        <w:ind w:firstLine="720"/>
        <w:rPr>
          <w:rFonts w:eastAsia="Calibri"/>
        </w:rPr>
      </w:pPr>
      <w:r w:rsidRPr="0036017D">
        <w:rPr>
          <w:rFonts w:eastAsia="Calibri"/>
        </w:rPr>
        <w:lastRenderedPageBreak/>
        <w:t>Table 4.</w:t>
      </w:r>
      <w:r>
        <w:rPr>
          <w:rFonts w:eastAsia="Calibri"/>
        </w:rPr>
        <w:t>3</w:t>
      </w:r>
      <w:r w:rsidRPr="0036017D">
        <w:rPr>
          <w:rFonts w:eastAsia="Calibri"/>
        </w:rPr>
        <w:t xml:space="preserve"> gives SPSS results of the Spearman-rho correlation analysis for the 2006 through 2014 </w:t>
      </w:r>
      <w:r>
        <w:rPr>
          <w:rFonts w:eastAsia="Calibri"/>
        </w:rPr>
        <w:t>Public Service</w:t>
      </w:r>
      <w:r w:rsidRPr="0036017D">
        <w:rPr>
          <w:rFonts w:eastAsia="Calibri"/>
        </w:rPr>
        <w:t xml:space="preserve"> Expenditures per Student FTE variables.  Similar to </w:t>
      </w:r>
      <w:r w:rsidR="00FE0822">
        <w:rPr>
          <w:rFonts w:eastAsia="Calibri"/>
        </w:rPr>
        <w:t>the other</w:t>
      </w:r>
      <w:r w:rsidRPr="0036017D">
        <w:rPr>
          <w:rFonts w:eastAsia="Calibri"/>
        </w:rPr>
        <w:t xml:space="preserve"> expenditure</w:t>
      </w:r>
      <w:r w:rsidR="00FE0822">
        <w:rPr>
          <w:rFonts w:eastAsia="Calibri"/>
        </w:rPr>
        <w:t xml:space="preserve"> type</w:t>
      </w:r>
      <w:r w:rsidRPr="0036017D">
        <w:rPr>
          <w:rFonts w:eastAsia="Calibri"/>
        </w:rPr>
        <w:t xml:space="preserve">s, </w:t>
      </w:r>
      <w:r>
        <w:rPr>
          <w:rFonts w:eastAsia="Calibri"/>
        </w:rPr>
        <w:t>public service</w:t>
      </w:r>
      <w:r w:rsidRPr="0036017D">
        <w:rPr>
          <w:rFonts w:eastAsia="Calibri"/>
        </w:rPr>
        <w:t xml:space="preserve"> expenses were highly correlated between each consecutive year, without any significant increases or decreases in </w:t>
      </w:r>
      <w:r>
        <w:rPr>
          <w:rFonts w:eastAsia="Calibri"/>
        </w:rPr>
        <w:t>public service</w:t>
      </w:r>
      <w:r w:rsidRPr="0036017D">
        <w:rPr>
          <w:rFonts w:eastAsia="Calibri"/>
        </w:rPr>
        <w:t xml:space="preserve"> spending from year-to-year.  </w:t>
      </w:r>
    </w:p>
    <w:p w14:paraId="527F7A70" w14:textId="77777777" w:rsidR="00C31916" w:rsidRDefault="0036017D" w:rsidP="0040342C">
      <w:pPr>
        <w:spacing w:after="160" w:line="480" w:lineRule="auto"/>
        <w:ind w:firstLine="720"/>
        <w:rPr>
          <w:rFonts w:eastAsia="Calibri"/>
          <w:highlight w:val="red"/>
        </w:rPr>
      </w:pPr>
      <w:r w:rsidRPr="0036017D">
        <w:rPr>
          <w:rFonts w:eastAsia="Calibri"/>
        </w:rPr>
        <w:t xml:space="preserve">Looking at the first three years of the study timeframe, 2006 </w:t>
      </w:r>
      <w:r>
        <w:rPr>
          <w:rFonts w:eastAsia="Calibri"/>
        </w:rPr>
        <w:t>public service</w:t>
      </w:r>
      <w:r w:rsidRPr="0036017D">
        <w:rPr>
          <w:rFonts w:eastAsia="Calibri"/>
        </w:rPr>
        <w:t xml:space="preserve"> expenses were 98.8 percent predictive of 2007 expenses, while 2007 expenses were 98.4 percent predictive of 2008 instruction expenses.  These high (above .900) correlation coefficients remain very high – above .900 – across all successive years.</w:t>
      </w:r>
    </w:p>
    <w:tbl>
      <w:tblPr>
        <w:tblW w:w="8085" w:type="dxa"/>
        <w:tblLook w:val="04A0" w:firstRow="1" w:lastRow="0" w:firstColumn="1" w:lastColumn="0" w:noHBand="0" w:noVBand="1"/>
      </w:tblPr>
      <w:tblGrid>
        <w:gridCol w:w="696"/>
        <w:gridCol w:w="821"/>
        <w:gridCol w:w="821"/>
        <w:gridCol w:w="821"/>
        <w:gridCol w:w="821"/>
        <w:gridCol w:w="821"/>
        <w:gridCol w:w="821"/>
        <w:gridCol w:w="821"/>
        <w:gridCol w:w="821"/>
        <w:gridCol w:w="821"/>
      </w:tblGrid>
      <w:tr w:rsidR="0036017D" w14:paraId="087B5D5B" w14:textId="77777777" w:rsidTr="000A6429">
        <w:trPr>
          <w:trHeight w:val="309"/>
        </w:trPr>
        <w:tc>
          <w:tcPr>
            <w:tcW w:w="7264" w:type="dxa"/>
            <w:gridSpan w:val="9"/>
            <w:tcBorders>
              <w:top w:val="nil"/>
              <w:left w:val="nil"/>
              <w:bottom w:val="nil"/>
              <w:right w:val="nil"/>
            </w:tcBorders>
            <w:shd w:val="clear" w:color="000000" w:fill="FFFFFF"/>
            <w:noWrap/>
            <w:vAlign w:val="bottom"/>
            <w:hideMark/>
          </w:tcPr>
          <w:p w14:paraId="7F890D8D" w14:textId="77777777" w:rsidR="0036017D" w:rsidRDefault="0036017D">
            <w:pPr>
              <w:rPr>
                <w:color w:val="000000"/>
              </w:rPr>
            </w:pPr>
            <w:r>
              <w:rPr>
                <w:color w:val="000000"/>
              </w:rPr>
              <w:t>Table 4.3   2006 - 2014 Public Service Expenditures per FTE Correlations</w:t>
            </w:r>
          </w:p>
        </w:tc>
        <w:tc>
          <w:tcPr>
            <w:tcW w:w="821" w:type="dxa"/>
            <w:tcBorders>
              <w:top w:val="nil"/>
              <w:left w:val="nil"/>
              <w:bottom w:val="nil"/>
              <w:right w:val="nil"/>
            </w:tcBorders>
            <w:shd w:val="clear" w:color="000000" w:fill="FFFFFF"/>
            <w:noWrap/>
            <w:vAlign w:val="bottom"/>
            <w:hideMark/>
          </w:tcPr>
          <w:p w14:paraId="47D9C585" w14:textId="77777777" w:rsidR="0036017D" w:rsidRDefault="0036017D">
            <w:pPr>
              <w:rPr>
                <w:color w:val="000000"/>
              </w:rPr>
            </w:pPr>
            <w:r>
              <w:rPr>
                <w:color w:val="000000"/>
              </w:rPr>
              <w:t> </w:t>
            </w:r>
          </w:p>
        </w:tc>
      </w:tr>
      <w:tr w:rsidR="000A6429" w14:paraId="24B01E8F" w14:textId="77777777" w:rsidTr="000A6429">
        <w:trPr>
          <w:trHeight w:val="147"/>
        </w:trPr>
        <w:tc>
          <w:tcPr>
            <w:tcW w:w="696" w:type="dxa"/>
            <w:tcBorders>
              <w:top w:val="nil"/>
              <w:left w:val="nil"/>
              <w:bottom w:val="nil"/>
              <w:right w:val="nil"/>
            </w:tcBorders>
            <w:shd w:val="clear" w:color="000000" w:fill="FFFFFF"/>
            <w:noWrap/>
            <w:vAlign w:val="bottom"/>
            <w:hideMark/>
          </w:tcPr>
          <w:p w14:paraId="7FB91DF5" w14:textId="77777777" w:rsidR="0036017D" w:rsidRDefault="0036017D">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7BBF3F27" w14:textId="77777777" w:rsidR="0036017D" w:rsidRDefault="0036017D">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72E6C4CF" w14:textId="77777777" w:rsidR="0036017D" w:rsidRDefault="0036017D">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1A192CF7" w14:textId="77777777" w:rsidR="0036017D" w:rsidRDefault="0036017D">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52DECBA2" w14:textId="77777777" w:rsidR="0036017D" w:rsidRDefault="0036017D">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4836DFC4" w14:textId="77777777" w:rsidR="0036017D" w:rsidRDefault="0036017D">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7C333AD7" w14:textId="77777777" w:rsidR="0036017D" w:rsidRDefault="0036017D">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546545BC" w14:textId="77777777" w:rsidR="0036017D" w:rsidRDefault="0036017D">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4C313269" w14:textId="77777777" w:rsidR="0036017D" w:rsidRDefault="0036017D">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1667BC51" w14:textId="77777777" w:rsidR="0036017D" w:rsidRDefault="0036017D">
            <w:pPr>
              <w:rPr>
                <w:color w:val="000000"/>
              </w:rPr>
            </w:pPr>
            <w:r>
              <w:rPr>
                <w:color w:val="000000"/>
              </w:rPr>
              <w:t> </w:t>
            </w:r>
          </w:p>
        </w:tc>
      </w:tr>
      <w:tr w:rsidR="0036017D" w14:paraId="3F498196" w14:textId="77777777" w:rsidTr="000A6429">
        <w:trPr>
          <w:trHeight w:val="676"/>
        </w:trPr>
        <w:tc>
          <w:tcPr>
            <w:tcW w:w="8085" w:type="dxa"/>
            <w:gridSpan w:val="10"/>
            <w:tcBorders>
              <w:top w:val="single" w:sz="4" w:space="0" w:color="auto"/>
              <w:left w:val="nil"/>
              <w:bottom w:val="single" w:sz="4" w:space="0" w:color="auto"/>
              <w:right w:val="nil"/>
            </w:tcBorders>
            <w:shd w:val="clear" w:color="000000" w:fill="FFFFFF"/>
            <w:vAlign w:val="bottom"/>
            <w:hideMark/>
          </w:tcPr>
          <w:p w14:paraId="13911118" w14:textId="77777777" w:rsidR="0036017D" w:rsidRDefault="0036017D">
            <w:pPr>
              <w:jc w:val="center"/>
              <w:rPr>
                <w:color w:val="000000"/>
                <w:sz w:val="22"/>
                <w:szCs w:val="22"/>
              </w:rPr>
            </w:pPr>
            <w:r>
              <w:rPr>
                <w:color w:val="000000"/>
                <w:sz w:val="22"/>
                <w:szCs w:val="22"/>
              </w:rPr>
              <w:t>Spearman Correlation Coefficients of Public Service Expenditures per FTE                           Fiscal Years 2006 through 2014</w:t>
            </w:r>
          </w:p>
        </w:tc>
      </w:tr>
      <w:tr w:rsidR="000A6429" w14:paraId="5A5130C8" w14:textId="77777777" w:rsidTr="000A6429">
        <w:trPr>
          <w:trHeight w:val="176"/>
        </w:trPr>
        <w:tc>
          <w:tcPr>
            <w:tcW w:w="696" w:type="dxa"/>
            <w:tcBorders>
              <w:top w:val="nil"/>
              <w:left w:val="nil"/>
              <w:bottom w:val="nil"/>
              <w:right w:val="nil"/>
            </w:tcBorders>
            <w:shd w:val="clear" w:color="000000" w:fill="FFFFFF"/>
            <w:noWrap/>
            <w:vAlign w:val="bottom"/>
            <w:hideMark/>
          </w:tcPr>
          <w:p w14:paraId="01FD365B" w14:textId="77777777" w:rsidR="0036017D" w:rsidRDefault="0036017D">
            <w:pPr>
              <w:rPr>
                <w:i/>
                <w:iCs/>
                <w:color w:val="000000"/>
              </w:rPr>
            </w:pPr>
            <w:r>
              <w:rPr>
                <w:i/>
                <w:iCs/>
                <w:color w:val="000000"/>
              </w:rPr>
              <w:t> </w:t>
            </w:r>
          </w:p>
        </w:tc>
        <w:tc>
          <w:tcPr>
            <w:tcW w:w="821" w:type="dxa"/>
            <w:tcBorders>
              <w:top w:val="nil"/>
              <w:left w:val="nil"/>
              <w:bottom w:val="nil"/>
              <w:right w:val="nil"/>
            </w:tcBorders>
            <w:shd w:val="clear" w:color="000000" w:fill="FFFFFF"/>
            <w:noWrap/>
            <w:vAlign w:val="bottom"/>
            <w:hideMark/>
          </w:tcPr>
          <w:p w14:paraId="6A1AF2E2" w14:textId="77777777" w:rsidR="0036017D" w:rsidRDefault="0036017D">
            <w:pPr>
              <w:rPr>
                <w:i/>
                <w:iCs/>
                <w:color w:val="000000"/>
              </w:rPr>
            </w:pPr>
            <w:r>
              <w:rPr>
                <w:i/>
                <w:iCs/>
                <w:color w:val="000000"/>
              </w:rPr>
              <w:t> </w:t>
            </w:r>
          </w:p>
        </w:tc>
        <w:tc>
          <w:tcPr>
            <w:tcW w:w="821" w:type="dxa"/>
            <w:tcBorders>
              <w:top w:val="nil"/>
              <w:left w:val="nil"/>
              <w:bottom w:val="nil"/>
              <w:right w:val="nil"/>
            </w:tcBorders>
            <w:shd w:val="clear" w:color="000000" w:fill="FFFFFF"/>
            <w:noWrap/>
            <w:vAlign w:val="bottom"/>
            <w:hideMark/>
          </w:tcPr>
          <w:p w14:paraId="26E4C04A" w14:textId="77777777" w:rsidR="0036017D" w:rsidRDefault="0036017D">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30B1AEDA" w14:textId="77777777" w:rsidR="0036017D" w:rsidRDefault="0036017D">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2B8D9E1D" w14:textId="77777777" w:rsidR="0036017D" w:rsidRDefault="0036017D">
            <w:pPr>
              <w:jc w:val="cente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72F78BDC" w14:textId="77777777" w:rsidR="0036017D" w:rsidRDefault="0036017D">
            <w:pPr>
              <w:jc w:val="cente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1DBD6226" w14:textId="77777777" w:rsidR="0036017D" w:rsidRDefault="0036017D">
            <w:pPr>
              <w:jc w:val="cente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056AFC96" w14:textId="77777777" w:rsidR="0036017D" w:rsidRDefault="0036017D">
            <w:pPr>
              <w:jc w:val="cente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7468C37B" w14:textId="77777777" w:rsidR="0036017D" w:rsidRDefault="0036017D">
            <w:pPr>
              <w:jc w:val="cente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72204057" w14:textId="77777777" w:rsidR="0036017D" w:rsidRDefault="0036017D">
            <w:pPr>
              <w:jc w:val="center"/>
              <w:rPr>
                <w:color w:val="000000"/>
              </w:rPr>
            </w:pPr>
            <w:r>
              <w:rPr>
                <w:color w:val="000000"/>
              </w:rPr>
              <w:t> </w:t>
            </w:r>
          </w:p>
        </w:tc>
      </w:tr>
      <w:tr w:rsidR="000A6429" w14:paraId="1F385061" w14:textId="77777777" w:rsidTr="000A6429">
        <w:trPr>
          <w:trHeight w:val="294"/>
        </w:trPr>
        <w:tc>
          <w:tcPr>
            <w:tcW w:w="696" w:type="dxa"/>
            <w:tcBorders>
              <w:top w:val="nil"/>
              <w:left w:val="nil"/>
              <w:bottom w:val="nil"/>
              <w:right w:val="nil"/>
            </w:tcBorders>
            <w:shd w:val="clear" w:color="000000" w:fill="FFFFFF"/>
            <w:noWrap/>
            <w:vAlign w:val="bottom"/>
            <w:hideMark/>
          </w:tcPr>
          <w:p w14:paraId="77C94723" w14:textId="77777777" w:rsidR="0036017D" w:rsidRDefault="0036017D">
            <w:pPr>
              <w:rPr>
                <w:i/>
                <w:iCs/>
                <w:color w:val="000000"/>
              </w:rPr>
            </w:pPr>
            <w:r>
              <w:rPr>
                <w:i/>
                <w:iCs/>
                <w:color w:val="000000"/>
              </w:rPr>
              <w:t> </w:t>
            </w:r>
          </w:p>
        </w:tc>
        <w:tc>
          <w:tcPr>
            <w:tcW w:w="821" w:type="dxa"/>
            <w:tcBorders>
              <w:top w:val="nil"/>
              <w:left w:val="nil"/>
              <w:bottom w:val="nil"/>
              <w:right w:val="nil"/>
            </w:tcBorders>
            <w:shd w:val="clear" w:color="000000" w:fill="FFFFFF"/>
            <w:noWrap/>
            <w:vAlign w:val="bottom"/>
            <w:hideMark/>
          </w:tcPr>
          <w:p w14:paraId="7FBB0BC9" w14:textId="77777777" w:rsidR="0036017D" w:rsidRDefault="0036017D">
            <w:pPr>
              <w:jc w:val="center"/>
              <w:rPr>
                <w:color w:val="000000"/>
                <w:u w:val="single"/>
              </w:rPr>
            </w:pPr>
            <w:r>
              <w:rPr>
                <w:color w:val="000000"/>
                <w:u w:val="single"/>
              </w:rPr>
              <w:t>2014</w:t>
            </w:r>
          </w:p>
        </w:tc>
        <w:tc>
          <w:tcPr>
            <w:tcW w:w="821" w:type="dxa"/>
            <w:tcBorders>
              <w:top w:val="nil"/>
              <w:left w:val="nil"/>
              <w:bottom w:val="nil"/>
              <w:right w:val="nil"/>
            </w:tcBorders>
            <w:shd w:val="clear" w:color="000000" w:fill="FFFFFF"/>
            <w:noWrap/>
            <w:vAlign w:val="bottom"/>
            <w:hideMark/>
          </w:tcPr>
          <w:p w14:paraId="45C02ACF" w14:textId="77777777" w:rsidR="0036017D" w:rsidRDefault="0036017D">
            <w:pPr>
              <w:jc w:val="center"/>
              <w:rPr>
                <w:color w:val="000000"/>
                <w:u w:val="single"/>
              </w:rPr>
            </w:pPr>
            <w:r>
              <w:rPr>
                <w:color w:val="000000"/>
                <w:u w:val="single"/>
              </w:rPr>
              <w:t>2013</w:t>
            </w:r>
          </w:p>
        </w:tc>
        <w:tc>
          <w:tcPr>
            <w:tcW w:w="821" w:type="dxa"/>
            <w:tcBorders>
              <w:top w:val="nil"/>
              <w:left w:val="nil"/>
              <w:bottom w:val="nil"/>
              <w:right w:val="nil"/>
            </w:tcBorders>
            <w:shd w:val="clear" w:color="000000" w:fill="FFFFFF"/>
            <w:noWrap/>
            <w:vAlign w:val="bottom"/>
            <w:hideMark/>
          </w:tcPr>
          <w:p w14:paraId="78372CB9" w14:textId="77777777" w:rsidR="0036017D" w:rsidRDefault="0036017D">
            <w:pPr>
              <w:jc w:val="center"/>
              <w:rPr>
                <w:color w:val="000000"/>
                <w:u w:val="single"/>
              </w:rPr>
            </w:pPr>
            <w:r>
              <w:rPr>
                <w:color w:val="000000"/>
                <w:u w:val="single"/>
              </w:rPr>
              <w:t>2012</w:t>
            </w:r>
          </w:p>
        </w:tc>
        <w:tc>
          <w:tcPr>
            <w:tcW w:w="821" w:type="dxa"/>
            <w:tcBorders>
              <w:top w:val="nil"/>
              <w:left w:val="nil"/>
              <w:bottom w:val="nil"/>
              <w:right w:val="nil"/>
            </w:tcBorders>
            <w:shd w:val="clear" w:color="000000" w:fill="FFFFFF"/>
            <w:vAlign w:val="bottom"/>
            <w:hideMark/>
          </w:tcPr>
          <w:p w14:paraId="77BBBA20" w14:textId="77777777" w:rsidR="0036017D" w:rsidRDefault="0036017D">
            <w:pPr>
              <w:jc w:val="center"/>
              <w:rPr>
                <w:color w:val="000000"/>
                <w:u w:val="single"/>
              </w:rPr>
            </w:pPr>
            <w:r>
              <w:rPr>
                <w:color w:val="000000"/>
                <w:u w:val="single"/>
              </w:rPr>
              <w:t>2011</w:t>
            </w:r>
          </w:p>
        </w:tc>
        <w:tc>
          <w:tcPr>
            <w:tcW w:w="821" w:type="dxa"/>
            <w:tcBorders>
              <w:top w:val="nil"/>
              <w:left w:val="nil"/>
              <w:bottom w:val="nil"/>
              <w:right w:val="nil"/>
            </w:tcBorders>
            <w:shd w:val="clear" w:color="000000" w:fill="FFFFFF"/>
            <w:vAlign w:val="bottom"/>
            <w:hideMark/>
          </w:tcPr>
          <w:p w14:paraId="77E066D1" w14:textId="77777777" w:rsidR="0036017D" w:rsidRDefault="0036017D">
            <w:pPr>
              <w:jc w:val="center"/>
              <w:rPr>
                <w:color w:val="000000"/>
                <w:u w:val="single"/>
              </w:rPr>
            </w:pPr>
            <w:r>
              <w:rPr>
                <w:color w:val="000000"/>
                <w:u w:val="single"/>
              </w:rPr>
              <w:t>2010</w:t>
            </w:r>
          </w:p>
        </w:tc>
        <w:tc>
          <w:tcPr>
            <w:tcW w:w="821" w:type="dxa"/>
            <w:tcBorders>
              <w:top w:val="nil"/>
              <w:left w:val="nil"/>
              <w:bottom w:val="nil"/>
              <w:right w:val="nil"/>
            </w:tcBorders>
            <w:shd w:val="clear" w:color="000000" w:fill="FFFFFF"/>
            <w:vAlign w:val="bottom"/>
            <w:hideMark/>
          </w:tcPr>
          <w:p w14:paraId="76D5503E" w14:textId="77777777" w:rsidR="0036017D" w:rsidRDefault="0036017D">
            <w:pPr>
              <w:jc w:val="center"/>
              <w:rPr>
                <w:color w:val="000000"/>
                <w:u w:val="single"/>
              </w:rPr>
            </w:pPr>
            <w:r>
              <w:rPr>
                <w:color w:val="000000"/>
                <w:u w:val="single"/>
              </w:rPr>
              <w:t>2009</w:t>
            </w:r>
          </w:p>
        </w:tc>
        <w:tc>
          <w:tcPr>
            <w:tcW w:w="821" w:type="dxa"/>
            <w:tcBorders>
              <w:top w:val="nil"/>
              <w:left w:val="nil"/>
              <w:bottom w:val="nil"/>
              <w:right w:val="nil"/>
            </w:tcBorders>
            <w:shd w:val="clear" w:color="000000" w:fill="FFFFFF"/>
            <w:vAlign w:val="bottom"/>
            <w:hideMark/>
          </w:tcPr>
          <w:p w14:paraId="70743F26" w14:textId="77777777" w:rsidR="0036017D" w:rsidRDefault="0036017D">
            <w:pPr>
              <w:jc w:val="center"/>
              <w:rPr>
                <w:color w:val="000000"/>
                <w:u w:val="single"/>
              </w:rPr>
            </w:pPr>
            <w:r>
              <w:rPr>
                <w:color w:val="000000"/>
                <w:u w:val="single"/>
              </w:rPr>
              <w:t>2008</w:t>
            </w:r>
          </w:p>
        </w:tc>
        <w:tc>
          <w:tcPr>
            <w:tcW w:w="821" w:type="dxa"/>
            <w:tcBorders>
              <w:top w:val="nil"/>
              <w:left w:val="nil"/>
              <w:bottom w:val="nil"/>
              <w:right w:val="nil"/>
            </w:tcBorders>
            <w:shd w:val="clear" w:color="000000" w:fill="FFFFFF"/>
            <w:vAlign w:val="bottom"/>
            <w:hideMark/>
          </w:tcPr>
          <w:p w14:paraId="36A792E9" w14:textId="77777777" w:rsidR="0036017D" w:rsidRDefault="0036017D">
            <w:pPr>
              <w:jc w:val="center"/>
              <w:rPr>
                <w:color w:val="000000"/>
                <w:u w:val="single"/>
              </w:rPr>
            </w:pPr>
            <w:r>
              <w:rPr>
                <w:color w:val="000000"/>
                <w:u w:val="single"/>
              </w:rPr>
              <w:t>2007</w:t>
            </w:r>
          </w:p>
        </w:tc>
        <w:tc>
          <w:tcPr>
            <w:tcW w:w="821" w:type="dxa"/>
            <w:tcBorders>
              <w:top w:val="nil"/>
              <w:left w:val="nil"/>
              <w:bottom w:val="nil"/>
              <w:right w:val="nil"/>
            </w:tcBorders>
            <w:shd w:val="clear" w:color="000000" w:fill="FFFFFF"/>
            <w:vAlign w:val="bottom"/>
            <w:hideMark/>
          </w:tcPr>
          <w:p w14:paraId="55BBC318" w14:textId="77777777" w:rsidR="0036017D" w:rsidRDefault="0036017D">
            <w:pPr>
              <w:jc w:val="center"/>
              <w:rPr>
                <w:color w:val="000000"/>
                <w:u w:val="single"/>
              </w:rPr>
            </w:pPr>
            <w:r>
              <w:rPr>
                <w:color w:val="000000"/>
                <w:u w:val="single"/>
              </w:rPr>
              <w:t>2006</w:t>
            </w:r>
          </w:p>
        </w:tc>
      </w:tr>
      <w:tr w:rsidR="000A6429" w14:paraId="0FAD0568" w14:textId="77777777" w:rsidTr="000A6429">
        <w:trPr>
          <w:trHeight w:val="294"/>
        </w:trPr>
        <w:tc>
          <w:tcPr>
            <w:tcW w:w="696" w:type="dxa"/>
            <w:tcBorders>
              <w:top w:val="nil"/>
              <w:left w:val="nil"/>
              <w:bottom w:val="nil"/>
              <w:right w:val="nil"/>
            </w:tcBorders>
            <w:shd w:val="clear" w:color="000000" w:fill="FFFFFF"/>
            <w:noWrap/>
            <w:vAlign w:val="bottom"/>
            <w:hideMark/>
          </w:tcPr>
          <w:p w14:paraId="4E7058DA" w14:textId="77777777" w:rsidR="0036017D" w:rsidRDefault="0036017D">
            <w:pPr>
              <w:jc w:val="center"/>
              <w:rPr>
                <w:color w:val="000000"/>
                <w:u w:val="single"/>
              </w:rPr>
            </w:pPr>
            <w:r>
              <w:rPr>
                <w:color w:val="000000"/>
                <w:u w:val="single"/>
              </w:rPr>
              <w:t>2014</w:t>
            </w:r>
          </w:p>
        </w:tc>
        <w:tc>
          <w:tcPr>
            <w:tcW w:w="821" w:type="dxa"/>
            <w:tcBorders>
              <w:top w:val="nil"/>
              <w:left w:val="nil"/>
              <w:bottom w:val="nil"/>
              <w:right w:val="nil"/>
            </w:tcBorders>
            <w:shd w:val="clear" w:color="000000" w:fill="FFFFFF"/>
            <w:noWrap/>
            <w:vAlign w:val="bottom"/>
            <w:hideMark/>
          </w:tcPr>
          <w:p w14:paraId="470D8534" w14:textId="77777777" w:rsidR="0036017D" w:rsidRDefault="0036017D">
            <w:pPr>
              <w:jc w:val="center"/>
              <w:rPr>
                <w:color w:val="000000"/>
                <w:sz w:val="22"/>
                <w:szCs w:val="22"/>
              </w:rPr>
            </w:pPr>
            <w:r>
              <w:rPr>
                <w:color w:val="000000"/>
                <w:sz w:val="22"/>
                <w:szCs w:val="22"/>
              </w:rPr>
              <w:t>1.000</w:t>
            </w:r>
          </w:p>
        </w:tc>
        <w:tc>
          <w:tcPr>
            <w:tcW w:w="821" w:type="dxa"/>
            <w:tcBorders>
              <w:top w:val="nil"/>
              <w:left w:val="nil"/>
              <w:bottom w:val="nil"/>
              <w:right w:val="nil"/>
            </w:tcBorders>
            <w:shd w:val="clear" w:color="000000" w:fill="FFFFFF"/>
            <w:noWrap/>
            <w:vAlign w:val="bottom"/>
            <w:hideMark/>
          </w:tcPr>
          <w:p w14:paraId="6CBBE5D8" w14:textId="77777777" w:rsidR="0036017D" w:rsidRDefault="0036017D">
            <w:pPr>
              <w:jc w:val="center"/>
              <w:rPr>
                <w:color w:val="000000"/>
                <w:sz w:val="22"/>
                <w:szCs w:val="22"/>
              </w:rPr>
            </w:pPr>
            <w:r>
              <w:rPr>
                <w:color w:val="000000"/>
                <w:sz w:val="22"/>
                <w:szCs w:val="22"/>
              </w:rPr>
              <w:t>.989**</w:t>
            </w:r>
          </w:p>
        </w:tc>
        <w:tc>
          <w:tcPr>
            <w:tcW w:w="821" w:type="dxa"/>
            <w:tcBorders>
              <w:top w:val="nil"/>
              <w:left w:val="nil"/>
              <w:bottom w:val="nil"/>
              <w:right w:val="nil"/>
            </w:tcBorders>
            <w:shd w:val="clear" w:color="000000" w:fill="FFFFFF"/>
            <w:noWrap/>
            <w:vAlign w:val="bottom"/>
            <w:hideMark/>
          </w:tcPr>
          <w:p w14:paraId="7F6D7405" w14:textId="77777777" w:rsidR="0036017D" w:rsidRDefault="0036017D">
            <w:pPr>
              <w:jc w:val="center"/>
              <w:rPr>
                <w:color w:val="000000"/>
                <w:sz w:val="22"/>
                <w:szCs w:val="22"/>
              </w:rPr>
            </w:pPr>
            <w:r>
              <w:rPr>
                <w:color w:val="000000"/>
                <w:sz w:val="22"/>
                <w:szCs w:val="22"/>
              </w:rPr>
              <w:t>.981**</w:t>
            </w:r>
          </w:p>
        </w:tc>
        <w:tc>
          <w:tcPr>
            <w:tcW w:w="821" w:type="dxa"/>
            <w:tcBorders>
              <w:top w:val="nil"/>
              <w:left w:val="nil"/>
              <w:bottom w:val="nil"/>
              <w:right w:val="nil"/>
            </w:tcBorders>
            <w:shd w:val="clear" w:color="000000" w:fill="FFFFFF"/>
            <w:noWrap/>
            <w:vAlign w:val="bottom"/>
            <w:hideMark/>
          </w:tcPr>
          <w:p w14:paraId="2508DB07" w14:textId="77777777" w:rsidR="0036017D" w:rsidRDefault="0036017D">
            <w:pPr>
              <w:jc w:val="center"/>
              <w:rPr>
                <w:color w:val="000000"/>
                <w:sz w:val="22"/>
                <w:szCs w:val="22"/>
              </w:rPr>
            </w:pPr>
            <w:r>
              <w:rPr>
                <w:color w:val="000000"/>
                <w:sz w:val="22"/>
                <w:szCs w:val="22"/>
              </w:rPr>
              <w:t>.975**</w:t>
            </w:r>
          </w:p>
        </w:tc>
        <w:tc>
          <w:tcPr>
            <w:tcW w:w="821" w:type="dxa"/>
            <w:tcBorders>
              <w:top w:val="nil"/>
              <w:left w:val="nil"/>
              <w:bottom w:val="nil"/>
              <w:right w:val="nil"/>
            </w:tcBorders>
            <w:shd w:val="clear" w:color="000000" w:fill="FFFFFF"/>
            <w:noWrap/>
            <w:vAlign w:val="bottom"/>
            <w:hideMark/>
          </w:tcPr>
          <w:p w14:paraId="5FC77515" w14:textId="77777777" w:rsidR="0036017D" w:rsidRDefault="0036017D">
            <w:pPr>
              <w:jc w:val="center"/>
              <w:rPr>
                <w:color w:val="000000"/>
                <w:sz w:val="22"/>
                <w:szCs w:val="22"/>
              </w:rPr>
            </w:pPr>
            <w:r>
              <w:rPr>
                <w:color w:val="000000"/>
                <w:sz w:val="22"/>
                <w:szCs w:val="22"/>
              </w:rPr>
              <w:t>.960**</w:t>
            </w:r>
          </w:p>
        </w:tc>
        <w:tc>
          <w:tcPr>
            <w:tcW w:w="821" w:type="dxa"/>
            <w:tcBorders>
              <w:top w:val="nil"/>
              <w:left w:val="nil"/>
              <w:bottom w:val="nil"/>
              <w:right w:val="nil"/>
            </w:tcBorders>
            <w:shd w:val="clear" w:color="000000" w:fill="FFFFFF"/>
            <w:noWrap/>
            <w:vAlign w:val="bottom"/>
            <w:hideMark/>
          </w:tcPr>
          <w:p w14:paraId="01E382CB" w14:textId="77777777" w:rsidR="0036017D" w:rsidRDefault="0036017D">
            <w:pPr>
              <w:jc w:val="center"/>
              <w:rPr>
                <w:color w:val="000000"/>
                <w:sz w:val="22"/>
                <w:szCs w:val="22"/>
              </w:rPr>
            </w:pPr>
            <w:r>
              <w:rPr>
                <w:color w:val="000000"/>
                <w:sz w:val="22"/>
                <w:szCs w:val="22"/>
              </w:rPr>
              <w:t>.958**</w:t>
            </w:r>
          </w:p>
        </w:tc>
        <w:tc>
          <w:tcPr>
            <w:tcW w:w="821" w:type="dxa"/>
            <w:tcBorders>
              <w:top w:val="nil"/>
              <w:left w:val="nil"/>
              <w:bottom w:val="nil"/>
              <w:right w:val="nil"/>
            </w:tcBorders>
            <w:shd w:val="clear" w:color="000000" w:fill="FFFFFF"/>
            <w:noWrap/>
            <w:vAlign w:val="bottom"/>
            <w:hideMark/>
          </w:tcPr>
          <w:p w14:paraId="101D6942" w14:textId="77777777" w:rsidR="0036017D" w:rsidRDefault="0036017D">
            <w:pPr>
              <w:jc w:val="center"/>
              <w:rPr>
                <w:color w:val="000000"/>
                <w:sz w:val="22"/>
                <w:szCs w:val="22"/>
              </w:rPr>
            </w:pPr>
            <w:r>
              <w:rPr>
                <w:color w:val="000000"/>
                <w:sz w:val="22"/>
                <w:szCs w:val="22"/>
              </w:rPr>
              <w:t>.913**</w:t>
            </w:r>
          </w:p>
        </w:tc>
        <w:tc>
          <w:tcPr>
            <w:tcW w:w="821" w:type="dxa"/>
            <w:tcBorders>
              <w:top w:val="nil"/>
              <w:left w:val="nil"/>
              <w:bottom w:val="nil"/>
              <w:right w:val="nil"/>
            </w:tcBorders>
            <w:shd w:val="clear" w:color="000000" w:fill="FFFFFF"/>
            <w:noWrap/>
            <w:vAlign w:val="bottom"/>
            <w:hideMark/>
          </w:tcPr>
          <w:p w14:paraId="535BD5B4" w14:textId="77777777" w:rsidR="0036017D" w:rsidRDefault="0036017D">
            <w:pPr>
              <w:jc w:val="center"/>
              <w:rPr>
                <w:color w:val="000000"/>
                <w:sz w:val="22"/>
                <w:szCs w:val="22"/>
              </w:rPr>
            </w:pPr>
            <w:r>
              <w:rPr>
                <w:color w:val="000000"/>
                <w:sz w:val="22"/>
                <w:szCs w:val="22"/>
              </w:rPr>
              <w:t>.926**</w:t>
            </w:r>
          </w:p>
        </w:tc>
        <w:tc>
          <w:tcPr>
            <w:tcW w:w="821" w:type="dxa"/>
            <w:tcBorders>
              <w:top w:val="nil"/>
              <w:left w:val="nil"/>
              <w:bottom w:val="nil"/>
              <w:right w:val="nil"/>
            </w:tcBorders>
            <w:shd w:val="clear" w:color="000000" w:fill="FFFFFF"/>
            <w:noWrap/>
            <w:vAlign w:val="bottom"/>
            <w:hideMark/>
          </w:tcPr>
          <w:p w14:paraId="05224B3D" w14:textId="77777777" w:rsidR="0036017D" w:rsidRDefault="0036017D">
            <w:pPr>
              <w:jc w:val="center"/>
              <w:rPr>
                <w:color w:val="000000"/>
                <w:sz w:val="22"/>
                <w:szCs w:val="22"/>
              </w:rPr>
            </w:pPr>
            <w:r>
              <w:rPr>
                <w:color w:val="000000"/>
                <w:sz w:val="22"/>
                <w:szCs w:val="22"/>
              </w:rPr>
              <w:t>.889**</w:t>
            </w:r>
          </w:p>
        </w:tc>
      </w:tr>
      <w:tr w:rsidR="000A6429" w14:paraId="6E7505A8" w14:textId="77777777" w:rsidTr="000A6429">
        <w:trPr>
          <w:trHeight w:val="294"/>
        </w:trPr>
        <w:tc>
          <w:tcPr>
            <w:tcW w:w="696" w:type="dxa"/>
            <w:tcBorders>
              <w:top w:val="nil"/>
              <w:left w:val="nil"/>
              <w:bottom w:val="nil"/>
              <w:right w:val="nil"/>
            </w:tcBorders>
            <w:shd w:val="clear" w:color="000000" w:fill="FFFFFF"/>
            <w:noWrap/>
            <w:vAlign w:val="bottom"/>
            <w:hideMark/>
          </w:tcPr>
          <w:p w14:paraId="7BB51AA1" w14:textId="77777777" w:rsidR="0036017D" w:rsidRDefault="0036017D">
            <w:pPr>
              <w:jc w:val="center"/>
              <w:rPr>
                <w:color w:val="000000"/>
                <w:u w:val="single"/>
              </w:rPr>
            </w:pPr>
            <w:r>
              <w:rPr>
                <w:color w:val="000000"/>
                <w:u w:val="single"/>
              </w:rPr>
              <w:t>2013</w:t>
            </w:r>
          </w:p>
        </w:tc>
        <w:tc>
          <w:tcPr>
            <w:tcW w:w="821" w:type="dxa"/>
            <w:tcBorders>
              <w:top w:val="nil"/>
              <w:left w:val="nil"/>
              <w:bottom w:val="nil"/>
              <w:right w:val="nil"/>
            </w:tcBorders>
            <w:shd w:val="clear" w:color="000000" w:fill="FFFFFF"/>
            <w:noWrap/>
            <w:vAlign w:val="bottom"/>
            <w:hideMark/>
          </w:tcPr>
          <w:p w14:paraId="6DCB8700" w14:textId="77777777" w:rsidR="0036017D" w:rsidRDefault="0036017D">
            <w:pPr>
              <w:jc w:val="center"/>
              <w:rPr>
                <w:color w:val="000000"/>
                <w:sz w:val="22"/>
                <w:szCs w:val="22"/>
              </w:rPr>
            </w:pPr>
            <w:r>
              <w:rPr>
                <w:color w:val="000000"/>
                <w:sz w:val="22"/>
                <w:szCs w:val="22"/>
              </w:rPr>
              <w:t>.989**</w:t>
            </w:r>
          </w:p>
        </w:tc>
        <w:tc>
          <w:tcPr>
            <w:tcW w:w="821" w:type="dxa"/>
            <w:tcBorders>
              <w:top w:val="nil"/>
              <w:left w:val="nil"/>
              <w:bottom w:val="nil"/>
              <w:right w:val="nil"/>
            </w:tcBorders>
            <w:shd w:val="clear" w:color="000000" w:fill="FFFFFF"/>
            <w:noWrap/>
            <w:vAlign w:val="bottom"/>
            <w:hideMark/>
          </w:tcPr>
          <w:p w14:paraId="3406F639" w14:textId="77777777" w:rsidR="0036017D" w:rsidRDefault="0036017D">
            <w:pPr>
              <w:jc w:val="center"/>
              <w:rPr>
                <w:color w:val="000000"/>
                <w:sz w:val="22"/>
                <w:szCs w:val="22"/>
              </w:rPr>
            </w:pPr>
            <w:r>
              <w:rPr>
                <w:color w:val="000000"/>
                <w:sz w:val="22"/>
                <w:szCs w:val="22"/>
              </w:rPr>
              <w:t>1.000</w:t>
            </w:r>
          </w:p>
        </w:tc>
        <w:tc>
          <w:tcPr>
            <w:tcW w:w="821" w:type="dxa"/>
            <w:tcBorders>
              <w:top w:val="nil"/>
              <w:left w:val="nil"/>
              <w:bottom w:val="nil"/>
              <w:right w:val="nil"/>
            </w:tcBorders>
            <w:shd w:val="clear" w:color="000000" w:fill="FFFFFF"/>
            <w:noWrap/>
            <w:vAlign w:val="bottom"/>
            <w:hideMark/>
          </w:tcPr>
          <w:p w14:paraId="0A20BFDA" w14:textId="77777777" w:rsidR="0036017D" w:rsidRDefault="0036017D">
            <w:pPr>
              <w:jc w:val="center"/>
              <w:rPr>
                <w:color w:val="000000"/>
                <w:sz w:val="22"/>
                <w:szCs w:val="22"/>
              </w:rPr>
            </w:pPr>
            <w:r>
              <w:rPr>
                <w:color w:val="000000"/>
                <w:sz w:val="22"/>
                <w:szCs w:val="22"/>
              </w:rPr>
              <w:t>.991**</w:t>
            </w:r>
          </w:p>
        </w:tc>
        <w:tc>
          <w:tcPr>
            <w:tcW w:w="821" w:type="dxa"/>
            <w:tcBorders>
              <w:top w:val="nil"/>
              <w:left w:val="nil"/>
              <w:bottom w:val="nil"/>
              <w:right w:val="nil"/>
            </w:tcBorders>
            <w:shd w:val="clear" w:color="000000" w:fill="FFFFFF"/>
            <w:noWrap/>
            <w:vAlign w:val="bottom"/>
            <w:hideMark/>
          </w:tcPr>
          <w:p w14:paraId="256CCB30" w14:textId="77777777" w:rsidR="0036017D" w:rsidRDefault="0036017D">
            <w:pPr>
              <w:jc w:val="center"/>
              <w:rPr>
                <w:color w:val="000000"/>
                <w:sz w:val="22"/>
                <w:szCs w:val="22"/>
              </w:rPr>
            </w:pPr>
            <w:r>
              <w:rPr>
                <w:color w:val="000000"/>
                <w:sz w:val="22"/>
                <w:szCs w:val="22"/>
              </w:rPr>
              <w:t>.986**</w:t>
            </w:r>
          </w:p>
        </w:tc>
        <w:tc>
          <w:tcPr>
            <w:tcW w:w="821" w:type="dxa"/>
            <w:tcBorders>
              <w:top w:val="nil"/>
              <w:left w:val="nil"/>
              <w:bottom w:val="nil"/>
              <w:right w:val="nil"/>
            </w:tcBorders>
            <w:shd w:val="clear" w:color="000000" w:fill="FFFFFF"/>
            <w:noWrap/>
            <w:vAlign w:val="bottom"/>
            <w:hideMark/>
          </w:tcPr>
          <w:p w14:paraId="59BBC4BB" w14:textId="77777777" w:rsidR="0036017D" w:rsidRDefault="0036017D">
            <w:pPr>
              <w:jc w:val="center"/>
              <w:rPr>
                <w:color w:val="000000"/>
                <w:sz w:val="22"/>
                <w:szCs w:val="22"/>
              </w:rPr>
            </w:pPr>
            <w:r>
              <w:rPr>
                <w:color w:val="000000"/>
                <w:sz w:val="22"/>
                <w:szCs w:val="22"/>
              </w:rPr>
              <w:t>.969**</w:t>
            </w:r>
          </w:p>
        </w:tc>
        <w:tc>
          <w:tcPr>
            <w:tcW w:w="821" w:type="dxa"/>
            <w:tcBorders>
              <w:top w:val="nil"/>
              <w:left w:val="nil"/>
              <w:bottom w:val="nil"/>
              <w:right w:val="nil"/>
            </w:tcBorders>
            <w:shd w:val="clear" w:color="000000" w:fill="FFFFFF"/>
            <w:noWrap/>
            <w:vAlign w:val="bottom"/>
            <w:hideMark/>
          </w:tcPr>
          <w:p w14:paraId="1377210A" w14:textId="77777777" w:rsidR="0036017D" w:rsidRDefault="0036017D">
            <w:pPr>
              <w:jc w:val="center"/>
              <w:rPr>
                <w:color w:val="000000"/>
                <w:sz w:val="22"/>
                <w:szCs w:val="22"/>
              </w:rPr>
            </w:pPr>
            <w:r>
              <w:rPr>
                <w:color w:val="000000"/>
                <w:sz w:val="22"/>
                <w:szCs w:val="22"/>
              </w:rPr>
              <w:t>.957**</w:t>
            </w:r>
          </w:p>
        </w:tc>
        <w:tc>
          <w:tcPr>
            <w:tcW w:w="821" w:type="dxa"/>
            <w:tcBorders>
              <w:top w:val="nil"/>
              <w:left w:val="nil"/>
              <w:bottom w:val="nil"/>
              <w:right w:val="nil"/>
            </w:tcBorders>
            <w:shd w:val="clear" w:color="000000" w:fill="FFFFFF"/>
            <w:noWrap/>
            <w:vAlign w:val="bottom"/>
            <w:hideMark/>
          </w:tcPr>
          <w:p w14:paraId="5C3B2DB6" w14:textId="77777777" w:rsidR="0036017D" w:rsidRDefault="0036017D">
            <w:pPr>
              <w:jc w:val="center"/>
              <w:rPr>
                <w:color w:val="000000"/>
                <w:sz w:val="22"/>
                <w:szCs w:val="22"/>
              </w:rPr>
            </w:pPr>
            <w:r>
              <w:rPr>
                <w:color w:val="000000"/>
                <w:sz w:val="22"/>
                <w:szCs w:val="22"/>
              </w:rPr>
              <w:t>.914**</w:t>
            </w:r>
          </w:p>
        </w:tc>
        <w:tc>
          <w:tcPr>
            <w:tcW w:w="821" w:type="dxa"/>
            <w:tcBorders>
              <w:top w:val="nil"/>
              <w:left w:val="nil"/>
              <w:bottom w:val="nil"/>
              <w:right w:val="nil"/>
            </w:tcBorders>
            <w:shd w:val="clear" w:color="000000" w:fill="FFFFFF"/>
            <w:noWrap/>
            <w:vAlign w:val="bottom"/>
            <w:hideMark/>
          </w:tcPr>
          <w:p w14:paraId="655577FB" w14:textId="77777777" w:rsidR="0036017D" w:rsidRDefault="0036017D">
            <w:pPr>
              <w:jc w:val="center"/>
              <w:rPr>
                <w:color w:val="000000"/>
                <w:sz w:val="22"/>
                <w:szCs w:val="22"/>
              </w:rPr>
            </w:pPr>
            <w:r>
              <w:rPr>
                <w:color w:val="000000"/>
                <w:sz w:val="22"/>
                <w:szCs w:val="22"/>
              </w:rPr>
              <w:t>.925**</w:t>
            </w:r>
          </w:p>
        </w:tc>
        <w:tc>
          <w:tcPr>
            <w:tcW w:w="821" w:type="dxa"/>
            <w:tcBorders>
              <w:top w:val="nil"/>
              <w:left w:val="nil"/>
              <w:bottom w:val="nil"/>
              <w:right w:val="nil"/>
            </w:tcBorders>
            <w:shd w:val="clear" w:color="000000" w:fill="FFFFFF"/>
            <w:noWrap/>
            <w:vAlign w:val="bottom"/>
            <w:hideMark/>
          </w:tcPr>
          <w:p w14:paraId="1AE8C25C" w14:textId="77777777" w:rsidR="0036017D" w:rsidRDefault="0036017D">
            <w:pPr>
              <w:jc w:val="center"/>
              <w:rPr>
                <w:color w:val="000000"/>
                <w:sz w:val="22"/>
                <w:szCs w:val="22"/>
              </w:rPr>
            </w:pPr>
            <w:r>
              <w:rPr>
                <w:color w:val="000000"/>
                <w:sz w:val="22"/>
                <w:szCs w:val="22"/>
              </w:rPr>
              <w:t>.888**</w:t>
            </w:r>
          </w:p>
        </w:tc>
      </w:tr>
      <w:tr w:rsidR="000A6429" w14:paraId="5C5005EF" w14:textId="77777777" w:rsidTr="000A6429">
        <w:trPr>
          <w:trHeight w:val="294"/>
        </w:trPr>
        <w:tc>
          <w:tcPr>
            <w:tcW w:w="696" w:type="dxa"/>
            <w:tcBorders>
              <w:top w:val="nil"/>
              <w:left w:val="nil"/>
              <w:bottom w:val="nil"/>
              <w:right w:val="nil"/>
            </w:tcBorders>
            <w:shd w:val="clear" w:color="000000" w:fill="FFFFFF"/>
            <w:noWrap/>
            <w:vAlign w:val="bottom"/>
            <w:hideMark/>
          </w:tcPr>
          <w:p w14:paraId="1A66EDC1" w14:textId="77777777" w:rsidR="0036017D" w:rsidRDefault="0036017D">
            <w:pPr>
              <w:jc w:val="center"/>
              <w:rPr>
                <w:color w:val="000000"/>
                <w:u w:val="single"/>
              </w:rPr>
            </w:pPr>
            <w:r>
              <w:rPr>
                <w:color w:val="000000"/>
                <w:u w:val="single"/>
              </w:rPr>
              <w:t>2012</w:t>
            </w:r>
          </w:p>
        </w:tc>
        <w:tc>
          <w:tcPr>
            <w:tcW w:w="821" w:type="dxa"/>
            <w:tcBorders>
              <w:top w:val="nil"/>
              <w:left w:val="nil"/>
              <w:bottom w:val="nil"/>
              <w:right w:val="nil"/>
            </w:tcBorders>
            <w:shd w:val="clear" w:color="000000" w:fill="FFFFFF"/>
            <w:noWrap/>
            <w:vAlign w:val="bottom"/>
            <w:hideMark/>
          </w:tcPr>
          <w:p w14:paraId="79BBB1FE" w14:textId="77777777" w:rsidR="0036017D" w:rsidRDefault="0036017D">
            <w:pPr>
              <w:jc w:val="center"/>
              <w:rPr>
                <w:color w:val="000000"/>
                <w:sz w:val="22"/>
                <w:szCs w:val="22"/>
              </w:rPr>
            </w:pPr>
            <w:r>
              <w:rPr>
                <w:color w:val="000000"/>
                <w:sz w:val="22"/>
                <w:szCs w:val="22"/>
              </w:rPr>
              <w:t>.981**</w:t>
            </w:r>
          </w:p>
        </w:tc>
        <w:tc>
          <w:tcPr>
            <w:tcW w:w="821" w:type="dxa"/>
            <w:tcBorders>
              <w:top w:val="nil"/>
              <w:left w:val="nil"/>
              <w:bottom w:val="nil"/>
              <w:right w:val="nil"/>
            </w:tcBorders>
            <w:shd w:val="clear" w:color="000000" w:fill="FFFFFF"/>
            <w:noWrap/>
            <w:vAlign w:val="bottom"/>
            <w:hideMark/>
          </w:tcPr>
          <w:p w14:paraId="30A855E9" w14:textId="77777777" w:rsidR="0036017D" w:rsidRDefault="0036017D">
            <w:pPr>
              <w:jc w:val="center"/>
              <w:rPr>
                <w:color w:val="000000"/>
                <w:sz w:val="22"/>
                <w:szCs w:val="22"/>
              </w:rPr>
            </w:pPr>
            <w:r>
              <w:rPr>
                <w:color w:val="000000"/>
                <w:sz w:val="22"/>
                <w:szCs w:val="22"/>
              </w:rPr>
              <w:t>.991**</w:t>
            </w:r>
          </w:p>
        </w:tc>
        <w:tc>
          <w:tcPr>
            <w:tcW w:w="821" w:type="dxa"/>
            <w:tcBorders>
              <w:top w:val="nil"/>
              <w:left w:val="nil"/>
              <w:bottom w:val="nil"/>
              <w:right w:val="nil"/>
            </w:tcBorders>
            <w:shd w:val="clear" w:color="000000" w:fill="FFFFFF"/>
            <w:noWrap/>
            <w:vAlign w:val="bottom"/>
            <w:hideMark/>
          </w:tcPr>
          <w:p w14:paraId="44F49034" w14:textId="77777777" w:rsidR="0036017D" w:rsidRDefault="0036017D">
            <w:pPr>
              <w:jc w:val="center"/>
              <w:rPr>
                <w:color w:val="000000"/>
                <w:sz w:val="22"/>
                <w:szCs w:val="22"/>
              </w:rPr>
            </w:pPr>
            <w:r>
              <w:rPr>
                <w:color w:val="000000"/>
                <w:sz w:val="22"/>
                <w:szCs w:val="22"/>
              </w:rPr>
              <w:t>1.000</w:t>
            </w:r>
          </w:p>
        </w:tc>
        <w:tc>
          <w:tcPr>
            <w:tcW w:w="821" w:type="dxa"/>
            <w:tcBorders>
              <w:top w:val="nil"/>
              <w:left w:val="nil"/>
              <w:bottom w:val="nil"/>
              <w:right w:val="nil"/>
            </w:tcBorders>
            <w:shd w:val="clear" w:color="000000" w:fill="FFFFFF"/>
            <w:noWrap/>
            <w:vAlign w:val="bottom"/>
            <w:hideMark/>
          </w:tcPr>
          <w:p w14:paraId="754CFC72" w14:textId="77777777" w:rsidR="0036017D" w:rsidRDefault="0036017D">
            <w:pPr>
              <w:jc w:val="center"/>
              <w:rPr>
                <w:color w:val="000000"/>
                <w:sz w:val="22"/>
                <w:szCs w:val="22"/>
              </w:rPr>
            </w:pPr>
            <w:r>
              <w:rPr>
                <w:color w:val="000000"/>
                <w:sz w:val="22"/>
                <w:szCs w:val="22"/>
              </w:rPr>
              <w:t>.990**</w:t>
            </w:r>
          </w:p>
        </w:tc>
        <w:tc>
          <w:tcPr>
            <w:tcW w:w="821" w:type="dxa"/>
            <w:tcBorders>
              <w:top w:val="nil"/>
              <w:left w:val="nil"/>
              <w:bottom w:val="nil"/>
              <w:right w:val="nil"/>
            </w:tcBorders>
            <w:shd w:val="clear" w:color="000000" w:fill="FFFFFF"/>
            <w:noWrap/>
            <w:vAlign w:val="bottom"/>
            <w:hideMark/>
          </w:tcPr>
          <w:p w14:paraId="257D8E49" w14:textId="77777777" w:rsidR="0036017D" w:rsidRDefault="0036017D">
            <w:pPr>
              <w:jc w:val="center"/>
              <w:rPr>
                <w:color w:val="000000"/>
                <w:sz w:val="22"/>
                <w:szCs w:val="22"/>
              </w:rPr>
            </w:pPr>
            <w:r>
              <w:rPr>
                <w:color w:val="000000"/>
                <w:sz w:val="22"/>
                <w:szCs w:val="22"/>
              </w:rPr>
              <w:t>.973**</w:t>
            </w:r>
          </w:p>
        </w:tc>
        <w:tc>
          <w:tcPr>
            <w:tcW w:w="821" w:type="dxa"/>
            <w:tcBorders>
              <w:top w:val="nil"/>
              <w:left w:val="nil"/>
              <w:bottom w:val="nil"/>
              <w:right w:val="nil"/>
            </w:tcBorders>
            <w:shd w:val="clear" w:color="000000" w:fill="FFFFFF"/>
            <w:noWrap/>
            <w:vAlign w:val="bottom"/>
            <w:hideMark/>
          </w:tcPr>
          <w:p w14:paraId="5CC85D83" w14:textId="77777777" w:rsidR="0036017D" w:rsidRDefault="0036017D">
            <w:pPr>
              <w:jc w:val="center"/>
              <w:rPr>
                <w:color w:val="000000"/>
                <w:sz w:val="22"/>
                <w:szCs w:val="22"/>
              </w:rPr>
            </w:pPr>
            <w:r>
              <w:rPr>
                <w:color w:val="000000"/>
                <w:sz w:val="22"/>
                <w:szCs w:val="22"/>
              </w:rPr>
              <w:t>.959**</w:t>
            </w:r>
          </w:p>
        </w:tc>
        <w:tc>
          <w:tcPr>
            <w:tcW w:w="821" w:type="dxa"/>
            <w:tcBorders>
              <w:top w:val="nil"/>
              <w:left w:val="nil"/>
              <w:bottom w:val="nil"/>
              <w:right w:val="nil"/>
            </w:tcBorders>
            <w:shd w:val="clear" w:color="000000" w:fill="FFFFFF"/>
            <w:noWrap/>
            <w:vAlign w:val="bottom"/>
            <w:hideMark/>
          </w:tcPr>
          <w:p w14:paraId="0DB84003" w14:textId="77777777" w:rsidR="0036017D" w:rsidRDefault="0036017D">
            <w:pPr>
              <w:jc w:val="center"/>
              <w:rPr>
                <w:color w:val="000000"/>
                <w:sz w:val="22"/>
                <w:szCs w:val="22"/>
              </w:rPr>
            </w:pPr>
            <w:r>
              <w:rPr>
                <w:color w:val="000000"/>
                <w:sz w:val="22"/>
                <w:szCs w:val="22"/>
              </w:rPr>
              <w:t>.918**</w:t>
            </w:r>
          </w:p>
        </w:tc>
        <w:tc>
          <w:tcPr>
            <w:tcW w:w="821" w:type="dxa"/>
            <w:tcBorders>
              <w:top w:val="nil"/>
              <w:left w:val="nil"/>
              <w:bottom w:val="nil"/>
              <w:right w:val="nil"/>
            </w:tcBorders>
            <w:shd w:val="clear" w:color="000000" w:fill="FFFFFF"/>
            <w:noWrap/>
            <w:vAlign w:val="bottom"/>
            <w:hideMark/>
          </w:tcPr>
          <w:p w14:paraId="707C6943" w14:textId="77777777" w:rsidR="0036017D" w:rsidRDefault="0036017D">
            <w:pPr>
              <w:jc w:val="center"/>
              <w:rPr>
                <w:color w:val="000000"/>
                <w:sz w:val="22"/>
                <w:szCs w:val="22"/>
              </w:rPr>
            </w:pPr>
            <w:r>
              <w:rPr>
                <w:color w:val="000000"/>
                <w:sz w:val="22"/>
                <w:szCs w:val="22"/>
              </w:rPr>
              <w:t>.925**</w:t>
            </w:r>
          </w:p>
        </w:tc>
        <w:tc>
          <w:tcPr>
            <w:tcW w:w="821" w:type="dxa"/>
            <w:tcBorders>
              <w:top w:val="nil"/>
              <w:left w:val="nil"/>
              <w:bottom w:val="nil"/>
              <w:right w:val="nil"/>
            </w:tcBorders>
            <w:shd w:val="clear" w:color="000000" w:fill="FFFFFF"/>
            <w:noWrap/>
            <w:vAlign w:val="bottom"/>
            <w:hideMark/>
          </w:tcPr>
          <w:p w14:paraId="6FDF15B0" w14:textId="77777777" w:rsidR="0036017D" w:rsidRDefault="0036017D">
            <w:pPr>
              <w:jc w:val="center"/>
              <w:rPr>
                <w:color w:val="000000"/>
                <w:sz w:val="22"/>
                <w:szCs w:val="22"/>
              </w:rPr>
            </w:pPr>
            <w:r>
              <w:rPr>
                <w:color w:val="000000"/>
                <w:sz w:val="22"/>
                <w:szCs w:val="22"/>
              </w:rPr>
              <w:t>.889**</w:t>
            </w:r>
          </w:p>
        </w:tc>
      </w:tr>
      <w:tr w:rsidR="000A6429" w14:paraId="5CF43A61" w14:textId="77777777" w:rsidTr="000A6429">
        <w:trPr>
          <w:trHeight w:val="294"/>
        </w:trPr>
        <w:tc>
          <w:tcPr>
            <w:tcW w:w="696" w:type="dxa"/>
            <w:tcBorders>
              <w:top w:val="nil"/>
              <w:left w:val="nil"/>
              <w:bottom w:val="nil"/>
              <w:right w:val="nil"/>
            </w:tcBorders>
            <w:shd w:val="clear" w:color="000000" w:fill="FFFFFF"/>
            <w:noWrap/>
            <w:vAlign w:val="bottom"/>
            <w:hideMark/>
          </w:tcPr>
          <w:p w14:paraId="05008B8D" w14:textId="77777777" w:rsidR="0036017D" w:rsidRDefault="0036017D">
            <w:pPr>
              <w:jc w:val="center"/>
              <w:rPr>
                <w:color w:val="000000"/>
                <w:u w:val="single"/>
              </w:rPr>
            </w:pPr>
            <w:r>
              <w:rPr>
                <w:color w:val="000000"/>
                <w:u w:val="single"/>
              </w:rPr>
              <w:t>2011</w:t>
            </w:r>
          </w:p>
        </w:tc>
        <w:tc>
          <w:tcPr>
            <w:tcW w:w="821" w:type="dxa"/>
            <w:tcBorders>
              <w:top w:val="nil"/>
              <w:left w:val="nil"/>
              <w:bottom w:val="nil"/>
              <w:right w:val="nil"/>
            </w:tcBorders>
            <w:shd w:val="clear" w:color="000000" w:fill="FFFFFF"/>
            <w:noWrap/>
            <w:vAlign w:val="bottom"/>
            <w:hideMark/>
          </w:tcPr>
          <w:p w14:paraId="00F65F04" w14:textId="77777777" w:rsidR="0036017D" w:rsidRDefault="0036017D">
            <w:pPr>
              <w:jc w:val="center"/>
              <w:rPr>
                <w:color w:val="000000"/>
                <w:sz w:val="22"/>
                <w:szCs w:val="22"/>
              </w:rPr>
            </w:pPr>
            <w:r>
              <w:rPr>
                <w:color w:val="000000"/>
                <w:sz w:val="22"/>
                <w:szCs w:val="22"/>
              </w:rPr>
              <w:t>.975**</w:t>
            </w:r>
          </w:p>
        </w:tc>
        <w:tc>
          <w:tcPr>
            <w:tcW w:w="821" w:type="dxa"/>
            <w:tcBorders>
              <w:top w:val="nil"/>
              <w:left w:val="nil"/>
              <w:bottom w:val="nil"/>
              <w:right w:val="nil"/>
            </w:tcBorders>
            <w:shd w:val="clear" w:color="000000" w:fill="FFFFFF"/>
            <w:noWrap/>
            <w:vAlign w:val="bottom"/>
            <w:hideMark/>
          </w:tcPr>
          <w:p w14:paraId="06A7D82D" w14:textId="77777777" w:rsidR="0036017D" w:rsidRDefault="0036017D">
            <w:pPr>
              <w:jc w:val="center"/>
              <w:rPr>
                <w:color w:val="000000"/>
                <w:sz w:val="22"/>
                <w:szCs w:val="22"/>
              </w:rPr>
            </w:pPr>
            <w:r>
              <w:rPr>
                <w:color w:val="000000"/>
                <w:sz w:val="22"/>
                <w:szCs w:val="22"/>
              </w:rPr>
              <w:t>.986**</w:t>
            </w:r>
          </w:p>
        </w:tc>
        <w:tc>
          <w:tcPr>
            <w:tcW w:w="821" w:type="dxa"/>
            <w:tcBorders>
              <w:top w:val="nil"/>
              <w:left w:val="nil"/>
              <w:bottom w:val="nil"/>
              <w:right w:val="nil"/>
            </w:tcBorders>
            <w:shd w:val="clear" w:color="000000" w:fill="FFFFFF"/>
            <w:noWrap/>
            <w:vAlign w:val="bottom"/>
            <w:hideMark/>
          </w:tcPr>
          <w:p w14:paraId="701CE0E8" w14:textId="77777777" w:rsidR="0036017D" w:rsidRDefault="0036017D">
            <w:pPr>
              <w:jc w:val="center"/>
              <w:rPr>
                <w:color w:val="000000"/>
                <w:sz w:val="22"/>
                <w:szCs w:val="22"/>
              </w:rPr>
            </w:pPr>
            <w:r>
              <w:rPr>
                <w:color w:val="000000"/>
                <w:sz w:val="22"/>
                <w:szCs w:val="22"/>
              </w:rPr>
              <w:t>.990**</w:t>
            </w:r>
          </w:p>
        </w:tc>
        <w:tc>
          <w:tcPr>
            <w:tcW w:w="821" w:type="dxa"/>
            <w:tcBorders>
              <w:top w:val="nil"/>
              <w:left w:val="nil"/>
              <w:bottom w:val="nil"/>
              <w:right w:val="nil"/>
            </w:tcBorders>
            <w:shd w:val="clear" w:color="000000" w:fill="FFFFFF"/>
            <w:noWrap/>
            <w:vAlign w:val="bottom"/>
            <w:hideMark/>
          </w:tcPr>
          <w:p w14:paraId="1EED1037" w14:textId="77777777" w:rsidR="0036017D" w:rsidRDefault="0036017D">
            <w:pPr>
              <w:jc w:val="center"/>
              <w:rPr>
                <w:color w:val="000000"/>
                <w:sz w:val="22"/>
                <w:szCs w:val="22"/>
              </w:rPr>
            </w:pPr>
            <w:r>
              <w:rPr>
                <w:color w:val="000000"/>
                <w:sz w:val="22"/>
                <w:szCs w:val="22"/>
              </w:rPr>
              <w:t>1.000</w:t>
            </w:r>
          </w:p>
        </w:tc>
        <w:tc>
          <w:tcPr>
            <w:tcW w:w="821" w:type="dxa"/>
            <w:tcBorders>
              <w:top w:val="nil"/>
              <w:left w:val="nil"/>
              <w:bottom w:val="nil"/>
              <w:right w:val="nil"/>
            </w:tcBorders>
            <w:shd w:val="clear" w:color="000000" w:fill="FFFFFF"/>
            <w:noWrap/>
            <w:vAlign w:val="bottom"/>
            <w:hideMark/>
          </w:tcPr>
          <w:p w14:paraId="0793BFD0" w14:textId="77777777" w:rsidR="0036017D" w:rsidRDefault="0036017D">
            <w:pPr>
              <w:jc w:val="center"/>
              <w:rPr>
                <w:color w:val="000000"/>
                <w:sz w:val="22"/>
                <w:szCs w:val="22"/>
              </w:rPr>
            </w:pPr>
            <w:r>
              <w:rPr>
                <w:color w:val="000000"/>
                <w:sz w:val="22"/>
                <w:szCs w:val="22"/>
              </w:rPr>
              <w:t>.984**</w:t>
            </w:r>
          </w:p>
        </w:tc>
        <w:tc>
          <w:tcPr>
            <w:tcW w:w="821" w:type="dxa"/>
            <w:tcBorders>
              <w:top w:val="nil"/>
              <w:left w:val="nil"/>
              <w:bottom w:val="nil"/>
              <w:right w:val="nil"/>
            </w:tcBorders>
            <w:shd w:val="clear" w:color="000000" w:fill="FFFFFF"/>
            <w:noWrap/>
            <w:vAlign w:val="bottom"/>
            <w:hideMark/>
          </w:tcPr>
          <w:p w14:paraId="4A323A05" w14:textId="77777777" w:rsidR="0036017D" w:rsidRDefault="0036017D">
            <w:pPr>
              <w:jc w:val="center"/>
              <w:rPr>
                <w:color w:val="000000"/>
                <w:sz w:val="22"/>
                <w:szCs w:val="22"/>
              </w:rPr>
            </w:pPr>
            <w:r>
              <w:rPr>
                <w:color w:val="000000"/>
                <w:sz w:val="22"/>
                <w:szCs w:val="22"/>
              </w:rPr>
              <w:t>.966**</w:t>
            </w:r>
          </w:p>
        </w:tc>
        <w:tc>
          <w:tcPr>
            <w:tcW w:w="821" w:type="dxa"/>
            <w:tcBorders>
              <w:top w:val="nil"/>
              <w:left w:val="nil"/>
              <w:bottom w:val="nil"/>
              <w:right w:val="nil"/>
            </w:tcBorders>
            <w:shd w:val="clear" w:color="000000" w:fill="FFFFFF"/>
            <w:noWrap/>
            <w:vAlign w:val="bottom"/>
            <w:hideMark/>
          </w:tcPr>
          <w:p w14:paraId="03E8B926" w14:textId="77777777" w:rsidR="0036017D" w:rsidRDefault="0036017D">
            <w:pPr>
              <w:jc w:val="center"/>
              <w:rPr>
                <w:color w:val="000000"/>
                <w:sz w:val="22"/>
                <w:szCs w:val="22"/>
              </w:rPr>
            </w:pPr>
            <w:r>
              <w:rPr>
                <w:color w:val="000000"/>
                <w:sz w:val="22"/>
                <w:szCs w:val="22"/>
              </w:rPr>
              <w:t>.928**</w:t>
            </w:r>
          </w:p>
        </w:tc>
        <w:tc>
          <w:tcPr>
            <w:tcW w:w="821" w:type="dxa"/>
            <w:tcBorders>
              <w:top w:val="nil"/>
              <w:left w:val="nil"/>
              <w:bottom w:val="nil"/>
              <w:right w:val="nil"/>
            </w:tcBorders>
            <w:shd w:val="clear" w:color="000000" w:fill="FFFFFF"/>
            <w:noWrap/>
            <w:vAlign w:val="bottom"/>
            <w:hideMark/>
          </w:tcPr>
          <w:p w14:paraId="1213866D" w14:textId="77777777" w:rsidR="0036017D" w:rsidRDefault="0036017D">
            <w:pPr>
              <w:jc w:val="center"/>
              <w:rPr>
                <w:color w:val="000000"/>
                <w:sz w:val="22"/>
                <w:szCs w:val="22"/>
              </w:rPr>
            </w:pPr>
            <w:r>
              <w:rPr>
                <w:color w:val="000000"/>
                <w:sz w:val="22"/>
                <w:szCs w:val="22"/>
              </w:rPr>
              <w:t>.933**</w:t>
            </w:r>
          </w:p>
        </w:tc>
        <w:tc>
          <w:tcPr>
            <w:tcW w:w="821" w:type="dxa"/>
            <w:tcBorders>
              <w:top w:val="nil"/>
              <w:left w:val="nil"/>
              <w:bottom w:val="nil"/>
              <w:right w:val="nil"/>
            </w:tcBorders>
            <w:shd w:val="clear" w:color="000000" w:fill="FFFFFF"/>
            <w:noWrap/>
            <w:vAlign w:val="bottom"/>
            <w:hideMark/>
          </w:tcPr>
          <w:p w14:paraId="1218D01A" w14:textId="77777777" w:rsidR="0036017D" w:rsidRDefault="0036017D">
            <w:pPr>
              <w:jc w:val="center"/>
              <w:rPr>
                <w:color w:val="000000"/>
                <w:sz w:val="22"/>
                <w:szCs w:val="22"/>
              </w:rPr>
            </w:pPr>
            <w:r>
              <w:rPr>
                <w:color w:val="000000"/>
                <w:sz w:val="22"/>
                <w:szCs w:val="22"/>
              </w:rPr>
              <w:t>.895**</w:t>
            </w:r>
          </w:p>
        </w:tc>
      </w:tr>
      <w:tr w:rsidR="000A6429" w14:paraId="1BFFA7B3" w14:textId="77777777" w:rsidTr="000A6429">
        <w:trPr>
          <w:trHeight w:val="294"/>
        </w:trPr>
        <w:tc>
          <w:tcPr>
            <w:tcW w:w="696" w:type="dxa"/>
            <w:tcBorders>
              <w:top w:val="nil"/>
              <w:left w:val="nil"/>
              <w:bottom w:val="nil"/>
              <w:right w:val="nil"/>
            </w:tcBorders>
            <w:shd w:val="clear" w:color="000000" w:fill="FFFFFF"/>
            <w:noWrap/>
            <w:vAlign w:val="bottom"/>
            <w:hideMark/>
          </w:tcPr>
          <w:p w14:paraId="20707947" w14:textId="77777777" w:rsidR="0036017D" w:rsidRDefault="0036017D">
            <w:pPr>
              <w:jc w:val="center"/>
              <w:rPr>
                <w:color w:val="000000"/>
                <w:u w:val="single"/>
              </w:rPr>
            </w:pPr>
            <w:r>
              <w:rPr>
                <w:color w:val="000000"/>
                <w:u w:val="single"/>
              </w:rPr>
              <w:t>2010</w:t>
            </w:r>
          </w:p>
        </w:tc>
        <w:tc>
          <w:tcPr>
            <w:tcW w:w="821" w:type="dxa"/>
            <w:tcBorders>
              <w:top w:val="nil"/>
              <w:left w:val="nil"/>
              <w:bottom w:val="nil"/>
              <w:right w:val="nil"/>
            </w:tcBorders>
            <w:shd w:val="clear" w:color="000000" w:fill="FFFFFF"/>
            <w:noWrap/>
            <w:vAlign w:val="bottom"/>
            <w:hideMark/>
          </w:tcPr>
          <w:p w14:paraId="15E94AB3" w14:textId="77777777" w:rsidR="0036017D" w:rsidRDefault="0036017D">
            <w:pPr>
              <w:jc w:val="center"/>
              <w:rPr>
                <w:color w:val="000000"/>
                <w:sz w:val="22"/>
                <w:szCs w:val="22"/>
              </w:rPr>
            </w:pPr>
            <w:r>
              <w:rPr>
                <w:color w:val="000000"/>
                <w:sz w:val="22"/>
                <w:szCs w:val="22"/>
              </w:rPr>
              <w:t>.960**</w:t>
            </w:r>
          </w:p>
        </w:tc>
        <w:tc>
          <w:tcPr>
            <w:tcW w:w="821" w:type="dxa"/>
            <w:tcBorders>
              <w:top w:val="nil"/>
              <w:left w:val="nil"/>
              <w:bottom w:val="nil"/>
              <w:right w:val="nil"/>
            </w:tcBorders>
            <w:shd w:val="clear" w:color="000000" w:fill="FFFFFF"/>
            <w:noWrap/>
            <w:vAlign w:val="bottom"/>
            <w:hideMark/>
          </w:tcPr>
          <w:p w14:paraId="31E36775" w14:textId="77777777" w:rsidR="0036017D" w:rsidRDefault="0036017D">
            <w:pPr>
              <w:jc w:val="center"/>
              <w:rPr>
                <w:color w:val="000000"/>
                <w:sz w:val="22"/>
                <w:szCs w:val="22"/>
              </w:rPr>
            </w:pPr>
            <w:r>
              <w:rPr>
                <w:color w:val="000000"/>
                <w:sz w:val="22"/>
                <w:szCs w:val="22"/>
              </w:rPr>
              <w:t>.969**</w:t>
            </w:r>
          </w:p>
        </w:tc>
        <w:tc>
          <w:tcPr>
            <w:tcW w:w="821" w:type="dxa"/>
            <w:tcBorders>
              <w:top w:val="nil"/>
              <w:left w:val="nil"/>
              <w:bottom w:val="nil"/>
              <w:right w:val="nil"/>
            </w:tcBorders>
            <w:shd w:val="clear" w:color="000000" w:fill="FFFFFF"/>
            <w:noWrap/>
            <w:vAlign w:val="bottom"/>
            <w:hideMark/>
          </w:tcPr>
          <w:p w14:paraId="7C04B058" w14:textId="77777777" w:rsidR="0036017D" w:rsidRDefault="0036017D">
            <w:pPr>
              <w:jc w:val="center"/>
              <w:rPr>
                <w:color w:val="000000"/>
                <w:sz w:val="22"/>
                <w:szCs w:val="22"/>
              </w:rPr>
            </w:pPr>
            <w:r>
              <w:rPr>
                <w:color w:val="000000"/>
                <w:sz w:val="22"/>
                <w:szCs w:val="22"/>
              </w:rPr>
              <w:t>.973**</w:t>
            </w:r>
          </w:p>
        </w:tc>
        <w:tc>
          <w:tcPr>
            <w:tcW w:w="821" w:type="dxa"/>
            <w:tcBorders>
              <w:top w:val="nil"/>
              <w:left w:val="nil"/>
              <w:bottom w:val="nil"/>
              <w:right w:val="nil"/>
            </w:tcBorders>
            <w:shd w:val="clear" w:color="000000" w:fill="FFFFFF"/>
            <w:noWrap/>
            <w:vAlign w:val="bottom"/>
            <w:hideMark/>
          </w:tcPr>
          <w:p w14:paraId="5AEE0CB0" w14:textId="77777777" w:rsidR="0036017D" w:rsidRDefault="0036017D">
            <w:pPr>
              <w:jc w:val="center"/>
              <w:rPr>
                <w:color w:val="000000"/>
                <w:sz w:val="22"/>
                <w:szCs w:val="22"/>
              </w:rPr>
            </w:pPr>
            <w:r>
              <w:rPr>
                <w:color w:val="000000"/>
                <w:sz w:val="22"/>
                <w:szCs w:val="22"/>
              </w:rPr>
              <w:t>.984**</w:t>
            </w:r>
          </w:p>
        </w:tc>
        <w:tc>
          <w:tcPr>
            <w:tcW w:w="821" w:type="dxa"/>
            <w:tcBorders>
              <w:top w:val="nil"/>
              <w:left w:val="nil"/>
              <w:bottom w:val="nil"/>
              <w:right w:val="nil"/>
            </w:tcBorders>
            <w:shd w:val="clear" w:color="000000" w:fill="FFFFFF"/>
            <w:noWrap/>
            <w:vAlign w:val="bottom"/>
            <w:hideMark/>
          </w:tcPr>
          <w:p w14:paraId="7969AB5A" w14:textId="77777777" w:rsidR="0036017D" w:rsidRDefault="0036017D">
            <w:pPr>
              <w:jc w:val="center"/>
              <w:rPr>
                <w:color w:val="000000"/>
                <w:sz w:val="22"/>
                <w:szCs w:val="22"/>
              </w:rPr>
            </w:pPr>
            <w:r>
              <w:rPr>
                <w:color w:val="000000"/>
                <w:sz w:val="22"/>
                <w:szCs w:val="22"/>
              </w:rPr>
              <w:t>1.000</w:t>
            </w:r>
          </w:p>
        </w:tc>
        <w:tc>
          <w:tcPr>
            <w:tcW w:w="821" w:type="dxa"/>
            <w:tcBorders>
              <w:top w:val="nil"/>
              <w:left w:val="nil"/>
              <w:bottom w:val="nil"/>
              <w:right w:val="nil"/>
            </w:tcBorders>
            <w:shd w:val="clear" w:color="000000" w:fill="FFFFFF"/>
            <w:noWrap/>
            <w:vAlign w:val="bottom"/>
            <w:hideMark/>
          </w:tcPr>
          <w:p w14:paraId="65DF9FB8" w14:textId="77777777" w:rsidR="0036017D" w:rsidRDefault="0036017D">
            <w:pPr>
              <w:jc w:val="center"/>
              <w:rPr>
                <w:color w:val="000000"/>
                <w:sz w:val="22"/>
                <w:szCs w:val="22"/>
              </w:rPr>
            </w:pPr>
            <w:r>
              <w:rPr>
                <w:color w:val="000000"/>
                <w:sz w:val="22"/>
                <w:szCs w:val="22"/>
              </w:rPr>
              <w:t>.974**</w:t>
            </w:r>
          </w:p>
        </w:tc>
        <w:tc>
          <w:tcPr>
            <w:tcW w:w="821" w:type="dxa"/>
            <w:tcBorders>
              <w:top w:val="nil"/>
              <w:left w:val="nil"/>
              <w:bottom w:val="nil"/>
              <w:right w:val="nil"/>
            </w:tcBorders>
            <w:shd w:val="clear" w:color="000000" w:fill="FFFFFF"/>
            <w:noWrap/>
            <w:vAlign w:val="bottom"/>
            <w:hideMark/>
          </w:tcPr>
          <w:p w14:paraId="4EFF31C8" w14:textId="77777777" w:rsidR="0036017D" w:rsidRDefault="0036017D">
            <w:pPr>
              <w:jc w:val="center"/>
              <w:rPr>
                <w:color w:val="000000"/>
                <w:sz w:val="22"/>
                <w:szCs w:val="22"/>
              </w:rPr>
            </w:pPr>
            <w:r>
              <w:rPr>
                <w:color w:val="000000"/>
                <w:sz w:val="22"/>
                <w:szCs w:val="22"/>
              </w:rPr>
              <w:t>.934**</w:t>
            </w:r>
          </w:p>
        </w:tc>
        <w:tc>
          <w:tcPr>
            <w:tcW w:w="821" w:type="dxa"/>
            <w:tcBorders>
              <w:top w:val="nil"/>
              <w:left w:val="nil"/>
              <w:bottom w:val="nil"/>
              <w:right w:val="nil"/>
            </w:tcBorders>
            <w:shd w:val="clear" w:color="000000" w:fill="FFFFFF"/>
            <w:noWrap/>
            <w:vAlign w:val="bottom"/>
            <w:hideMark/>
          </w:tcPr>
          <w:p w14:paraId="2F259AA0" w14:textId="77777777" w:rsidR="0036017D" w:rsidRDefault="0036017D">
            <w:pPr>
              <w:jc w:val="center"/>
              <w:rPr>
                <w:color w:val="000000"/>
                <w:sz w:val="22"/>
                <w:szCs w:val="22"/>
              </w:rPr>
            </w:pPr>
            <w:r>
              <w:rPr>
                <w:color w:val="000000"/>
                <w:sz w:val="22"/>
                <w:szCs w:val="22"/>
              </w:rPr>
              <w:t>.934**</w:t>
            </w:r>
          </w:p>
        </w:tc>
        <w:tc>
          <w:tcPr>
            <w:tcW w:w="821" w:type="dxa"/>
            <w:tcBorders>
              <w:top w:val="nil"/>
              <w:left w:val="nil"/>
              <w:bottom w:val="nil"/>
              <w:right w:val="nil"/>
            </w:tcBorders>
            <w:shd w:val="clear" w:color="000000" w:fill="FFFFFF"/>
            <w:noWrap/>
            <w:vAlign w:val="bottom"/>
            <w:hideMark/>
          </w:tcPr>
          <w:p w14:paraId="50A9C537" w14:textId="77777777" w:rsidR="0036017D" w:rsidRDefault="0036017D">
            <w:pPr>
              <w:jc w:val="center"/>
              <w:rPr>
                <w:color w:val="000000"/>
                <w:sz w:val="22"/>
                <w:szCs w:val="22"/>
              </w:rPr>
            </w:pPr>
            <w:r>
              <w:rPr>
                <w:color w:val="000000"/>
                <w:sz w:val="22"/>
                <w:szCs w:val="22"/>
              </w:rPr>
              <w:t>.898**</w:t>
            </w:r>
          </w:p>
        </w:tc>
      </w:tr>
      <w:tr w:rsidR="000A6429" w14:paraId="2ABD7C26" w14:textId="77777777" w:rsidTr="000A6429">
        <w:trPr>
          <w:trHeight w:val="294"/>
        </w:trPr>
        <w:tc>
          <w:tcPr>
            <w:tcW w:w="696" w:type="dxa"/>
            <w:tcBorders>
              <w:top w:val="nil"/>
              <w:left w:val="nil"/>
              <w:bottom w:val="nil"/>
              <w:right w:val="nil"/>
            </w:tcBorders>
            <w:shd w:val="clear" w:color="000000" w:fill="FFFFFF"/>
            <w:noWrap/>
            <w:vAlign w:val="bottom"/>
            <w:hideMark/>
          </w:tcPr>
          <w:p w14:paraId="39D133E7" w14:textId="77777777" w:rsidR="0036017D" w:rsidRDefault="0036017D">
            <w:pPr>
              <w:jc w:val="center"/>
              <w:rPr>
                <w:color w:val="000000"/>
                <w:u w:val="single"/>
              </w:rPr>
            </w:pPr>
            <w:r>
              <w:rPr>
                <w:color w:val="000000"/>
                <w:u w:val="single"/>
              </w:rPr>
              <w:t>2009</w:t>
            </w:r>
          </w:p>
        </w:tc>
        <w:tc>
          <w:tcPr>
            <w:tcW w:w="821" w:type="dxa"/>
            <w:tcBorders>
              <w:top w:val="nil"/>
              <w:left w:val="nil"/>
              <w:bottom w:val="nil"/>
              <w:right w:val="nil"/>
            </w:tcBorders>
            <w:shd w:val="clear" w:color="000000" w:fill="FFFFFF"/>
            <w:noWrap/>
            <w:vAlign w:val="bottom"/>
            <w:hideMark/>
          </w:tcPr>
          <w:p w14:paraId="29C0EF66" w14:textId="77777777" w:rsidR="0036017D" w:rsidRDefault="0036017D">
            <w:pPr>
              <w:jc w:val="center"/>
              <w:rPr>
                <w:color w:val="000000"/>
                <w:sz w:val="22"/>
                <w:szCs w:val="22"/>
              </w:rPr>
            </w:pPr>
            <w:r>
              <w:rPr>
                <w:color w:val="000000"/>
                <w:sz w:val="22"/>
                <w:szCs w:val="22"/>
              </w:rPr>
              <w:t>.958**</w:t>
            </w:r>
          </w:p>
        </w:tc>
        <w:tc>
          <w:tcPr>
            <w:tcW w:w="821" w:type="dxa"/>
            <w:tcBorders>
              <w:top w:val="nil"/>
              <w:left w:val="nil"/>
              <w:bottom w:val="nil"/>
              <w:right w:val="nil"/>
            </w:tcBorders>
            <w:shd w:val="clear" w:color="000000" w:fill="FFFFFF"/>
            <w:noWrap/>
            <w:vAlign w:val="bottom"/>
            <w:hideMark/>
          </w:tcPr>
          <w:p w14:paraId="69ACE4A8" w14:textId="77777777" w:rsidR="0036017D" w:rsidRDefault="0036017D">
            <w:pPr>
              <w:jc w:val="center"/>
              <w:rPr>
                <w:color w:val="000000"/>
                <w:sz w:val="22"/>
                <w:szCs w:val="22"/>
              </w:rPr>
            </w:pPr>
            <w:r>
              <w:rPr>
                <w:color w:val="000000"/>
                <w:sz w:val="22"/>
                <w:szCs w:val="22"/>
              </w:rPr>
              <w:t>.957**</w:t>
            </w:r>
          </w:p>
        </w:tc>
        <w:tc>
          <w:tcPr>
            <w:tcW w:w="821" w:type="dxa"/>
            <w:tcBorders>
              <w:top w:val="nil"/>
              <w:left w:val="nil"/>
              <w:bottom w:val="nil"/>
              <w:right w:val="nil"/>
            </w:tcBorders>
            <w:shd w:val="clear" w:color="000000" w:fill="FFFFFF"/>
            <w:noWrap/>
            <w:vAlign w:val="bottom"/>
            <w:hideMark/>
          </w:tcPr>
          <w:p w14:paraId="28CD019C" w14:textId="77777777" w:rsidR="0036017D" w:rsidRDefault="0036017D">
            <w:pPr>
              <w:jc w:val="center"/>
              <w:rPr>
                <w:color w:val="000000"/>
                <w:sz w:val="22"/>
                <w:szCs w:val="22"/>
              </w:rPr>
            </w:pPr>
            <w:r>
              <w:rPr>
                <w:color w:val="000000"/>
                <w:sz w:val="22"/>
                <w:szCs w:val="22"/>
              </w:rPr>
              <w:t>.959**</w:t>
            </w:r>
          </w:p>
        </w:tc>
        <w:tc>
          <w:tcPr>
            <w:tcW w:w="821" w:type="dxa"/>
            <w:tcBorders>
              <w:top w:val="nil"/>
              <w:left w:val="nil"/>
              <w:bottom w:val="nil"/>
              <w:right w:val="nil"/>
            </w:tcBorders>
            <w:shd w:val="clear" w:color="000000" w:fill="FFFFFF"/>
            <w:noWrap/>
            <w:vAlign w:val="bottom"/>
            <w:hideMark/>
          </w:tcPr>
          <w:p w14:paraId="5BC38BD2" w14:textId="77777777" w:rsidR="0036017D" w:rsidRDefault="0036017D">
            <w:pPr>
              <w:jc w:val="center"/>
              <w:rPr>
                <w:color w:val="000000"/>
                <w:sz w:val="22"/>
                <w:szCs w:val="22"/>
              </w:rPr>
            </w:pPr>
            <w:r>
              <w:rPr>
                <w:color w:val="000000"/>
                <w:sz w:val="22"/>
                <w:szCs w:val="22"/>
              </w:rPr>
              <w:t>.966**</w:t>
            </w:r>
          </w:p>
        </w:tc>
        <w:tc>
          <w:tcPr>
            <w:tcW w:w="821" w:type="dxa"/>
            <w:tcBorders>
              <w:top w:val="nil"/>
              <w:left w:val="nil"/>
              <w:bottom w:val="nil"/>
              <w:right w:val="nil"/>
            </w:tcBorders>
            <w:shd w:val="clear" w:color="000000" w:fill="FFFFFF"/>
            <w:noWrap/>
            <w:vAlign w:val="bottom"/>
            <w:hideMark/>
          </w:tcPr>
          <w:p w14:paraId="77D7E26F" w14:textId="77777777" w:rsidR="0036017D" w:rsidRDefault="0036017D">
            <w:pPr>
              <w:jc w:val="center"/>
              <w:rPr>
                <w:color w:val="000000"/>
                <w:sz w:val="22"/>
                <w:szCs w:val="22"/>
              </w:rPr>
            </w:pPr>
            <w:r>
              <w:rPr>
                <w:color w:val="000000"/>
                <w:sz w:val="22"/>
                <w:szCs w:val="22"/>
              </w:rPr>
              <w:t>.974**</w:t>
            </w:r>
          </w:p>
        </w:tc>
        <w:tc>
          <w:tcPr>
            <w:tcW w:w="821" w:type="dxa"/>
            <w:tcBorders>
              <w:top w:val="nil"/>
              <w:left w:val="nil"/>
              <w:bottom w:val="nil"/>
              <w:right w:val="nil"/>
            </w:tcBorders>
            <w:shd w:val="clear" w:color="000000" w:fill="FFFFFF"/>
            <w:noWrap/>
            <w:vAlign w:val="bottom"/>
            <w:hideMark/>
          </w:tcPr>
          <w:p w14:paraId="3016B2CA" w14:textId="77777777" w:rsidR="0036017D" w:rsidRDefault="0036017D">
            <w:pPr>
              <w:jc w:val="center"/>
              <w:rPr>
                <w:color w:val="000000"/>
                <w:sz w:val="22"/>
                <w:szCs w:val="22"/>
              </w:rPr>
            </w:pPr>
            <w:r>
              <w:rPr>
                <w:color w:val="000000"/>
                <w:sz w:val="22"/>
                <w:szCs w:val="22"/>
              </w:rPr>
              <w:t>1.000</w:t>
            </w:r>
          </w:p>
        </w:tc>
        <w:tc>
          <w:tcPr>
            <w:tcW w:w="821" w:type="dxa"/>
            <w:tcBorders>
              <w:top w:val="nil"/>
              <w:left w:val="nil"/>
              <w:bottom w:val="nil"/>
              <w:right w:val="nil"/>
            </w:tcBorders>
            <w:shd w:val="clear" w:color="000000" w:fill="FFFFFF"/>
            <w:noWrap/>
            <w:vAlign w:val="bottom"/>
            <w:hideMark/>
          </w:tcPr>
          <w:p w14:paraId="71D5A999" w14:textId="77777777" w:rsidR="0036017D" w:rsidRDefault="0036017D">
            <w:pPr>
              <w:jc w:val="center"/>
              <w:rPr>
                <w:color w:val="000000"/>
                <w:sz w:val="22"/>
                <w:szCs w:val="22"/>
              </w:rPr>
            </w:pPr>
            <w:r>
              <w:rPr>
                <w:color w:val="000000"/>
                <w:sz w:val="22"/>
                <w:szCs w:val="22"/>
              </w:rPr>
              <w:t>.955**</w:t>
            </w:r>
          </w:p>
        </w:tc>
        <w:tc>
          <w:tcPr>
            <w:tcW w:w="821" w:type="dxa"/>
            <w:tcBorders>
              <w:top w:val="nil"/>
              <w:left w:val="nil"/>
              <w:bottom w:val="nil"/>
              <w:right w:val="nil"/>
            </w:tcBorders>
            <w:shd w:val="clear" w:color="000000" w:fill="FFFFFF"/>
            <w:noWrap/>
            <w:vAlign w:val="bottom"/>
            <w:hideMark/>
          </w:tcPr>
          <w:p w14:paraId="2CD857F5" w14:textId="77777777" w:rsidR="0036017D" w:rsidRDefault="0036017D">
            <w:pPr>
              <w:jc w:val="center"/>
              <w:rPr>
                <w:color w:val="000000"/>
                <w:sz w:val="22"/>
                <w:szCs w:val="22"/>
              </w:rPr>
            </w:pPr>
            <w:r>
              <w:rPr>
                <w:color w:val="000000"/>
                <w:sz w:val="22"/>
                <w:szCs w:val="22"/>
              </w:rPr>
              <w:t>.962**</w:t>
            </w:r>
          </w:p>
        </w:tc>
        <w:tc>
          <w:tcPr>
            <w:tcW w:w="821" w:type="dxa"/>
            <w:tcBorders>
              <w:top w:val="nil"/>
              <w:left w:val="nil"/>
              <w:bottom w:val="nil"/>
              <w:right w:val="nil"/>
            </w:tcBorders>
            <w:shd w:val="clear" w:color="000000" w:fill="FFFFFF"/>
            <w:noWrap/>
            <w:vAlign w:val="bottom"/>
            <w:hideMark/>
          </w:tcPr>
          <w:p w14:paraId="02B311C6" w14:textId="77777777" w:rsidR="0036017D" w:rsidRDefault="0036017D">
            <w:pPr>
              <w:jc w:val="center"/>
              <w:rPr>
                <w:color w:val="000000"/>
                <w:sz w:val="22"/>
                <w:szCs w:val="22"/>
              </w:rPr>
            </w:pPr>
            <w:r>
              <w:rPr>
                <w:color w:val="000000"/>
                <w:sz w:val="22"/>
                <w:szCs w:val="22"/>
              </w:rPr>
              <w:t>.931**</w:t>
            </w:r>
          </w:p>
        </w:tc>
      </w:tr>
      <w:tr w:rsidR="000A6429" w14:paraId="3E9B5E7C" w14:textId="77777777" w:rsidTr="000A6429">
        <w:trPr>
          <w:trHeight w:val="294"/>
        </w:trPr>
        <w:tc>
          <w:tcPr>
            <w:tcW w:w="696" w:type="dxa"/>
            <w:tcBorders>
              <w:top w:val="nil"/>
              <w:left w:val="nil"/>
              <w:bottom w:val="nil"/>
              <w:right w:val="nil"/>
            </w:tcBorders>
            <w:shd w:val="clear" w:color="000000" w:fill="FFFFFF"/>
            <w:noWrap/>
            <w:vAlign w:val="bottom"/>
            <w:hideMark/>
          </w:tcPr>
          <w:p w14:paraId="42507F85" w14:textId="77777777" w:rsidR="0036017D" w:rsidRDefault="0036017D">
            <w:pPr>
              <w:jc w:val="center"/>
              <w:rPr>
                <w:color w:val="000000"/>
                <w:u w:val="single"/>
              </w:rPr>
            </w:pPr>
            <w:r>
              <w:rPr>
                <w:color w:val="000000"/>
                <w:u w:val="single"/>
              </w:rPr>
              <w:t>2008</w:t>
            </w:r>
          </w:p>
        </w:tc>
        <w:tc>
          <w:tcPr>
            <w:tcW w:w="821" w:type="dxa"/>
            <w:tcBorders>
              <w:top w:val="nil"/>
              <w:left w:val="nil"/>
              <w:bottom w:val="nil"/>
              <w:right w:val="nil"/>
            </w:tcBorders>
            <w:shd w:val="clear" w:color="000000" w:fill="FFFFFF"/>
            <w:noWrap/>
            <w:vAlign w:val="bottom"/>
            <w:hideMark/>
          </w:tcPr>
          <w:p w14:paraId="2538E743" w14:textId="77777777" w:rsidR="0036017D" w:rsidRDefault="0036017D">
            <w:pPr>
              <w:jc w:val="center"/>
              <w:rPr>
                <w:color w:val="000000"/>
                <w:sz w:val="22"/>
                <w:szCs w:val="22"/>
              </w:rPr>
            </w:pPr>
            <w:r>
              <w:rPr>
                <w:color w:val="000000"/>
                <w:sz w:val="22"/>
                <w:szCs w:val="22"/>
              </w:rPr>
              <w:t>.913**</w:t>
            </w:r>
          </w:p>
        </w:tc>
        <w:tc>
          <w:tcPr>
            <w:tcW w:w="821" w:type="dxa"/>
            <w:tcBorders>
              <w:top w:val="nil"/>
              <w:left w:val="nil"/>
              <w:bottom w:val="nil"/>
              <w:right w:val="nil"/>
            </w:tcBorders>
            <w:shd w:val="clear" w:color="000000" w:fill="FFFFFF"/>
            <w:noWrap/>
            <w:vAlign w:val="bottom"/>
            <w:hideMark/>
          </w:tcPr>
          <w:p w14:paraId="130CB5EE" w14:textId="77777777" w:rsidR="0036017D" w:rsidRDefault="0036017D">
            <w:pPr>
              <w:jc w:val="center"/>
              <w:rPr>
                <w:color w:val="000000"/>
                <w:sz w:val="22"/>
                <w:szCs w:val="22"/>
              </w:rPr>
            </w:pPr>
            <w:r>
              <w:rPr>
                <w:color w:val="000000"/>
                <w:sz w:val="22"/>
                <w:szCs w:val="22"/>
              </w:rPr>
              <w:t>.914**</w:t>
            </w:r>
          </w:p>
        </w:tc>
        <w:tc>
          <w:tcPr>
            <w:tcW w:w="821" w:type="dxa"/>
            <w:tcBorders>
              <w:top w:val="nil"/>
              <w:left w:val="nil"/>
              <w:bottom w:val="nil"/>
              <w:right w:val="nil"/>
            </w:tcBorders>
            <w:shd w:val="clear" w:color="000000" w:fill="FFFFFF"/>
            <w:noWrap/>
            <w:vAlign w:val="bottom"/>
            <w:hideMark/>
          </w:tcPr>
          <w:p w14:paraId="69AC34F7" w14:textId="77777777" w:rsidR="0036017D" w:rsidRDefault="0036017D">
            <w:pPr>
              <w:jc w:val="center"/>
              <w:rPr>
                <w:color w:val="000000"/>
                <w:sz w:val="22"/>
                <w:szCs w:val="22"/>
              </w:rPr>
            </w:pPr>
            <w:r>
              <w:rPr>
                <w:color w:val="000000"/>
                <w:sz w:val="22"/>
                <w:szCs w:val="22"/>
              </w:rPr>
              <w:t>.918**</w:t>
            </w:r>
          </w:p>
        </w:tc>
        <w:tc>
          <w:tcPr>
            <w:tcW w:w="821" w:type="dxa"/>
            <w:tcBorders>
              <w:top w:val="nil"/>
              <w:left w:val="nil"/>
              <w:bottom w:val="nil"/>
              <w:right w:val="nil"/>
            </w:tcBorders>
            <w:shd w:val="clear" w:color="000000" w:fill="FFFFFF"/>
            <w:noWrap/>
            <w:vAlign w:val="bottom"/>
            <w:hideMark/>
          </w:tcPr>
          <w:p w14:paraId="0E78C8D7" w14:textId="77777777" w:rsidR="0036017D" w:rsidRDefault="0036017D">
            <w:pPr>
              <w:jc w:val="center"/>
              <w:rPr>
                <w:color w:val="000000"/>
                <w:sz w:val="22"/>
                <w:szCs w:val="22"/>
              </w:rPr>
            </w:pPr>
            <w:r>
              <w:rPr>
                <w:color w:val="000000"/>
                <w:sz w:val="22"/>
                <w:szCs w:val="22"/>
              </w:rPr>
              <w:t>.928**</w:t>
            </w:r>
          </w:p>
        </w:tc>
        <w:tc>
          <w:tcPr>
            <w:tcW w:w="821" w:type="dxa"/>
            <w:tcBorders>
              <w:top w:val="nil"/>
              <w:left w:val="nil"/>
              <w:bottom w:val="nil"/>
              <w:right w:val="nil"/>
            </w:tcBorders>
            <w:shd w:val="clear" w:color="000000" w:fill="FFFFFF"/>
            <w:noWrap/>
            <w:vAlign w:val="bottom"/>
            <w:hideMark/>
          </w:tcPr>
          <w:p w14:paraId="4ABDA32A" w14:textId="77777777" w:rsidR="0036017D" w:rsidRDefault="0036017D">
            <w:pPr>
              <w:jc w:val="center"/>
              <w:rPr>
                <w:color w:val="000000"/>
                <w:sz w:val="22"/>
                <w:szCs w:val="22"/>
              </w:rPr>
            </w:pPr>
            <w:r>
              <w:rPr>
                <w:color w:val="000000"/>
                <w:sz w:val="22"/>
                <w:szCs w:val="22"/>
              </w:rPr>
              <w:t>.934**</w:t>
            </w:r>
          </w:p>
        </w:tc>
        <w:tc>
          <w:tcPr>
            <w:tcW w:w="821" w:type="dxa"/>
            <w:tcBorders>
              <w:top w:val="nil"/>
              <w:left w:val="nil"/>
              <w:bottom w:val="nil"/>
              <w:right w:val="nil"/>
            </w:tcBorders>
            <w:shd w:val="clear" w:color="000000" w:fill="FFFFFF"/>
            <w:noWrap/>
            <w:vAlign w:val="bottom"/>
            <w:hideMark/>
          </w:tcPr>
          <w:p w14:paraId="682971E6" w14:textId="77777777" w:rsidR="0036017D" w:rsidRDefault="0036017D">
            <w:pPr>
              <w:jc w:val="center"/>
              <w:rPr>
                <w:color w:val="000000"/>
                <w:sz w:val="22"/>
                <w:szCs w:val="22"/>
              </w:rPr>
            </w:pPr>
            <w:r>
              <w:rPr>
                <w:color w:val="000000"/>
                <w:sz w:val="22"/>
                <w:szCs w:val="22"/>
              </w:rPr>
              <w:t>.955**</w:t>
            </w:r>
          </w:p>
        </w:tc>
        <w:tc>
          <w:tcPr>
            <w:tcW w:w="821" w:type="dxa"/>
            <w:tcBorders>
              <w:top w:val="nil"/>
              <w:left w:val="nil"/>
              <w:bottom w:val="nil"/>
              <w:right w:val="nil"/>
            </w:tcBorders>
            <w:shd w:val="clear" w:color="000000" w:fill="FFFFFF"/>
            <w:noWrap/>
            <w:vAlign w:val="bottom"/>
            <w:hideMark/>
          </w:tcPr>
          <w:p w14:paraId="1903771F" w14:textId="77777777" w:rsidR="0036017D" w:rsidRDefault="0036017D">
            <w:pPr>
              <w:jc w:val="center"/>
              <w:rPr>
                <w:color w:val="000000"/>
                <w:sz w:val="22"/>
                <w:szCs w:val="22"/>
              </w:rPr>
            </w:pPr>
            <w:r>
              <w:rPr>
                <w:color w:val="000000"/>
                <w:sz w:val="22"/>
                <w:szCs w:val="22"/>
              </w:rPr>
              <w:t>1.000</w:t>
            </w:r>
          </w:p>
        </w:tc>
        <w:tc>
          <w:tcPr>
            <w:tcW w:w="821" w:type="dxa"/>
            <w:tcBorders>
              <w:top w:val="nil"/>
              <w:left w:val="nil"/>
              <w:bottom w:val="nil"/>
              <w:right w:val="nil"/>
            </w:tcBorders>
            <w:shd w:val="clear" w:color="000000" w:fill="FFFFFF"/>
            <w:noWrap/>
            <w:vAlign w:val="bottom"/>
            <w:hideMark/>
          </w:tcPr>
          <w:p w14:paraId="34FDAFB0" w14:textId="77777777" w:rsidR="0036017D" w:rsidRDefault="0036017D">
            <w:pPr>
              <w:jc w:val="center"/>
              <w:rPr>
                <w:color w:val="000000"/>
                <w:sz w:val="22"/>
                <w:szCs w:val="22"/>
              </w:rPr>
            </w:pPr>
            <w:r>
              <w:rPr>
                <w:color w:val="000000"/>
                <w:sz w:val="22"/>
                <w:szCs w:val="22"/>
              </w:rPr>
              <w:t>.959**</w:t>
            </w:r>
          </w:p>
        </w:tc>
        <w:tc>
          <w:tcPr>
            <w:tcW w:w="821" w:type="dxa"/>
            <w:tcBorders>
              <w:top w:val="nil"/>
              <w:left w:val="nil"/>
              <w:bottom w:val="nil"/>
              <w:right w:val="nil"/>
            </w:tcBorders>
            <w:shd w:val="clear" w:color="000000" w:fill="FFFFFF"/>
            <w:noWrap/>
            <w:vAlign w:val="bottom"/>
            <w:hideMark/>
          </w:tcPr>
          <w:p w14:paraId="0349BB19" w14:textId="77777777" w:rsidR="0036017D" w:rsidRDefault="0036017D">
            <w:pPr>
              <w:jc w:val="center"/>
              <w:rPr>
                <w:color w:val="000000"/>
                <w:sz w:val="22"/>
                <w:szCs w:val="22"/>
              </w:rPr>
            </w:pPr>
            <w:r>
              <w:rPr>
                <w:color w:val="000000"/>
                <w:sz w:val="22"/>
                <w:szCs w:val="22"/>
              </w:rPr>
              <w:t>.929**</w:t>
            </w:r>
          </w:p>
        </w:tc>
      </w:tr>
      <w:tr w:rsidR="000A6429" w14:paraId="3CE2F3DA" w14:textId="77777777" w:rsidTr="000A6429">
        <w:trPr>
          <w:trHeight w:val="294"/>
        </w:trPr>
        <w:tc>
          <w:tcPr>
            <w:tcW w:w="696" w:type="dxa"/>
            <w:tcBorders>
              <w:top w:val="nil"/>
              <w:left w:val="nil"/>
              <w:bottom w:val="nil"/>
              <w:right w:val="nil"/>
            </w:tcBorders>
            <w:shd w:val="clear" w:color="000000" w:fill="FFFFFF"/>
            <w:noWrap/>
            <w:vAlign w:val="bottom"/>
            <w:hideMark/>
          </w:tcPr>
          <w:p w14:paraId="6984A1EC" w14:textId="77777777" w:rsidR="0036017D" w:rsidRDefault="0036017D">
            <w:pPr>
              <w:jc w:val="center"/>
              <w:rPr>
                <w:color w:val="000000"/>
                <w:u w:val="single"/>
              </w:rPr>
            </w:pPr>
            <w:r>
              <w:rPr>
                <w:color w:val="000000"/>
                <w:u w:val="single"/>
              </w:rPr>
              <w:t>2007</w:t>
            </w:r>
          </w:p>
        </w:tc>
        <w:tc>
          <w:tcPr>
            <w:tcW w:w="821" w:type="dxa"/>
            <w:tcBorders>
              <w:top w:val="nil"/>
              <w:left w:val="nil"/>
              <w:bottom w:val="nil"/>
              <w:right w:val="nil"/>
            </w:tcBorders>
            <w:shd w:val="clear" w:color="000000" w:fill="FFFFFF"/>
            <w:noWrap/>
            <w:vAlign w:val="bottom"/>
            <w:hideMark/>
          </w:tcPr>
          <w:p w14:paraId="2044DAA4" w14:textId="77777777" w:rsidR="0036017D" w:rsidRDefault="0036017D">
            <w:pPr>
              <w:jc w:val="center"/>
              <w:rPr>
                <w:color w:val="000000"/>
                <w:sz w:val="22"/>
                <w:szCs w:val="22"/>
              </w:rPr>
            </w:pPr>
            <w:r>
              <w:rPr>
                <w:color w:val="000000"/>
                <w:sz w:val="22"/>
                <w:szCs w:val="22"/>
              </w:rPr>
              <w:t>.926**</w:t>
            </w:r>
          </w:p>
        </w:tc>
        <w:tc>
          <w:tcPr>
            <w:tcW w:w="821" w:type="dxa"/>
            <w:tcBorders>
              <w:top w:val="nil"/>
              <w:left w:val="nil"/>
              <w:bottom w:val="nil"/>
              <w:right w:val="nil"/>
            </w:tcBorders>
            <w:shd w:val="clear" w:color="000000" w:fill="FFFFFF"/>
            <w:noWrap/>
            <w:vAlign w:val="bottom"/>
            <w:hideMark/>
          </w:tcPr>
          <w:p w14:paraId="0C847B61" w14:textId="77777777" w:rsidR="0036017D" w:rsidRDefault="0036017D">
            <w:pPr>
              <w:jc w:val="center"/>
              <w:rPr>
                <w:color w:val="000000"/>
                <w:sz w:val="22"/>
                <w:szCs w:val="22"/>
              </w:rPr>
            </w:pPr>
            <w:r>
              <w:rPr>
                <w:color w:val="000000"/>
                <w:sz w:val="22"/>
                <w:szCs w:val="22"/>
              </w:rPr>
              <w:t>.925**</w:t>
            </w:r>
          </w:p>
        </w:tc>
        <w:tc>
          <w:tcPr>
            <w:tcW w:w="821" w:type="dxa"/>
            <w:tcBorders>
              <w:top w:val="nil"/>
              <w:left w:val="nil"/>
              <w:bottom w:val="nil"/>
              <w:right w:val="nil"/>
            </w:tcBorders>
            <w:shd w:val="clear" w:color="000000" w:fill="FFFFFF"/>
            <w:noWrap/>
            <w:vAlign w:val="bottom"/>
            <w:hideMark/>
          </w:tcPr>
          <w:p w14:paraId="517DFBBF" w14:textId="77777777" w:rsidR="0036017D" w:rsidRDefault="0036017D">
            <w:pPr>
              <w:jc w:val="center"/>
              <w:rPr>
                <w:color w:val="000000"/>
                <w:sz w:val="22"/>
                <w:szCs w:val="22"/>
              </w:rPr>
            </w:pPr>
            <w:r>
              <w:rPr>
                <w:color w:val="000000"/>
                <w:sz w:val="22"/>
                <w:szCs w:val="22"/>
              </w:rPr>
              <w:t>.925**</w:t>
            </w:r>
          </w:p>
        </w:tc>
        <w:tc>
          <w:tcPr>
            <w:tcW w:w="821" w:type="dxa"/>
            <w:tcBorders>
              <w:top w:val="nil"/>
              <w:left w:val="nil"/>
              <w:bottom w:val="nil"/>
              <w:right w:val="nil"/>
            </w:tcBorders>
            <w:shd w:val="clear" w:color="000000" w:fill="FFFFFF"/>
            <w:noWrap/>
            <w:vAlign w:val="bottom"/>
            <w:hideMark/>
          </w:tcPr>
          <w:p w14:paraId="692FC179" w14:textId="77777777" w:rsidR="0036017D" w:rsidRDefault="0036017D">
            <w:pPr>
              <w:jc w:val="center"/>
              <w:rPr>
                <w:color w:val="000000"/>
                <w:sz w:val="22"/>
                <w:szCs w:val="22"/>
              </w:rPr>
            </w:pPr>
            <w:r>
              <w:rPr>
                <w:color w:val="000000"/>
                <w:sz w:val="22"/>
                <w:szCs w:val="22"/>
              </w:rPr>
              <w:t>.933**</w:t>
            </w:r>
          </w:p>
        </w:tc>
        <w:tc>
          <w:tcPr>
            <w:tcW w:w="821" w:type="dxa"/>
            <w:tcBorders>
              <w:top w:val="nil"/>
              <w:left w:val="nil"/>
              <w:bottom w:val="nil"/>
              <w:right w:val="nil"/>
            </w:tcBorders>
            <w:shd w:val="clear" w:color="000000" w:fill="FFFFFF"/>
            <w:noWrap/>
            <w:vAlign w:val="bottom"/>
            <w:hideMark/>
          </w:tcPr>
          <w:p w14:paraId="681E3F28" w14:textId="77777777" w:rsidR="0036017D" w:rsidRDefault="0036017D">
            <w:pPr>
              <w:jc w:val="center"/>
              <w:rPr>
                <w:color w:val="000000"/>
                <w:sz w:val="22"/>
                <w:szCs w:val="22"/>
              </w:rPr>
            </w:pPr>
            <w:r>
              <w:rPr>
                <w:color w:val="000000"/>
                <w:sz w:val="22"/>
                <w:szCs w:val="22"/>
              </w:rPr>
              <w:t>.934**</w:t>
            </w:r>
          </w:p>
        </w:tc>
        <w:tc>
          <w:tcPr>
            <w:tcW w:w="821" w:type="dxa"/>
            <w:tcBorders>
              <w:top w:val="nil"/>
              <w:left w:val="nil"/>
              <w:bottom w:val="nil"/>
              <w:right w:val="nil"/>
            </w:tcBorders>
            <w:shd w:val="clear" w:color="000000" w:fill="FFFFFF"/>
            <w:noWrap/>
            <w:vAlign w:val="bottom"/>
            <w:hideMark/>
          </w:tcPr>
          <w:p w14:paraId="6B69D990" w14:textId="77777777" w:rsidR="0036017D" w:rsidRDefault="0036017D">
            <w:pPr>
              <w:jc w:val="center"/>
              <w:rPr>
                <w:color w:val="000000"/>
                <w:sz w:val="22"/>
                <w:szCs w:val="22"/>
              </w:rPr>
            </w:pPr>
            <w:r>
              <w:rPr>
                <w:color w:val="000000"/>
                <w:sz w:val="22"/>
                <w:szCs w:val="22"/>
              </w:rPr>
              <w:t>.962**</w:t>
            </w:r>
          </w:p>
        </w:tc>
        <w:tc>
          <w:tcPr>
            <w:tcW w:w="821" w:type="dxa"/>
            <w:tcBorders>
              <w:top w:val="nil"/>
              <w:left w:val="nil"/>
              <w:bottom w:val="nil"/>
              <w:right w:val="nil"/>
            </w:tcBorders>
            <w:shd w:val="clear" w:color="000000" w:fill="FFFFFF"/>
            <w:noWrap/>
            <w:vAlign w:val="bottom"/>
            <w:hideMark/>
          </w:tcPr>
          <w:p w14:paraId="56CC6910" w14:textId="77777777" w:rsidR="0036017D" w:rsidRDefault="0036017D">
            <w:pPr>
              <w:jc w:val="center"/>
              <w:rPr>
                <w:color w:val="000000"/>
                <w:sz w:val="22"/>
                <w:szCs w:val="22"/>
              </w:rPr>
            </w:pPr>
            <w:r>
              <w:rPr>
                <w:color w:val="000000"/>
                <w:sz w:val="22"/>
                <w:szCs w:val="22"/>
              </w:rPr>
              <w:t>.959**</w:t>
            </w:r>
          </w:p>
        </w:tc>
        <w:tc>
          <w:tcPr>
            <w:tcW w:w="821" w:type="dxa"/>
            <w:tcBorders>
              <w:top w:val="nil"/>
              <w:left w:val="nil"/>
              <w:bottom w:val="nil"/>
              <w:right w:val="nil"/>
            </w:tcBorders>
            <w:shd w:val="clear" w:color="000000" w:fill="FFFFFF"/>
            <w:noWrap/>
            <w:vAlign w:val="bottom"/>
            <w:hideMark/>
          </w:tcPr>
          <w:p w14:paraId="7AE77F79" w14:textId="77777777" w:rsidR="0036017D" w:rsidRDefault="0036017D">
            <w:pPr>
              <w:jc w:val="center"/>
              <w:rPr>
                <w:color w:val="000000"/>
                <w:sz w:val="22"/>
                <w:szCs w:val="22"/>
              </w:rPr>
            </w:pPr>
            <w:r>
              <w:rPr>
                <w:color w:val="000000"/>
                <w:sz w:val="22"/>
                <w:szCs w:val="22"/>
              </w:rPr>
              <w:t>1.000</w:t>
            </w:r>
          </w:p>
        </w:tc>
        <w:tc>
          <w:tcPr>
            <w:tcW w:w="821" w:type="dxa"/>
            <w:tcBorders>
              <w:top w:val="nil"/>
              <w:left w:val="nil"/>
              <w:bottom w:val="nil"/>
              <w:right w:val="nil"/>
            </w:tcBorders>
            <w:shd w:val="clear" w:color="000000" w:fill="FFFFFF"/>
            <w:noWrap/>
            <w:vAlign w:val="bottom"/>
            <w:hideMark/>
          </w:tcPr>
          <w:p w14:paraId="1E123E0B" w14:textId="77777777" w:rsidR="0036017D" w:rsidRDefault="0036017D">
            <w:pPr>
              <w:jc w:val="center"/>
              <w:rPr>
                <w:color w:val="000000"/>
                <w:sz w:val="22"/>
                <w:szCs w:val="22"/>
              </w:rPr>
            </w:pPr>
            <w:r>
              <w:rPr>
                <w:color w:val="000000"/>
                <w:sz w:val="22"/>
                <w:szCs w:val="22"/>
              </w:rPr>
              <w:t>.967**</w:t>
            </w:r>
          </w:p>
        </w:tc>
      </w:tr>
      <w:tr w:rsidR="000A6429" w14:paraId="386FF123" w14:textId="77777777" w:rsidTr="000A6429">
        <w:trPr>
          <w:trHeight w:val="294"/>
        </w:trPr>
        <w:tc>
          <w:tcPr>
            <w:tcW w:w="696" w:type="dxa"/>
            <w:tcBorders>
              <w:top w:val="nil"/>
              <w:left w:val="nil"/>
              <w:bottom w:val="nil"/>
              <w:right w:val="nil"/>
            </w:tcBorders>
            <w:shd w:val="clear" w:color="000000" w:fill="FFFFFF"/>
            <w:noWrap/>
            <w:vAlign w:val="bottom"/>
            <w:hideMark/>
          </w:tcPr>
          <w:p w14:paraId="69B1D373" w14:textId="77777777" w:rsidR="0036017D" w:rsidRDefault="0036017D">
            <w:pPr>
              <w:jc w:val="center"/>
              <w:rPr>
                <w:color w:val="000000"/>
                <w:u w:val="single"/>
              </w:rPr>
            </w:pPr>
            <w:r>
              <w:rPr>
                <w:color w:val="000000"/>
                <w:u w:val="single"/>
              </w:rPr>
              <w:t>2006</w:t>
            </w:r>
          </w:p>
        </w:tc>
        <w:tc>
          <w:tcPr>
            <w:tcW w:w="821" w:type="dxa"/>
            <w:tcBorders>
              <w:top w:val="nil"/>
              <w:left w:val="nil"/>
              <w:bottom w:val="nil"/>
              <w:right w:val="nil"/>
            </w:tcBorders>
            <w:shd w:val="clear" w:color="000000" w:fill="FFFFFF"/>
            <w:noWrap/>
            <w:vAlign w:val="bottom"/>
            <w:hideMark/>
          </w:tcPr>
          <w:p w14:paraId="6609DA23" w14:textId="77777777" w:rsidR="0036017D" w:rsidRDefault="0036017D">
            <w:pPr>
              <w:jc w:val="center"/>
              <w:rPr>
                <w:color w:val="000000"/>
                <w:sz w:val="22"/>
                <w:szCs w:val="22"/>
              </w:rPr>
            </w:pPr>
            <w:r>
              <w:rPr>
                <w:color w:val="000000"/>
                <w:sz w:val="22"/>
                <w:szCs w:val="22"/>
              </w:rPr>
              <w:t>.889**</w:t>
            </w:r>
          </w:p>
        </w:tc>
        <w:tc>
          <w:tcPr>
            <w:tcW w:w="821" w:type="dxa"/>
            <w:tcBorders>
              <w:top w:val="nil"/>
              <w:left w:val="nil"/>
              <w:bottom w:val="nil"/>
              <w:right w:val="nil"/>
            </w:tcBorders>
            <w:shd w:val="clear" w:color="000000" w:fill="FFFFFF"/>
            <w:noWrap/>
            <w:vAlign w:val="bottom"/>
            <w:hideMark/>
          </w:tcPr>
          <w:p w14:paraId="2302581E" w14:textId="77777777" w:rsidR="0036017D" w:rsidRDefault="0036017D">
            <w:pPr>
              <w:jc w:val="center"/>
              <w:rPr>
                <w:color w:val="000000"/>
                <w:sz w:val="22"/>
                <w:szCs w:val="22"/>
              </w:rPr>
            </w:pPr>
            <w:r>
              <w:rPr>
                <w:color w:val="000000"/>
                <w:sz w:val="22"/>
                <w:szCs w:val="22"/>
              </w:rPr>
              <w:t>.888**</w:t>
            </w:r>
          </w:p>
        </w:tc>
        <w:tc>
          <w:tcPr>
            <w:tcW w:w="821" w:type="dxa"/>
            <w:tcBorders>
              <w:top w:val="nil"/>
              <w:left w:val="nil"/>
              <w:bottom w:val="nil"/>
              <w:right w:val="nil"/>
            </w:tcBorders>
            <w:shd w:val="clear" w:color="000000" w:fill="FFFFFF"/>
            <w:noWrap/>
            <w:vAlign w:val="bottom"/>
            <w:hideMark/>
          </w:tcPr>
          <w:p w14:paraId="2BFB43DA" w14:textId="77777777" w:rsidR="0036017D" w:rsidRDefault="0036017D">
            <w:pPr>
              <w:jc w:val="center"/>
              <w:rPr>
                <w:color w:val="000000"/>
                <w:sz w:val="22"/>
                <w:szCs w:val="22"/>
              </w:rPr>
            </w:pPr>
            <w:r>
              <w:rPr>
                <w:color w:val="000000"/>
                <w:sz w:val="22"/>
                <w:szCs w:val="22"/>
              </w:rPr>
              <w:t>.889**</w:t>
            </w:r>
          </w:p>
        </w:tc>
        <w:tc>
          <w:tcPr>
            <w:tcW w:w="821" w:type="dxa"/>
            <w:tcBorders>
              <w:top w:val="nil"/>
              <w:left w:val="nil"/>
              <w:bottom w:val="nil"/>
              <w:right w:val="nil"/>
            </w:tcBorders>
            <w:shd w:val="clear" w:color="000000" w:fill="FFFFFF"/>
            <w:noWrap/>
            <w:vAlign w:val="bottom"/>
            <w:hideMark/>
          </w:tcPr>
          <w:p w14:paraId="6166CA93" w14:textId="77777777" w:rsidR="0036017D" w:rsidRDefault="0036017D">
            <w:pPr>
              <w:jc w:val="center"/>
              <w:rPr>
                <w:color w:val="000000"/>
                <w:sz w:val="22"/>
                <w:szCs w:val="22"/>
              </w:rPr>
            </w:pPr>
            <w:r>
              <w:rPr>
                <w:color w:val="000000"/>
                <w:sz w:val="22"/>
                <w:szCs w:val="22"/>
              </w:rPr>
              <w:t>.895**</w:t>
            </w:r>
          </w:p>
        </w:tc>
        <w:tc>
          <w:tcPr>
            <w:tcW w:w="821" w:type="dxa"/>
            <w:tcBorders>
              <w:top w:val="nil"/>
              <w:left w:val="nil"/>
              <w:bottom w:val="nil"/>
              <w:right w:val="nil"/>
            </w:tcBorders>
            <w:shd w:val="clear" w:color="000000" w:fill="FFFFFF"/>
            <w:noWrap/>
            <w:vAlign w:val="bottom"/>
            <w:hideMark/>
          </w:tcPr>
          <w:p w14:paraId="3F765513" w14:textId="77777777" w:rsidR="0036017D" w:rsidRDefault="0036017D">
            <w:pPr>
              <w:jc w:val="center"/>
              <w:rPr>
                <w:color w:val="000000"/>
                <w:sz w:val="22"/>
                <w:szCs w:val="22"/>
              </w:rPr>
            </w:pPr>
            <w:r>
              <w:rPr>
                <w:color w:val="000000"/>
                <w:sz w:val="22"/>
                <w:szCs w:val="22"/>
              </w:rPr>
              <w:t>.898**</w:t>
            </w:r>
          </w:p>
        </w:tc>
        <w:tc>
          <w:tcPr>
            <w:tcW w:w="821" w:type="dxa"/>
            <w:tcBorders>
              <w:top w:val="nil"/>
              <w:left w:val="nil"/>
              <w:bottom w:val="nil"/>
              <w:right w:val="nil"/>
            </w:tcBorders>
            <w:shd w:val="clear" w:color="000000" w:fill="FFFFFF"/>
            <w:noWrap/>
            <w:vAlign w:val="bottom"/>
            <w:hideMark/>
          </w:tcPr>
          <w:p w14:paraId="39AA946B" w14:textId="77777777" w:rsidR="0036017D" w:rsidRDefault="0036017D">
            <w:pPr>
              <w:jc w:val="center"/>
              <w:rPr>
                <w:color w:val="000000"/>
                <w:sz w:val="22"/>
                <w:szCs w:val="22"/>
              </w:rPr>
            </w:pPr>
            <w:r>
              <w:rPr>
                <w:color w:val="000000"/>
                <w:sz w:val="22"/>
                <w:szCs w:val="22"/>
              </w:rPr>
              <w:t>.931**</w:t>
            </w:r>
          </w:p>
        </w:tc>
        <w:tc>
          <w:tcPr>
            <w:tcW w:w="821" w:type="dxa"/>
            <w:tcBorders>
              <w:top w:val="nil"/>
              <w:left w:val="nil"/>
              <w:bottom w:val="nil"/>
              <w:right w:val="nil"/>
            </w:tcBorders>
            <w:shd w:val="clear" w:color="000000" w:fill="FFFFFF"/>
            <w:noWrap/>
            <w:vAlign w:val="bottom"/>
            <w:hideMark/>
          </w:tcPr>
          <w:p w14:paraId="600C9088" w14:textId="77777777" w:rsidR="0036017D" w:rsidRDefault="0036017D">
            <w:pPr>
              <w:jc w:val="center"/>
              <w:rPr>
                <w:color w:val="000000"/>
                <w:sz w:val="22"/>
                <w:szCs w:val="22"/>
              </w:rPr>
            </w:pPr>
            <w:r>
              <w:rPr>
                <w:color w:val="000000"/>
                <w:sz w:val="22"/>
                <w:szCs w:val="22"/>
              </w:rPr>
              <w:t>.929**</w:t>
            </w:r>
          </w:p>
        </w:tc>
        <w:tc>
          <w:tcPr>
            <w:tcW w:w="821" w:type="dxa"/>
            <w:tcBorders>
              <w:top w:val="nil"/>
              <w:left w:val="nil"/>
              <w:bottom w:val="nil"/>
              <w:right w:val="nil"/>
            </w:tcBorders>
            <w:shd w:val="clear" w:color="000000" w:fill="FFFFFF"/>
            <w:noWrap/>
            <w:vAlign w:val="bottom"/>
            <w:hideMark/>
          </w:tcPr>
          <w:p w14:paraId="5D118C11" w14:textId="77777777" w:rsidR="0036017D" w:rsidRDefault="0036017D">
            <w:pPr>
              <w:jc w:val="center"/>
              <w:rPr>
                <w:color w:val="000000"/>
                <w:sz w:val="22"/>
                <w:szCs w:val="22"/>
              </w:rPr>
            </w:pPr>
            <w:r>
              <w:rPr>
                <w:color w:val="000000"/>
                <w:sz w:val="22"/>
                <w:szCs w:val="22"/>
              </w:rPr>
              <w:t>.967**</w:t>
            </w:r>
          </w:p>
        </w:tc>
        <w:tc>
          <w:tcPr>
            <w:tcW w:w="821" w:type="dxa"/>
            <w:tcBorders>
              <w:top w:val="nil"/>
              <w:left w:val="nil"/>
              <w:bottom w:val="nil"/>
              <w:right w:val="nil"/>
            </w:tcBorders>
            <w:shd w:val="clear" w:color="000000" w:fill="FFFFFF"/>
            <w:noWrap/>
            <w:vAlign w:val="bottom"/>
            <w:hideMark/>
          </w:tcPr>
          <w:p w14:paraId="05376024" w14:textId="77777777" w:rsidR="0036017D" w:rsidRDefault="0036017D">
            <w:pPr>
              <w:jc w:val="center"/>
              <w:rPr>
                <w:color w:val="000000"/>
                <w:sz w:val="22"/>
                <w:szCs w:val="22"/>
              </w:rPr>
            </w:pPr>
            <w:r>
              <w:rPr>
                <w:color w:val="000000"/>
                <w:sz w:val="22"/>
                <w:szCs w:val="22"/>
              </w:rPr>
              <w:t>1.000</w:t>
            </w:r>
          </w:p>
        </w:tc>
      </w:tr>
      <w:tr w:rsidR="000A6429" w14:paraId="74A03776" w14:textId="77777777" w:rsidTr="000A6429">
        <w:trPr>
          <w:trHeight w:val="176"/>
        </w:trPr>
        <w:tc>
          <w:tcPr>
            <w:tcW w:w="696" w:type="dxa"/>
            <w:tcBorders>
              <w:top w:val="nil"/>
              <w:left w:val="nil"/>
              <w:bottom w:val="nil"/>
              <w:right w:val="nil"/>
            </w:tcBorders>
            <w:shd w:val="clear" w:color="000000" w:fill="FFFFFF"/>
            <w:noWrap/>
            <w:vAlign w:val="bottom"/>
            <w:hideMark/>
          </w:tcPr>
          <w:p w14:paraId="39829E10" w14:textId="77777777" w:rsidR="0036017D" w:rsidRDefault="0036017D">
            <w:pPr>
              <w:jc w:val="center"/>
              <w:rPr>
                <w:color w:val="000000"/>
                <w:u w:val="single"/>
              </w:rPr>
            </w:pPr>
          </w:p>
        </w:tc>
        <w:tc>
          <w:tcPr>
            <w:tcW w:w="821" w:type="dxa"/>
            <w:tcBorders>
              <w:top w:val="nil"/>
              <w:left w:val="nil"/>
              <w:bottom w:val="nil"/>
              <w:right w:val="nil"/>
            </w:tcBorders>
            <w:shd w:val="clear" w:color="000000" w:fill="FFFFFF"/>
            <w:noWrap/>
            <w:vAlign w:val="bottom"/>
            <w:hideMark/>
          </w:tcPr>
          <w:p w14:paraId="62F69730" w14:textId="77777777" w:rsidR="0036017D" w:rsidRDefault="0036017D">
            <w:pPr>
              <w:jc w:val="center"/>
              <w:rPr>
                <w:color w:val="000000"/>
                <w:sz w:val="22"/>
                <w:szCs w:val="22"/>
              </w:rPr>
            </w:pPr>
            <w:r>
              <w:rPr>
                <w:color w:val="000000"/>
                <w:sz w:val="22"/>
                <w:szCs w:val="22"/>
              </w:rPr>
              <w:t> </w:t>
            </w:r>
          </w:p>
        </w:tc>
        <w:tc>
          <w:tcPr>
            <w:tcW w:w="821" w:type="dxa"/>
            <w:tcBorders>
              <w:top w:val="nil"/>
              <w:left w:val="nil"/>
              <w:bottom w:val="nil"/>
              <w:right w:val="nil"/>
            </w:tcBorders>
            <w:shd w:val="clear" w:color="000000" w:fill="FFFFFF"/>
            <w:noWrap/>
            <w:vAlign w:val="bottom"/>
            <w:hideMark/>
          </w:tcPr>
          <w:p w14:paraId="2913024D" w14:textId="77777777" w:rsidR="0036017D" w:rsidRDefault="0036017D">
            <w:pPr>
              <w:jc w:val="center"/>
              <w:rPr>
                <w:color w:val="000000"/>
                <w:sz w:val="22"/>
                <w:szCs w:val="22"/>
              </w:rPr>
            </w:pPr>
            <w:r>
              <w:rPr>
                <w:color w:val="000000"/>
                <w:sz w:val="22"/>
                <w:szCs w:val="22"/>
              </w:rPr>
              <w:t> </w:t>
            </w:r>
          </w:p>
        </w:tc>
        <w:tc>
          <w:tcPr>
            <w:tcW w:w="821" w:type="dxa"/>
            <w:tcBorders>
              <w:top w:val="nil"/>
              <w:left w:val="nil"/>
              <w:bottom w:val="nil"/>
              <w:right w:val="nil"/>
            </w:tcBorders>
            <w:shd w:val="clear" w:color="000000" w:fill="FFFFFF"/>
            <w:noWrap/>
            <w:vAlign w:val="bottom"/>
            <w:hideMark/>
          </w:tcPr>
          <w:p w14:paraId="594C1319" w14:textId="77777777" w:rsidR="0036017D" w:rsidRDefault="0036017D">
            <w:pPr>
              <w:jc w:val="center"/>
              <w:rPr>
                <w:color w:val="000000"/>
                <w:sz w:val="22"/>
                <w:szCs w:val="22"/>
              </w:rPr>
            </w:pPr>
            <w:r>
              <w:rPr>
                <w:color w:val="000000"/>
                <w:sz w:val="22"/>
                <w:szCs w:val="22"/>
              </w:rPr>
              <w:t> </w:t>
            </w:r>
          </w:p>
        </w:tc>
        <w:tc>
          <w:tcPr>
            <w:tcW w:w="821" w:type="dxa"/>
            <w:tcBorders>
              <w:top w:val="nil"/>
              <w:left w:val="nil"/>
              <w:bottom w:val="nil"/>
              <w:right w:val="nil"/>
            </w:tcBorders>
            <w:shd w:val="clear" w:color="000000" w:fill="FFFFFF"/>
            <w:noWrap/>
            <w:vAlign w:val="bottom"/>
            <w:hideMark/>
          </w:tcPr>
          <w:p w14:paraId="568578BA" w14:textId="77777777" w:rsidR="0036017D" w:rsidRDefault="0036017D">
            <w:pPr>
              <w:jc w:val="center"/>
              <w:rPr>
                <w:color w:val="000000"/>
                <w:sz w:val="22"/>
                <w:szCs w:val="22"/>
              </w:rPr>
            </w:pPr>
            <w:r>
              <w:rPr>
                <w:color w:val="000000"/>
                <w:sz w:val="22"/>
                <w:szCs w:val="22"/>
              </w:rPr>
              <w:t> </w:t>
            </w:r>
          </w:p>
        </w:tc>
        <w:tc>
          <w:tcPr>
            <w:tcW w:w="821" w:type="dxa"/>
            <w:tcBorders>
              <w:top w:val="nil"/>
              <w:left w:val="nil"/>
              <w:bottom w:val="nil"/>
              <w:right w:val="nil"/>
            </w:tcBorders>
            <w:shd w:val="clear" w:color="000000" w:fill="FFFFFF"/>
            <w:noWrap/>
            <w:vAlign w:val="bottom"/>
            <w:hideMark/>
          </w:tcPr>
          <w:p w14:paraId="59755ED2" w14:textId="77777777" w:rsidR="0036017D" w:rsidRDefault="0036017D">
            <w:pPr>
              <w:jc w:val="center"/>
              <w:rPr>
                <w:color w:val="000000"/>
                <w:sz w:val="22"/>
                <w:szCs w:val="22"/>
              </w:rPr>
            </w:pPr>
            <w:r>
              <w:rPr>
                <w:color w:val="000000"/>
                <w:sz w:val="22"/>
                <w:szCs w:val="22"/>
              </w:rPr>
              <w:t> </w:t>
            </w:r>
          </w:p>
        </w:tc>
        <w:tc>
          <w:tcPr>
            <w:tcW w:w="821" w:type="dxa"/>
            <w:tcBorders>
              <w:top w:val="nil"/>
              <w:left w:val="nil"/>
              <w:bottom w:val="nil"/>
              <w:right w:val="nil"/>
            </w:tcBorders>
            <w:shd w:val="clear" w:color="000000" w:fill="FFFFFF"/>
            <w:noWrap/>
            <w:vAlign w:val="bottom"/>
            <w:hideMark/>
          </w:tcPr>
          <w:p w14:paraId="06C383AC" w14:textId="77777777" w:rsidR="0036017D" w:rsidRDefault="0036017D">
            <w:pPr>
              <w:jc w:val="center"/>
              <w:rPr>
                <w:color w:val="000000"/>
                <w:sz w:val="22"/>
                <w:szCs w:val="22"/>
              </w:rPr>
            </w:pPr>
            <w:r>
              <w:rPr>
                <w:color w:val="000000"/>
                <w:sz w:val="22"/>
                <w:szCs w:val="22"/>
              </w:rPr>
              <w:t> </w:t>
            </w:r>
          </w:p>
        </w:tc>
        <w:tc>
          <w:tcPr>
            <w:tcW w:w="821" w:type="dxa"/>
            <w:tcBorders>
              <w:top w:val="nil"/>
              <w:left w:val="nil"/>
              <w:bottom w:val="nil"/>
              <w:right w:val="nil"/>
            </w:tcBorders>
            <w:shd w:val="clear" w:color="000000" w:fill="FFFFFF"/>
            <w:noWrap/>
            <w:vAlign w:val="bottom"/>
            <w:hideMark/>
          </w:tcPr>
          <w:p w14:paraId="159F07BF" w14:textId="77777777" w:rsidR="0036017D" w:rsidRDefault="0036017D">
            <w:pPr>
              <w:jc w:val="center"/>
              <w:rPr>
                <w:color w:val="000000"/>
                <w:sz w:val="22"/>
                <w:szCs w:val="22"/>
              </w:rPr>
            </w:pPr>
            <w:r>
              <w:rPr>
                <w:color w:val="000000"/>
                <w:sz w:val="22"/>
                <w:szCs w:val="22"/>
              </w:rPr>
              <w:t> </w:t>
            </w:r>
          </w:p>
        </w:tc>
        <w:tc>
          <w:tcPr>
            <w:tcW w:w="821" w:type="dxa"/>
            <w:tcBorders>
              <w:top w:val="nil"/>
              <w:left w:val="nil"/>
              <w:bottom w:val="nil"/>
              <w:right w:val="nil"/>
            </w:tcBorders>
            <w:shd w:val="clear" w:color="000000" w:fill="FFFFFF"/>
            <w:noWrap/>
            <w:vAlign w:val="bottom"/>
            <w:hideMark/>
          </w:tcPr>
          <w:p w14:paraId="10F8EEF3" w14:textId="77777777" w:rsidR="0036017D" w:rsidRDefault="0036017D">
            <w:pPr>
              <w:jc w:val="center"/>
              <w:rPr>
                <w:color w:val="000000"/>
                <w:sz w:val="22"/>
                <w:szCs w:val="22"/>
              </w:rPr>
            </w:pPr>
            <w:r>
              <w:rPr>
                <w:color w:val="000000"/>
                <w:sz w:val="22"/>
                <w:szCs w:val="22"/>
              </w:rPr>
              <w:t> </w:t>
            </w:r>
          </w:p>
        </w:tc>
        <w:tc>
          <w:tcPr>
            <w:tcW w:w="821" w:type="dxa"/>
            <w:tcBorders>
              <w:top w:val="nil"/>
              <w:left w:val="nil"/>
              <w:bottom w:val="nil"/>
              <w:right w:val="nil"/>
            </w:tcBorders>
            <w:shd w:val="clear" w:color="000000" w:fill="FFFFFF"/>
            <w:noWrap/>
            <w:vAlign w:val="bottom"/>
            <w:hideMark/>
          </w:tcPr>
          <w:p w14:paraId="38F39B79" w14:textId="77777777" w:rsidR="0036017D" w:rsidRDefault="0036017D">
            <w:pPr>
              <w:jc w:val="center"/>
              <w:rPr>
                <w:color w:val="000000"/>
                <w:sz w:val="22"/>
                <w:szCs w:val="22"/>
              </w:rPr>
            </w:pPr>
            <w:r>
              <w:rPr>
                <w:color w:val="000000"/>
                <w:sz w:val="22"/>
                <w:szCs w:val="22"/>
              </w:rPr>
              <w:t> </w:t>
            </w:r>
          </w:p>
        </w:tc>
      </w:tr>
      <w:tr w:rsidR="0036017D" w14:paraId="4E5EFDFB" w14:textId="77777777" w:rsidTr="000A6429">
        <w:trPr>
          <w:trHeight w:val="220"/>
        </w:trPr>
        <w:tc>
          <w:tcPr>
            <w:tcW w:w="3980" w:type="dxa"/>
            <w:gridSpan w:val="5"/>
            <w:tcBorders>
              <w:top w:val="nil"/>
              <w:left w:val="nil"/>
              <w:bottom w:val="nil"/>
              <w:right w:val="nil"/>
            </w:tcBorders>
            <w:shd w:val="clear" w:color="000000" w:fill="FFFFFF"/>
            <w:noWrap/>
            <w:vAlign w:val="bottom"/>
            <w:hideMark/>
          </w:tcPr>
          <w:p w14:paraId="417CA726" w14:textId="77777777" w:rsidR="0036017D" w:rsidRDefault="0036017D">
            <w:pPr>
              <w:rPr>
                <w:color w:val="000000"/>
                <w:sz w:val="16"/>
                <w:szCs w:val="16"/>
              </w:rPr>
            </w:pPr>
            <w:r>
              <w:rPr>
                <w:color w:val="000000"/>
                <w:sz w:val="16"/>
                <w:szCs w:val="16"/>
              </w:rPr>
              <w:t xml:space="preserve">N = 564 4-Year Public Higher Education Institutions </w:t>
            </w:r>
          </w:p>
        </w:tc>
        <w:tc>
          <w:tcPr>
            <w:tcW w:w="821" w:type="dxa"/>
            <w:tcBorders>
              <w:top w:val="nil"/>
              <w:left w:val="nil"/>
              <w:bottom w:val="nil"/>
              <w:right w:val="nil"/>
            </w:tcBorders>
            <w:shd w:val="clear" w:color="000000" w:fill="FFFFFF"/>
            <w:noWrap/>
            <w:vAlign w:val="bottom"/>
            <w:hideMark/>
          </w:tcPr>
          <w:p w14:paraId="66252B41" w14:textId="77777777" w:rsidR="0036017D" w:rsidRDefault="0036017D">
            <w:pPr>
              <w:rPr>
                <w:color w:val="000000"/>
                <w:sz w:val="16"/>
                <w:szCs w:val="16"/>
              </w:rPr>
            </w:pPr>
            <w:r>
              <w:rPr>
                <w:color w:val="000000"/>
                <w:sz w:val="16"/>
                <w:szCs w:val="16"/>
              </w:rPr>
              <w:t> </w:t>
            </w:r>
          </w:p>
        </w:tc>
        <w:tc>
          <w:tcPr>
            <w:tcW w:w="821" w:type="dxa"/>
            <w:tcBorders>
              <w:top w:val="nil"/>
              <w:left w:val="nil"/>
              <w:bottom w:val="nil"/>
              <w:right w:val="nil"/>
            </w:tcBorders>
            <w:shd w:val="clear" w:color="000000" w:fill="FFFFFF"/>
            <w:noWrap/>
            <w:vAlign w:val="bottom"/>
            <w:hideMark/>
          </w:tcPr>
          <w:p w14:paraId="3AF93D45" w14:textId="77777777" w:rsidR="0036017D" w:rsidRDefault="0036017D">
            <w:pPr>
              <w:rPr>
                <w:color w:val="000000"/>
                <w:sz w:val="16"/>
                <w:szCs w:val="16"/>
              </w:rPr>
            </w:pPr>
            <w:r>
              <w:rPr>
                <w:color w:val="000000"/>
                <w:sz w:val="16"/>
                <w:szCs w:val="16"/>
              </w:rPr>
              <w:t> </w:t>
            </w:r>
          </w:p>
        </w:tc>
        <w:tc>
          <w:tcPr>
            <w:tcW w:w="821" w:type="dxa"/>
            <w:tcBorders>
              <w:top w:val="nil"/>
              <w:left w:val="nil"/>
              <w:bottom w:val="nil"/>
              <w:right w:val="nil"/>
            </w:tcBorders>
            <w:shd w:val="clear" w:color="000000" w:fill="FFFFFF"/>
            <w:noWrap/>
            <w:vAlign w:val="bottom"/>
            <w:hideMark/>
          </w:tcPr>
          <w:p w14:paraId="06B0660C" w14:textId="77777777" w:rsidR="0036017D" w:rsidRDefault="0036017D">
            <w:pPr>
              <w:rPr>
                <w:color w:val="000000"/>
                <w:sz w:val="16"/>
                <w:szCs w:val="16"/>
              </w:rPr>
            </w:pPr>
            <w:r>
              <w:rPr>
                <w:color w:val="000000"/>
                <w:sz w:val="16"/>
                <w:szCs w:val="16"/>
              </w:rPr>
              <w:t> </w:t>
            </w:r>
          </w:p>
        </w:tc>
        <w:tc>
          <w:tcPr>
            <w:tcW w:w="821" w:type="dxa"/>
            <w:tcBorders>
              <w:top w:val="nil"/>
              <w:left w:val="nil"/>
              <w:bottom w:val="nil"/>
              <w:right w:val="nil"/>
            </w:tcBorders>
            <w:shd w:val="clear" w:color="000000" w:fill="FFFFFF"/>
            <w:noWrap/>
            <w:vAlign w:val="bottom"/>
            <w:hideMark/>
          </w:tcPr>
          <w:p w14:paraId="38479601" w14:textId="77777777" w:rsidR="0036017D" w:rsidRDefault="0036017D">
            <w:pPr>
              <w:rPr>
                <w:color w:val="000000"/>
                <w:sz w:val="16"/>
                <w:szCs w:val="16"/>
              </w:rPr>
            </w:pPr>
            <w:r>
              <w:rPr>
                <w:color w:val="000000"/>
                <w:sz w:val="16"/>
                <w:szCs w:val="16"/>
              </w:rPr>
              <w:t> </w:t>
            </w:r>
          </w:p>
        </w:tc>
        <w:tc>
          <w:tcPr>
            <w:tcW w:w="821" w:type="dxa"/>
            <w:tcBorders>
              <w:top w:val="nil"/>
              <w:left w:val="nil"/>
              <w:bottom w:val="nil"/>
              <w:right w:val="nil"/>
            </w:tcBorders>
            <w:shd w:val="clear" w:color="000000" w:fill="FFFFFF"/>
            <w:noWrap/>
            <w:vAlign w:val="bottom"/>
            <w:hideMark/>
          </w:tcPr>
          <w:p w14:paraId="2D526E52" w14:textId="77777777" w:rsidR="0036017D" w:rsidRDefault="0036017D">
            <w:pPr>
              <w:rPr>
                <w:color w:val="000000"/>
                <w:sz w:val="16"/>
                <w:szCs w:val="16"/>
              </w:rPr>
            </w:pPr>
            <w:r>
              <w:rPr>
                <w:color w:val="000000"/>
                <w:sz w:val="16"/>
                <w:szCs w:val="16"/>
              </w:rPr>
              <w:t> </w:t>
            </w:r>
          </w:p>
        </w:tc>
      </w:tr>
      <w:tr w:rsidR="0036017D" w14:paraId="4BAB600C" w14:textId="77777777" w:rsidTr="000A6429">
        <w:trPr>
          <w:trHeight w:val="220"/>
        </w:trPr>
        <w:tc>
          <w:tcPr>
            <w:tcW w:w="4801" w:type="dxa"/>
            <w:gridSpan w:val="6"/>
            <w:tcBorders>
              <w:top w:val="nil"/>
              <w:left w:val="nil"/>
              <w:bottom w:val="single" w:sz="4" w:space="0" w:color="auto"/>
              <w:right w:val="nil"/>
            </w:tcBorders>
            <w:shd w:val="clear" w:color="000000" w:fill="FFFFFF"/>
            <w:noWrap/>
            <w:vAlign w:val="bottom"/>
            <w:hideMark/>
          </w:tcPr>
          <w:p w14:paraId="2D4256E2" w14:textId="77777777" w:rsidR="0036017D" w:rsidRDefault="0036017D">
            <w:pPr>
              <w:rPr>
                <w:color w:val="000000"/>
                <w:sz w:val="16"/>
                <w:szCs w:val="16"/>
              </w:rPr>
            </w:pPr>
            <w:r>
              <w:rPr>
                <w:color w:val="000000"/>
                <w:sz w:val="16"/>
                <w:szCs w:val="16"/>
              </w:rPr>
              <w:t xml:space="preserve">**Correlation is significant at the 0.01 level (2-tailed). </w:t>
            </w:r>
          </w:p>
        </w:tc>
        <w:tc>
          <w:tcPr>
            <w:tcW w:w="821" w:type="dxa"/>
            <w:tcBorders>
              <w:top w:val="nil"/>
              <w:left w:val="nil"/>
              <w:bottom w:val="single" w:sz="4" w:space="0" w:color="auto"/>
              <w:right w:val="nil"/>
            </w:tcBorders>
            <w:shd w:val="clear" w:color="000000" w:fill="FFFFFF"/>
            <w:vAlign w:val="bottom"/>
            <w:hideMark/>
          </w:tcPr>
          <w:p w14:paraId="650BE7A1" w14:textId="77777777" w:rsidR="0036017D" w:rsidRDefault="0036017D">
            <w:pPr>
              <w:jc w:val="center"/>
              <w:rPr>
                <w:color w:val="000000"/>
                <w:sz w:val="16"/>
                <w:szCs w:val="16"/>
              </w:rPr>
            </w:pPr>
            <w:r>
              <w:rPr>
                <w:color w:val="000000"/>
                <w:sz w:val="16"/>
                <w:szCs w:val="16"/>
              </w:rPr>
              <w:t> </w:t>
            </w:r>
          </w:p>
        </w:tc>
        <w:tc>
          <w:tcPr>
            <w:tcW w:w="821" w:type="dxa"/>
            <w:tcBorders>
              <w:top w:val="nil"/>
              <w:left w:val="nil"/>
              <w:bottom w:val="single" w:sz="4" w:space="0" w:color="auto"/>
              <w:right w:val="nil"/>
            </w:tcBorders>
            <w:shd w:val="clear" w:color="000000" w:fill="FFFFFF"/>
            <w:vAlign w:val="bottom"/>
            <w:hideMark/>
          </w:tcPr>
          <w:p w14:paraId="14C1E8ED" w14:textId="77777777" w:rsidR="0036017D" w:rsidRDefault="0036017D">
            <w:pPr>
              <w:jc w:val="center"/>
              <w:rPr>
                <w:color w:val="000000"/>
                <w:sz w:val="16"/>
                <w:szCs w:val="16"/>
              </w:rPr>
            </w:pPr>
            <w:r>
              <w:rPr>
                <w:color w:val="000000"/>
                <w:sz w:val="16"/>
                <w:szCs w:val="16"/>
              </w:rPr>
              <w:t> </w:t>
            </w:r>
          </w:p>
        </w:tc>
        <w:tc>
          <w:tcPr>
            <w:tcW w:w="821" w:type="dxa"/>
            <w:tcBorders>
              <w:top w:val="nil"/>
              <w:left w:val="nil"/>
              <w:bottom w:val="single" w:sz="4" w:space="0" w:color="auto"/>
              <w:right w:val="nil"/>
            </w:tcBorders>
            <w:shd w:val="clear" w:color="000000" w:fill="FFFFFF"/>
            <w:vAlign w:val="bottom"/>
            <w:hideMark/>
          </w:tcPr>
          <w:p w14:paraId="6E1192FA" w14:textId="77777777" w:rsidR="0036017D" w:rsidRDefault="0036017D">
            <w:pPr>
              <w:jc w:val="center"/>
              <w:rPr>
                <w:color w:val="000000"/>
                <w:sz w:val="16"/>
                <w:szCs w:val="16"/>
              </w:rPr>
            </w:pPr>
            <w:r>
              <w:rPr>
                <w:color w:val="000000"/>
                <w:sz w:val="16"/>
                <w:szCs w:val="16"/>
              </w:rPr>
              <w:t> </w:t>
            </w:r>
          </w:p>
        </w:tc>
        <w:tc>
          <w:tcPr>
            <w:tcW w:w="821" w:type="dxa"/>
            <w:tcBorders>
              <w:top w:val="nil"/>
              <w:left w:val="nil"/>
              <w:bottom w:val="single" w:sz="4" w:space="0" w:color="auto"/>
              <w:right w:val="nil"/>
            </w:tcBorders>
            <w:shd w:val="clear" w:color="000000" w:fill="FFFFFF"/>
            <w:vAlign w:val="bottom"/>
            <w:hideMark/>
          </w:tcPr>
          <w:p w14:paraId="33407A94" w14:textId="77777777" w:rsidR="0036017D" w:rsidRDefault="0036017D">
            <w:pPr>
              <w:jc w:val="center"/>
              <w:rPr>
                <w:color w:val="000000"/>
                <w:sz w:val="16"/>
                <w:szCs w:val="16"/>
              </w:rPr>
            </w:pPr>
            <w:r>
              <w:rPr>
                <w:color w:val="000000"/>
                <w:sz w:val="16"/>
                <w:szCs w:val="16"/>
              </w:rPr>
              <w:t> </w:t>
            </w:r>
          </w:p>
        </w:tc>
      </w:tr>
    </w:tbl>
    <w:p w14:paraId="089095DD" w14:textId="77777777" w:rsidR="0036017D" w:rsidRDefault="0036017D" w:rsidP="0036017D">
      <w:pPr>
        <w:spacing w:before="240" w:after="160" w:line="480" w:lineRule="auto"/>
        <w:ind w:firstLine="720"/>
        <w:rPr>
          <w:rFonts w:eastAsia="Calibri"/>
        </w:rPr>
      </w:pPr>
      <w:r>
        <w:rPr>
          <w:rFonts w:eastAsia="Calibri"/>
        </w:rPr>
        <w:t xml:space="preserve">Because of this stability, there appeared reasonable justification to use only the first three years (2006, 2007, and 2008) of public service expenditures to represent institutional spending on </w:t>
      </w:r>
      <w:r w:rsidR="001A0CF9">
        <w:rPr>
          <w:rFonts w:eastAsia="Calibri"/>
        </w:rPr>
        <w:t>public service</w:t>
      </w:r>
      <w:r>
        <w:rPr>
          <w:rFonts w:eastAsia="Calibri"/>
        </w:rPr>
        <w:t xml:space="preserve"> over the entire 2006 through 2014 timeframe. </w:t>
      </w:r>
    </w:p>
    <w:p w14:paraId="2DD1E92C" w14:textId="77777777" w:rsidR="000A6429" w:rsidRDefault="001A0CF9" w:rsidP="001A0CF9">
      <w:pPr>
        <w:spacing w:after="160" w:line="480" w:lineRule="auto"/>
        <w:ind w:firstLine="720"/>
        <w:rPr>
          <w:rFonts w:eastAsia="Calibri"/>
        </w:rPr>
      </w:pPr>
      <w:r>
        <w:rPr>
          <w:rFonts w:eastAsia="Calibri"/>
        </w:rPr>
        <w:lastRenderedPageBreak/>
        <w:t>T</w:t>
      </w:r>
      <w:r w:rsidRPr="001A0CF9">
        <w:rPr>
          <w:rFonts w:eastAsia="Calibri"/>
        </w:rPr>
        <w:t>able 4.</w:t>
      </w:r>
      <w:r>
        <w:rPr>
          <w:rFonts w:eastAsia="Calibri"/>
        </w:rPr>
        <w:t>4</w:t>
      </w:r>
      <w:r w:rsidRPr="001A0CF9">
        <w:rPr>
          <w:rFonts w:eastAsia="Calibri"/>
        </w:rPr>
        <w:t xml:space="preserve"> gives SPSS results of the Spearman-rho correlation analysis for the 2006 through 2014 </w:t>
      </w:r>
      <w:r>
        <w:rPr>
          <w:rFonts w:eastAsia="Calibri"/>
        </w:rPr>
        <w:t>Academic Support</w:t>
      </w:r>
      <w:r w:rsidRPr="001A0CF9">
        <w:rPr>
          <w:rFonts w:eastAsia="Calibri"/>
        </w:rPr>
        <w:t xml:space="preserve"> Expenditures per Student FTE variables.  Similar to the other expenditure types, </w:t>
      </w:r>
      <w:r>
        <w:rPr>
          <w:rFonts w:eastAsia="Calibri"/>
        </w:rPr>
        <w:t>academic support</w:t>
      </w:r>
      <w:r w:rsidRPr="001A0CF9">
        <w:rPr>
          <w:rFonts w:eastAsia="Calibri"/>
        </w:rPr>
        <w:t xml:space="preserve"> expenses were highly correlated between each consecutive year, without any significant increases or decreases in </w:t>
      </w:r>
      <w:r>
        <w:rPr>
          <w:rFonts w:eastAsia="Calibri"/>
        </w:rPr>
        <w:t>academic support</w:t>
      </w:r>
      <w:r w:rsidRPr="001A0CF9">
        <w:rPr>
          <w:rFonts w:eastAsia="Calibri"/>
        </w:rPr>
        <w:t xml:space="preserve"> spending from year-to-year.  </w:t>
      </w:r>
    </w:p>
    <w:p w14:paraId="68EB0510" w14:textId="77777777" w:rsidR="0036017D" w:rsidRDefault="001A0CF9" w:rsidP="001A0CF9">
      <w:pPr>
        <w:spacing w:after="160" w:line="480" w:lineRule="auto"/>
        <w:ind w:firstLine="720"/>
        <w:rPr>
          <w:rFonts w:eastAsia="Calibri"/>
        </w:rPr>
      </w:pPr>
      <w:r w:rsidRPr="001A0CF9">
        <w:rPr>
          <w:rFonts w:eastAsia="Calibri"/>
        </w:rPr>
        <w:t xml:space="preserve">Looking at the first three years of the study timeframe, 2006 </w:t>
      </w:r>
      <w:r>
        <w:rPr>
          <w:rFonts w:eastAsia="Calibri"/>
        </w:rPr>
        <w:t>academic support</w:t>
      </w:r>
      <w:r w:rsidRPr="001A0CF9">
        <w:rPr>
          <w:rFonts w:eastAsia="Calibri"/>
        </w:rPr>
        <w:t xml:space="preserve"> expenses were 98.8 percent predictive of 2007 expenses, while 2007 expenses were 98.4 percent predictive of 2008 instruction expenses.  These high (above .900) correlation coefficients remain very high – above .900 – across all successive years.</w:t>
      </w:r>
    </w:p>
    <w:tbl>
      <w:tblPr>
        <w:tblW w:w="7904" w:type="dxa"/>
        <w:tblLook w:val="04A0" w:firstRow="1" w:lastRow="0" w:firstColumn="1" w:lastColumn="0" w:noHBand="0" w:noVBand="1"/>
      </w:tblPr>
      <w:tblGrid>
        <w:gridCol w:w="696"/>
        <w:gridCol w:w="821"/>
        <w:gridCol w:w="821"/>
        <w:gridCol w:w="821"/>
        <w:gridCol w:w="821"/>
        <w:gridCol w:w="821"/>
        <w:gridCol w:w="821"/>
        <w:gridCol w:w="821"/>
        <w:gridCol w:w="821"/>
        <w:gridCol w:w="821"/>
      </w:tblGrid>
      <w:tr w:rsidR="001A0CF9" w14:paraId="55803774" w14:textId="77777777" w:rsidTr="000A6429">
        <w:trPr>
          <w:trHeight w:val="303"/>
        </w:trPr>
        <w:tc>
          <w:tcPr>
            <w:tcW w:w="7904" w:type="dxa"/>
            <w:gridSpan w:val="10"/>
            <w:tcBorders>
              <w:top w:val="nil"/>
              <w:left w:val="nil"/>
              <w:bottom w:val="nil"/>
              <w:right w:val="nil"/>
            </w:tcBorders>
            <w:shd w:val="clear" w:color="000000" w:fill="FFFFFF"/>
            <w:noWrap/>
            <w:vAlign w:val="bottom"/>
            <w:hideMark/>
          </w:tcPr>
          <w:p w14:paraId="1B2E2CFA" w14:textId="77777777" w:rsidR="001A0CF9" w:rsidRDefault="001A0CF9">
            <w:pPr>
              <w:rPr>
                <w:color w:val="000000"/>
              </w:rPr>
            </w:pPr>
            <w:r>
              <w:rPr>
                <w:color w:val="000000"/>
              </w:rPr>
              <w:t>Table 4.4   2006 - 2014 Academic Support Expenditures per FTE Correlations</w:t>
            </w:r>
          </w:p>
        </w:tc>
      </w:tr>
      <w:tr w:rsidR="000A6429" w14:paraId="1EE480E6" w14:textId="77777777" w:rsidTr="000A6429">
        <w:trPr>
          <w:trHeight w:val="144"/>
        </w:trPr>
        <w:tc>
          <w:tcPr>
            <w:tcW w:w="680" w:type="dxa"/>
            <w:tcBorders>
              <w:top w:val="nil"/>
              <w:left w:val="nil"/>
              <w:bottom w:val="nil"/>
              <w:right w:val="nil"/>
            </w:tcBorders>
            <w:shd w:val="clear" w:color="000000" w:fill="FFFFFF"/>
            <w:noWrap/>
            <w:vAlign w:val="bottom"/>
            <w:hideMark/>
          </w:tcPr>
          <w:p w14:paraId="32DC45AB" w14:textId="77777777" w:rsidR="001A0CF9" w:rsidRDefault="001A0CF9">
            <w:pPr>
              <w:rPr>
                <w:color w:val="000000"/>
              </w:rPr>
            </w:pPr>
            <w:r>
              <w:rPr>
                <w:color w:val="000000"/>
              </w:rPr>
              <w:t> </w:t>
            </w:r>
          </w:p>
        </w:tc>
        <w:tc>
          <w:tcPr>
            <w:tcW w:w="802" w:type="dxa"/>
            <w:tcBorders>
              <w:top w:val="nil"/>
              <w:left w:val="nil"/>
              <w:bottom w:val="nil"/>
              <w:right w:val="nil"/>
            </w:tcBorders>
            <w:shd w:val="clear" w:color="000000" w:fill="FFFFFF"/>
            <w:noWrap/>
            <w:vAlign w:val="bottom"/>
            <w:hideMark/>
          </w:tcPr>
          <w:p w14:paraId="47697382" w14:textId="77777777" w:rsidR="001A0CF9" w:rsidRDefault="001A0CF9">
            <w:pPr>
              <w:rPr>
                <w:color w:val="000000"/>
              </w:rPr>
            </w:pPr>
            <w:r>
              <w:rPr>
                <w:color w:val="000000"/>
              </w:rPr>
              <w:t> </w:t>
            </w:r>
          </w:p>
        </w:tc>
        <w:tc>
          <w:tcPr>
            <w:tcW w:w="802" w:type="dxa"/>
            <w:tcBorders>
              <w:top w:val="nil"/>
              <w:left w:val="nil"/>
              <w:bottom w:val="nil"/>
              <w:right w:val="nil"/>
            </w:tcBorders>
            <w:shd w:val="clear" w:color="000000" w:fill="FFFFFF"/>
            <w:noWrap/>
            <w:vAlign w:val="bottom"/>
            <w:hideMark/>
          </w:tcPr>
          <w:p w14:paraId="33811985" w14:textId="77777777" w:rsidR="001A0CF9" w:rsidRDefault="001A0CF9">
            <w:pPr>
              <w:rPr>
                <w:color w:val="000000"/>
              </w:rPr>
            </w:pPr>
            <w:r>
              <w:rPr>
                <w:color w:val="000000"/>
              </w:rPr>
              <w:t> </w:t>
            </w:r>
          </w:p>
        </w:tc>
        <w:tc>
          <w:tcPr>
            <w:tcW w:w="802" w:type="dxa"/>
            <w:tcBorders>
              <w:top w:val="nil"/>
              <w:left w:val="nil"/>
              <w:bottom w:val="nil"/>
              <w:right w:val="nil"/>
            </w:tcBorders>
            <w:shd w:val="clear" w:color="000000" w:fill="FFFFFF"/>
            <w:noWrap/>
            <w:vAlign w:val="bottom"/>
            <w:hideMark/>
          </w:tcPr>
          <w:p w14:paraId="7ABCCE3E" w14:textId="77777777" w:rsidR="001A0CF9" w:rsidRDefault="001A0CF9">
            <w:pPr>
              <w:rPr>
                <w:color w:val="000000"/>
              </w:rPr>
            </w:pPr>
            <w:r>
              <w:rPr>
                <w:color w:val="000000"/>
              </w:rPr>
              <w:t> </w:t>
            </w:r>
          </w:p>
        </w:tc>
        <w:tc>
          <w:tcPr>
            <w:tcW w:w="802" w:type="dxa"/>
            <w:tcBorders>
              <w:top w:val="nil"/>
              <w:left w:val="nil"/>
              <w:bottom w:val="nil"/>
              <w:right w:val="nil"/>
            </w:tcBorders>
            <w:shd w:val="clear" w:color="000000" w:fill="FFFFFF"/>
            <w:noWrap/>
            <w:vAlign w:val="bottom"/>
            <w:hideMark/>
          </w:tcPr>
          <w:p w14:paraId="384112F1" w14:textId="77777777" w:rsidR="001A0CF9" w:rsidRDefault="001A0CF9">
            <w:pPr>
              <w:rPr>
                <w:color w:val="000000"/>
              </w:rPr>
            </w:pPr>
            <w:r>
              <w:rPr>
                <w:color w:val="000000"/>
              </w:rPr>
              <w:t> </w:t>
            </w:r>
          </w:p>
        </w:tc>
        <w:tc>
          <w:tcPr>
            <w:tcW w:w="802" w:type="dxa"/>
            <w:tcBorders>
              <w:top w:val="nil"/>
              <w:left w:val="nil"/>
              <w:bottom w:val="nil"/>
              <w:right w:val="nil"/>
            </w:tcBorders>
            <w:shd w:val="clear" w:color="000000" w:fill="FFFFFF"/>
            <w:noWrap/>
            <w:vAlign w:val="bottom"/>
            <w:hideMark/>
          </w:tcPr>
          <w:p w14:paraId="3380691D" w14:textId="77777777" w:rsidR="001A0CF9" w:rsidRDefault="001A0CF9">
            <w:pPr>
              <w:rPr>
                <w:color w:val="000000"/>
              </w:rPr>
            </w:pPr>
            <w:r>
              <w:rPr>
                <w:color w:val="000000"/>
              </w:rPr>
              <w:t> </w:t>
            </w:r>
          </w:p>
        </w:tc>
        <w:tc>
          <w:tcPr>
            <w:tcW w:w="802" w:type="dxa"/>
            <w:tcBorders>
              <w:top w:val="nil"/>
              <w:left w:val="nil"/>
              <w:bottom w:val="nil"/>
              <w:right w:val="nil"/>
            </w:tcBorders>
            <w:shd w:val="clear" w:color="000000" w:fill="FFFFFF"/>
            <w:noWrap/>
            <w:vAlign w:val="bottom"/>
            <w:hideMark/>
          </w:tcPr>
          <w:p w14:paraId="604D54E6" w14:textId="77777777" w:rsidR="001A0CF9" w:rsidRDefault="001A0CF9">
            <w:pPr>
              <w:rPr>
                <w:color w:val="000000"/>
              </w:rPr>
            </w:pPr>
            <w:r>
              <w:rPr>
                <w:color w:val="000000"/>
              </w:rPr>
              <w:t> </w:t>
            </w:r>
          </w:p>
        </w:tc>
        <w:tc>
          <w:tcPr>
            <w:tcW w:w="802" w:type="dxa"/>
            <w:tcBorders>
              <w:top w:val="nil"/>
              <w:left w:val="nil"/>
              <w:bottom w:val="nil"/>
              <w:right w:val="nil"/>
            </w:tcBorders>
            <w:shd w:val="clear" w:color="000000" w:fill="FFFFFF"/>
            <w:noWrap/>
            <w:vAlign w:val="bottom"/>
            <w:hideMark/>
          </w:tcPr>
          <w:p w14:paraId="11BEF3D1" w14:textId="77777777" w:rsidR="001A0CF9" w:rsidRDefault="001A0CF9">
            <w:pPr>
              <w:rPr>
                <w:color w:val="000000"/>
              </w:rPr>
            </w:pPr>
            <w:r>
              <w:rPr>
                <w:color w:val="000000"/>
              </w:rPr>
              <w:t> </w:t>
            </w:r>
          </w:p>
        </w:tc>
        <w:tc>
          <w:tcPr>
            <w:tcW w:w="802" w:type="dxa"/>
            <w:tcBorders>
              <w:top w:val="nil"/>
              <w:left w:val="nil"/>
              <w:bottom w:val="nil"/>
              <w:right w:val="nil"/>
            </w:tcBorders>
            <w:shd w:val="clear" w:color="000000" w:fill="FFFFFF"/>
            <w:noWrap/>
            <w:vAlign w:val="bottom"/>
            <w:hideMark/>
          </w:tcPr>
          <w:p w14:paraId="659C60DB" w14:textId="77777777" w:rsidR="001A0CF9" w:rsidRDefault="001A0CF9">
            <w:pPr>
              <w:rPr>
                <w:color w:val="000000"/>
              </w:rPr>
            </w:pPr>
            <w:r>
              <w:rPr>
                <w:color w:val="000000"/>
              </w:rPr>
              <w:t> </w:t>
            </w:r>
          </w:p>
        </w:tc>
        <w:tc>
          <w:tcPr>
            <w:tcW w:w="802" w:type="dxa"/>
            <w:tcBorders>
              <w:top w:val="nil"/>
              <w:left w:val="nil"/>
              <w:bottom w:val="nil"/>
              <w:right w:val="nil"/>
            </w:tcBorders>
            <w:shd w:val="clear" w:color="000000" w:fill="FFFFFF"/>
            <w:noWrap/>
            <w:vAlign w:val="bottom"/>
            <w:hideMark/>
          </w:tcPr>
          <w:p w14:paraId="3B3C99C9" w14:textId="77777777" w:rsidR="001A0CF9" w:rsidRDefault="001A0CF9">
            <w:pPr>
              <w:rPr>
                <w:color w:val="000000"/>
              </w:rPr>
            </w:pPr>
            <w:r>
              <w:rPr>
                <w:color w:val="000000"/>
              </w:rPr>
              <w:t> </w:t>
            </w:r>
          </w:p>
        </w:tc>
      </w:tr>
      <w:tr w:rsidR="001A0CF9" w14:paraId="7191CB85" w14:textId="77777777" w:rsidTr="000A6429">
        <w:trPr>
          <w:trHeight w:val="664"/>
        </w:trPr>
        <w:tc>
          <w:tcPr>
            <w:tcW w:w="7904" w:type="dxa"/>
            <w:gridSpan w:val="10"/>
            <w:tcBorders>
              <w:top w:val="single" w:sz="4" w:space="0" w:color="auto"/>
              <w:left w:val="nil"/>
              <w:bottom w:val="single" w:sz="4" w:space="0" w:color="auto"/>
              <w:right w:val="nil"/>
            </w:tcBorders>
            <w:shd w:val="clear" w:color="000000" w:fill="FFFFFF"/>
            <w:vAlign w:val="bottom"/>
            <w:hideMark/>
          </w:tcPr>
          <w:p w14:paraId="3F31B8F8" w14:textId="77777777" w:rsidR="001A0CF9" w:rsidRDefault="001A0CF9">
            <w:pPr>
              <w:jc w:val="center"/>
              <w:rPr>
                <w:color w:val="000000"/>
                <w:sz w:val="22"/>
                <w:szCs w:val="22"/>
              </w:rPr>
            </w:pPr>
            <w:r>
              <w:rPr>
                <w:color w:val="000000"/>
                <w:sz w:val="22"/>
                <w:szCs w:val="22"/>
              </w:rPr>
              <w:t>Spearman Correlation Coefficients of Academic Support Expenditures per FTE                           Fiscal Years 2006 through 2014</w:t>
            </w:r>
          </w:p>
        </w:tc>
      </w:tr>
      <w:tr w:rsidR="000A6429" w14:paraId="3CD88145" w14:textId="77777777" w:rsidTr="000A6429">
        <w:trPr>
          <w:trHeight w:val="173"/>
        </w:trPr>
        <w:tc>
          <w:tcPr>
            <w:tcW w:w="680" w:type="dxa"/>
            <w:tcBorders>
              <w:top w:val="nil"/>
              <w:left w:val="nil"/>
              <w:bottom w:val="nil"/>
              <w:right w:val="nil"/>
            </w:tcBorders>
            <w:shd w:val="clear" w:color="000000" w:fill="FFFFFF"/>
            <w:noWrap/>
            <w:vAlign w:val="bottom"/>
            <w:hideMark/>
          </w:tcPr>
          <w:p w14:paraId="0139ADD3" w14:textId="77777777" w:rsidR="001A0CF9" w:rsidRDefault="001A0CF9">
            <w:pPr>
              <w:rPr>
                <w:i/>
                <w:iCs/>
                <w:color w:val="000000"/>
              </w:rPr>
            </w:pPr>
            <w:r>
              <w:rPr>
                <w:i/>
                <w:iCs/>
                <w:color w:val="000000"/>
              </w:rPr>
              <w:t> </w:t>
            </w:r>
          </w:p>
        </w:tc>
        <w:tc>
          <w:tcPr>
            <w:tcW w:w="802" w:type="dxa"/>
            <w:tcBorders>
              <w:top w:val="nil"/>
              <w:left w:val="nil"/>
              <w:bottom w:val="nil"/>
              <w:right w:val="nil"/>
            </w:tcBorders>
            <w:shd w:val="clear" w:color="000000" w:fill="FFFFFF"/>
            <w:noWrap/>
            <w:vAlign w:val="bottom"/>
            <w:hideMark/>
          </w:tcPr>
          <w:p w14:paraId="1CCE188C" w14:textId="77777777" w:rsidR="001A0CF9" w:rsidRDefault="001A0CF9">
            <w:pPr>
              <w:rPr>
                <w:i/>
                <w:iCs/>
                <w:color w:val="000000"/>
              </w:rPr>
            </w:pPr>
            <w:r>
              <w:rPr>
                <w:i/>
                <w:iCs/>
                <w:color w:val="000000"/>
              </w:rPr>
              <w:t> </w:t>
            </w:r>
          </w:p>
        </w:tc>
        <w:tc>
          <w:tcPr>
            <w:tcW w:w="802" w:type="dxa"/>
            <w:tcBorders>
              <w:top w:val="nil"/>
              <w:left w:val="nil"/>
              <w:bottom w:val="nil"/>
              <w:right w:val="nil"/>
            </w:tcBorders>
            <w:shd w:val="clear" w:color="000000" w:fill="FFFFFF"/>
            <w:noWrap/>
            <w:vAlign w:val="bottom"/>
            <w:hideMark/>
          </w:tcPr>
          <w:p w14:paraId="299082BC" w14:textId="77777777" w:rsidR="001A0CF9" w:rsidRDefault="001A0CF9">
            <w:pPr>
              <w:rPr>
                <w:color w:val="000000"/>
              </w:rPr>
            </w:pPr>
            <w:r>
              <w:rPr>
                <w:color w:val="000000"/>
              </w:rPr>
              <w:t> </w:t>
            </w:r>
          </w:p>
        </w:tc>
        <w:tc>
          <w:tcPr>
            <w:tcW w:w="802" w:type="dxa"/>
            <w:tcBorders>
              <w:top w:val="nil"/>
              <w:left w:val="nil"/>
              <w:bottom w:val="nil"/>
              <w:right w:val="nil"/>
            </w:tcBorders>
            <w:shd w:val="clear" w:color="000000" w:fill="FFFFFF"/>
            <w:noWrap/>
            <w:vAlign w:val="bottom"/>
            <w:hideMark/>
          </w:tcPr>
          <w:p w14:paraId="27F43D67" w14:textId="77777777" w:rsidR="001A0CF9" w:rsidRDefault="001A0CF9">
            <w:pPr>
              <w:rPr>
                <w:color w:val="000000"/>
              </w:rPr>
            </w:pPr>
            <w:r>
              <w:rPr>
                <w:color w:val="000000"/>
              </w:rPr>
              <w:t> </w:t>
            </w:r>
          </w:p>
        </w:tc>
        <w:tc>
          <w:tcPr>
            <w:tcW w:w="802" w:type="dxa"/>
            <w:tcBorders>
              <w:top w:val="nil"/>
              <w:left w:val="nil"/>
              <w:bottom w:val="nil"/>
              <w:right w:val="nil"/>
            </w:tcBorders>
            <w:shd w:val="clear" w:color="000000" w:fill="FFFFFF"/>
            <w:noWrap/>
            <w:vAlign w:val="bottom"/>
            <w:hideMark/>
          </w:tcPr>
          <w:p w14:paraId="5FE4651B" w14:textId="77777777" w:rsidR="001A0CF9" w:rsidRDefault="001A0CF9">
            <w:pPr>
              <w:jc w:val="center"/>
              <w:rPr>
                <w:color w:val="000000"/>
              </w:rPr>
            </w:pPr>
            <w:r>
              <w:rPr>
                <w:color w:val="000000"/>
              </w:rPr>
              <w:t> </w:t>
            </w:r>
          </w:p>
        </w:tc>
        <w:tc>
          <w:tcPr>
            <w:tcW w:w="802" w:type="dxa"/>
            <w:tcBorders>
              <w:top w:val="nil"/>
              <w:left w:val="nil"/>
              <w:bottom w:val="nil"/>
              <w:right w:val="nil"/>
            </w:tcBorders>
            <w:shd w:val="clear" w:color="000000" w:fill="FFFFFF"/>
            <w:noWrap/>
            <w:vAlign w:val="bottom"/>
            <w:hideMark/>
          </w:tcPr>
          <w:p w14:paraId="5807A658" w14:textId="77777777" w:rsidR="001A0CF9" w:rsidRDefault="001A0CF9">
            <w:pPr>
              <w:jc w:val="center"/>
              <w:rPr>
                <w:color w:val="000000"/>
              </w:rPr>
            </w:pPr>
            <w:r>
              <w:rPr>
                <w:color w:val="000000"/>
              </w:rPr>
              <w:t> </w:t>
            </w:r>
          </w:p>
        </w:tc>
        <w:tc>
          <w:tcPr>
            <w:tcW w:w="802" w:type="dxa"/>
            <w:tcBorders>
              <w:top w:val="nil"/>
              <w:left w:val="nil"/>
              <w:bottom w:val="nil"/>
              <w:right w:val="nil"/>
            </w:tcBorders>
            <w:shd w:val="clear" w:color="000000" w:fill="FFFFFF"/>
            <w:noWrap/>
            <w:vAlign w:val="bottom"/>
            <w:hideMark/>
          </w:tcPr>
          <w:p w14:paraId="388564EC" w14:textId="77777777" w:rsidR="001A0CF9" w:rsidRDefault="001A0CF9">
            <w:pPr>
              <w:jc w:val="center"/>
              <w:rPr>
                <w:color w:val="000000"/>
              </w:rPr>
            </w:pPr>
            <w:r>
              <w:rPr>
                <w:color w:val="000000"/>
              </w:rPr>
              <w:t> </w:t>
            </w:r>
          </w:p>
        </w:tc>
        <w:tc>
          <w:tcPr>
            <w:tcW w:w="802" w:type="dxa"/>
            <w:tcBorders>
              <w:top w:val="nil"/>
              <w:left w:val="nil"/>
              <w:bottom w:val="nil"/>
              <w:right w:val="nil"/>
            </w:tcBorders>
            <w:shd w:val="clear" w:color="000000" w:fill="FFFFFF"/>
            <w:noWrap/>
            <w:vAlign w:val="bottom"/>
            <w:hideMark/>
          </w:tcPr>
          <w:p w14:paraId="707D7B3D" w14:textId="77777777" w:rsidR="001A0CF9" w:rsidRDefault="001A0CF9">
            <w:pPr>
              <w:jc w:val="center"/>
              <w:rPr>
                <w:color w:val="000000"/>
              </w:rPr>
            </w:pPr>
            <w:r>
              <w:rPr>
                <w:color w:val="000000"/>
              </w:rPr>
              <w:t> </w:t>
            </w:r>
          </w:p>
        </w:tc>
        <w:tc>
          <w:tcPr>
            <w:tcW w:w="802" w:type="dxa"/>
            <w:tcBorders>
              <w:top w:val="nil"/>
              <w:left w:val="nil"/>
              <w:bottom w:val="nil"/>
              <w:right w:val="nil"/>
            </w:tcBorders>
            <w:shd w:val="clear" w:color="000000" w:fill="FFFFFF"/>
            <w:noWrap/>
            <w:vAlign w:val="bottom"/>
            <w:hideMark/>
          </w:tcPr>
          <w:p w14:paraId="18EDB445" w14:textId="77777777" w:rsidR="001A0CF9" w:rsidRDefault="001A0CF9">
            <w:pPr>
              <w:jc w:val="center"/>
              <w:rPr>
                <w:color w:val="000000"/>
              </w:rPr>
            </w:pPr>
            <w:r>
              <w:rPr>
                <w:color w:val="000000"/>
              </w:rPr>
              <w:t> </w:t>
            </w:r>
          </w:p>
        </w:tc>
        <w:tc>
          <w:tcPr>
            <w:tcW w:w="802" w:type="dxa"/>
            <w:tcBorders>
              <w:top w:val="nil"/>
              <w:left w:val="nil"/>
              <w:bottom w:val="nil"/>
              <w:right w:val="nil"/>
            </w:tcBorders>
            <w:shd w:val="clear" w:color="000000" w:fill="FFFFFF"/>
            <w:noWrap/>
            <w:vAlign w:val="bottom"/>
            <w:hideMark/>
          </w:tcPr>
          <w:p w14:paraId="72297E20" w14:textId="77777777" w:rsidR="001A0CF9" w:rsidRDefault="001A0CF9">
            <w:pPr>
              <w:jc w:val="center"/>
              <w:rPr>
                <w:color w:val="000000"/>
              </w:rPr>
            </w:pPr>
            <w:r>
              <w:rPr>
                <w:color w:val="000000"/>
              </w:rPr>
              <w:t> </w:t>
            </w:r>
          </w:p>
        </w:tc>
      </w:tr>
      <w:tr w:rsidR="000A6429" w14:paraId="5505A1E3" w14:textId="77777777" w:rsidTr="000A6429">
        <w:trPr>
          <w:trHeight w:val="288"/>
        </w:trPr>
        <w:tc>
          <w:tcPr>
            <w:tcW w:w="680" w:type="dxa"/>
            <w:tcBorders>
              <w:top w:val="nil"/>
              <w:left w:val="nil"/>
              <w:bottom w:val="nil"/>
              <w:right w:val="nil"/>
            </w:tcBorders>
            <w:shd w:val="clear" w:color="000000" w:fill="FFFFFF"/>
            <w:noWrap/>
            <w:vAlign w:val="bottom"/>
            <w:hideMark/>
          </w:tcPr>
          <w:p w14:paraId="58E4006B" w14:textId="77777777" w:rsidR="001A0CF9" w:rsidRDefault="001A0CF9">
            <w:pPr>
              <w:rPr>
                <w:i/>
                <w:iCs/>
                <w:color w:val="000000"/>
              </w:rPr>
            </w:pPr>
            <w:r>
              <w:rPr>
                <w:i/>
                <w:iCs/>
                <w:color w:val="000000"/>
              </w:rPr>
              <w:t> </w:t>
            </w:r>
          </w:p>
        </w:tc>
        <w:tc>
          <w:tcPr>
            <w:tcW w:w="802" w:type="dxa"/>
            <w:tcBorders>
              <w:top w:val="nil"/>
              <w:left w:val="nil"/>
              <w:bottom w:val="nil"/>
              <w:right w:val="nil"/>
            </w:tcBorders>
            <w:shd w:val="clear" w:color="000000" w:fill="FFFFFF"/>
            <w:noWrap/>
            <w:vAlign w:val="bottom"/>
            <w:hideMark/>
          </w:tcPr>
          <w:p w14:paraId="3DF0E63B" w14:textId="77777777" w:rsidR="001A0CF9" w:rsidRDefault="001A0CF9">
            <w:pPr>
              <w:jc w:val="center"/>
              <w:rPr>
                <w:color w:val="000000"/>
                <w:u w:val="single"/>
              </w:rPr>
            </w:pPr>
            <w:r>
              <w:rPr>
                <w:color w:val="000000"/>
                <w:u w:val="single"/>
              </w:rPr>
              <w:t>2014</w:t>
            </w:r>
          </w:p>
        </w:tc>
        <w:tc>
          <w:tcPr>
            <w:tcW w:w="802" w:type="dxa"/>
            <w:tcBorders>
              <w:top w:val="nil"/>
              <w:left w:val="nil"/>
              <w:bottom w:val="nil"/>
              <w:right w:val="nil"/>
            </w:tcBorders>
            <w:shd w:val="clear" w:color="000000" w:fill="FFFFFF"/>
            <w:noWrap/>
            <w:vAlign w:val="bottom"/>
            <w:hideMark/>
          </w:tcPr>
          <w:p w14:paraId="5DBD4BB6" w14:textId="77777777" w:rsidR="001A0CF9" w:rsidRDefault="001A0CF9">
            <w:pPr>
              <w:jc w:val="center"/>
              <w:rPr>
                <w:color w:val="000000"/>
                <w:u w:val="single"/>
              </w:rPr>
            </w:pPr>
            <w:r>
              <w:rPr>
                <w:color w:val="000000"/>
                <w:u w:val="single"/>
              </w:rPr>
              <w:t>2013</w:t>
            </w:r>
          </w:p>
        </w:tc>
        <w:tc>
          <w:tcPr>
            <w:tcW w:w="802" w:type="dxa"/>
            <w:tcBorders>
              <w:top w:val="nil"/>
              <w:left w:val="nil"/>
              <w:bottom w:val="nil"/>
              <w:right w:val="nil"/>
            </w:tcBorders>
            <w:shd w:val="clear" w:color="000000" w:fill="FFFFFF"/>
            <w:noWrap/>
            <w:vAlign w:val="bottom"/>
            <w:hideMark/>
          </w:tcPr>
          <w:p w14:paraId="420E5CA2" w14:textId="77777777" w:rsidR="001A0CF9" w:rsidRDefault="001A0CF9">
            <w:pPr>
              <w:jc w:val="center"/>
              <w:rPr>
                <w:color w:val="000000"/>
                <w:u w:val="single"/>
              </w:rPr>
            </w:pPr>
            <w:r>
              <w:rPr>
                <w:color w:val="000000"/>
                <w:u w:val="single"/>
              </w:rPr>
              <w:t>2012</w:t>
            </w:r>
          </w:p>
        </w:tc>
        <w:tc>
          <w:tcPr>
            <w:tcW w:w="802" w:type="dxa"/>
            <w:tcBorders>
              <w:top w:val="nil"/>
              <w:left w:val="nil"/>
              <w:bottom w:val="nil"/>
              <w:right w:val="nil"/>
            </w:tcBorders>
            <w:shd w:val="clear" w:color="000000" w:fill="FFFFFF"/>
            <w:vAlign w:val="bottom"/>
            <w:hideMark/>
          </w:tcPr>
          <w:p w14:paraId="3C0492AF" w14:textId="77777777" w:rsidR="001A0CF9" w:rsidRDefault="001A0CF9">
            <w:pPr>
              <w:jc w:val="center"/>
              <w:rPr>
                <w:color w:val="000000"/>
                <w:u w:val="single"/>
              </w:rPr>
            </w:pPr>
            <w:r>
              <w:rPr>
                <w:color w:val="000000"/>
                <w:u w:val="single"/>
              </w:rPr>
              <w:t>2011</w:t>
            </w:r>
          </w:p>
        </w:tc>
        <w:tc>
          <w:tcPr>
            <w:tcW w:w="802" w:type="dxa"/>
            <w:tcBorders>
              <w:top w:val="nil"/>
              <w:left w:val="nil"/>
              <w:bottom w:val="nil"/>
              <w:right w:val="nil"/>
            </w:tcBorders>
            <w:shd w:val="clear" w:color="000000" w:fill="FFFFFF"/>
            <w:vAlign w:val="bottom"/>
            <w:hideMark/>
          </w:tcPr>
          <w:p w14:paraId="167C29A1" w14:textId="77777777" w:rsidR="001A0CF9" w:rsidRDefault="001A0CF9">
            <w:pPr>
              <w:jc w:val="center"/>
              <w:rPr>
                <w:color w:val="000000"/>
                <w:u w:val="single"/>
              </w:rPr>
            </w:pPr>
            <w:r>
              <w:rPr>
                <w:color w:val="000000"/>
                <w:u w:val="single"/>
              </w:rPr>
              <w:t>2010</w:t>
            </w:r>
          </w:p>
        </w:tc>
        <w:tc>
          <w:tcPr>
            <w:tcW w:w="802" w:type="dxa"/>
            <w:tcBorders>
              <w:top w:val="nil"/>
              <w:left w:val="nil"/>
              <w:bottom w:val="nil"/>
              <w:right w:val="nil"/>
            </w:tcBorders>
            <w:shd w:val="clear" w:color="000000" w:fill="FFFFFF"/>
            <w:vAlign w:val="bottom"/>
            <w:hideMark/>
          </w:tcPr>
          <w:p w14:paraId="3455C81A" w14:textId="77777777" w:rsidR="001A0CF9" w:rsidRDefault="001A0CF9">
            <w:pPr>
              <w:jc w:val="center"/>
              <w:rPr>
                <w:color w:val="000000"/>
                <w:u w:val="single"/>
              </w:rPr>
            </w:pPr>
            <w:r>
              <w:rPr>
                <w:color w:val="000000"/>
                <w:u w:val="single"/>
              </w:rPr>
              <w:t>2009</w:t>
            </w:r>
          </w:p>
        </w:tc>
        <w:tc>
          <w:tcPr>
            <w:tcW w:w="802" w:type="dxa"/>
            <w:tcBorders>
              <w:top w:val="nil"/>
              <w:left w:val="nil"/>
              <w:bottom w:val="nil"/>
              <w:right w:val="nil"/>
            </w:tcBorders>
            <w:shd w:val="clear" w:color="000000" w:fill="FFFFFF"/>
            <w:vAlign w:val="bottom"/>
            <w:hideMark/>
          </w:tcPr>
          <w:p w14:paraId="59EA5347" w14:textId="77777777" w:rsidR="001A0CF9" w:rsidRDefault="001A0CF9">
            <w:pPr>
              <w:jc w:val="center"/>
              <w:rPr>
                <w:color w:val="000000"/>
                <w:u w:val="single"/>
              </w:rPr>
            </w:pPr>
            <w:r>
              <w:rPr>
                <w:color w:val="000000"/>
                <w:u w:val="single"/>
              </w:rPr>
              <w:t>2008</w:t>
            </w:r>
          </w:p>
        </w:tc>
        <w:tc>
          <w:tcPr>
            <w:tcW w:w="802" w:type="dxa"/>
            <w:tcBorders>
              <w:top w:val="nil"/>
              <w:left w:val="nil"/>
              <w:bottom w:val="nil"/>
              <w:right w:val="nil"/>
            </w:tcBorders>
            <w:shd w:val="clear" w:color="000000" w:fill="FFFFFF"/>
            <w:vAlign w:val="bottom"/>
            <w:hideMark/>
          </w:tcPr>
          <w:p w14:paraId="0D89AFBA" w14:textId="77777777" w:rsidR="001A0CF9" w:rsidRDefault="001A0CF9">
            <w:pPr>
              <w:jc w:val="center"/>
              <w:rPr>
                <w:color w:val="000000"/>
                <w:u w:val="single"/>
              </w:rPr>
            </w:pPr>
            <w:r>
              <w:rPr>
                <w:color w:val="000000"/>
                <w:u w:val="single"/>
              </w:rPr>
              <w:t>2007</w:t>
            </w:r>
          </w:p>
        </w:tc>
        <w:tc>
          <w:tcPr>
            <w:tcW w:w="802" w:type="dxa"/>
            <w:tcBorders>
              <w:top w:val="nil"/>
              <w:left w:val="nil"/>
              <w:bottom w:val="nil"/>
              <w:right w:val="nil"/>
            </w:tcBorders>
            <w:shd w:val="clear" w:color="000000" w:fill="FFFFFF"/>
            <w:vAlign w:val="bottom"/>
            <w:hideMark/>
          </w:tcPr>
          <w:p w14:paraId="76271961" w14:textId="77777777" w:rsidR="001A0CF9" w:rsidRDefault="001A0CF9">
            <w:pPr>
              <w:jc w:val="center"/>
              <w:rPr>
                <w:color w:val="000000"/>
                <w:u w:val="single"/>
              </w:rPr>
            </w:pPr>
            <w:r>
              <w:rPr>
                <w:color w:val="000000"/>
                <w:u w:val="single"/>
              </w:rPr>
              <w:t>2006</w:t>
            </w:r>
          </w:p>
        </w:tc>
      </w:tr>
      <w:tr w:rsidR="000A6429" w14:paraId="2CCB2F35" w14:textId="77777777" w:rsidTr="000A6429">
        <w:trPr>
          <w:trHeight w:val="288"/>
        </w:trPr>
        <w:tc>
          <w:tcPr>
            <w:tcW w:w="680" w:type="dxa"/>
            <w:tcBorders>
              <w:top w:val="nil"/>
              <w:left w:val="nil"/>
              <w:bottom w:val="nil"/>
              <w:right w:val="nil"/>
            </w:tcBorders>
            <w:shd w:val="clear" w:color="000000" w:fill="FFFFFF"/>
            <w:noWrap/>
            <w:vAlign w:val="bottom"/>
            <w:hideMark/>
          </w:tcPr>
          <w:p w14:paraId="542060D9" w14:textId="77777777" w:rsidR="001A0CF9" w:rsidRDefault="001A0CF9">
            <w:pPr>
              <w:jc w:val="center"/>
              <w:rPr>
                <w:color w:val="000000"/>
                <w:u w:val="single"/>
              </w:rPr>
            </w:pPr>
            <w:r>
              <w:rPr>
                <w:color w:val="000000"/>
                <w:u w:val="single"/>
              </w:rPr>
              <w:t>2014</w:t>
            </w:r>
          </w:p>
        </w:tc>
        <w:tc>
          <w:tcPr>
            <w:tcW w:w="802" w:type="dxa"/>
            <w:tcBorders>
              <w:top w:val="nil"/>
              <w:left w:val="nil"/>
              <w:bottom w:val="nil"/>
              <w:right w:val="nil"/>
            </w:tcBorders>
            <w:shd w:val="clear" w:color="000000" w:fill="FFFFFF"/>
            <w:noWrap/>
            <w:vAlign w:val="bottom"/>
            <w:hideMark/>
          </w:tcPr>
          <w:p w14:paraId="7930476F" w14:textId="77777777" w:rsidR="001A0CF9" w:rsidRDefault="001A0CF9">
            <w:pPr>
              <w:jc w:val="center"/>
              <w:rPr>
                <w:color w:val="000000"/>
                <w:sz w:val="22"/>
                <w:szCs w:val="22"/>
              </w:rPr>
            </w:pPr>
            <w:r>
              <w:rPr>
                <w:color w:val="000000"/>
                <w:sz w:val="22"/>
                <w:szCs w:val="22"/>
              </w:rPr>
              <w:t>1.000</w:t>
            </w:r>
          </w:p>
        </w:tc>
        <w:tc>
          <w:tcPr>
            <w:tcW w:w="802" w:type="dxa"/>
            <w:tcBorders>
              <w:top w:val="nil"/>
              <w:left w:val="nil"/>
              <w:bottom w:val="nil"/>
              <w:right w:val="nil"/>
            </w:tcBorders>
            <w:shd w:val="clear" w:color="000000" w:fill="FFFFFF"/>
            <w:noWrap/>
            <w:vAlign w:val="bottom"/>
            <w:hideMark/>
          </w:tcPr>
          <w:p w14:paraId="4C316F06" w14:textId="77777777" w:rsidR="001A0CF9" w:rsidRDefault="001A0CF9">
            <w:pPr>
              <w:jc w:val="center"/>
              <w:rPr>
                <w:color w:val="000000"/>
                <w:sz w:val="22"/>
                <w:szCs w:val="22"/>
              </w:rPr>
            </w:pPr>
            <w:r>
              <w:rPr>
                <w:color w:val="000000"/>
                <w:sz w:val="22"/>
                <w:szCs w:val="22"/>
              </w:rPr>
              <w:t>.977**</w:t>
            </w:r>
          </w:p>
        </w:tc>
        <w:tc>
          <w:tcPr>
            <w:tcW w:w="802" w:type="dxa"/>
            <w:tcBorders>
              <w:top w:val="nil"/>
              <w:left w:val="nil"/>
              <w:bottom w:val="nil"/>
              <w:right w:val="nil"/>
            </w:tcBorders>
            <w:shd w:val="clear" w:color="000000" w:fill="FFFFFF"/>
            <w:noWrap/>
            <w:vAlign w:val="bottom"/>
            <w:hideMark/>
          </w:tcPr>
          <w:p w14:paraId="1F7D2335" w14:textId="77777777" w:rsidR="001A0CF9" w:rsidRDefault="001A0CF9">
            <w:pPr>
              <w:jc w:val="center"/>
              <w:rPr>
                <w:color w:val="000000"/>
                <w:sz w:val="22"/>
                <w:szCs w:val="22"/>
              </w:rPr>
            </w:pPr>
            <w:r>
              <w:rPr>
                <w:color w:val="000000"/>
                <w:sz w:val="22"/>
                <w:szCs w:val="22"/>
              </w:rPr>
              <w:t>.962**</w:t>
            </w:r>
          </w:p>
        </w:tc>
        <w:tc>
          <w:tcPr>
            <w:tcW w:w="802" w:type="dxa"/>
            <w:tcBorders>
              <w:top w:val="nil"/>
              <w:left w:val="nil"/>
              <w:bottom w:val="nil"/>
              <w:right w:val="nil"/>
            </w:tcBorders>
            <w:shd w:val="clear" w:color="000000" w:fill="FFFFFF"/>
            <w:noWrap/>
            <w:vAlign w:val="bottom"/>
            <w:hideMark/>
          </w:tcPr>
          <w:p w14:paraId="1EBC5C8E" w14:textId="77777777" w:rsidR="001A0CF9" w:rsidRDefault="001A0CF9">
            <w:pPr>
              <w:jc w:val="center"/>
              <w:rPr>
                <w:color w:val="000000"/>
                <w:sz w:val="22"/>
                <w:szCs w:val="22"/>
              </w:rPr>
            </w:pPr>
            <w:r>
              <w:rPr>
                <w:color w:val="000000"/>
                <w:sz w:val="22"/>
                <w:szCs w:val="22"/>
              </w:rPr>
              <w:t>.950**</w:t>
            </w:r>
          </w:p>
        </w:tc>
        <w:tc>
          <w:tcPr>
            <w:tcW w:w="802" w:type="dxa"/>
            <w:tcBorders>
              <w:top w:val="nil"/>
              <w:left w:val="nil"/>
              <w:bottom w:val="nil"/>
              <w:right w:val="nil"/>
            </w:tcBorders>
            <w:shd w:val="clear" w:color="000000" w:fill="FFFFFF"/>
            <w:noWrap/>
            <w:vAlign w:val="bottom"/>
            <w:hideMark/>
          </w:tcPr>
          <w:p w14:paraId="3B37852F" w14:textId="77777777" w:rsidR="001A0CF9" w:rsidRDefault="001A0CF9">
            <w:pPr>
              <w:jc w:val="center"/>
              <w:rPr>
                <w:color w:val="000000"/>
                <w:sz w:val="22"/>
                <w:szCs w:val="22"/>
              </w:rPr>
            </w:pPr>
            <w:r>
              <w:rPr>
                <w:color w:val="000000"/>
                <w:sz w:val="22"/>
                <w:szCs w:val="22"/>
              </w:rPr>
              <w:t>.830**</w:t>
            </w:r>
          </w:p>
        </w:tc>
        <w:tc>
          <w:tcPr>
            <w:tcW w:w="802" w:type="dxa"/>
            <w:tcBorders>
              <w:top w:val="nil"/>
              <w:left w:val="nil"/>
              <w:bottom w:val="nil"/>
              <w:right w:val="nil"/>
            </w:tcBorders>
            <w:shd w:val="clear" w:color="000000" w:fill="FFFFFF"/>
            <w:noWrap/>
            <w:vAlign w:val="bottom"/>
            <w:hideMark/>
          </w:tcPr>
          <w:p w14:paraId="5BFD2E7E" w14:textId="77777777" w:rsidR="001A0CF9" w:rsidRDefault="001A0CF9">
            <w:pPr>
              <w:jc w:val="center"/>
              <w:rPr>
                <w:color w:val="000000"/>
                <w:sz w:val="22"/>
                <w:szCs w:val="22"/>
              </w:rPr>
            </w:pPr>
            <w:r>
              <w:rPr>
                <w:color w:val="000000"/>
                <w:sz w:val="22"/>
                <w:szCs w:val="22"/>
              </w:rPr>
              <w:t>.689**</w:t>
            </w:r>
          </w:p>
        </w:tc>
        <w:tc>
          <w:tcPr>
            <w:tcW w:w="802" w:type="dxa"/>
            <w:tcBorders>
              <w:top w:val="nil"/>
              <w:left w:val="nil"/>
              <w:bottom w:val="nil"/>
              <w:right w:val="nil"/>
            </w:tcBorders>
            <w:shd w:val="clear" w:color="000000" w:fill="FFFFFF"/>
            <w:noWrap/>
            <w:vAlign w:val="bottom"/>
            <w:hideMark/>
          </w:tcPr>
          <w:p w14:paraId="1AED907C" w14:textId="77777777" w:rsidR="001A0CF9" w:rsidRDefault="001A0CF9">
            <w:pPr>
              <w:jc w:val="center"/>
              <w:rPr>
                <w:color w:val="000000"/>
                <w:sz w:val="22"/>
                <w:szCs w:val="22"/>
              </w:rPr>
            </w:pPr>
            <w:r>
              <w:rPr>
                <w:color w:val="000000"/>
                <w:sz w:val="22"/>
                <w:szCs w:val="22"/>
              </w:rPr>
              <w:t>.736**</w:t>
            </w:r>
          </w:p>
        </w:tc>
        <w:tc>
          <w:tcPr>
            <w:tcW w:w="802" w:type="dxa"/>
            <w:tcBorders>
              <w:top w:val="nil"/>
              <w:left w:val="nil"/>
              <w:bottom w:val="nil"/>
              <w:right w:val="nil"/>
            </w:tcBorders>
            <w:shd w:val="clear" w:color="000000" w:fill="FFFFFF"/>
            <w:noWrap/>
            <w:vAlign w:val="bottom"/>
            <w:hideMark/>
          </w:tcPr>
          <w:p w14:paraId="26CCB06D" w14:textId="77777777" w:rsidR="001A0CF9" w:rsidRDefault="001A0CF9">
            <w:pPr>
              <w:jc w:val="center"/>
              <w:rPr>
                <w:color w:val="000000"/>
                <w:sz w:val="22"/>
                <w:szCs w:val="22"/>
              </w:rPr>
            </w:pPr>
            <w:r>
              <w:rPr>
                <w:color w:val="000000"/>
                <w:sz w:val="22"/>
                <w:szCs w:val="22"/>
              </w:rPr>
              <w:t>.827**</w:t>
            </w:r>
          </w:p>
        </w:tc>
        <w:tc>
          <w:tcPr>
            <w:tcW w:w="802" w:type="dxa"/>
            <w:tcBorders>
              <w:top w:val="nil"/>
              <w:left w:val="nil"/>
              <w:bottom w:val="nil"/>
              <w:right w:val="nil"/>
            </w:tcBorders>
            <w:shd w:val="clear" w:color="000000" w:fill="FFFFFF"/>
            <w:noWrap/>
            <w:vAlign w:val="bottom"/>
            <w:hideMark/>
          </w:tcPr>
          <w:p w14:paraId="15991519" w14:textId="77777777" w:rsidR="001A0CF9" w:rsidRDefault="001A0CF9">
            <w:pPr>
              <w:jc w:val="center"/>
              <w:rPr>
                <w:color w:val="000000"/>
                <w:sz w:val="22"/>
                <w:szCs w:val="22"/>
              </w:rPr>
            </w:pPr>
            <w:r>
              <w:rPr>
                <w:color w:val="000000"/>
                <w:sz w:val="22"/>
                <w:szCs w:val="22"/>
              </w:rPr>
              <w:t>.798**</w:t>
            </w:r>
          </w:p>
        </w:tc>
      </w:tr>
      <w:tr w:rsidR="000A6429" w14:paraId="561D78D4" w14:textId="77777777" w:rsidTr="000A6429">
        <w:trPr>
          <w:trHeight w:val="288"/>
        </w:trPr>
        <w:tc>
          <w:tcPr>
            <w:tcW w:w="680" w:type="dxa"/>
            <w:tcBorders>
              <w:top w:val="nil"/>
              <w:left w:val="nil"/>
              <w:bottom w:val="nil"/>
              <w:right w:val="nil"/>
            </w:tcBorders>
            <w:shd w:val="clear" w:color="000000" w:fill="FFFFFF"/>
            <w:noWrap/>
            <w:vAlign w:val="bottom"/>
            <w:hideMark/>
          </w:tcPr>
          <w:p w14:paraId="09DED6E7" w14:textId="77777777" w:rsidR="001A0CF9" w:rsidRDefault="001A0CF9">
            <w:pPr>
              <w:jc w:val="center"/>
              <w:rPr>
                <w:color w:val="000000"/>
                <w:u w:val="single"/>
              </w:rPr>
            </w:pPr>
            <w:r>
              <w:rPr>
                <w:color w:val="000000"/>
                <w:u w:val="single"/>
              </w:rPr>
              <w:t>2013</w:t>
            </w:r>
          </w:p>
        </w:tc>
        <w:tc>
          <w:tcPr>
            <w:tcW w:w="802" w:type="dxa"/>
            <w:tcBorders>
              <w:top w:val="nil"/>
              <w:left w:val="nil"/>
              <w:bottom w:val="nil"/>
              <w:right w:val="nil"/>
            </w:tcBorders>
            <w:shd w:val="clear" w:color="000000" w:fill="FFFFFF"/>
            <w:noWrap/>
            <w:vAlign w:val="bottom"/>
            <w:hideMark/>
          </w:tcPr>
          <w:p w14:paraId="44E71CCE" w14:textId="77777777" w:rsidR="001A0CF9" w:rsidRDefault="001A0CF9">
            <w:pPr>
              <w:jc w:val="center"/>
              <w:rPr>
                <w:color w:val="000000"/>
                <w:sz w:val="22"/>
                <w:szCs w:val="22"/>
              </w:rPr>
            </w:pPr>
            <w:r>
              <w:rPr>
                <w:color w:val="000000"/>
                <w:sz w:val="22"/>
                <w:szCs w:val="22"/>
              </w:rPr>
              <w:t>.977**</w:t>
            </w:r>
          </w:p>
        </w:tc>
        <w:tc>
          <w:tcPr>
            <w:tcW w:w="802" w:type="dxa"/>
            <w:tcBorders>
              <w:top w:val="nil"/>
              <w:left w:val="nil"/>
              <w:bottom w:val="nil"/>
              <w:right w:val="nil"/>
            </w:tcBorders>
            <w:shd w:val="clear" w:color="000000" w:fill="FFFFFF"/>
            <w:noWrap/>
            <w:vAlign w:val="bottom"/>
            <w:hideMark/>
          </w:tcPr>
          <w:p w14:paraId="7148F036" w14:textId="77777777" w:rsidR="001A0CF9" w:rsidRDefault="001A0CF9">
            <w:pPr>
              <w:jc w:val="center"/>
              <w:rPr>
                <w:color w:val="000000"/>
                <w:sz w:val="22"/>
                <w:szCs w:val="22"/>
              </w:rPr>
            </w:pPr>
            <w:r>
              <w:rPr>
                <w:color w:val="000000"/>
                <w:sz w:val="22"/>
                <w:szCs w:val="22"/>
              </w:rPr>
              <w:t>1.000</w:t>
            </w:r>
          </w:p>
        </w:tc>
        <w:tc>
          <w:tcPr>
            <w:tcW w:w="802" w:type="dxa"/>
            <w:tcBorders>
              <w:top w:val="nil"/>
              <w:left w:val="nil"/>
              <w:bottom w:val="nil"/>
              <w:right w:val="nil"/>
            </w:tcBorders>
            <w:shd w:val="clear" w:color="000000" w:fill="FFFFFF"/>
            <w:noWrap/>
            <w:vAlign w:val="bottom"/>
            <w:hideMark/>
          </w:tcPr>
          <w:p w14:paraId="16343E9B" w14:textId="77777777" w:rsidR="001A0CF9" w:rsidRDefault="001A0CF9">
            <w:pPr>
              <w:jc w:val="center"/>
              <w:rPr>
                <w:color w:val="000000"/>
                <w:sz w:val="22"/>
                <w:szCs w:val="22"/>
              </w:rPr>
            </w:pPr>
            <w:r>
              <w:rPr>
                <w:color w:val="000000"/>
                <w:sz w:val="22"/>
                <w:szCs w:val="22"/>
              </w:rPr>
              <w:t>.979**</w:t>
            </w:r>
          </w:p>
        </w:tc>
        <w:tc>
          <w:tcPr>
            <w:tcW w:w="802" w:type="dxa"/>
            <w:tcBorders>
              <w:top w:val="nil"/>
              <w:left w:val="nil"/>
              <w:bottom w:val="nil"/>
              <w:right w:val="nil"/>
            </w:tcBorders>
            <w:shd w:val="clear" w:color="000000" w:fill="FFFFFF"/>
            <w:noWrap/>
            <w:vAlign w:val="bottom"/>
            <w:hideMark/>
          </w:tcPr>
          <w:p w14:paraId="6D5284DE" w14:textId="77777777" w:rsidR="001A0CF9" w:rsidRDefault="001A0CF9">
            <w:pPr>
              <w:jc w:val="center"/>
              <w:rPr>
                <w:color w:val="000000"/>
                <w:sz w:val="22"/>
                <w:szCs w:val="22"/>
              </w:rPr>
            </w:pPr>
            <w:r>
              <w:rPr>
                <w:color w:val="000000"/>
                <w:sz w:val="22"/>
                <w:szCs w:val="22"/>
              </w:rPr>
              <w:t>.965**</w:t>
            </w:r>
          </w:p>
        </w:tc>
        <w:tc>
          <w:tcPr>
            <w:tcW w:w="802" w:type="dxa"/>
            <w:tcBorders>
              <w:top w:val="nil"/>
              <w:left w:val="nil"/>
              <w:bottom w:val="nil"/>
              <w:right w:val="nil"/>
            </w:tcBorders>
            <w:shd w:val="clear" w:color="000000" w:fill="FFFFFF"/>
            <w:noWrap/>
            <w:vAlign w:val="bottom"/>
            <w:hideMark/>
          </w:tcPr>
          <w:p w14:paraId="11C01A35" w14:textId="77777777" w:rsidR="001A0CF9" w:rsidRDefault="001A0CF9">
            <w:pPr>
              <w:jc w:val="center"/>
              <w:rPr>
                <w:color w:val="000000"/>
                <w:sz w:val="22"/>
                <w:szCs w:val="22"/>
              </w:rPr>
            </w:pPr>
            <w:r>
              <w:rPr>
                <w:color w:val="000000"/>
                <w:sz w:val="22"/>
                <w:szCs w:val="22"/>
              </w:rPr>
              <w:t>.845**</w:t>
            </w:r>
          </w:p>
        </w:tc>
        <w:tc>
          <w:tcPr>
            <w:tcW w:w="802" w:type="dxa"/>
            <w:tcBorders>
              <w:top w:val="nil"/>
              <w:left w:val="nil"/>
              <w:bottom w:val="nil"/>
              <w:right w:val="nil"/>
            </w:tcBorders>
            <w:shd w:val="clear" w:color="000000" w:fill="FFFFFF"/>
            <w:noWrap/>
            <w:vAlign w:val="bottom"/>
            <w:hideMark/>
          </w:tcPr>
          <w:p w14:paraId="11BA29EA" w14:textId="77777777" w:rsidR="001A0CF9" w:rsidRDefault="001A0CF9">
            <w:pPr>
              <w:jc w:val="center"/>
              <w:rPr>
                <w:color w:val="000000"/>
                <w:sz w:val="22"/>
                <w:szCs w:val="22"/>
              </w:rPr>
            </w:pPr>
            <w:r>
              <w:rPr>
                <w:color w:val="000000"/>
                <w:sz w:val="22"/>
                <w:szCs w:val="22"/>
              </w:rPr>
              <w:t>.694**</w:t>
            </w:r>
          </w:p>
        </w:tc>
        <w:tc>
          <w:tcPr>
            <w:tcW w:w="802" w:type="dxa"/>
            <w:tcBorders>
              <w:top w:val="nil"/>
              <w:left w:val="nil"/>
              <w:bottom w:val="nil"/>
              <w:right w:val="nil"/>
            </w:tcBorders>
            <w:shd w:val="clear" w:color="000000" w:fill="FFFFFF"/>
            <w:noWrap/>
            <w:vAlign w:val="bottom"/>
            <w:hideMark/>
          </w:tcPr>
          <w:p w14:paraId="2DE6B480" w14:textId="77777777" w:rsidR="001A0CF9" w:rsidRDefault="001A0CF9">
            <w:pPr>
              <w:jc w:val="center"/>
              <w:rPr>
                <w:color w:val="000000"/>
                <w:sz w:val="22"/>
                <w:szCs w:val="22"/>
              </w:rPr>
            </w:pPr>
            <w:r>
              <w:rPr>
                <w:color w:val="000000"/>
                <w:sz w:val="22"/>
                <w:szCs w:val="22"/>
              </w:rPr>
              <w:t>.748**</w:t>
            </w:r>
          </w:p>
        </w:tc>
        <w:tc>
          <w:tcPr>
            <w:tcW w:w="802" w:type="dxa"/>
            <w:tcBorders>
              <w:top w:val="nil"/>
              <w:left w:val="nil"/>
              <w:bottom w:val="nil"/>
              <w:right w:val="nil"/>
            </w:tcBorders>
            <w:shd w:val="clear" w:color="000000" w:fill="FFFFFF"/>
            <w:noWrap/>
            <w:vAlign w:val="bottom"/>
            <w:hideMark/>
          </w:tcPr>
          <w:p w14:paraId="06A758B6" w14:textId="77777777" w:rsidR="001A0CF9" w:rsidRDefault="001A0CF9">
            <w:pPr>
              <w:jc w:val="center"/>
              <w:rPr>
                <w:color w:val="000000"/>
                <w:sz w:val="22"/>
                <w:szCs w:val="22"/>
              </w:rPr>
            </w:pPr>
            <w:r>
              <w:rPr>
                <w:color w:val="000000"/>
                <w:sz w:val="22"/>
                <w:szCs w:val="22"/>
              </w:rPr>
              <w:t>.840**</w:t>
            </w:r>
          </w:p>
        </w:tc>
        <w:tc>
          <w:tcPr>
            <w:tcW w:w="802" w:type="dxa"/>
            <w:tcBorders>
              <w:top w:val="nil"/>
              <w:left w:val="nil"/>
              <w:bottom w:val="nil"/>
              <w:right w:val="nil"/>
            </w:tcBorders>
            <w:shd w:val="clear" w:color="000000" w:fill="FFFFFF"/>
            <w:noWrap/>
            <w:vAlign w:val="bottom"/>
            <w:hideMark/>
          </w:tcPr>
          <w:p w14:paraId="5D02F929" w14:textId="77777777" w:rsidR="001A0CF9" w:rsidRDefault="001A0CF9">
            <w:pPr>
              <w:jc w:val="center"/>
              <w:rPr>
                <w:color w:val="000000"/>
                <w:sz w:val="22"/>
                <w:szCs w:val="22"/>
              </w:rPr>
            </w:pPr>
            <w:r>
              <w:rPr>
                <w:color w:val="000000"/>
                <w:sz w:val="22"/>
                <w:szCs w:val="22"/>
              </w:rPr>
              <w:t>.810**</w:t>
            </w:r>
          </w:p>
        </w:tc>
      </w:tr>
      <w:tr w:rsidR="000A6429" w14:paraId="17ECADF9" w14:textId="77777777" w:rsidTr="000A6429">
        <w:trPr>
          <w:trHeight w:val="288"/>
        </w:trPr>
        <w:tc>
          <w:tcPr>
            <w:tcW w:w="680" w:type="dxa"/>
            <w:tcBorders>
              <w:top w:val="nil"/>
              <w:left w:val="nil"/>
              <w:bottom w:val="nil"/>
              <w:right w:val="nil"/>
            </w:tcBorders>
            <w:shd w:val="clear" w:color="000000" w:fill="FFFFFF"/>
            <w:noWrap/>
            <w:vAlign w:val="bottom"/>
            <w:hideMark/>
          </w:tcPr>
          <w:p w14:paraId="43B13C2D" w14:textId="77777777" w:rsidR="001A0CF9" w:rsidRDefault="001A0CF9">
            <w:pPr>
              <w:jc w:val="center"/>
              <w:rPr>
                <w:color w:val="000000"/>
                <w:u w:val="single"/>
              </w:rPr>
            </w:pPr>
            <w:r>
              <w:rPr>
                <w:color w:val="000000"/>
                <w:u w:val="single"/>
              </w:rPr>
              <w:t>2012</w:t>
            </w:r>
          </w:p>
        </w:tc>
        <w:tc>
          <w:tcPr>
            <w:tcW w:w="802" w:type="dxa"/>
            <w:tcBorders>
              <w:top w:val="nil"/>
              <w:left w:val="nil"/>
              <w:bottom w:val="nil"/>
              <w:right w:val="nil"/>
            </w:tcBorders>
            <w:shd w:val="clear" w:color="000000" w:fill="FFFFFF"/>
            <w:noWrap/>
            <w:vAlign w:val="bottom"/>
            <w:hideMark/>
          </w:tcPr>
          <w:p w14:paraId="015E580D" w14:textId="77777777" w:rsidR="001A0CF9" w:rsidRDefault="001A0CF9">
            <w:pPr>
              <w:jc w:val="center"/>
              <w:rPr>
                <w:color w:val="000000"/>
                <w:sz w:val="22"/>
                <w:szCs w:val="22"/>
              </w:rPr>
            </w:pPr>
            <w:r>
              <w:rPr>
                <w:color w:val="000000"/>
                <w:sz w:val="22"/>
                <w:szCs w:val="22"/>
              </w:rPr>
              <w:t>.962**</w:t>
            </w:r>
          </w:p>
        </w:tc>
        <w:tc>
          <w:tcPr>
            <w:tcW w:w="802" w:type="dxa"/>
            <w:tcBorders>
              <w:top w:val="nil"/>
              <w:left w:val="nil"/>
              <w:bottom w:val="nil"/>
              <w:right w:val="nil"/>
            </w:tcBorders>
            <w:shd w:val="clear" w:color="000000" w:fill="FFFFFF"/>
            <w:noWrap/>
            <w:vAlign w:val="bottom"/>
            <w:hideMark/>
          </w:tcPr>
          <w:p w14:paraId="1B64AC10" w14:textId="77777777" w:rsidR="001A0CF9" w:rsidRDefault="001A0CF9">
            <w:pPr>
              <w:jc w:val="center"/>
              <w:rPr>
                <w:color w:val="000000"/>
                <w:sz w:val="22"/>
                <w:szCs w:val="22"/>
              </w:rPr>
            </w:pPr>
            <w:r>
              <w:rPr>
                <w:color w:val="000000"/>
                <w:sz w:val="22"/>
                <w:szCs w:val="22"/>
              </w:rPr>
              <w:t>.979**</w:t>
            </w:r>
          </w:p>
        </w:tc>
        <w:tc>
          <w:tcPr>
            <w:tcW w:w="802" w:type="dxa"/>
            <w:tcBorders>
              <w:top w:val="nil"/>
              <w:left w:val="nil"/>
              <w:bottom w:val="nil"/>
              <w:right w:val="nil"/>
            </w:tcBorders>
            <w:shd w:val="clear" w:color="000000" w:fill="FFFFFF"/>
            <w:noWrap/>
            <w:vAlign w:val="bottom"/>
            <w:hideMark/>
          </w:tcPr>
          <w:p w14:paraId="0029A447" w14:textId="77777777" w:rsidR="001A0CF9" w:rsidRDefault="001A0CF9">
            <w:pPr>
              <w:jc w:val="center"/>
              <w:rPr>
                <w:color w:val="000000"/>
                <w:sz w:val="22"/>
                <w:szCs w:val="22"/>
              </w:rPr>
            </w:pPr>
            <w:r>
              <w:rPr>
                <w:color w:val="000000"/>
                <w:sz w:val="22"/>
                <w:szCs w:val="22"/>
              </w:rPr>
              <w:t>1.000</w:t>
            </w:r>
          </w:p>
        </w:tc>
        <w:tc>
          <w:tcPr>
            <w:tcW w:w="802" w:type="dxa"/>
            <w:tcBorders>
              <w:top w:val="nil"/>
              <w:left w:val="nil"/>
              <w:bottom w:val="nil"/>
              <w:right w:val="nil"/>
            </w:tcBorders>
            <w:shd w:val="clear" w:color="000000" w:fill="FFFFFF"/>
            <w:noWrap/>
            <w:vAlign w:val="bottom"/>
            <w:hideMark/>
          </w:tcPr>
          <w:p w14:paraId="588FFB31" w14:textId="77777777" w:rsidR="001A0CF9" w:rsidRDefault="001A0CF9">
            <w:pPr>
              <w:jc w:val="center"/>
              <w:rPr>
                <w:color w:val="000000"/>
                <w:sz w:val="22"/>
                <w:szCs w:val="22"/>
              </w:rPr>
            </w:pPr>
            <w:r>
              <w:rPr>
                <w:color w:val="000000"/>
                <w:sz w:val="22"/>
                <w:szCs w:val="22"/>
              </w:rPr>
              <w:t>.980**</w:t>
            </w:r>
          </w:p>
        </w:tc>
        <w:tc>
          <w:tcPr>
            <w:tcW w:w="802" w:type="dxa"/>
            <w:tcBorders>
              <w:top w:val="nil"/>
              <w:left w:val="nil"/>
              <w:bottom w:val="nil"/>
              <w:right w:val="nil"/>
            </w:tcBorders>
            <w:shd w:val="clear" w:color="000000" w:fill="FFFFFF"/>
            <w:noWrap/>
            <w:vAlign w:val="bottom"/>
            <w:hideMark/>
          </w:tcPr>
          <w:p w14:paraId="26A45C43" w14:textId="77777777" w:rsidR="001A0CF9" w:rsidRDefault="001A0CF9">
            <w:pPr>
              <w:jc w:val="center"/>
              <w:rPr>
                <w:color w:val="000000"/>
                <w:sz w:val="22"/>
                <w:szCs w:val="22"/>
              </w:rPr>
            </w:pPr>
            <w:r>
              <w:rPr>
                <w:color w:val="000000"/>
                <w:sz w:val="22"/>
                <w:szCs w:val="22"/>
              </w:rPr>
              <w:t>.864**</w:t>
            </w:r>
          </w:p>
        </w:tc>
        <w:tc>
          <w:tcPr>
            <w:tcW w:w="802" w:type="dxa"/>
            <w:tcBorders>
              <w:top w:val="nil"/>
              <w:left w:val="nil"/>
              <w:bottom w:val="nil"/>
              <w:right w:val="nil"/>
            </w:tcBorders>
            <w:shd w:val="clear" w:color="000000" w:fill="FFFFFF"/>
            <w:noWrap/>
            <w:vAlign w:val="bottom"/>
            <w:hideMark/>
          </w:tcPr>
          <w:p w14:paraId="0A742B2B" w14:textId="77777777" w:rsidR="001A0CF9" w:rsidRDefault="001A0CF9">
            <w:pPr>
              <w:jc w:val="center"/>
              <w:rPr>
                <w:color w:val="000000"/>
                <w:sz w:val="22"/>
                <w:szCs w:val="22"/>
              </w:rPr>
            </w:pPr>
            <w:r>
              <w:rPr>
                <w:color w:val="000000"/>
                <w:sz w:val="22"/>
                <w:szCs w:val="22"/>
              </w:rPr>
              <w:t>.698**</w:t>
            </w:r>
          </w:p>
        </w:tc>
        <w:tc>
          <w:tcPr>
            <w:tcW w:w="802" w:type="dxa"/>
            <w:tcBorders>
              <w:top w:val="nil"/>
              <w:left w:val="nil"/>
              <w:bottom w:val="nil"/>
              <w:right w:val="nil"/>
            </w:tcBorders>
            <w:shd w:val="clear" w:color="000000" w:fill="FFFFFF"/>
            <w:noWrap/>
            <w:vAlign w:val="bottom"/>
            <w:hideMark/>
          </w:tcPr>
          <w:p w14:paraId="25A8C646" w14:textId="77777777" w:rsidR="001A0CF9" w:rsidRDefault="001A0CF9">
            <w:pPr>
              <w:jc w:val="center"/>
              <w:rPr>
                <w:color w:val="000000"/>
                <w:sz w:val="22"/>
                <w:szCs w:val="22"/>
              </w:rPr>
            </w:pPr>
            <w:r>
              <w:rPr>
                <w:color w:val="000000"/>
                <w:sz w:val="22"/>
                <w:szCs w:val="22"/>
              </w:rPr>
              <w:t>.760**</w:t>
            </w:r>
          </w:p>
        </w:tc>
        <w:tc>
          <w:tcPr>
            <w:tcW w:w="802" w:type="dxa"/>
            <w:tcBorders>
              <w:top w:val="nil"/>
              <w:left w:val="nil"/>
              <w:bottom w:val="nil"/>
              <w:right w:val="nil"/>
            </w:tcBorders>
            <w:shd w:val="clear" w:color="000000" w:fill="FFFFFF"/>
            <w:noWrap/>
            <w:vAlign w:val="bottom"/>
            <w:hideMark/>
          </w:tcPr>
          <w:p w14:paraId="56CB2101" w14:textId="77777777" w:rsidR="001A0CF9" w:rsidRDefault="001A0CF9">
            <w:pPr>
              <w:jc w:val="center"/>
              <w:rPr>
                <w:color w:val="000000"/>
                <w:sz w:val="22"/>
                <w:szCs w:val="22"/>
              </w:rPr>
            </w:pPr>
            <w:r>
              <w:rPr>
                <w:color w:val="000000"/>
                <w:sz w:val="22"/>
                <w:szCs w:val="22"/>
              </w:rPr>
              <w:t>.849**</w:t>
            </w:r>
          </w:p>
        </w:tc>
        <w:tc>
          <w:tcPr>
            <w:tcW w:w="802" w:type="dxa"/>
            <w:tcBorders>
              <w:top w:val="nil"/>
              <w:left w:val="nil"/>
              <w:bottom w:val="nil"/>
              <w:right w:val="nil"/>
            </w:tcBorders>
            <w:shd w:val="clear" w:color="000000" w:fill="FFFFFF"/>
            <w:noWrap/>
            <w:vAlign w:val="bottom"/>
            <w:hideMark/>
          </w:tcPr>
          <w:p w14:paraId="49BDF855" w14:textId="77777777" w:rsidR="001A0CF9" w:rsidRDefault="001A0CF9">
            <w:pPr>
              <w:jc w:val="center"/>
              <w:rPr>
                <w:color w:val="000000"/>
                <w:sz w:val="22"/>
                <w:szCs w:val="22"/>
              </w:rPr>
            </w:pPr>
            <w:r>
              <w:rPr>
                <w:color w:val="000000"/>
                <w:sz w:val="22"/>
                <w:szCs w:val="22"/>
              </w:rPr>
              <w:t>.825**</w:t>
            </w:r>
          </w:p>
        </w:tc>
      </w:tr>
      <w:tr w:rsidR="000A6429" w14:paraId="3F8457DC" w14:textId="77777777" w:rsidTr="000A6429">
        <w:trPr>
          <w:trHeight w:val="288"/>
        </w:trPr>
        <w:tc>
          <w:tcPr>
            <w:tcW w:w="680" w:type="dxa"/>
            <w:tcBorders>
              <w:top w:val="nil"/>
              <w:left w:val="nil"/>
              <w:bottom w:val="nil"/>
              <w:right w:val="nil"/>
            </w:tcBorders>
            <w:shd w:val="clear" w:color="000000" w:fill="FFFFFF"/>
            <w:noWrap/>
            <w:vAlign w:val="bottom"/>
            <w:hideMark/>
          </w:tcPr>
          <w:p w14:paraId="6DDADBCE" w14:textId="77777777" w:rsidR="001A0CF9" w:rsidRDefault="001A0CF9">
            <w:pPr>
              <w:jc w:val="center"/>
              <w:rPr>
                <w:color w:val="000000"/>
                <w:u w:val="single"/>
              </w:rPr>
            </w:pPr>
            <w:r>
              <w:rPr>
                <w:color w:val="000000"/>
                <w:u w:val="single"/>
              </w:rPr>
              <w:t>2011</w:t>
            </w:r>
          </w:p>
        </w:tc>
        <w:tc>
          <w:tcPr>
            <w:tcW w:w="802" w:type="dxa"/>
            <w:tcBorders>
              <w:top w:val="nil"/>
              <w:left w:val="nil"/>
              <w:bottom w:val="nil"/>
              <w:right w:val="nil"/>
            </w:tcBorders>
            <w:shd w:val="clear" w:color="000000" w:fill="FFFFFF"/>
            <w:noWrap/>
            <w:vAlign w:val="bottom"/>
            <w:hideMark/>
          </w:tcPr>
          <w:p w14:paraId="002F7071" w14:textId="77777777" w:rsidR="001A0CF9" w:rsidRDefault="001A0CF9">
            <w:pPr>
              <w:jc w:val="center"/>
              <w:rPr>
                <w:color w:val="000000"/>
                <w:sz w:val="22"/>
                <w:szCs w:val="22"/>
              </w:rPr>
            </w:pPr>
            <w:r>
              <w:rPr>
                <w:color w:val="000000"/>
                <w:sz w:val="22"/>
                <w:szCs w:val="22"/>
              </w:rPr>
              <w:t>.950**</w:t>
            </w:r>
          </w:p>
        </w:tc>
        <w:tc>
          <w:tcPr>
            <w:tcW w:w="802" w:type="dxa"/>
            <w:tcBorders>
              <w:top w:val="nil"/>
              <w:left w:val="nil"/>
              <w:bottom w:val="nil"/>
              <w:right w:val="nil"/>
            </w:tcBorders>
            <w:shd w:val="clear" w:color="000000" w:fill="FFFFFF"/>
            <w:noWrap/>
            <w:vAlign w:val="bottom"/>
            <w:hideMark/>
          </w:tcPr>
          <w:p w14:paraId="36F9433E" w14:textId="77777777" w:rsidR="001A0CF9" w:rsidRDefault="001A0CF9">
            <w:pPr>
              <w:jc w:val="center"/>
              <w:rPr>
                <w:color w:val="000000"/>
                <w:sz w:val="22"/>
                <w:szCs w:val="22"/>
              </w:rPr>
            </w:pPr>
            <w:r>
              <w:rPr>
                <w:color w:val="000000"/>
                <w:sz w:val="22"/>
                <w:szCs w:val="22"/>
              </w:rPr>
              <w:t>.965**</w:t>
            </w:r>
          </w:p>
        </w:tc>
        <w:tc>
          <w:tcPr>
            <w:tcW w:w="802" w:type="dxa"/>
            <w:tcBorders>
              <w:top w:val="nil"/>
              <w:left w:val="nil"/>
              <w:bottom w:val="nil"/>
              <w:right w:val="nil"/>
            </w:tcBorders>
            <w:shd w:val="clear" w:color="000000" w:fill="FFFFFF"/>
            <w:noWrap/>
            <w:vAlign w:val="bottom"/>
            <w:hideMark/>
          </w:tcPr>
          <w:p w14:paraId="1395711A" w14:textId="77777777" w:rsidR="001A0CF9" w:rsidRDefault="001A0CF9">
            <w:pPr>
              <w:jc w:val="center"/>
              <w:rPr>
                <w:color w:val="000000"/>
                <w:sz w:val="22"/>
                <w:szCs w:val="22"/>
              </w:rPr>
            </w:pPr>
            <w:r>
              <w:rPr>
                <w:color w:val="000000"/>
                <w:sz w:val="22"/>
                <w:szCs w:val="22"/>
              </w:rPr>
              <w:t>.980**</w:t>
            </w:r>
          </w:p>
        </w:tc>
        <w:tc>
          <w:tcPr>
            <w:tcW w:w="802" w:type="dxa"/>
            <w:tcBorders>
              <w:top w:val="nil"/>
              <w:left w:val="nil"/>
              <w:bottom w:val="nil"/>
              <w:right w:val="nil"/>
            </w:tcBorders>
            <w:shd w:val="clear" w:color="000000" w:fill="FFFFFF"/>
            <w:noWrap/>
            <w:vAlign w:val="bottom"/>
            <w:hideMark/>
          </w:tcPr>
          <w:p w14:paraId="6720B08F" w14:textId="77777777" w:rsidR="001A0CF9" w:rsidRDefault="001A0CF9">
            <w:pPr>
              <w:jc w:val="center"/>
              <w:rPr>
                <w:color w:val="000000"/>
                <w:sz w:val="22"/>
                <w:szCs w:val="22"/>
              </w:rPr>
            </w:pPr>
            <w:r>
              <w:rPr>
                <w:color w:val="000000"/>
                <w:sz w:val="22"/>
                <w:szCs w:val="22"/>
              </w:rPr>
              <w:t>1.000</w:t>
            </w:r>
          </w:p>
        </w:tc>
        <w:tc>
          <w:tcPr>
            <w:tcW w:w="802" w:type="dxa"/>
            <w:tcBorders>
              <w:top w:val="nil"/>
              <w:left w:val="nil"/>
              <w:bottom w:val="nil"/>
              <w:right w:val="nil"/>
            </w:tcBorders>
            <w:shd w:val="clear" w:color="000000" w:fill="FFFFFF"/>
            <w:noWrap/>
            <w:vAlign w:val="bottom"/>
            <w:hideMark/>
          </w:tcPr>
          <w:p w14:paraId="6C224E0A" w14:textId="77777777" w:rsidR="001A0CF9" w:rsidRDefault="001A0CF9">
            <w:pPr>
              <w:jc w:val="center"/>
              <w:rPr>
                <w:color w:val="000000"/>
                <w:sz w:val="22"/>
                <w:szCs w:val="22"/>
              </w:rPr>
            </w:pPr>
            <w:r>
              <w:rPr>
                <w:color w:val="000000"/>
                <w:sz w:val="22"/>
                <w:szCs w:val="22"/>
              </w:rPr>
              <w:t>.877**</w:t>
            </w:r>
          </w:p>
        </w:tc>
        <w:tc>
          <w:tcPr>
            <w:tcW w:w="802" w:type="dxa"/>
            <w:tcBorders>
              <w:top w:val="nil"/>
              <w:left w:val="nil"/>
              <w:bottom w:val="nil"/>
              <w:right w:val="nil"/>
            </w:tcBorders>
            <w:shd w:val="clear" w:color="000000" w:fill="FFFFFF"/>
            <w:noWrap/>
            <w:vAlign w:val="bottom"/>
            <w:hideMark/>
          </w:tcPr>
          <w:p w14:paraId="7B18CBA4" w14:textId="77777777" w:rsidR="001A0CF9" w:rsidRDefault="001A0CF9">
            <w:pPr>
              <w:jc w:val="center"/>
              <w:rPr>
                <w:color w:val="000000"/>
                <w:sz w:val="22"/>
                <w:szCs w:val="22"/>
              </w:rPr>
            </w:pPr>
            <w:r>
              <w:rPr>
                <w:color w:val="000000"/>
                <w:sz w:val="22"/>
                <w:szCs w:val="22"/>
              </w:rPr>
              <w:t>.707**</w:t>
            </w:r>
          </w:p>
        </w:tc>
        <w:tc>
          <w:tcPr>
            <w:tcW w:w="802" w:type="dxa"/>
            <w:tcBorders>
              <w:top w:val="nil"/>
              <w:left w:val="nil"/>
              <w:bottom w:val="nil"/>
              <w:right w:val="nil"/>
            </w:tcBorders>
            <w:shd w:val="clear" w:color="000000" w:fill="FFFFFF"/>
            <w:noWrap/>
            <w:vAlign w:val="bottom"/>
            <w:hideMark/>
          </w:tcPr>
          <w:p w14:paraId="01495615" w14:textId="77777777" w:rsidR="001A0CF9" w:rsidRDefault="001A0CF9">
            <w:pPr>
              <w:jc w:val="center"/>
              <w:rPr>
                <w:color w:val="000000"/>
                <w:sz w:val="22"/>
                <w:szCs w:val="22"/>
              </w:rPr>
            </w:pPr>
            <w:r>
              <w:rPr>
                <w:color w:val="000000"/>
                <w:sz w:val="22"/>
                <w:szCs w:val="22"/>
              </w:rPr>
              <w:t>.769**</w:t>
            </w:r>
          </w:p>
        </w:tc>
        <w:tc>
          <w:tcPr>
            <w:tcW w:w="802" w:type="dxa"/>
            <w:tcBorders>
              <w:top w:val="nil"/>
              <w:left w:val="nil"/>
              <w:bottom w:val="nil"/>
              <w:right w:val="nil"/>
            </w:tcBorders>
            <w:shd w:val="clear" w:color="000000" w:fill="FFFFFF"/>
            <w:noWrap/>
            <w:vAlign w:val="bottom"/>
            <w:hideMark/>
          </w:tcPr>
          <w:p w14:paraId="75780EB6" w14:textId="77777777" w:rsidR="001A0CF9" w:rsidRDefault="001A0CF9">
            <w:pPr>
              <w:jc w:val="center"/>
              <w:rPr>
                <w:color w:val="000000"/>
                <w:sz w:val="22"/>
                <w:szCs w:val="22"/>
              </w:rPr>
            </w:pPr>
            <w:r>
              <w:rPr>
                <w:color w:val="000000"/>
                <w:sz w:val="22"/>
                <w:szCs w:val="22"/>
              </w:rPr>
              <w:t>.867**</w:t>
            </w:r>
          </w:p>
        </w:tc>
        <w:tc>
          <w:tcPr>
            <w:tcW w:w="802" w:type="dxa"/>
            <w:tcBorders>
              <w:top w:val="nil"/>
              <w:left w:val="nil"/>
              <w:bottom w:val="nil"/>
              <w:right w:val="nil"/>
            </w:tcBorders>
            <w:shd w:val="clear" w:color="000000" w:fill="FFFFFF"/>
            <w:noWrap/>
            <w:vAlign w:val="bottom"/>
            <w:hideMark/>
          </w:tcPr>
          <w:p w14:paraId="19D946F8" w14:textId="77777777" w:rsidR="001A0CF9" w:rsidRDefault="001A0CF9">
            <w:pPr>
              <w:jc w:val="center"/>
              <w:rPr>
                <w:color w:val="000000"/>
                <w:sz w:val="22"/>
                <w:szCs w:val="22"/>
              </w:rPr>
            </w:pPr>
            <w:r>
              <w:rPr>
                <w:color w:val="000000"/>
                <w:sz w:val="22"/>
                <w:szCs w:val="22"/>
              </w:rPr>
              <w:t>.841**</w:t>
            </w:r>
          </w:p>
        </w:tc>
      </w:tr>
      <w:tr w:rsidR="000A6429" w14:paraId="6FF18D7B" w14:textId="77777777" w:rsidTr="000A6429">
        <w:trPr>
          <w:trHeight w:val="288"/>
        </w:trPr>
        <w:tc>
          <w:tcPr>
            <w:tcW w:w="680" w:type="dxa"/>
            <w:tcBorders>
              <w:top w:val="nil"/>
              <w:left w:val="nil"/>
              <w:bottom w:val="nil"/>
              <w:right w:val="nil"/>
            </w:tcBorders>
            <w:shd w:val="clear" w:color="000000" w:fill="FFFFFF"/>
            <w:noWrap/>
            <w:vAlign w:val="bottom"/>
            <w:hideMark/>
          </w:tcPr>
          <w:p w14:paraId="532B5C80" w14:textId="77777777" w:rsidR="001A0CF9" w:rsidRDefault="001A0CF9">
            <w:pPr>
              <w:jc w:val="center"/>
              <w:rPr>
                <w:color w:val="000000"/>
                <w:u w:val="single"/>
              </w:rPr>
            </w:pPr>
            <w:r>
              <w:rPr>
                <w:color w:val="000000"/>
                <w:u w:val="single"/>
              </w:rPr>
              <w:t>2010</w:t>
            </w:r>
          </w:p>
        </w:tc>
        <w:tc>
          <w:tcPr>
            <w:tcW w:w="802" w:type="dxa"/>
            <w:tcBorders>
              <w:top w:val="nil"/>
              <w:left w:val="nil"/>
              <w:bottom w:val="nil"/>
              <w:right w:val="nil"/>
            </w:tcBorders>
            <w:shd w:val="clear" w:color="000000" w:fill="FFFFFF"/>
            <w:noWrap/>
            <w:vAlign w:val="bottom"/>
            <w:hideMark/>
          </w:tcPr>
          <w:p w14:paraId="41888293" w14:textId="77777777" w:rsidR="001A0CF9" w:rsidRDefault="001A0CF9">
            <w:pPr>
              <w:jc w:val="center"/>
              <w:rPr>
                <w:color w:val="000000"/>
                <w:sz w:val="22"/>
                <w:szCs w:val="22"/>
              </w:rPr>
            </w:pPr>
            <w:r>
              <w:rPr>
                <w:color w:val="000000"/>
                <w:sz w:val="22"/>
                <w:szCs w:val="22"/>
              </w:rPr>
              <w:t>.830**</w:t>
            </w:r>
          </w:p>
        </w:tc>
        <w:tc>
          <w:tcPr>
            <w:tcW w:w="802" w:type="dxa"/>
            <w:tcBorders>
              <w:top w:val="nil"/>
              <w:left w:val="nil"/>
              <w:bottom w:val="nil"/>
              <w:right w:val="nil"/>
            </w:tcBorders>
            <w:shd w:val="clear" w:color="000000" w:fill="FFFFFF"/>
            <w:noWrap/>
            <w:vAlign w:val="bottom"/>
            <w:hideMark/>
          </w:tcPr>
          <w:p w14:paraId="2D0626B5" w14:textId="77777777" w:rsidR="001A0CF9" w:rsidRDefault="001A0CF9">
            <w:pPr>
              <w:jc w:val="center"/>
              <w:rPr>
                <w:color w:val="000000"/>
                <w:sz w:val="22"/>
                <w:szCs w:val="22"/>
              </w:rPr>
            </w:pPr>
            <w:r>
              <w:rPr>
                <w:color w:val="000000"/>
                <w:sz w:val="22"/>
                <w:szCs w:val="22"/>
              </w:rPr>
              <w:t>.845**</w:t>
            </w:r>
          </w:p>
        </w:tc>
        <w:tc>
          <w:tcPr>
            <w:tcW w:w="802" w:type="dxa"/>
            <w:tcBorders>
              <w:top w:val="nil"/>
              <w:left w:val="nil"/>
              <w:bottom w:val="nil"/>
              <w:right w:val="nil"/>
            </w:tcBorders>
            <w:shd w:val="clear" w:color="000000" w:fill="FFFFFF"/>
            <w:noWrap/>
            <w:vAlign w:val="bottom"/>
            <w:hideMark/>
          </w:tcPr>
          <w:p w14:paraId="6007B768" w14:textId="77777777" w:rsidR="001A0CF9" w:rsidRDefault="001A0CF9">
            <w:pPr>
              <w:jc w:val="center"/>
              <w:rPr>
                <w:color w:val="000000"/>
                <w:sz w:val="22"/>
                <w:szCs w:val="22"/>
              </w:rPr>
            </w:pPr>
            <w:r>
              <w:rPr>
                <w:color w:val="000000"/>
                <w:sz w:val="22"/>
                <w:szCs w:val="22"/>
              </w:rPr>
              <w:t>.864**</w:t>
            </w:r>
          </w:p>
        </w:tc>
        <w:tc>
          <w:tcPr>
            <w:tcW w:w="802" w:type="dxa"/>
            <w:tcBorders>
              <w:top w:val="nil"/>
              <w:left w:val="nil"/>
              <w:bottom w:val="nil"/>
              <w:right w:val="nil"/>
            </w:tcBorders>
            <w:shd w:val="clear" w:color="000000" w:fill="FFFFFF"/>
            <w:noWrap/>
            <w:vAlign w:val="bottom"/>
            <w:hideMark/>
          </w:tcPr>
          <w:p w14:paraId="2313FFD4" w14:textId="77777777" w:rsidR="001A0CF9" w:rsidRDefault="001A0CF9">
            <w:pPr>
              <w:jc w:val="center"/>
              <w:rPr>
                <w:color w:val="000000"/>
                <w:sz w:val="22"/>
                <w:szCs w:val="22"/>
              </w:rPr>
            </w:pPr>
            <w:r>
              <w:rPr>
                <w:color w:val="000000"/>
                <w:sz w:val="22"/>
                <w:szCs w:val="22"/>
              </w:rPr>
              <w:t>.877**</w:t>
            </w:r>
          </w:p>
        </w:tc>
        <w:tc>
          <w:tcPr>
            <w:tcW w:w="802" w:type="dxa"/>
            <w:tcBorders>
              <w:top w:val="nil"/>
              <w:left w:val="nil"/>
              <w:bottom w:val="nil"/>
              <w:right w:val="nil"/>
            </w:tcBorders>
            <w:shd w:val="clear" w:color="000000" w:fill="FFFFFF"/>
            <w:noWrap/>
            <w:vAlign w:val="bottom"/>
            <w:hideMark/>
          </w:tcPr>
          <w:p w14:paraId="514A22D5" w14:textId="77777777" w:rsidR="001A0CF9" w:rsidRDefault="001A0CF9">
            <w:pPr>
              <w:jc w:val="center"/>
              <w:rPr>
                <w:color w:val="000000"/>
                <w:sz w:val="22"/>
                <w:szCs w:val="22"/>
              </w:rPr>
            </w:pPr>
            <w:r>
              <w:rPr>
                <w:color w:val="000000"/>
                <w:sz w:val="22"/>
                <w:szCs w:val="22"/>
              </w:rPr>
              <w:t>1.000</w:t>
            </w:r>
          </w:p>
        </w:tc>
        <w:tc>
          <w:tcPr>
            <w:tcW w:w="802" w:type="dxa"/>
            <w:tcBorders>
              <w:top w:val="nil"/>
              <w:left w:val="nil"/>
              <w:bottom w:val="nil"/>
              <w:right w:val="nil"/>
            </w:tcBorders>
            <w:shd w:val="clear" w:color="000000" w:fill="FFFFFF"/>
            <w:noWrap/>
            <w:vAlign w:val="bottom"/>
            <w:hideMark/>
          </w:tcPr>
          <w:p w14:paraId="242735C6" w14:textId="77777777" w:rsidR="001A0CF9" w:rsidRDefault="001A0CF9">
            <w:pPr>
              <w:jc w:val="center"/>
              <w:rPr>
                <w:color w:val="000000"/>
                <w:sz w:val="22"/>
                <w:szCs w:val="22"/>
              </w:rPr>
            </w:pPr>
            <w:r>
              <w:rPr>
                <w:color w:val="000000"/>
                <w:sz w:val="22"/>
                <w:szCs w:val="22"/>
              </w:rPr>
              <w:t>.829**</w:t>
            </w:r>
          </w:p>
        </w:tc>
        <w:tc>
          <w:tcPr>
            <w:tcW w:w="802" w:type="dxa"/>
            <w:tcBorders>
              <w:top w:val="nil"/>
              <w:left w:val="nil"/>
              <w:bottom w:val="nil"/>
              <w:right w:val="nil"/>
            </w:tcBorders>
            <w:shd w:val="clear" w:color="000000" w:fill="FFFFFF"/>
            <w:noWrap/>
            <w:vAlign w:val="bottom"/>
            <w:hideMark/>
          </w:tcPr>
          <w:p w14:paraId="0F46B218" w14:textId="77777777" w:rsidR="001A0CF9" w:rsidRDefault="001A0CF9">
            <w:pPr>
              <w:jc w:val="center"/>
              <w:rPr>
                <w:color w:val="000000"/>
                <w:sz w:val="22"/>
                <w:szCs w:val="22"/>
              </w:rPr>
            </w:pPr>
            <w:r>
              <w:rPr>
                <w:color w:val="000000"/>
                <w:sz w:val="22"/>
                <w:szCs w:val="22"/>
              </w:rPr>
              <w:t>.893**</w:t>
            </w:r>
          </w:p>
        </w:tc>
        <w:tc>
          <w:tcPr>
            <w:tcW w:w="802" w:type="dxa"/>
            <w:tcBorders>
              <w:top w:val="nil"/>
              <w:left w:val="nil"/>
              <w:bottom w:val="nil"/>
              <w:right w:val="nil"/>
            </w:tcBorders>
            <w:shd w:val="clear" w:color="000000" w:fill="FFFFFF"/>
            <w:noWrap/>
            <w:vAlign w:val="bottom"/>
            <w:hideMark/>
          </w:tcPr>
          <w:p w14:paraId="262AE8EF" w14:textId="77777777" w:rsidR="001A0CF9" w:rsidRDefault="001A0CF9">
            <w:pPr>
              <w:jc w:val="center"/>
              <w:rPr>
                <w:color w:val="000000"/>
                <w:sz w:val="22"/>
                <w:szCs w:val="22"/>
              </w:rPr>
            </w:pPr>
            <w:r>
              <w:rPr>
                <w:color w:val="000000"/>
                <w:sz w:val="22"/>
                <w:szCs w:val="22"/>
              </w:rPr>
              <w:t>.799**</w:t>
            </w:r>
          </w:p>
        </w:tc>
        <w:tc>
          <w:tcPr>
            <w:tcW w:w="802" w:type="dxa"/>
            <w:tcBorders>
              <w:top w:val="nil"/>
              <w:left w:val="nil"/>
              <w:bottom w:val="nil"/>
              <w:right w:val="nil"/>
            </w:tcBorders>
            <w:shd w:val="clear" w:color="000000" w:fill="FFFFFF"/>
            <w:noWrap/>
            <w:vAlign w:val="bottom"/>
            <w:hideMark/>
          </w:tcPr>
          <w:p w14:paraId="5736E4BA" w14:textId="77777777" w:rsidR="001A0CF9" w:rsidRDefault="001A0CF9">
            <w:pPr>
              <w:jc w:val="center"/>
              <w:rPr>
                <w:color w:val="000000"/>
                <w:sz w:val="22"/>
                <w:szCs w:val="22"/>
              </w:rPr>
            </w:pPr>
            <w:r>
              <w:rPr>
                <w:color w:val="000000"/>
                <w:sz w:val="22"/>
                <w:szCs w:val="22"/>
              </w:rPr>
              <w:t>.750**</w:t>
            </w:r>
          </w:p>
        </w:tc>
      </w:tr>
      <w:tr w:rsidR="000A6429" w14:paraId="70D9B01E" w14:textId="77777777" w:rsidTr="000A6429">
        <w:trPr>
          <w:trHeight w:val="288"/>
        </w:trPr>
        <w:tc>
          <w:tcPr>
            <w:tcW w:w="680" w:type="dxa"/>
            <w:tcBorders>
              <w:top w:val="nil"/>
              <w:left w:val="nil"/>
              <w:bottom w:val="nil"/>
              <w:right w:val="nil"/>
            </w:tcBorders>
            <w:shd w:val="clear" w:color="000000" w:fill="FFFFFF"/>
            <w:noWrap/>
            <w:vAlign w:val="bottom"/>
            <w:hideMark/>
          </w:tcPr>
          <w:p w14:paraId="20CDA6B0" w14:textId="77777777" w:rsidR="001A0CF9" w:rsidRDefault="001A0CF9">
            <w:pPr>
              <w:jc w:val="center"/>
              <w:rPr>
                <w:color w:val="000000"/>
                <w:u w:val="single"/>
              </w:rPr>
            </w:pPr>
            <w:r>
              <w:rPr>
                <w:color w:val="000000"/>
                <w:u w:val="single"/>
              </w:rPr>
              <w:t>2009</w:t>
            </w:r>
          </w:p>
        </w:tc>
        <w:tc>
          <w:tcPr>
            <w:tcW w:w="802" w:type="dxa"/>
            <w:tcBorders>
              <w:top w:val="nil"/>
              <w:left w:val="nil"/>
              <w:bottom w:val="nil"/>
              <w:right w:val="nil"/>
            </w:tcBorders>
            <w:shd w:val="clear" w:color="000000" w:fill="FFFFFF"/>
            <w:noWrap/>
            <w:vAlign w:val="bottom"/>
            <w:hideMark/>
          </w:tcPr>
          <w:p w14:paraId="0C808349" w14:textId="77777777" w:rsidR="001A0CF9" w:rsidRDefault="001A0CF9">
            <w:pPr>
              <w:jc w:val="center"/>
              <w:rPr>
                <w:color w:val="000000"/>
                <w:sz w:val="22"/>
                <w:szCs w:val="22"/>
              </w:rPr>
            </w:pPr>
            <w:r>
              <w:rPr>
                <w:color w:val="000000"/>
                <w:sz w:val="22"/>
                <w:szCs w:val="22"/>
              </w:rPr>
              <w:t>.689**</w:t>
            </w:r>
          </w:p>
        </w:tc>
        <w:tc>
          <w:tcPr>
            <w:tcW w:w="802" w:type="dxa"/>
            <w:tcBorders>
              <w:top w:val="nil"/>
              <w:left w:val="nil"/>
              <w:bottom w:val="nil"/>
              <w:right w:val="nil"/>
            </w:tcBorders>
            <w:shd w:val="clear" w:color="000000" w:fill="FFFFFF"/>
            <w:noWrap/>
            <w:vAlign w:val="bottom"/>
            <w:hideMark/>
          </w:tcPr>
          <w:p w14:paraId="393936BA" w14:textId="77777777" w:rsidR="001A0CF9" w:rsidRDefault="001A0CF9">
            <w:pPr>
              <w:jc w:val="center"/>
              <w:rPr>
                <w:color w:val="000000"/>
                <w:sz w:val="22"/>
                <w:szCs w:val="22"/>
              </w:rPr>
            </w:pPr>
            <w:r>
              <w:rPr>
                <w:color w:val="000000"/>
                <w:sz w:val="22"/>
                <w:szCs w:val="22"/>
              </w:rPr>
              <w:t>.694**</w:t>
            </w:r>
          </w:p>
        </w:tc>
        <w:tc>
          <w:tcPr>
            <w:tcW w:w="802" w:type="dxa"/>
            <w:tcBorders>
              <w:top w:val="nil"/>
              <w:left w:val="nil"/>
              <w:bottom w:val="nil"/>
              <w:right w:val="nil"/>
            </w:tcBorders>
            <w:shd w:val="clear" w:color="000000" w:fill="FFFFFF"/>
            <w:noWrap/>
            <w:vAlign w:val="bottom"/>
            <w:hideMark/>
          </w:tcPr>
          <w:p w14:paraId="62F541AE" w14:textId="77777777" w:rsidR="001A0CF9" w:rsidRDefault="001A0CF9">
            <w:pPr>
              <w:jc w:val="center"/>
              <w:rPr>
                <w:color w:val="000000"/>
                <w:sz w:val="22"/>
                <w:szCs w:val="22"/>
              </w:rPr>
            </w:pPr>
            <w:r>
              <w:rPr>
                <w:color w:val="000000"/>
                <w:sz w:val="22"/>
                <w:szCs w:val="22"/>
              </w:rPr>
              <w:t>.698**</w:t>
            </w:r>
          </w:p>
        </w:tc>
        <w:tc>
          <w:tcPr>
            <w:tcW w:w="802" w:type="dxa"/>
            <w:tcBorders>
              <w:top w:val="nil"/>
              <w:left w:val="nil"/>
              <w:bottom w:val="nil"/>
              <w:right w:val="nil"/>
            </w:tcBorders>
            <w:shd w:val="clear" w:color="000000" w:fill="FFFFFF"/>
            <w:noWrap/>
            <w:vAlign w:val="bottom"/>
            <w:hideMark/>
          </w:tcPr>
          <w:p w14:paraId="75E58E51" w14:textId="77777777" w:rsidR="001A0CF9" w:rsidRDefault="001A0CF9">
            <w:pPr>
              <w:jc w:val="center"/>
              <w:rPr>
                <w:color w:val="000000"/>
                <w:sz w:val="22"/>
                <w:szCs w:val="22"/>
              </w:rPr>
            </w:pPr>
            <w:r>
              <w:rPr>
                <w:color w:val="000000"/>
                <w:sz w:val="22"/>
                <w:szCs w:val="22"/>
              </w:rPr>
              <w:t>.707**</w:t>
            </w:r>
          </w:p>
        </w:tc>
        <w:tc>
          <w:tcPr>
            <w:tcW w:w="802" w:type="dxa"/>
            <w:tcBorders>
              <w:top w:val="nil"/>
              <w:left w:val="nil"/>
              <w:bottom w:val="nil"/>
              <w:right w:val="nil"/>
            </w:tcBorders>
            <w:shd w:val="clear" w:color="000000" w:fill="FFFFFF"/>
            <w:noWrap/>
            <w:vAlign w:val="bottom"/>
            <w:hideMark/>
          </w:tcPr>
          <w:p w14:paraId="0291BF07" w14:textId="77777777" w:rsidR="001A0CF9" w:rsidRDefault="001A0CF9">
            <w:pPr>
              <w:jc w:val="center"/>
              <w:rPr>
                <w:color w:val="000000"/>
                <w:sz w:val="22"/>
                <w:szCs w:val="22"/>
              </w:rPr>
            </w:pPr>
            <w:r>
              <w:rPr>
                <w:color w:val="000000"/>
                <w:sz w:val="22"/>
                <w:szCs w:val="22"/>
              </w:rPr>
              <w:t>.829**</w:t>
            </w:r>
          </w:p>
        </w:tc>
        <w:tc>
          <w:tcPr>
            <w:tcW w:w="802" w:type="dxa"/>
            <w:tcBorders>
              <w:top w:val="nil"/>
              <w:left w:val="nil"/>
              <w:bottom w:val="nil"/>
              <w:right w:val="nil"/>
            </w:tcBorders>
            <w:shd w:val="clear" w:color="000000" w:fill="FFFFFF"/>
            <w:noWrap/>
            <w:vAlign w:val="bottom"/>
            <w:hideMark/>
          </w:tcPr>
          <w:p w14:paraId="2C5A1DED" w14:textId="77777777" w:rsidR="001A0CF9" w:rsidRDefault="001A0CF9">
            <w:pPr>
              <w:jc w:val="center"/>
              <w:rPr>
                <w:color w:val="000000"/>
                <w:sz w:val="22"/>
                <w:szCs w:val="22"/>
              </w:rPr>
            </w:pPr>
            <w:r>
              <w:rPr>
                <w:color w:val="000000"/>
                <w:sz w:val="22"/>
                <w:szCs w:val="22"/>
              </w:rPr>
              <w:t>1.000</w:t>
            </w:r>
          </w:p>
        </w:tc>
        <w:tc>
          <w:tcPr>
            <w:tcW w:w="802" w:type="dxa"/>
            <w:tcBorders>
              <w:top w:val="nil"/>
              <w:left w:val="nil"/>
              <w:bottom w:val="nil"/>
              <w:right w:val="nil"/>
            </w:tcBorders>
            <w:shd w:val="clear" w:color="000000" w:fill="FFFFFF"/>
            <w:noWrap/>
            <w:vAlign w:val="bottom"/>
            <w:hideMark/>
          </w:tcPr>
          <w:p w14:paraId="183AD14A" w14:textId="77777777" w:rsidR="001A0CF9" w:rsidRDefault="001A0CF9">
            <w:pPr>
              <w:jc w:val="center"/>
              <w:rPr>
                <w:color w:val="000000"/>
                <w:sz w:val="22"/>
                <w:szCs w:val="22"/>
              </w:rPr>
            </w:pPr>
            <w:r>
              <w:rPr>
                <w:color w:val="000000"/>
                <w:sz w:val="22"/>
                <w:szCs w:val="22"/>
              </w:rPr>
              <w:t>.961**</w:t>
            </w:r>
          </w:p>
        </w:tc>
        <w:tc>
          <w:tcPr>
            <w:tcW w:w="802" w:type="dxa"/>
            <w:tcBorders>
              <w:top w:val="nil"/>
              <w:left w:val="nil"/>
              <w:bottom w:val="nil"/>
              <w:right w:val="nil"/>
            </w:tcBorders>
            <w:shd w:val="clear" w:color="000000" w:fill="FFFFFF"/>
            <w:noWrap/>
            <w:vAlign w:val="bottom"/>
            <w:hideMark/>
          </w:tcPr>
          <w:p w14:paraId="237BB33D" w14:textId="77777777" w:rsidR="001A0CF9" w:rsidRDefault="001A0CF9">
            <w:pPr>
              <w:jc w:val="center"/>
              <w:rPr>
                <w:color w:val="000000"/>
                <w:sz w:val="22"/>
                <w:szCs w:val="22"/>
              </w:rPr>
            </w:pPr>
            <w:r>
              <w:rPr>
                <w:color w:val="000000"/>
                <w:sz w:val="22"/>
                <w:szCs w:val="22"/>
              </w:rPr>
              <w:t>.810**</w:t>
            </w:r>
          </w:p>
        </w:tc>
        <w:tc>
          <w:tcPr>
            <w:tcW w:w="802" w:type="dxa"/>
            <w:tcBorders>
              <w:top w:val="nil"/>
              <w:left w:val="nil"/>
              <w:bottom w:val="nil"/>
              <w:right w:val="nil"/>
            </w:tcBorders>
            <w:shd w:val="clear" w:color="000000" w:fill="FFFFFF"/>
            <w:noWrap/>
            <w:vAlign w:val="bottom"/>
            <w:hideMark/>
          </w:tcPr>
          <w:p w14:paraId="5B97FD35" w14:textId="77777777" w:rsidR="001A0CF9" w:rsidRDefault="001A0CF9">
            <w:pPr>
              <w:jc w:val="center"/>
              <w:rPr>
                <w:color w:val="000000"/>
                <w:sz w:val="22"/>
                <w:szCs w:val="22"/>
              </w:rPr>
            </w:pPr>
            <w:r>
              <w:rPr>
                <w:color w:val="000000"/>
                <w:sz w:val="22"/>
                <w:szCs w:val="22"/>
              </w:rPr>
              <w:t>.754**</w:t>
            </w:r>
          </w:p>
        </w:tc>
      </w:tr>
      <w:tr w:rsidR="000A6429" w14:paraId="49B37168" w14:textId="77777777" w:rsidTr="000A6429">
        <w:trPr>
          <w:trHeight w:val="288"/>
        </w:trPr>
        <w:tc>
          <w:tcPr>
            <w:tcW w:w="680" w:type="dxa"/>
            <w:tcBorders>
              <w:top w:val="nil"/>
              <w:left w:val="nil"/>
              <w:bottom w:val="nil"/>
              <w:right w:val="nil"/>
            </w:tcBorders>
            <w:shd w:val="clear" w:color="000000" w:fill="FFFFFF"/>
            <w:noWrap/>
            <w:vAlign w:val="bottom"/>
            <w:hideMark/>
          </w:tcPr>
          <w:p w14:paraId="6A46753E" w14:textId="77777777" w:rsidR="001A0CF9" w:rsidRDefault="001A0CF9">
            <w:pPr>
              <w:jc w:val="center"/>
              <w:rPr>
                <w:color w:val="000000"/>
                <w:u w:val="single"/>
              </w:rPr>
            </w:pPr>
            <w:r>
              <w:rPr>
                <w:color w:val="000000"/>
                <w:u w:val="single"/>
              </w:rPr>
              <w:t>2008</w:t>
            </w:r>
          </w:p>
        </w:tc>
        <w:tc>
          <w:tcPr>
            <w:tcW w:w="802" w:type="dxa"/>
            <w:tcBorders>
              <w:top w:val="nil"/>
              <w:left w:val="nil"/>
              <w:bottom w:val="nil"/>
              <w:right w:val="nil"/>
            </w:tcBorders>
            <w:shd w:val="clear" w:color="000000" w:fill="FFFFFF"/>
            <w:noWrap/>
            <w:vAlign w:val="bottom"/>
            <w:hideMark/>
          </w:tcPr>
          <w:p w14:paraId="2C0CBF97" w14:textId="77777777" w:rsidR="001A0CF9" w:rsidRDefault="001A0CF9">
            <w:pPr>
              <w:jc w:val="center"/>
              <w:rPr>
                <w:color w:val="000000"/>
                <w:sz w:val="22"/>
                <w:szCs w:val="22"/>
              </w:rPr>
            </w:pPr>
            <w:r>
              <w:rPr>
                <w:color w:val="000000"/>
                <w:sz w:val="22"/>
                <w:szCs w:val="22"/>
              </w:rPr>
              <w:t>.736**</w:t>
            </w:r>
          </w:p>
        </w:tc>
        <w:tc>
          <w:tcPr>
            <w:tcW w:w="802" w:type="dxa"/>
            <w:tcBorders>
              <w:top w:val="nil"/>
              <w:left w:val="nil"/>
              <w:bottom w:val="nil"/>
              <w:right w:val="nil"/>
            </w:tcBorders>
            <w:shd w:val="clear" w:color="000000" w:fill="FFFFFF"/>
            <w:noWrap/>
            <w:vAlign w:val="bottom"/>
            <w:hideMark/>
          </w:tcPr>
          <w:p w14:paraId="001EC532" w14:textId="77777777" w:rsidR="001A0CF9" w:rsidRDefault="001A0CF9">
            <w:pPr>
              <w:jc w:val="center"/>
              <w:rPr>
                <w:color w:val="000000"/>
                <w:sz w:val="22"/>
                <w:szCs w:val="22"/>
              </w:rPr>
            </w:pPr>
            <w:r>
              <w:rPr>
                <w:color w:val="000000"/>
                <w:sz w:val="22"/>
                <w:szCs w:val="22"/>
              </w:rPr>
              <w:t>.748**</w:t>
            </w:r>
          </w:p>
        </w:tc>
        <w:tc>
          <w:tcPr>
            <w:tcW w:w="802" w:type="dxa"/>
            <w:tcBorders>
              <w:top w:val="nil"/>
              <w:left w:val="nil"/>
              <w:bottom w:val="nil"/>
              <w:right w:val="nil"/>
            </w:tcBorders>
            <w:shd w:val="clear" w:color="000000" w:fill="FFFFFF"/>
            <w:noWrap/>
            <w:vAlign w:val="bottom"/>
            <w:hideMark/>
          </w:tcPr>
          <w:p w14:paraId="377FD1A0" w14:textId="77777777" w:rsidR="001A0CF9" w:rsidRDefault="001A0CF9">
            <w:pPr>
              <w:jc w:val="center"/>
              <w:rPr>
                <w:color w:val="000000"/>
                <w:sz w:val="22"/>
                <w:szCs w:val="22"/>
              </w:rPr>
            </w:pPr>
            <w:r>
              <w:rPr>
                <w:color w:val="000000"/>
                <w:sz w:val="22"/>
                <w:szCs w:val="22"/>
              </w:rPr>
              <w:t>.760**</w:t>
            </w:r>
          </w:p>
        </w:tc>
        <w:tc>
          <w:tcPr>
            <w:tcW w:w="802" w:type="dxa"/>
            <w:tcBorders>
              <w:top w:val="nil"/>
              <w:left w:val="nil"/>
              <w:bottom w:val="nil"/>
              <w:right w:val="nil"/>
            </w:tcBorders>
            <w:shd w:val="clear" w:color="000000" w:fill="FFFFFF"/>
            <w:noWrap/>
            <w:vAlign w:val="bottom"/>
            <w:hideMark/>
          </w:tcPr>
          <w:p w14:paraId="3D99C563" w14:textId="77777777" w:rsidR="001A0CF9" w:rsidRDefault="001A0CF9">
            <w:pPr>
              <w:jc w:val="center"/>
              <w:rPr>
                <w:color w:val="000000"/>
                <w:sz w:val="22"/>
                <w:szCs w:val="22"/>
              </w:rPr>
            </w:pPr>
            <w:r>
              <w:rPr>
                <w:color w:val="000000"/>
                <w:sz w:val="22"/>
                <w:szCs w:val="22"/>
              </w:rPr>
              <w:t>.769**</w:t>
            </w:r>
          </w:p>
        </w:tc>
        <w:tc>
          <w:tcPr>
            <w:tcW w:w="802" w:type="dxa"/>
            <w:tcBorders>
              <w:top w:val="nil"/>
              <w:left w:val="nil"/>
              <w:bottom w:val="nil"/>
              <w:right w:val="nil"/>
            </w:tcBorders>
            <w:shd w:val="clear" w:color="000000" w:fill="FFFFFF"/>
            <w:noWrap/>
            <w:vAlign w:val="bottom"/>
            <w:hideMark/>
          </w:tcPr>
          <w:p w14:paraId="4F363C28" w14:textId="77777777" w:rsidR="001A0CF9" w:rsidRDefault="001A0CF9">
            <w:pPr>
              <w:jc w:val="center"/>
              <w:rPr>
                <w:color w:val="000000"/>
                <w:sz w:val="22"/>
                <w:szCs w:val="22"/>
              </w:rPr>
            </w:pPr>
            <w:r>
              <w:rPr>
                <w:color w:val="000000"/>
                <w:sz w:val="22"/>
                <w:szCs w:val="22"/>
              </w:rPr>
              <w:t>.893**</w:t>
            </w:r>
          </w:p>
        </w:tc>
        <w:tc>
          <w:tcPr>
            <w:tcW w:w="802" w:type="dxa"/>
            <w:tcBorders>
              <w:top w:val="nil"/>
              <w:left w:val="nil"/>
              <w:bottom w:val="nil"/>
              <w:right w:val="nil"/>
            </w:tcBorders>
            <w:shd w:val="clear" w:color="000000" w:fill="FFFFFF"/>
            <w:noWrap/>
            <w:vAlign w:val="bottom"/>
            <w:hideMark/>
          </w:tcPr>
          <w:p w14:paraId="6EAEB886" w14:textId="77777777" w:rsidR="001A0CF9" w:rsidRDefault="001A0CF9">
            <w:pPr>
              <w:jc w:val="center"/>
              <w:rPr>
                <w:color w:val="000000"/>
                <w:sz w:val="22"/>
                <w:szCs w:val="22"/>
              </w:rPr>
            </w:pPr>
            <w:r>
              <w:rPr>
                <w:color w:val="000000"/>
                <w:sz w:val="22"/>
                <w:szCs w:val="22"/>
              </w:rPr>
              <w:t>.961**</w:t>
            </w:r>
          </w:p>
        </w:tc>
        <w:tc>
          <w:tcPr>
            <w:tcW w:w="802" w:type="dxa"/>
            <w:tcBorders>
              <w:top w:val="nil"/>
              <w:left w:val="nil"/>
              <w:bottom w:val="nil"/>
              <w:right w:val="nil"/>
            </w:tcBorders>
            <w:shd w:val="clear" w:color="000000" w:fill="FFFFFF"/>
            <w:noWrap/>
            <w:vAlign w:val="bottom"/>
            <w:hideMark/>
          </w:tcPr>
          <w:p w14:paraId="3FE9DF65" w14:textId="77777777" w:rsidR="001A0CF9" w:rsidRDefault="001A0CF9">
            <w:pPr>
              <w:jc w:val="center"/>
              <w:rPr>
                <w:color w:val="000000"/>
                <w:sz w:val="22"/>
                <w:szCs w:val="22"/>
              </w:rPr>
            </w:pPr>
            <w:r>
              <w:rPr>
                <w:color w:val="000000"/>
                <w:sz w:val="22"/>
                <w:szCs w:val="22"/>
              </w:rPr>
              <w:t>1.000</w:t>
            </w:r>
          </w:p>
        </w:tc>
        <w:tc>
          <w:tcPr>
            <w:tcW w:w="802" w:type="dxa"/>
            <w:tcBorders>
              <w:top w:val="nil"/>
              <w:left w:val="nil"/>
              <w:bottom w:val="nil"/>
              <w:right w:val="nil"/>
            </w:tcBorders>
            <w:shd w:val="clear" w:color="000000" w:fill="FFFFFF"/>
            <w:noWrap/>
            <w:vAlign w:val="bottom"/>
            <w:hideMark/>
          </w:tcPr>
          <w:p w14:paraId="0A2C0321" w14:textId="77777777" w:rsidR="001A0CF9" w:rsidRDefault="001A0CF9">
            <w:pPr>
              <w:jc w:val="center"/>
              <w:rPr>
                <w:color w:val="000000"/>
                <w:sz w:val="22"/>
                <w:szCs w:val="22"/>
              </w:rPr>
            </w:pPr>
            <w:r>
              <w:rPr>
                <w:color w:val="000000"/>
                <w:sz w:val="22"/>
                <w:szCs w:val="22"/>
              </w:rPr>
              <w:t>.854**</w:t>
            </w:r>
          </w:p>
        </w:tc>
        <w:tc>
          <w:tcPr>
            <w:tcW w:w="802" w:type="dxa"/>
            <w:tcBorders>
              <w:top w:val="nil"/>
              <w:left w:val="nil"/>
              <w:bottom w:val="nil"/>
              <w:right w:val="nil"/>
            </w:tcBorders>
            <w:shd w:val="clear" w:color="000000" w:fill="FFFFFF"/>
            <w:noWrap/>
            <w:vAlign w:val="bottom"/>
            <w:hideMark/>
          </w:tcPr>
          <w:p w14:paraId="5580CFDF" w14:textId="77777777" w:rsidR="001A0CF9" w:rsidRDefault="001A0CF9">
            <w:pPr>
              <w:jc w:val="center"/>
              <w:rPr>
                <w:color w:val="000000"/>
                <w:sz w:val="22"/>
                <w:szCs w:val="22"/>
              </w:rPr>
            </w:pPr>
            <w:r>
              <w:rPr>
                <w:color w:val="000000"/>
                <w:sz w:val="22"/>
                <w:szCs w:val="22"/>
              </w:rPr>
              <w:t>.789**</w:t>
            </w:r>
          </w:p>
        </w:tc>
      </w:tr>
      <w:tr w:rsidR="000A6429" w14:paraId="3FF7E293" w14:textId="77777777" w:rsidTr="000A6429">
        <w:trPr>
          <w:trHeight w:val="288"/>
        </w:trPr>
        <w:tc>
          <w:tcPr>
            <w:tcW w:w="680" w:type="dxa"/>
            <w:tcBorders>
              <w:top w:val="nil"/>
              <w:left w:val="nil"/>
              <w:bottom w:val="nil"/>
              <w:right w:val="nil"/>
            </w:tcBorders>
            <w:shd w:val="clear" w:color="000000" w:fill="FFFFFF"/>
            <w:noWrap/>
            <w:vAlign w:val="bottom"/>
            <w:hideMark/>
          </w:tcPr>
          <w:p w14:paraId="041282FE" w14:textId="77777777" w:rsidR="001A0CF9" w:rsidRDefault="001A0CF9">
            <w:pPr>
              <w:jc w:val="center"/>
              <w:rPr>
                <w:color w:val="000000"/>
                <w:u w:val="single"/>
              </w:rPr>
            </w:pPr>
            <w:r>
              <w:rPr>
                <w:color w:val="000000"/>
                <w:u w:val="single"/>
              </w:rPr>
              <w:t>2007</w:t>
            </w:r>
          </w:p>
        </w:tc>
        <w:tc>
          <w:tcPr>
            <w:tcW w:w="802" w:type="dxa"/>
            <w:tcBorders>
              <w:top w:val="nil"/>
              <w:left w:val="nil"/>
              <w:bottom w:val="nil"/>
              <w:right w:val="nil"/>
            </w:tcBorders>
            <w:shd w:val="clear" w:color="000000" w:fill="FFFFFF"/>
            <w:noWrap/>
            <w:vAlign w:val="bottom"/>
            <w:hideMark/>
          </w:tcPr>
          <w:p w14:paraId="55380671" w14:textId="77777777" w:rsidR="001A0CF9" w:rsidRDefault="001A0CF9">
            <w:pPr>
              <w:jc w:val="center"/>
              <w:rPr>
                <w:color w:val="000000"/>
                <w:sz w:val="22"/>
                <w:szCs w:val="22"/>
              </w:rPr>
            </w:pPr>
            <w:r>
              <w:rPr>
                <w:color w:val="000000"/>
                <w:sz w:val="22"/>
                <w:szCs w:val="22"/>
              </w:rPr>
              <w:t>.827**</w:t>
            </w:r>
          </w:p>
        </w:tc>
        <w:tc>
          <w:tcPr>
            <w:tcW w:w="802" w:type="dxa"/>
            <w:tcBorders>
              <w:top w:val="nil"/>
              <w:left w:val="nil"/>
              <w:bottom w:val="nil"/>
              <w:right w:val="nil"/>
            </w:tcBorders>
            <w:shd w:val="clear" w:color="000000" w:fill="FFFFFF"/>
            <w:noWrap/>
            <w:vAlign w:val="bottom"/>
            <w:hideMark/>
          </w:tcPr>
          <w:p w14:paraId="615BF16B" w14:textId="77777777" w:rsidR="001A0CF9" w:rsidRDefault="001A0CF9">
            <w:pPr>
              <w:jc w:val="center"/>
              <w:rPr>
                <w:color w:val="000000"/>
                <w:sz w:val="22"/>
                <w:szCs w:val="22"/>
              </w:rPr>
            </w:pPr>
            <w:r>
              <w:rPr>
                <w:color w:val="000000"/>
                <w:sz w:val="22"/>
                <w:szCs w:val="22"/>
              </w:rPr>
              <w:t>.840**</w:t>
            </w:r>
          </w:p>
        </w:tc>
        <w:tc>
          <w:tcPr>
            <w:tcW w:w="802" w:type="dxa"/>
            <w:tcBorders>
              <w:top w:val="nil"/>
              <w:left w:val="nil"/>
              <w:bottom w:val="nil"/>
              <w:right w:val="nil"/>
            </w:tcBorders>
            <w:shd w:val="clear" w:color="000000" w:fill="FFFFFF"/>
            <w:noWrap/>
            <w:vAlign w:val="bottom"/>
            <w:hideMark/>
          </w:tcPr>
          <w:p w14:paraId="1F4983F1" w14:textId="77777777" w:rsidR="001A0CF9" w:rsidRDefault="001A0CF9">
            <w:pPr>
              <w:jc w:val="center"/>
              <w:rPr>
                <w:color w:val="000000"/>
                <w:sz w:val="22"/>
                <w:szCs w:val="22"/>
              </w:rPr>
            </w:pPr>
            <w:r>
              <w:rPr>
                <w:color w:val="000000"/>
                <w:sz w:val="22"/>
                <w:szCs w:val="22"/>
              </w:rPr>
              <w:t>.849**</w:t>
            </w:r>
          </w:p>
        </w:tc>
        <w:tc>
          <w:tcPr>
            <w:tcW w:w="802" w:type="dxa"/>
            <w:tcBorders>
              <w:top w:val="nil"/>
              <w:left w:val="nil"/>
              <w:bottom w:val="nil"/>
              <w:right w:val="nil"/>
            </w:tcBorders>
            <w:shd w:val="clear" w:color="000000" w:fill="FFFFFF"/>
            <w:noWrap/>
            <w:vAlign w:val="bottom"/>
            <w:hideMark/>
          </w:tcPr>
          <w:p w14:paraId="625787DF" w14:textId="77777777" w:rsidR="001A0CF9" w:rsidRDefault="001A0CF9">
            <w:pPr>
              <w:jc w:val="center"/>
              <w:rPr>
                <w:color w:val="000000"/>
                <w:sz w:val="22"/>
                <w:szCs w:val="22"/>
              </w:rPr>
            </w:pPr>
            <w:r>
              <w:rPr>
                <w:color w:val="000000"/>
                <w:sz w:val="22"/>
                <w:szCs w:val="22"/>
              </w:rPr>
              <w:t>.867**</w:t>
            </w:r>
          </w:p>
        </w:tc>
        <w:tc>
          <w:tcPr>
            <w:tcW w:w="802" w:type="dxa"/>
            <w:tcBorders>
              <w:top w:val="nil"/>
              <w:left w:val="nil"/>
              <w:bottom w:val="nil"/>
              <w:right w:val="nil"/>
            </w:tcBorders>
            <w:shd w:val="clear" w:color="000000" w:fill="FFFFFF"/>
            <w:noWrap/>
            <w:vAlign w:val="bottom"/>
            <w:hideMark/>
          </w:tcPr>
          <w:p w14:paraId="53044F40" w14:textId="77777777" w:rsidR="001A0CF9" w:rsidRDefault="001A0CF9">
            <w:pPr>
              <w:jc w:val="center"/>
              <w:rPr>
                <w:color w:val="000000"/>
                <w:sz w:val="22"/>
                <w:szCs w:val="22"/>
              </w:rPr>
            </w:pPr>
            <w:r>
              <w:rPr>
                <w:color w:val="000000"/>
                <w:sz w:val="22"/>
                <w:szCs w:val="22"/>
              </w:rPr>
              <w:t>.799**</w:t>
            </w:r>
          </w:p>
        </w:tc>
        <w:tc>
          <w:tcPr>
            <w:tcW w:w="802" w:type="dxa"/>
            <w:tcBorders>
              <w:top w:val="nil"/>
              <w:left w:val="nil"/>
              <w:bottom w:val="nil"/>
              <w:right w:val="nil"/>
            </w:tcBorders>
            <w:shd w:val="clear" w:color="000000" w:fill="FFFFFF"/>
            <w:noWrap/>
            <w:vAlign w:val="bottom"/>
            <w:hideMark/>
          </w:tcPr>
          <w:p w14:paraId="676130E6" w14:textId="77777777" w:rsidR="001A0CF9" w:rsidRDefault="001A0CF9">
            <w:pPr>
              <w:jc w:val="center"/>
              <w:rPr>
                <w:color w:val="000000"/>
                <w:sz w:val="22"/>
                <w:szCs w:val="22"/>
              </w:rPr>
            </w:pPr>
            <w:r>
              <w:rPr>
                <w:color w:val="000000"/>
                <w:sz w:val="22"/>
                <w:szCs w:val="22"/>
              </w:rPr>
              <w:t>.810**</w:t>
            </w:r>
          </w:p>
        </w:tc>
        <w:tc>
          <w:tcPr>
            <w:tcW w:w="802" w:type="dxa"/>
            <w:tcBorders>
              <w:top w:val="nil"/>
              <w:left w:val="nil"/>
              <w:bottom w:val="nil"/>
              <w:right w:val="nil"/>
            </w:tcBorders>
            <w:shd w:val="clear" w:color="000000" w:fill="FFFFFF"/>
            <w:noWrap/>
            <w:vAlign w:val="bottom"/>
            <w:hideMark/>
          </w:tcPr>
          <w:p w14:paraId="169DE1EA" w14:textId="77777777" w:rsidR="001A0CF9" w:rsidRDefault="001A0CF9">
            <w:pPr>
              <w:jc w:val="center"/>
              <w:rPr>
                <w:color w:val="000000"/>
                <w:sz w:val="22"/>
                <w:szCs w:val="22"/>
              </w:rPr>
            </w:pPr>
            <w:r>
              <w:rPr>
                <w:color w:val="000000"/>
                <w:sz w:val="22"/>
                <w:szCs w:val="22"/>
              </w:rPr>
              <w:t>.854**</w:t>
            </w:r>
          </w:p>
        </w:tc>
        <w:tc>
          <w:tcPr>
            <w:tcW w:w="802" w:type="dxa"/>
            <w:tcBorders>
              <w:top w:val="nil"/>
              <w:left w:val="nil"/>
              <w:bottom w:val="nil"/>
              <w:right w:val="nil"/>
            </w:tcBorders>
            <w:shd w:val="clear" w:color="000000" w:fill="FFFFFF"/>
            <w:noWrap/>
            <w:vAlign w:val="bottom"/>
            <w:hideMark/>
          </w:tcPr>
          <w:p w14:paraId="41F0993C" w14:textId="77777777" w:rsidR="001A0CF9" w:rsidRDefault="001A0CF9">
            <w:pPr>
              <w:jc w:val="center"/>
              <w:rPr>
                <w:color w:val="000000"/>
                <w:sz w:val="22"/>
                <w:szCs w:val="22"/>
              </w:rPr>
            </w:pPr>
            <w:r>
              <w:rPr>
                <w:color w:val="000000"/>
                <w:sz w:val="22"/>
                <w:szCs w:val="22"/>
              </w:rPr>
              <w:t>1.000</w:t>
            </w:r>
          </w:p>
        </w:tc>
        <w:tc>
          <w:tcPr>
            <w:tcW w:w="802" w:type="dxa"/>
            <w:tcBorders>
              <w:top w:val="nil"/>
              <w:left w:val="nil"/>
              <w:bottom w:val="nil"/>
              <w:right w:val="nil"/>
            </w:tcBorders>
            <w:shd w:val="clear" w:color="000000" w:fill="FFFFFF"/>
            <w:noWrap/>
            <w:vAlign w:val="bottom"/>
            <w:hideMark/>
          </w:tcPr>
          <w:p w14:paraId="46337AB9" w14:textId="77777777" w:rsidR="001A0CF9" w:rsidRDefault="001A0CF9">
            <w:pPr>
              <w:jc w:val="center"/>
              <w:rPr>
                <w:color w:val="000000"/>
                <w:sz w:val="22"/>
                <w:szCs w:val="22"/>
              </w:rPr>
            </w:pPr>
            <w:r>
              <w:rPr>
                <w:color w:val="000000"/>
                <w:sz w:val="22"/>
                <w:szCs w:val="22"/>
              </w:rPr>
              <w:t>.953**</w:t>
            </w:r>
          </w:p>
        </w:tc>
      </w:tr>
      <w:tr w:rsidR="000A6429" w14:paraId="02D6038B" w14:textId="77777777" w:rsidTr="000A6429">
        <w:trPr>
          <w:trHeight w:val="288"/>
        </w:trPr>
        <w:tc>
          <w:tcPr>
            <w:tcW w:w="680" w:type="dxa"/>
            <w:tcBorders>
              <w:top w:val="nil"/>
              <w:left w:val="nil"/>
              <w:bottom w:val="nil"/>
              <w:right w:val="nil"/>
            </w:tcBorders>
            <w:shd w:val="clear" w:color="000000" w:fill="FFFFFF"/>
            <w:noWrap/>
            <w:vAlign w:val="bottom"/>
            <w:hideMark/>
          </w:tcPr>
          <w:p w14:paraId="23BBF34D" w14:textId="77777777" w:rsidR="001A0CF9" w:rsidRDefault="001A0CF9">
            <w:pPr>
              <w:jc w:val="center"/>
              <w:rPr>
                <w:color w:val="000000"/>
                <w:u w:val="single"/>
              </w:rPr>
            </w:pPr>
            <w:r>
              <w:rPr>
                <w:color w:val="000000"/>
                <w:u w:val="single"/>
              </w:rPr>
              <w:t>2006</w:t>
            </w:r>
          </w:p>
        </w:tc>
        <w:tc>
          <w:tcPr>
            <w:tcW w:w="802" w:type="dxa"/>
            <w:tcBorders>
              <w:top w:val="nil"/>
              <w:left w:val="nil"/>
              <w:bottom w:val="nil"/>
              <w:right w:val="nil"/>
            </w:tcBorders>
            <w:shd w:val="clear" w:color="000000" w:fill="FFFFFF"/>
            <w:noWrap/>
            <w:vAlign w:val="bottom"/>
            <w:hideMark/>
          </w:tcPr>
          <w:p w14:paraId="7C7198E7" w14:textId="77777777" w:rsidR="001A0CF9" w:rsidRDefault="001A0CF9">
            <w:pPr>
              <w:jc w:val="center"/>
              <w:rPr>
                <w:color w:val="000000"/>
                <w:sz w:val="22"/>
                <w:szCs w:val="22"/>
              </w:rPr>
            </w:pPr>
            <w:r>
              <w:rPr>
                <w:color w:val="000000"/>
                <w:sz w:val="22"/>
                <w:szCs w:val="22"/>
              </w:rPr>
              <w:t>.798**</w:t>
            </w:r>
          </w:p>
        </w:tc>
        <w:tc>
          <w:tcPr>
            <w:tcW w:w="802" w:type="dxa"/>
            <w:tcBorders>
              <w:top w:val="nil"/>
              <w:left w:val="nil"/>
              <w:bottom w:val="nil"/>
              <w:right w:val="nil"/>
            </w:tcBorders>
            <w:shd w:val="clear" w:color="000000" w:fill="FFFFFF"/>
            <w:noWrap/>
            <w:vAlign w:val="bottom"/>
            <w:hideMark/>
          </w:tcPr>
          <w:p w14:paraId="2D03BE25" w14:textId="77777777" w:rsidR="001A0CF9" w:rsidRDefault="001A0CF9">
            <w:pPr>
              <w:jc w:val="center"/>
              <w:rPr>
                <w:color w:val="000000"/>
                <w:sz w:val="22"/>
                <w:szCs w:val="22"/>
              </w:rPr>
            </w:pPr>
            <w:r>
              <w:rPr>
                <w:color w:val="000000"/>
                <w:sz w:val="22"/>
                <w:szCs w:val="22"/>
              </w:rPr>
              <w:t>.810**</w:t>
            </w:r>
          </w:p>
        </w:tc>
        <w:tc>
          <w:tcPr>
            <w:tcW w:w="802" w:type="dxa"/>
            <w:tcBorders>
              <w:top w:val="nil"/>
              <w:left w:val="nil"/>
              <w:bottom w:val="nil"/>
              <w:right w:val="nil"/>
            </w:tcBorders>
            <w:shd w:val="clear" w:color="000000" w:fill="FFFFFF"/>
            <w:noWrap/>
            <w:vAlign w:val="bottom"/>
            <w:hideMark/>
          </w:tcPr>
          <w:p w14:paraId="03A25E66" w14:textId="77777777" w:rsidR="001A0CF9" w:rsidRDefault="001A0CF9">
            <w:pPr>
              <w:jc w:val="center"/>
              <w:rPr>
                <w:color w:val="000000"/>
                <w:sz w:val="22"/>
                <w:szCs w:val="22"/>
              </w:rPr>
            </w:pPr>
            <w:r>
              <w:rPr>
                <w:color w:val="000000"/>
                <w:sz w:val="22"/>
                <w:szCs w:val="22"/>
              </w:rPr>
              <w:t>.825**</w:t>
            </w:r>
          </w:p>
        </w:tc>
        <w:tc>
          <w:tcPr>
            <w:tcW w:w="802" w:type="dxa"/>
            <w:tcBorders>
              <w:top w:val="nil"/>
              <w:left w:val="nil"/>
              <w:bottom w:val="nil"/>
              <w:right w:val="nil"/>
            </w:tcBorders>
            <w:shd w:val="clear" w:color="000000" w:fill="FFFFFF"/>
            <w:noWrap/>
            <w:vAlign w:val="bottom"/>
            <w:hideMark/>
          </w:tcPr>
          <w:p w14:paraId="070C1113" w14:textId="77777777" w:rsidR="001A0CF9" w:rsidRDefault="001A0CF9">
            <w:pPr>
              <w:jc w:val="center"/>
              <w:rPr>
                <w:color w:val="000000"/>
                <w:sz w:val="22"/>
                <w:szCs w:val="22"/>
              </w:rPr>
            </w:pPr>
            <w:r>
              <w:rPr>
                <w:color w:val="000000"/>
                <w:sz w:val="22"/>
                <w:szCs w:val="22"/>
              </w:rPr>
              <w:t>.841**</w:t>
            </w:r>
          </w:p>
        </w:tc>
        <w:tc>
          <w:tcPr>
            <w:tcW w:w="802" w:type="dxa"/>
            <w:tcBorders>
              <w:top w:val="nil"/>
              <w:left w:val="nil"/>
              <w:bottom w:val="nil"/>
              <w:right w:val="nil"/>
            </w:tcBorders>
            <w:shd w:val="clear" w:color="000000" w:fill="FFFFFF"/>
            <w:noWrap/>
            <w:vAlign w:val="bottom"/>
            <w:hideMark/>
          </w:tcPr>
          <w:p w14:paraId="74F7CB35" w14:textId="77777777" w:rsidR="001A0CF9" w:rsidRDefault="001A0CF9">
            <w:pPr>
              <w:jc w:val="center"/>
              <w:rPr>
                <w:color w:val="000000"/>
                <w:sz w:val="22"/>
                <w:szCs w:val="22"/>
              </w:rPr>
            </w:pPr>
            <w:r>
              <w:rPr>
                <w:color w:val="000000"/>
                <w:sz w:val="22"/>
                <w:szCs w:val="22"/>
              </w:rPr>
              <w:t>.750**</w:t>
            </w:r>
          </w:p>
        </w:tc>
        <w:tc>
          <w:tcPr>
            <w:tcW w:w="802" w:type="dxa"/>
            <w:tcBorders>
              <w:top w:val="nil"/>
              <w:left w:val="nil"/>
              <w:bottom w:val="nil"/>
              <w:right w:val="nil"/>
            </w:tcBorders>
            <w:shd w:val="clear" w:color="000000" w:fill="FFFFFF"/>
            <w:noWrap/>
            <w:vAlign w:val="bottom"/>
            <w:hideMark/>
          </w:tcPr>
          <w:p w14:paraId="613BB121" w14:textId="77777777" w:rsidR="001A0CF9" w:rsidRDefault="001A0CF9">
            <w:pPr>
              <w:jc w:val="center"/>
              <w:rPr>
                <w:color w:val="000000"/>
                <w:sz w:val="22"/>
                <w:szCs w:val="22"/>
              </w:rPr>
            </w:pPr>
            <w:r>
              <w:rPr>
                <w:color w:val="000000"/>
                <w:sz w:val="22"/>
                <w:szCs w:val="22"/>
              </w:rPr>
              <w:t>.754**</w:t>
            </w:r>
          </w:p>
        </w:tc>
        <w:tc>
          <w:tcPr>
            <w:tcW w:w="802" w:type="dxa"/>
            <w:tcBorders>
              <w:top w:val="nil"/>
              <w:left w:val="nil"/>
              <w:bottom w:val="nil"/>
              <w:right w:val="nil"/>
            </w:tcBorders>
            <w:shd w:val="clear" w:color="000000" w:fill="FFFFFF"/>
            <w:noWrap/>
            <w:vAlign w:val="bottom"/>
            <w:hideMark/>
          </w:tcPr>
          <w:p w14:paraId="4A072903" w14:textId="77777777" w:rsidR="001A0CF9" w:rsidRDefault="001A0CF9">
            <w:pPr>
              <w:jc w:val="center"/>
              <w:rPr>
                <w:color w:val="000000"/>
                <w:sz w:val="22"/>
                <w:szCs w:val="22"/>
              </w:rPr>
            </w:pPr>
            <w:r>
              <w:rPr>
                <w:color w:val="000000"/>
                <w:sz w:val="22"/>
                <w:szCs w:val="22"/>
              </w:rPr>
              <w:t>.789**</w:t>
            </w:r>
          </w:p>
        </w:tc>
        <w:tc>
          <w:tcPr>
            <w:tcW w:w="802" w:type="dxa"/>
            <w:tcBorders>
              <w:top w:val="nil"/>
              <w:left w:val="nil"/>
              <w:bottom w:val="nil"/>
              <w:right w:val="nil"/>
            </w:tcBorders>
            <w:shd w:val="clear" w:color="000000" w:fill="FFFFFF"/>
            <w:noWrap/>
            <w:vAlign w:val="bottom"/>
            <w:hideMark/>
          </w:tcPr>
          <w:p w14:paraId="0FBD32C2" w14:textId="77777777" w:rsidR="001A0CF9" w:rsidRDefault="001A0CF9">
            <w:pPr>
              <w:jc w:val="center"/>
              <w:rPr>
                <w:color w:val="000000"/>
                <w:sz w:val="22"/>
                <w:szCs w:val="22"/>
              </w:rPr>
            </w:pPr>
            <w:r>
              <w:rPr>
                <w:color w:val="000000"/>
                <w:sz w:val="22"/>
                <w:szCs w:val="22"/>
              </w:rPr>
              <w:t>.953**</w:t>
            </w:r>
          </w:p>
        </w:tc>
        <w:tc>
          <w:tcPr>
            <w:tcW w:w="802" w:type="dxa"/>
            <w:tcBorders>
              <w:top w:val="nil"/>
              <w:left w:val="nil"/>
              <w:bottom w:val="nil"/>
              <w:right w:val="nil"/>
            </w:tcBorders>
            <w:shd w:val="clear" w:color="000000" w:fill="FFFFFF"/>
            <w:noWrap/>
            <w:vAlign w:val="bottom"/>
            <w:hideMark/>
          </w:tcPr>
          <w:p w14:paraId="6850E7B5" w14:textId="77777777" w:rsidR="001A0CF9" w:rsidRDefault="001A0CF9">
            <w:pPr>
              <w:jc w:val="center"/>
              <w:rPr>
                <w:color w:val="000000"/>
                <w:sz w:val="22"/>
                <w:szCs w:val="22"/>
              </w:rPr>
            </w:pPr>
            <w:r>
              <w:rPr>
                <w:color w:val="000000"/>
                <w:sz w:val="22"/>
                <w:szCs w:val="22"/>
              </w:rPr>
              <w:t>1.000</w:t>
            </w:r>
          </w:p>
        </w:tc>
      </w:tr>
      <w:tr w:rsidR="000A6429" w14:paraId="749DA948" w14:textId="77777777" w:rsidTr="000A6429">
        <w:trPr>
          <w:trHeight w:val="173"/>
        </w:trPr>
        <w:tc>
          <w:tcPr>
            <w:tcW w:w="680" w:type="dxa"/>
            <w:tcBorders>
              <w:top w:val="nil"/>
              <w:left w:val="nil"/>
              <w:bottom w:val="nil"/>
              <w:right w:val="nil"/>
            </w:tcBorders>
            <w:shd w:val="clear" w:color="000000" w:fill="FFFFFF"/>
            <w:noWrap/>
            <w:vAlign w:val="bottom"/>
            <w:hideMark/>
          </w:tcPr>
          <w:p w14:paraId="6752977A" w14:textId="77777777" w:rsidR="001A0CF9" w:rsidRDefault="001A0CF9">
            <w:pPr>
              <w:jc w:val="center"/>
              <w:rPr>
                <w:color w:val="000000"/>
                <w:u w:val="single"/>
              </w:rPr>
            </w:pPr>
          </w:p>
        </w:tc>
        <w:tc>
          <w:tcPr>
            <w:tcW w:w="802" w:type="dxa"/>
            <w:tcBorders>
              <w:top w:val="nil"/>
              <w:left w:val="nil"/>
              <w:bottom w:val="nil"/>
              <w:right w:val="nil"/>
            </w:tcBorders>
            <w:shd w:val="clear" w:color="000000" w:fill="FFFFFF"/>
            <w:noWrap/>
            <w:vAlign w:val="bottom"/>
            <w:hideMark/>
          </w:tcPr>
          <w:p w14:paraId="668A1510" w14:textId="77777777" w:rsidR="001A0CF9" w:rsidRDefault="001A0CF9">
            <w:pPr>
              <w:jc w:val="center"/>
              <w:rPr>
                <w:color w:val="000000"/>
                <w:sz w:val="22"/>
                <w:szCs w:val="22"/>
              </w:rPr>
            </w:pPr>
            <w:r>
              <w:rPr>
                <w:color w:val="000000"/>
                <w:sz w:val="22"/>
                <w:szCs w:val="22"/>
              </w:rPr>
              <w:t> </w:t>
            </w:r>
          </w:p>
        </w:tc>
        <w:tc>
          <w:tcPr>
            <w:tcW w:w="802" w:type="dxa"/>
            <w:tcBorders>
              <w:top w:val="nil"/>
              <w:left w:val="nil"/>
              <w:bottom w:val="nil"/>
              <w:right w:val="nil"/>
            </w:tcBorders>
            <w:shd w:val="clear" w:color="000000" w:fill="FFFFFF"/>
            <w:noWrap/>
            <w:vAlign w:val="bottom"/>
            <w:hideMark/>
          </w:tcPr>
          <w:p w14:paraId="5A56ED50" w14:textId="77777777" w:rsidR="001A0CF9" w:rsidRDefault="001A0CF9">
            <w:pPr>
              <w:jc w:val="center"/>
              <w:rPr>
                <w:color w:val="000000"/>
                <w:sz w:val="22"/>
                <w:szCs w:val="22"/>
              </w:rPr>
            </w:pPr>
            <w:r>
              <w:rPr>
                <w:color w:val="000000"/>
                <w:sz w:val="22"/>
                <w:szCs w:val="22"/>
              </w:rPr>
              <w:t> </w:t>
            </w:r>
          </w:p>
        </w:tc>
        <w:tc>
          <w:tcPr>
            <w:tcW w:w="802" w:type="dxa"/>
            <w:tcBorders>
              <w:top w:val="nil"/>
              <w:left w:val="nil"/>
              <w:bottom w:val="nil"/>
              <w:right w:val="nil"/>
            </w:tcBorders>
            <w:shd w:val="clear" w:color="000000" w:fill="FFFFFF"/>
            <w:noWrap/>
            <w:vAlign w:val="bottom"/>
            <w:hideMark/>
          </w:tcPr>
          <w:p w14:paraId="53DB027C" w14:textId="77777777" w:rsidR="001A0CF9" w:rsidRDefault="001A0CF9">
            <w:pPr>
              <w:jc w:val="center"/>
              <w:rPr>
                <w:color w:val="000000"/>
                <w:sz w:val="22"/>
                <w:szCs w:val="22"/>
              </w:rPr>
            </w:pPr>
            <w:r>
              <w:rPr>
                <w:color w:val="000000"/>
                <w:sz w:val="22"/>
                <w:szCs w:val="22"/>
              </w:rPr>
              <w:t> </w:t>
            </w:r>
          </w:p>
        </w:tc>
        <w:tc>
          <w:tcPr>
            <w:tcW w:w="802" w:type="dxa"/>
            <w:tcBorders>
              <w:top w:val="nil"/>
              <w:left w:val="nil"/>
              <w:bottom w:val="nil"/>
              <w:right w:val="nil"/>
            </w:tcBorders>
            <w:shd w:val="clear" w:color="000000" w:fill="FFFFFF"/>
            <w:noWrap/>
            <w:vAlign w:val="bottom"/>
            <w:hideMark/>
          </w:tcPr>
          <w:p w14:paraId="13FB2285" w14:textId="77777777" w:rsidR="001A0CF9" w:rsidRDefault="001A0CF9">
            <w:pPr>
              <w:jc w:val="center"/>
              <w:rPr>
                <w:color w:val="000000"/>
                <w:sz w:val="22"/>
                <w:szCs w:val="22"/>
              </w:rPr>
            </w:pPr>
            <w:r>
              <w:rPr>
                <w:color w:val="000000"/>
                <w:sz w:val="22"/>
                <w:szCs w:val="22"/>
              </w:rPr>
              <w:t> </w:t>
            </w:r>
          </w:p>
        </w:tc>
        <w:tc>
          <w:tcPr>
            <w:tcW w:w="802" w:type="dxa"/>
            <w:tcBorders>
              <w:top w:val="nil"/>
              <w:left w:val="nil"/>
              <w:bottom w:val="nil"/>
              <w:right w:val="nil"/>
            </w:tcBorders>
            <w:shd w:val="clear" w:color="000000" w:fill="FFFFFF"/>
            <w:noWrap/>
            <w:vAlign w:val="bottom"/>
            <w:hideMark/>
          </w:tcPr>
          <w:p w14:paraId="24680922" w14:textId="77777777" w:rsidR="001A0CF9" w:rsidRDefault="001A0CF9">
            <w:pPr>
              <w:jc w:val="center"/>
              <w:rPr>
                <w:color w:val="000000"/>
                <w:sz w:val="22"/>
                <w:szCs w:val="22"/>
              </w:rPr>
            </w:pPr>
            <w:r>
              <w:rPr>
                <w:color w:val="000000"/>
                <w:sz w:val="22"/>
                <w:szCs w:val="22"/>
              </w:rPr>
              <w:t> </w:t>
            </w:r>
          </w:p>
        </w:tc>
        <w:tc>
          <w:tcPr>
            <w:tcW w:w="802" w:type="dxa"/>
            <w:tcBorders>
              <w:top w:val="nil"/>
              <w:left w:val="nil"/>
              <w:bottom w:val="nil"/>
              <w:right w:val="nil"/>
            </w:tcBorders>
            <w:shd w:val="clear" w:color="000000" w:fill="FFFFFF"/>
            <w:noWrap/>
            <w:vAlign w:val="bottom"/>
            <w:hideMark/>
          </w:tcPr>
          <w:p w14:paraId="46331566" w14:textId="77777777" w:rsidR="001A0CF9" w:rsidRDefault="001A0CF9">
            <w:pPr>
              <w:jc w:val="center"/>
              <w:rPr>
                <w:color w:val="000000"/>
                <w:sz w:val="22"/>
                <w:szCs w:val="22"/>
              </w:rPr>
            </w:pPr>
            <w:r>
              <w:rPr>
                <w:color w:val="000000"/>
                <w:sz w:val="22"/>
                <w:szCs w:val="22"/>
              </w:rPr>
              <w:t> </w:t>
            </w:r>
          </w:p>
        </w:tc>
        <w:tc>
          <w:tcPr>
            <w:tcW w:w="802" w:type="dxa"/>
            <w:tcBorders>
              <w:top w:val="nil"/>
              <w:left w:val="nil"/>
              <w:bottom w:val="nil"/>
              <w:right w:val="nil"/>
            </w:tcBorders>
            <w:shd w:val="clear" w:color="000000" w:fill="FFFFFF"/>
            <w:noWrap/>
            <w:vAlign w:val="bottom"/>
            <w:hideMark/>
          </w:tcPr>
          <w:p w14:paraId="30C8BECD" w14:textId="77777777" w:rsidR="001A0CF9" w:rsidRDefault="001A0CF9">
            <w:pPr>
              <w:jc w:val="center"/>
              <w:rPr>
                <w:color w:val="000000"/>
                <w:sz w:val="22"/>
                <w:szCs w:val="22"/>
              </w:rPr>
            </w:pPr>
            <w:r>
              <w:rPr>
                <w:color w:val="000000"/>
                <w:sz w:val="22"/>
                <w:szCs w:val="22"/>
              </w:rPr>
              <w:t> </w:t>
            </w:r>
          </w:p>
        </w:tc>
        <w:tc>
          <w:tcPr>
            <w:tcW w:w="802" w:type="dxa"/>
            <w:tcBorders>
              <w:top w:val="nil"/>
              <w:left w:val="nil"/>
              <w:bottom w:val="nil"/>
              <w:right w:val="nil"/>
            </w:tcBorders>
            <w:shd w:val="clear" w:color="000000" w:fill="FFFFFF"/>
            <w:noWrap/>
            <w:vAlign w:val="bottom"/>
            <w:hideMark/>
          </w:tcPr>
          <w:p w14:paraId="204C82A9" w14:textId="77777777" w:rsidR="001A0CF9" w:rsidRDefault="001A0CF9">
            <w:pPr>
              <w:jc w:val="center"/>
              <w:rPr>
                <w:color w:val="000000"/>
                <w:sz w:val="22"/>
                <w:szCs w:val="22"/>
              </w:rPr>
            </w:pPr>
            <w:r>
              <w:rPr>
                <w:color w:val="000000"/>
                <w:sz w:val="22"/>
                <w:szCs w:val="22"/>
              </w:rPr>
              <w:t> </w:t>
            </w:r>
          </w:p>
        </w:tc>
        <w:tc>
          <w:tcPr>
            <w:tcW w:w="802" w:type="dxa"/>
            <w:tcBorders>
              <w:top w:val="nil"/>
              <w:left w:val="nil"/>
              <w:bottom w:val="nil"/>
              <w:right w:val="nil"/>
            </w:tcBorders>
            <w:shd w:val="clear" w:color="000000" w:fill="FFFFFF"/>
            <w:noWrap/>
            <w:vAlign w:val="bottom"/>
            <w:hideMark/>
          </w:tcPr>
          <w:p w14:paraId="323D4C1C" w14:textId="77777777" w:rsidR="001A0CF9" w:rsidRDefault="001A0CF9">
            <w:pPr>
              <w:jc w:val="center"/>
              <w:rPr>
                <w:color w:val="000000"/>
                <w:sz w:val="22"/>
                <w:szCs w:val="22"/>
              </w:rPr>
            </w:pPr>
            <w:r>
              <w:rPr>
                <w:color w:val="000000"/>
                <w:sz w:val="22"/>
                <w:szCs w:val="22"/>
              </w:rPr>
              <w:t> </w:t>
            </w:r>
          </w:p>
        </w:tc>
      </w:tr>
      <w:tr w:rsidR="001A0CF9" w14:paraId="52A8A140" w14:textId="77777777" w:rsidTr="000A6429">
        <w:trPr>
          <w:trHeight w:val="216"/>
        </w:trPr>
        <w:tc>
          <w:tcPr>
            <w:tcW w:w="3891" w:type="dxa"/>
            <w:gridSpan w:val="5"/>
            <w:tcBorders>
              <w:top w:val="nil"/>
              <w:left w:val="nil"/>
              <w:bottom w:val="nil"/>
              <w:right w:val="nil"/>
            </w:tcBorders>
            <w:shd w:val="clear" w:color="000000" w:fill="FFFFFF"/>
            <w:noWrap/>
            <w:vAlign w:val="bottom"/>
            <w:hideMark/>
          </w:tcPr>
          <w:p w14:paraId="5F742A90" w14:textId="77777777" w:rsidR="001A0CF9" w:rsidRDefault="001A0CF9">
            <w:pPr>
              <w:rPr>
                <w:color w:val="000000"/>
                <w:sz w:val="16"/>
                <w:szCs w:val="16"/>
              </w:rPr>
            </w:pPr>
            <w:r>
              <w:rPr>
                <w:color w:val="000000"/>
                <w:sz w:val="16"/>
                <w:szCs w:val="16"/>
              </w:rPr>
              <w:t xml:space="preserve">N = 564 4-Year Public Higher Education Institutions </w:t>
            </w:r>
          </w:p>
        </w:tc>
        <w:tc>
          <w:tcPr>
            <w:tcW w:w="802" w:type="dxa"/>
            <w:tcBorders>
              <w:top w:val="nil"/>
              <w:left w:val="nil"/>
              <w:bottom w:val="nil"/>
              <w:right w:val="nil"/>
            </w:tcBorders>
            <w:shd w:val="clear" w:color="000000" w:fill="FFFFFF"/>
            <w:noWrap/>
            <w:vAlign w:val="bottom"/>
            <w:hideMark/>
          </w:tcPr>
          <w:p w14:paraId="0691B673" w14:textId="77777777" w:rsidR="001A0CF9" w:rsidRDefault="001A0CF9">
            <w:pPr>
              <w:rPr>
                <w:color w:val="000000"/>
                <w:sz w:val="16"/>
                <w:szCs w:val="16"/>
              </w:rPr>
            </w:pPr>
            <w:r>
              <w:rPr>
                <w:color w:val="000000"/>
                <w:sz w:val="16"/>
                <w:szCs w:val="16"/>
              </w:rPr>
              <w:t> </w:t>
            </w:r>
          </w:p>
        </w:tc>
        <w:tc>
          <w:tcPr>
            <w:tcW w:w="802" w:type="dxa"/>
            <w:tcBorders>
              <w:top w:val="nil"/>
              <w:left w:val="nil"/>
              <w:bottom w:val="nil"/>
              <w:right w:val="nil"/>
            </w:tcBorders>
            <w:shd w:val="clear" w:color="000000" w:fill="FFFFFF"/>
            <w:noWrap/>
            <w:vAlign w:val="bottom"/>
            <w:hideMark/>
          </w:tcPr>
          <w:p w14:paraId="1F110EFB" w14:textId="77777777" w:rsidR="001A0CF9" w:rsidRDefault="001A0CF9">
            <w:pPr>
              <w:rPr>
                <w:color w:val="000000"/>
                <w:sz w:val="16"/>
                <w:szCs w:val="16"/>
              </w:rPr>
            </w:pPr>
            <w:r>
              <w:rPr>
                <w:color w:val="000000"/>
                <w:sz w:val="16"/>
                <w:szCs w:val="16"/>
              </w:rPr>
              <w:t> </w:t>
            </w:r>
          </w:p>
        </w:tc>
        <w:tc>
          <w:tcPr>
            <w:tcW w:w="802" w:type="dxa"/>
            <w:tcBorders>
              <w:top w:val="nil"/>
              <w:left w:val="nil"/>
              <w:bottom w:val="nil"/>
              <w:right w:val="nil"/>
            </w:tcBorders>
            <w:shd w:val="clear" w:color="000000" w:fill="FFFFFF"/>
            <w:noWrap/>
            <w:vAlign w:val="bottom"/>
            <w:hideMark/>
          </w:tcPr>
          <w:p w14:paraId="6C78654F" w14:textId="77777777" w:rsidR="001A0CF9" w:rsidRDefault="001A0CF9">
            <w:pPr>
              <w:rPr>
                <w:color w:val="000000"/>
                <w:sz w:val="16"/>
                <w:szCs w:val="16"/>
              </w:rPr>
            </w:pPr>
            <w:r>
              <w:rPr>
                <w:color w:val="000000"/>
                <w:sz w:val="16"/>
                <w:szCs w:val="16"/>
              </w:rPr>
              <w:t> </w:t>
            </w:r>
          </w:p>
        </w:tc>
        <w:tc>
          <w:tcPr>
            <w:tcW w:w="802" w:type="dxa"/>
            <w:tcBorders>
              <w:top w:val="nil"/>
              <w:left w:val="nil"/>
              <w:bottom w:val="nil"/>
              <w:right w:val="nil"/>
            </w:tcBorders>
            <w:shd w:val="clear" w:color="000000" w:fill="FFFFFF"/>
            <w:noWrap/>
            <w:vAlign w:val="bottom"/>
            <w:hideMark/>
          </w:tcPr>
          <w:p w14:paraId="61D37564" w14:textId="77777777" w:rsidR="001A0CF9" w:rsidRDefault="001A0CF9">
            <w:pPr>
              <w:rPr>
                <w:color w:val="000000"/>
                <w:sz w:val="16"/>
                <w:szCs w:val="16"/>
              </w:rPr>
            </w:pPr>
            <w:r>
              <w:rPr>
                <w:color w:val="000000"/>
                <w:sz w:val="16"/>
                <w:szCs w:val="16"/>
              </w:rPr>
              <w:t> </w:t>
            </w:r>
          </w:p>
        </w:tc>
        <w:tc>
          <w:tcPr>
            <w:tcW w:w="802" w:type="dxa"/>
            <w:tcBorders>
              <w:top w:val="nil"/>
              <w:left w:val="nil"/>
              <w:bottom w:val="nil"/>
              <w:right w:val="nil"/>
            </w:tcBorders>
            <w:shd w:val="clear" w:color="000000" w:fill="FFFFFF"/>
            <w:noWrap/>
            <w:vAlign w:val="bottom"/>
            <w:hideMark/>
          </w:tcPr>
          <w:p w14:paraId="084B7A89" w14:textId="77777777" w:rsidR="001A0CF9" w:rsidRDefault="001A0CF9">
            <w:pPr>
              <w:rPr>
                <w:color w:val="000000"/>
                <w:sz w:val="16"/>
                <w:szCs w:val="16"/>
              </w:rPr>
            </w:pPr>
            <w:r>
              <w:rPr>
                <w:color w:val="000000"/>
                <w:sz w:val="16"/>
                <w:szCs w:val="16"/>
              </w:rPr>
              <w:t> </w:t>
            </w:r>
          </w:p>
        </w:tc>
      </w:tr>
      <w:tr w:rsidR="001A0CF9" w14:paraId="25712C62" w14:textId="77777777" w:rsidTr="000A6429">
        <w:trPr>
          <w:trHeight w:val="216"/>
        </w:trPr>
        <w:tc>
          <w:tcPr>
            <w:tcW w:w="4693" w:type="dxa"/>
            <w:gridSpan w:val="6"/>
            <w:tcBorders>
              <w:top w:val="nil"/>
              <w:left w:val="nil"/>
              <w:bottom w:val="single" w:sz="4" w:space="0" w:color="auto"/>
              <w:right w:val="nil"/>
            </w:tcBorders>
            <w:shd w:val="clear" w:color="000000" w:fill="FFFFFF"/>
            <w:noWrap/>
            <w:vAlign w:val="bottom"/>
            <w:hideMark/>
          </w:tcPr>
          <w:p w14:paraId="2A3EF908" w14:textId="77777777" w:rsidR="001A0CF9" w:rsidRDefault="001A0CF9">
            <w:pPr>
              <w:rPr>
                <w:color w:val="000000"/>
                <w:sz w:val="16"/>
                <w:szCs w:val="16"/>
              </w:rPr>
            </w:pPr>
            <w:r>
              <w:rPr>
                <w:color w:val="000000"/>
                <w:sz w:val="16"/>
                <w:szCs w:val="16"/>
              </w:rPr>
              <w:t xml:space="preserve">**Correlation is significant at the 0.01 level (2-tailed). </w:t>
            </w:r>
          </w:p>
        </w:tc>
        <w:tc>
          <w:tcPr>
            <w:tcW w:w="802" w:type="dxa"/>
            <w:tcBorders>
              <w:top w:val="nil"/>
              <w:left w:val="nil"/>
              <w:bottom w:val="single" w:sz="4" w:space="0" w:color="auto"/>
              <w:right w:val="nil"/>
            </w:tcBorders>
            <w:shd w:val="clear" w:color="000000" w:fill="FFFFFF"/>
            <w:vAlign w:val="bottom"/>
            <w:hideMark/>
          </w:tcPr>
          <w:p w14:paraId="4CE46725" w14:textId="77777777" w:rsidR="001A0CF9" w:rsidRDefault="001A0CF9">
            <w:pPr>
              <w:jc w:val="center"/>
              <w:rPr>
                <w:color w:val="000000"/>
                <w:sz w:val="16"/>
                <w:szCs w:val="16"/>
              </w:rPr>
            </w:pPr>
            <w:r>
              <w:rPr>
                <w:color w:val="000000"/>
                <w:sz w:val="16"/>
                <w:szCs w:val="16"/>
              </w:rPr>
              <w:t> </w:t>
            </w:r>
          </w:p>
        </w:tc>
        <w:tc>
          <w:tcPr>
            <w:tcW w:w="802" w:type="dxa"/>
            <w:tcBorders>
              <w:top w:val="nil"/>
              <w:left w:val="nil"/>
              <w:bottom w:val="single" w:sz="4" w:space="0" w:color="auto"/>
              <w:right w:val="nil"/>
            </w:tcBorders>
            <w:shd w:val="clear" w:color="000000" w:fill="FFFFFF"/>
            <w:vAlign w:val="bottom"/>
            <w:hideMark/>
          </w:tcPr>
          <w:p w14:paraId="7155DBF7" w14:textId="77777777" w:rsidR="001A0CF9" w:rsidRDefault="001A0CF9">
            <w:pPr>
              <w:jc w:val="center"/>
              <w:rPr>
                <w:color w:val="000000"/>
                <w:sz w:val="16"/>
                <w:szCs w:val="16"/>
              </w:rPr>
            </w:pPr>
            <w:r>
              <w:rPr>
                <w:color w:val="000000"/>
                <w:sz w:val="16"/>
                <w:szCs w:val="16"/>
              </w:rPr>
              <w:t> </w:t>
            </w:r>
          </w:p>
        </w:tc>
        <w:tc>
          <w:tcPr>
            <w:tcW w:w="802" w:type="dxa"/>
            <w:tcBorders>
              <w:top w:val="nil"/>
              <w:left w:val="nil"/>
              <w:bottom w:val="single" w:sz="4" w:space="0" w:color="auto"/>
              <w:right w:val="nil"/>
            </w:tcBorders>
            <w:shd w:val="clear" w:color="000000" w:fill="FFFFFF"/>
            <w:vAlign w:val="bottom"/>
            <w:hideMark/>
          </w:tcPr>
          <w:p w14:paraId="05E497A8" w14:textId="77777777" w:rsidR="001A0CF9" w:rsidRDefault="001A0CF9">
            <w:pPr>
              <w:jc w:val="center"/>
              <w:rPr>
                <w:color w:val="000000"/>
                <w:sz w:val="16"/>
                <w:szCs w:val="16"/>
              </w:rPr>
            </w:pPr>
            <w:r>
              <w:rPr>
                <w:color w:val="000000"/>
                <w:sz w:val="16"/>
                <w:szCs w:val="16"/>
              </w:rPr>
              <w:t> </w:t>
            </w:r>
          </w:p>
        </w:tc>
        <w:tc>
          <w:tcPr>
            <w:tcW w:w="802" w:type="dxa"/>
            <w:tcBorders>
              <w:top w:val="nil"/>
              <w:left w:val="nil"/>
              <w:bottom w:val="single" w:sz="4" w:space="0" w:color="auto"/>
              <w:right w:val="nil"/>
            </w:tcBorders>
            <w:shd w:val="clear" w:color="000000" w:fill="FFFFFF"/>
            <w:vAlign w:val="bottom"/>
            <w:hideMark/>
          </w:tcPr>
          <w:p w14:paraId="2D9AC480" w14:textId="77777777" w:rsidR="001A0CF9" w:rsidRDefault="001A0CF9">
            <w:pPr>
              <w:jc w:val="center"/>
              <w:rPr>
                <w:color w:val="000000"/>
                <w:sz w:val="16"/>
                <w:szCs w:val="16"/>
              </w:rPr>
            </w:pPr>
            <w:r>
              <w:rPr>
                <w:color w:val="000000"/>
                <w:sz w:val="16"/>
                <w:szCs w:val="16"/>
              </w:rPr>
              <w:t> </w:t>
            </w:r>
          </w:p>
        </w:tc>
      </w:tr>
    </w:tbl>
    <w:p w14:paraId="01C062D4" w14:textId="77777777" w:rsidR="001A0CF9" w:rsidRDefault="001A0CF9" w:rsidP="001A0CF9">
      <w:pPr>
        <w:spacing w:before="240" w:after="160" w:line="480" w:lineRule="auto"/>
        <w:ind w:firstLine="720"/>
        <w:rPr>
          <w:rFonts w:eastAsia="Calibri"/>
        </w:rPr>
      </w:pPr>
      <w:r>
        <w:rPr>
          <w:rFonts w:eastAsia="Calibri"/>
        </w:rPr>
        <w:t xml:space="preserve">Because of this stability, there appeared reasonable justification to use only the first three years (2006, 2007, and 2008) of academic support expenditures to represent institutional spending on academic support over the entire 2006 through 2014 timeframe. </w:t>
      </w:r>
    </w:p>
    <w:p w14:paraId="4C9C0D79" w14:textId="77777777" w:rsidR="000A6429" w:rsidRDefault="001A0CF9" w:rsidP="001A0CF9">
      <w:pPr>
        <w:spacing w:after="160" w:line="480" w:lineRule="auto"/>
        <w:ind w:firstLine="720"/>
        <w:rPr>
          <w:rFonts w:eastAsia="Calibri"/>
        </w:rPr>
      </w:pPr>
      <w:r>
        <w:rPr>
          <w:rFonts w:eastAsia="Calibri"/>
        </w:rPr>
        <w:lastRenderedPageBreak/>
        <w:t>T</w:t>
      </w:r>
      <w:r w:rsidRPr="001A0CF9">
        <w:rPr>
          <w:rFonts w:eastAsia="Calibri"/>
        </w:rPr>
        <w:t>able 4.</w:t>
      </w:r>
      <w:r>
        <w:rPr>
          <w:rFonts w:eastAsia="Calibri"/>
        </w:rPr>
        <w:t>5</w:t>
      </w:r>
      <w:r w:rsidRPr="001A0CF9">
        <w:rPr>
          <w:rFonts w:eastAsia="Calibri"/>
        </w:rPr>
        <w:t xml:space="preserve"> gives SPSS results of the Spearman-rho correlation analysis for the 2006 through 2014 </w:t>
      </w:r>
      <w:r>
        <w:rPr>
          <w:rFonts w:eastAsia="Calibri"/>
        </w:rPr>
        <w:t>Student Services</w:t>
      </w:r>
      <w:r w:rsidRPr="001A0CF9">
        <w:rPr>
          <w:rFonts w:eastAsia="Calibri"/>
        </w:rPr>
        <w:t xml:space="preserve"> Expenditures per Student FTE variables.  Similar to the other expenditure types, </w:t>
      </w:r>
      <w:r>
        <w:rPr>
          <w:rFonts w:eastAsia="Calibri"/>
        </w:rPr>
        <w:t>student services</w:t>
      </w:r>
      <w:r w:rsidRPr="001A0CF9">
        <w:rPr>
          <w:rFonts w:eastAsia="Calibri"/>
        </w:rPr>
        <w:t xml:space="preserve"> expenses were highly correlated between each consecutive year, without any significant increases or decreases in </w:t>
      </w:r>
      <w:r>
        <w:rPr>
          <w:rFonts w:eastAsia="Calibri"/>
        </w:rPr>
        <w:t>student services</w:t>
      </w:r>
      <w:r w:rsidRPr="001A0CF9">
        <w:rPr>
          <w:rFonts w:eastAsia="Calibri"/>
        </w:rPr>
        <w:t xml:space="preserve"> spending from year-to-year.  </w:t>
      </w:r>
    </w:p>
    <w:p w14:paraId="19BDA61D" w14:textId="77777777" w:rsidR="001A0CF9" w:rsidRDefault="001A0CF9" w:rsidP="001A0CF9">
      <w:pPr>
        <w:spacing w:after="160" w:line="480" w:lineRule="auto"/>
        <w:ind w:firstLine="720"/>
        <w:rPr>
          <w:rFonts w:eastAsia="Calibri"/>
        </w:rPr>
      </w:pPr>
      <w:r w:rsidRPr="001A0CF9">
        <w:rPr>
          <w:rFonts w:eastAsia="Calibri"/>
        </w:rPr>
        <w:t xml:space="preserve">Looking at the first three years of the study timeframe, 2006 </w:t>
      </w:r>
      <w:r>
        <w:rPr>
          <w:rFonts w:eastAsia="Calibri"/>
        </w:rPr>
        <w:t>student services</w:t>
      </w:r>
      <w:r w:rsidRPr="001A0CF9">
        <w:rPr>
          <w:rFonts w:eastAsia="Calibri"/>
        </w:rPr>
        <w:t xml:space="preserve"> expenses were 98.8 percent predictive of 2007 expenses, while 2007 expenses were 98.4 percent predictive of 2008 instruction expenses.  These high (above .900) correlation coefficients remain very high – above .900 – across all successive years.</w:t>
      </w:r>
    </w:p>
    <w:tbl>
      <w:tblPr>
        <w:tblW w:w="8085" w:type="dxa"/>
        <w:tblLook w:val="04A0" w:firstRow="1" w:lastRow="0" w:firstColumn="1" w:lastColumn="0" w:noHBand="0" w:noVBand="1"/>
      </w:tblPr>
      <w:tblGrid>
        <w:gridCol w:w="696"/>
        <w:gridCol w:w="821"/>
        <w:gridCol w:w="821"/>
        <w:gridCol w:w="821"/>
        <w:gridCol w:w="821"/>
        <w:gridCol w:w="821"/>
        <w:gridCol w:w="821"/>
        <w:gridCol w:w="821"/>
        <w:gridCol w:w="821"/>
        <w:gridCol w:w="821"/>
      </w:tblGrid>
      <w:tr w:rsidR="001A0CF9" w14:paraId="0FFF82C7" w14:textId="77777777" w:rsidTr="000A6429">
        <w:trPr>
          <w:trHeight w:val="296"/>
        </w:trPr>
        <w:tc>
          <w:tcPr>
            <w:tcW w:w="8085" w:type="dxa"/>
            <w:gridSpan w:val="10"/>
            <w:tcBorders>
              <w:top w:val="nil"/>
              <w:left w:val="nil"/>
              <w:bottom w:val="nil"/>
              <w:right w:val="nil"/>
            </w:tcBorders>
            <w:shd w:val="clear" w:color="000000" w:fill="FFFFFF"/>
            <w:noWrap/>
            <w:vAlign w:val="bottom"/>
            <w:hideMark/>
          </w:tcPr>
          <w:p w14:paraId="1B9A7822" w14:textId="77777777" w:rsidR="001A0CF9" w:rsidRDefault="001A0CF9">
            <w:pPr>
              <w:rPr>
                <w:color w:val="000000"/>
              </w:rPr>
            </w:pPr>
            <w:r>
              <w:rPr>
                <w:color w:val="000000"/>
              </w:rPr>
              <w:t>Table 4.5   2006 - 2014 Student Services Expenditures per FTE Correlations</w:t>
            </w:r>
          </w:p>
        </w:tc>
      </w:tr>
      <w:tr w:rsidR="000A6429" w14:paraId="39C143D6" w14:textId="77777777" w:rsidTr="000A6429">
        <w:trPr>
          <w:trHeight w:val="141"/>
        </w:trPr>
        <w:tc>
          <w:tcPr>
            <w:tcW w:w="696" w:type="dxa"/>
            <w:tcBorders>
              <w:top w:val="nil"/>
              <w:left w:val="nil"/>
              <w:bottom w:val="nil"/>
              <w:right w:val="nil"/>
            </w:tcBorders>
            <w:shd w:val="clear" w:color="000000" w:fill="FFFFFF"/>
            <w:noWrap/>
            <w:vAlign w:val="bottom"/>
            <w:hideMark/>
          </w:tcPr>
          <w:p w14:paraId="5848B846" w14:textId="77777777" w:rsidR="001A0CF9" w:rsidRDefault="001A0CF9">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78D2472B" w14:textId="77777777" w:rsidR="001A0CF9" w:rsidRDefault="001A0CF9">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3601327C" w14:textId="77777777" w:rsidR="001A0CF9" w:rsidRDefault="001A0CF9">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66FA8E3E" w14:textId="77777777" w:rsidR="001A0CF9" w:rsidRDefault="001A0CF9">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352FE080" w14:textId="77777777" w:rsidR="001A0CF9" w:rsidRDefault="001A0CF9">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08C471A2" w14:textId="77777777" w:rsidR="001A0CF9" w:rsidRDefault="001A0CF9">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7348133D" w14:textId="77777777" w:rsidR="001A0CF9" w:rsidRDefault="001A0CF9">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2F16FEA0" w14:textId="77777777" w:rsidR="001A0CF9" w:rsidRDefault="001A0CF9">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20331685" w14:textId="77777777" w:rsidR="001A0CF9" w:rsidRDefault="001A0CF9">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62F3B059" w14:textId="77777777" w:rsidR="001A0CF9" w:rsidRDefault="001A0CF9">
            <w:pPr>
              <w:rPr>
                <w:color w:val="000000"/>
              </w:rPr>
            </w:pPr>
            <w:r>
              <w:rPr>
                <w:color w:val="000000"/>
              </w:rPr>
              <w:t> </w:t>
            </w:r>
          </w:p>
        </w:tc>
      </w:tr>
      <w:tr w:rsidR="001A0CF9" w14:paraId="2AF82F61" w14:textId="77777777" w:rsidTr="000A6429">
        <w:trPr>
          <w:trHeight w:val="648"/>
        </w:trPr>
        <w:tc>
          <w:tcPr>
            <w:tcW w:w="8085" w:type="dxa"/>
            <w:gridSpan w:val="10"/>
            <w:tcBorders>
              <w:top w:val="single" w:sz="4" w:space="0" w:color="auto"/>
              <w:left w:val="nil"/>
              <w:bottom w:val="single" w:sz="4" w:space="0" w:color="auto"/>
              <w:right w:val="nil"/>
            </w:tcBorders>
            <w:shd w:val="clear" w:color="000000" w:fill="FFFFFF"/>
            <w:vAlign w:val="bottom"/>
            <w:hideMark/>
          </w:tcPr>
          <w:p w14:paraId="46544C19" w14:textId="77777777" w:rsidR="001A0CF9" w:rsidRDefault="001A0CF9">
            <w:pPr>
              <w:jc w:val="center"/>
              <w:rPr>
                <w:color w:val="000000"/>
                <w:sz w:val="22"/>
                <w:szCs w:val="22"/>
              </w:rPr>
            </w:pPr>
            <w:r>
              <w:rPr>
                <w:color w:val="000000"/>
                <w:sz w:val="22"/>
                <w:szCs w:val="22"/>
              </w:rPr>
              <w:t>Spearman Correlation Coefficients of Student Services Expenditures per FTE                           Fiscal Years 2006 through 2014</w:t>
            </w:r>
          </w:p>
        </w:tc>
      </w:tr>
      <w:tr w:rsidR="000A6429" w14:paraId="1A053BFC" w14:textId="77777777" w:rsidTr="000A6429">
        <w:trPr>
          <w:trHeight w:val="169"/>
        </w:trPr>
        <w:tc>
          <w:tcPr>
            <w:tcW w:w="696" w:type="dxa"/>
            <w:tcBorders>
              <w:top w:val="nil"/>
              <w:left w:val="nil"/>
              <w:bottom w:val="nil"/>
              <w:right w:val="nil"/>
            </w:tcBorders>
            <w:shd w:val="clear" w:color="000000" w:fill="FFFFFF"/>
            <w:noWrap/>
            <w:vAlign w:val="bottom"/>
            <w:hideMark/>
          </w:tcPr>
          <w:p w14:paraId="0E3E5CFB" w14:textId="77777777" w:rsidR="001A0CF9" w:rsidRDefault="001A0CF9">
            <w:pPr>
              <w:rPr>
                <w:i/>
                <w:iCs/>
                <w:color w:val="000000"/>
              </w:rPr>
            </w:pPr>
            <w:r>
              <w:rPr>
                <w:i/>
                <w:iCs/>
                <w:color w:val="000000"/>
              </w:rPr>
              <w:t> </w:t>
            </w:r>
          </w:p>
        </w:tc>
        <w:tc>
          <w:tcPr>
            <w:tcW w:w="821" w:type="dxa"/>
            <w:tcBorders>
              <w:top w:val="nil"/>
              <w:left w:val="nil"/>
              <w:bottom w:val="nil"/>
              <w:right w:val="nil"/>
            </w:tcBorders>
            <w:shd w:val="clear" w:color="000000" w:fill="FFFFFF"/>
            <w:noWrap/>
            <w:vAlign w:val="bottom"/>
            <w:hideMark/>
          </w:tcPr>
          <w:p w14:paraId="0981BA44" w14:textId="77777777" w:rsidR="001A0CF9" w:rsidRDefault="001A0CF9">
            <w:pPr>
              <w:rPr>
                <w:i/>
                <w:iCs/>
                <w:color w:val="000000"/>
              </w:rPr>
            </w:pPr>
            <w:r>
              <w:rPr>
                <w:i/>
                <w:iCs/>
                <w:color w:val="000000"/>
              </w:rPr>
              <w:t> </w:t>
            </w:r>
          </w:p>
        </w:tc>
        <w:tc>
          <w:tcPr>
            <w:tcW w:w="821" w:type="dxa"/>
            <w:tcBorders>
              <w:top w:val="nil"/>
              <w:left w:val="nil"/>
              <w:bottom w:val="nil"/>
              <w:right w:val="nil"/>
            </w:tcBorders>
            <w:shd w:val="clear" w:color="000000" w:fill="FFFFFF"/>
            <w:noWrap/>
            <w:vAlign w:val="bottom"/>
            <w:hideMark/>
          </w:tcPr>
          <w:p w14:paraId="50D37534" w14:textId="77777777" w:rsidR="001A0CF9" w:rsidRDefault="001A0CF9">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5B443610" w14:textId="77777777" w:rsidR="001A0CF9" w:rsidRDefault="001A0CF9">
            <w:pP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62DAEC69" w14:textId="77777777" w:rsidR="001A0CF9" w:rsidRDefault="001A0CF9">
            <w:pPr>
              <w:jc w:val="cente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03AC67DE" w14:textId="77777777" w:rsidR="001A0CF9" w:rsidRDefault="001A0CF9">
            <w:pPr>
              <w:jc w:val="cente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08195C76" w14:textId="77777777" w:rsidR="001A0CF9" w:rsidRDefault="001A0CF9">
            <w:pPr>
              <w:jc w:val="cente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4FFCBFCE" w14:textId="77777777" w:rsidR="001A0CF9" w:rsidRDefault="001A0CF9">
            <w:pPr>
              <w:jc w:val="cente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2E5730BB" w14:textId="77777777" w:rsidR="001A0CF9" w:rsidRDefault="001A0CF9">
            <w:pPr>
              <w:jc w:val="center"/>
              <w:rPr>
                <w:color w:val="000000"/>
              </w:rPr>
            </w:pPr>
            <w:r>
              <w:rPr>
                <w:color w:val="000000"/>
              </w:rPr>
              <w:t> </w:t>
            </w:r>
          </w:p>
        </w:tc>
        <w:tc>
          <w:tcPr>
            <w:tcW w:w="821" w:type="dxa"/>
            <w:tcBorders>
              <w:top w:val="nil"/>
              <w:left w:val="nil"/>
              <w:bottom w:val="nil"/>
              <w:right w:val="nil"/>
            </w:tcBorders>
            <w:shd w:val="clear" w:color="000000" w:fill="FFFFFF"/>
            <w:noWrap/>
            <w:vAlign w:val="bottom"/>
            <w:hideMark/>
          </w:tcPr>
          <w:p w14:paraId="61F5492D" w14:textId="77777777" w:rsidR="001A0CF9" w:rsidRDefault="001A0CF9">
            <w:pPr>
              <w:jc w:val="center"/>
              <w:rPr>
                <w:color w:val="000000"/>
              </w:rPr>
            </w:pPr>
            <w:r>
              <w:rPr>
                <w:color w:val="000000"/>
              </w:rPr>
              <w:t> </w:t>
            </w:r>
          </w:p>
        </w:tc>
      </w:tr>
      <w:tr w:rsidR="000A6429" w14:paraId="581317BB" w14:textId="77777777" w:rsidTr="000A6429">
        <w:trPr>
          <w:trHeight w:val="282"/>
        </w:trPr>
        <w:tc>
          <w:tcPr>
            <w:tcW w:w="696" w:type="dxa"/>
            <w:tcBorders>
              <w:top w:val="nil"/>
              <w:left w:val="nil"/>
              <w:bottom w:val="nil"/>
              <w:right w:val="nil"/>
            </w:tcBorders>
            <w:shd w:val="clear" w:color="000000" w:fill="FFFFFF"/>
            <w:noWrap/>
            <w:vAlign w:val="bottom"/>
            <w:hideMark/>
          </w:tcPr>
          <w:p w14:paraId="55DAF6F5" w14:textId="77777777" w:rsidR="001A0CF9" w:rsidRDefault="001A0CF9">
            <w:pPr>
              <w:rPr>
                <w:i/>
                <w:iCs/>
                <w:color w:val="000000"/>
              </w:rPr>
            </w:pPr>
            <w:r>
              <w:rPr>
                <w:i/>
                <w:iCs/>
                <w:color w:val="000000"/>
              </w:rPr>
              <w:t> </w:t>
            </w:r>
          </w:p>
        </w:tc>
        <w:tc>
          <w:tcPr>
            <w:tcW w:w="821" w:type="dxa"/>
            <w:tcBorders>
              <w:top w:val="nil"/>
              <w:left w:val="nil"/>
              <w:bottom w:val="nil"/>
              <w:right w:val="nil"/>
            </w:tcBorders>
            <w:shd w:val="clear" w:color="000000" w:fill="FFFFFF"/>
            <w:noWrap/>
            <w:vAlign w:val="bottom"/>
            <w:hideMark/>
          </w:tcPr>
          <w:p w14:paraId="4C40E8A0" w14:textId="77777777" w:rsidR="001A0CF9" w:rsidRDefault="001A0CF9">
            <w:pPr>
              <w:jc w:val="center"/>
              <w:rPr>
                <w:color w:val="000000"/>
                <w:u w:val="single"/>
              </w:rPr>
            </w:pPr>
            <w:r>
              <w:rPr>
                <w:color w:val="000000"/>
                <w:u w:val="single"/>
              </w:rPr>
              <w:t>2014</w:t>
            </w:r>
          </w:p>
        </w:tc>
        <w:tc>
          <w:tcPr>
            <w:tcW w:w="821" w:type="dxa"/>
            <w:tcBorders>
              <w:top w:val="nil"/>
              <w:left w:val="nil"/>
              <w:bottom w:val="nil"/>
              <w:right w:val="nil"/>
            </w:tcBorders>
            <w:shd w:val="clear" w:color="000000" w:fill="FFFFFF"/>
            <w:noWrap/>
            <w:vAlign w:val="bottom"/>
            <w:hideMark/>
          </w:tcPr>
          <w:p w14:paraId="712910DF" w14:textId="77777777" w:rsidR="001A0CF9" w:rsidRDefault="001A0CF9">
            <w:pPr>
              <w:jc w:val="center"/>
              <w:rPr>
                <w:color w:val="000000"/>
                <w:u w:val="single"/>
              </w:rPr>
            </w:pPr>
            <w:r>
              <w:rPr>
                <w:color w:val="000000"/>
                <w:u w:val="single"/>
              </w:rPr>
              <w:t>2013</w:t>
            </w:r>
          </w:p>
        </w:tc>
        <w:tc>
          <w:tcPr>
            <w:tcW w:w="821" w:type="dxa"/>
            <w:tcBorders>
              <w:top w:val="nil"/>
              <w:left w:val="nil"/>
              <w:bottom w:val="nil"/>
              <w:right w:val="nil"/>
            </w:tcBorders>
            <w:shd w:val="clear" w:color="000000" w:fill="FFFFFF"/>
            <w:noWrap/>
            <w:vAlign w:val="bottom"/>
            <w:hideMark/>
          </w:tcPr>
          <w:p w14:paraId="4F79378B" w14:textId="77777777" w:rsidR="001A0CF9" w:rsidRDefault="001A0CF9">
            <w:pPr>
              <w:jc w:val="center"/>
              <w:rPr>
                <w:color w:val="000000"/>
                <w:u w:val="single"/>
              </w:rPr>
            </w:pPr>
            <w:r>
              <w:rPr>
                <w:color w:val="000000"/>
                <w:u w:val="single"/>
              </w:rPr>
              <w:t>2012</w:t>
            </w:r>
          </w:p>
        </w:tc>
        <w:tc>
          <w:tcPr>
            <w:tcW w:w="821" w:type="dxa"/>
            <w:tcBorders>
              <w:top w:val="nil"/>
              <w:left w:val="nil"/>
              <w:bottom w:val="nil"/>
              <w:right w:val="nil"/>
            </w:tcBorders>
            <w:shd w:val="clear" w:color="000000" w:fill="FFFFFF"/>
            <w:vAlign w:val="bottom"/>
            <w:hideMark/>
          </w:tcPr>
          <w:p w14:paraId="7854A523" w14:textId="77777777" w:rsidR="001A0CF9" w:rsidRDefault="001A0CF9">
            <w:pPr>
              <w:jc w:val="center"/>
              <w:rPr>
                <w:color w:val="000000"/>
                <w:u w:val="single"/>
              </w:rPr>
            </w:pPr>
            <w:r>
              <w:rPr>
                <w:color w:val="000000"/>
                <w:u w:val="single"/>
              </w:rPr>
              <w:t>2011</w:t>
            </w:r>
          </w:p>
        </w:tc>
        <w:tc>
          <w:tcPr>
            <w:tcW w:w="821" w:type="dxa"/>
            <w:tcBorders>
              <w:top w:val="nil"/>
              <w:left w:val="nil"/>
              <w:bottom w:val="nil"/>
              <w:right w:val="nil"/>
            </w:tcBorders>
            <w:shd w:val="clear" w:color="000000" w:fill="FFFFFF"/>
            <w:vAlign w:val="bottom"/>
            <w:hideMark/>
          </w:tcPr>
          <w:p w14:paraId="62502128" w14:textId="77777777" w:rsidR="001A0CF9" w:rsidRDefault="001A0CF9">
            <w:pPr>
              <w:jc w:val="center"/>
              <w:rPr>
                <w:color w:val="000000"/>
                <w:u w:val="single"/>
              </w:rPr>
            </w:pPr>
            <w:r>
              <w:rPr>
                <w:color w:val="000000"/>
                <w:u w:val="single"/>
              </w:rPr>
              <w:t>2010</w:t>
            </w:r>
          </w:p>
        </w:tc>
        <w:tc>
          <w:tcPr>
            <w:tcW w:w="821" w:type="dxa"/>
            <w:tcBorders>
              <w:top w:val="nil"/>
              <w:left w:val="nil"/>
              <w:bottom w:val="nil"/>
              <w:right w:val="nil"/>
            </w:tcBorders>
            <w:shd w:val="clear" w:color="000000" w:fill="FFFFFF"/>
            <w:vAlign w:val="bottom"/>
            <w:hideMark/>
          </w:tcPr>
          <w:p w14:paraId="3714D5AC" w14:textId="77777777" w:rsidR="001A0CF9" w:rsidRDefault="001A0CF9">
            <w:pPr>
              <w:jc w:val="center"/>
              <w:rPr>
                <w:color w:val="000000"/>
                <w:u w:val="single"/>
              </w:rPr>
            </w:pPr>
            <w:r>
              <w:rPr>
                <w:color w:val="000000"/>
                <w:u w:val="single"/>
              </w:rPr>
              <w:t>2009</w:t>
            </w:r>
          </w:p>
        </w:tc>
        <w:tc>
          <w:tcPr>
            <w:tcW w:w="821" w:type="dxa"/>
            <w:tcBorders>
              <w:top w:val="nil"/>
              <w:left w:val="nil"/>
              <w:bottom w:val="nil"/>
              <w:right w:val="nil"/>
            </w:tcBorders>
            <w:shd w:val="clear" w:color="000000" w:fill="FFFFFF"/>
            <w:vAlign w:val="bottom"/>
            <w:hideMark/>
          </w:tcPr>
          <w:p w14:paraId="3555EEAB" w14:textId="77777777" w:rsidR="001A0CF9" w:rsidRDefault="001A0CF9">
            <w:pPr>
              <w:jc w:val="center"/>
              <w:rPr>
                <w:color w:val="000000"/>
                <w:u w:val="single"/>
              </w:rPr>
            </w:pPr>
            <w:r>
              <w:rPr>
                <w:color w:val="000000"/>
                <w:u w:val="single"/>
              </w:rPr>
              <w:t>2008</w:t>
            </w:r>
          </w:p>
        </w:tc>
        <w:tc>
          <w:tcPr>
            <w:tcW w:w="821" w:type="dxa"/>
            <w:tcBorders>
              <w:top w:val="nil"/>
              <w:left w:val="nil"/>
              <w:bottom w:val="nil"/>
              <w:right w:val="nil"/>
            </w:tcBorders>
            <w:shd w:val="clear" w:color="000000" w:fill="FFFFFF"/>
            <w:vAlign w:val="bottom"/>
            <w:hideMark/>
          </w:tcPr>
          <w:p w14:paraId="3CB1DF07" w14:textId="77777777" w:rsidR="001A0CF9" w:rsidRDefault="001A0CF9">
            <w:pPr>
              <w:jc w:val="center"/>
              <w:rPr>
                <w:color w:val="000000"/>
                <w:u w:val="single"/>
              </w:rPr>
            </w:pPr>
            <w:r>
              <w:rPr>
                <w:color w:val="000000"/>
                <w:u w:val="single"/>
              </w:rPr>
              <w:t>2007</w:t>
            </w:r>
          </w:p>
        </w:tc>
        <w:tc>
          <w:tcPr>
            <w:tcW w:w="821" w:type="dxa"/>
            <w:tcBorders>
              <w:top w:val="nil"/>
              <w:left w:val="nil"/>
              <w:bottom w:val="nil"/>
              <w:right w:val="nil"/>
            </w:tcBorders>
            <w:shd w:val="clear" w:color="000000" w:fill="FFFFFF"/>
            <w:vAlign w:val="bottom"/>
            <w:hideMark/>
          </w:tcPr>
          <w:p w14:paraId="0EC5DF45" w14:textId="77777777" w:rsidR="001A0CF9" w:rsidRDefault="001A0CF9">
            <w:pPr>
              <w:jc w:val="center"/>
              <w:rPr>
                <w:color w:val="000000"/>
                <w:u w:val="single"/>
              </w:rPr>
            </w:pPr>
            <w:r>
              <w:rPr>
                <w:color w:val="000000"/>
                <w:u w:val="single"/>
              </w:rPr>
              <w:t>2006</w:t>
            </w:r>
          </w:p>
        </w:tc>
      </w:tr>
      <w:tr w:rsidR="000A6429" w14:paraId="792C2F62" w14:textId="77777777" w:rsidTr="000A6429">
        <w:trPr>
          <w:trHeight w:val="282"/>
        </w:trPr>
        <w:tc>
          <w:tcPr>
            <w:tcW w:w="696" w:type="dxa"/>
            <w:tcBorders>
              <w:top w:val="nil"/>
              <w:left w:val="nil"/>
              <w:bottom w:val="nil"/>
              <w:right w:val="nil"/>
            </w:tcBorders>
            <w:shd w:val="clear" w:color="000000" w:fill="FFFFFF"/>
            <w:noWrap/>
            <w:vAlign w:val="bottom"/>
            <w:hideMark/>
          </w:tcPr>
          <w:p w14:paraId="6F824D94" w14:textId="77777777" w:rsidR="001A0CF9" w:rsidRDefault="001A0CF9">
            <w:pPr>
              <w:jc w:val="center"/>
              <w:rPr>
                <w:color w:val="000000"/>
                <w:u w:val="single"/>
              </w:rPr>
            </w:pPr>
            <w:r>
              <w:rPr>
                <w:color w:val="000000"/>
                <w:u w:val="single"/>
              </w:rPr>
              <w:t>2014</w:t>
            </w:r>
          </w:p>
        </w:tc>
        <w:tc>
          <w:tcPr>
            <w:tcW w:w="821" w:type="dxa"/>
            <w:tcBorders>
              <w:top w:val="nil"/>
              <w:left w:val="nil"/>
              <w:bottom w:val="nil"/>
              <w:right w:val="nil"/>
            </w:tcBorders>
            <w:shd w:val="clear" w:color="000000" w:fill="FFFFFF"/>
            <w:noWrap/>
            <w:vAlign w:val="bottom"/>
            <w:hideMark/>
          </w:tcPr>
          <w:p w14:paraId="74E70F23" w14:textId="77777777" w:rsidR="001A0CF9" w:rsidRDefault="001A0CF9">
            <w:pPr>
              <w:jc w:val="center"/>
              <w:rPr>
                <w:color w:val="000000"/>
                <w:sz w:val="22"/>
                <w:szCs w:val="22"/>
              </w:rPr>
            </w:pPr>
            <w:r>
              <w:rPr>
                <w:color w:val="000000"/>
                <w:sz w:val="22"/>
                <w:szCs w:val="22"/>
              </w:rPr>
              <w:t>1.000</w:t>
            </w:r>
          </w:p>
        </w:tc>
        <w:tc>
          <w:tcPr>
            <w:tcW w:w="821" w:type="dxa"/>
            <w:tcBorders>
              <w:top w:val="nil"/>
              <w:left w:val="nil"/>
              <w:bottom w:val="nil"/>
              <w:right w:val="nil"/>
            </w:tcBorders>
            <w:shd w:val="clear" w:color="000000" w:fill="FFFFFF"/>
            <w:noWrap/>
            <w:vAlign w:val="bottom"/>
            <w:hideMark/>
          </w:tcPr>
          <w:p w14:paraId="5F3CB2F7" w14:textId="77777777" w:rsidR="001A0CF9" w:rsidRDefault="001A0CF9">
            <w:pPr>
              <w:jc w:val="center"/>
              <w:rPr>
                <w:color w:val="000000"/>
                <w:sz w:val="22"/>
                <w:szCs w:val="22"/>
              </w:rPr>
            </w:pPr>
            <w:r>
              <w:rPr>
                <w:color w:val="000000"/>
                <w:sz w:val="22"/>
                <w:szCs w:val="22"/>
              </w:rPr>
              <w:t>.979**</w:t>
            </w:r>
          </w:p>
        </w:tc>
        <w:tc>
          <w:tcPr>
            <w:tcW w:w="821" w:type="dxa"/>
            <w:tcBorders>
              <w:top w:val="nil"/>
              <w:left w:val="nil"/>
              <w:bottom w:val="nil"/>
              <w:right w:val="nil"/>
            </w:tcBorders>
            <w:shd w:val="clear" w:color="000000" w:fill="FFFFFF"/>
            <w:noWrap/>
            <w:vAlign w:val="bottom"/>
            <w:hideMark/>
          </w:tcPr>
          <w:p w14:paraId="36AA944F" w14:textId="77777777" w:rsidR="001A0CF9" w:rsidRDefault="001A0CF9">
            <w:pPr>
              <w:jc w:val="center"/>
              <w:rPr>
                <w:color w:val="000000"/>
                <w:sz w:val="22"/>
                <w:szCs w:val="22"/>
              </w:rPr>
            </w:pPr>
            <w:r>
              <w:rPr>
                <w:color w:val="000000"/>
                <w:sz w:val="22"/>
                <w:szCs w:val="22"/>
              </w:rPr>
              <w:t>.953**</w:t>
            </w:r>
          </w:p>
        </w:tc>
        <w:tc>
          <w:tcPr>
            <w:tcW w:w="821" w:type="dxa"/>
            <w:tcBorders>
              <w:top w:val="nil"/>
              <w:left w:val="nil"/>
              <w:bottom w:val="nil"/>
              <w:right w:val="nil"/>
            </w:tcBorders>
            <w:shd w:val="clear" w:color="000000" w:fill="FFFFFF"/>
            <w:noWrap/>
            <w:vAlign w:val="bottom"/>
            <w:hideMark/>
          </w:tcPr>
          <w:p w14:paraId="490867BA" w14:textId="77777777" w:rsidR="001A0CF9" w:rsidRDefault="001A0CF9">
            <w:pPr>
              <w:jc w:val="center"/>
              <w:rPr>
                <w:color w:val="000000"/>
                <w:sz w:val="22"/>
                <w:szCs w:val="22"/>
              </w:rPr>
            </w:pPr>
            <w:r>
              <w:rPr>
                <w:color w:val="000000"/>
                <w:sz w:val="22"/>
                <w:szCs w:val="22"/>
              </w:rPr>
              <w:t>.946**</w:t>
            </w:r>
          </w:p>
        </w:tc>
        <w:tc>
          <w:tcPr>
            <w:tcW w:w="821" w:type="dxa"/>
            <w:tcBorders>
              <w:top w:val="nil"/>
              <w:left w:val="nil"/>
              <w:bottom w:val="nil"/>
              <w:right w:val="nil"/>
            </w:tcBorders>
            <w:shd w:val="clear" w:color="000000" w:fill="FFFFFF"/>
            <w:noWrap/>
            <w:vAlign w:val="bottom"/>
            <w:hideMark/>
          </w:tcPr>
          <w:p w14:paraId="628019EB" w14:textId="77777777" w:rsidR="001A0CF9" w:rsidRDefault="001A0CF9">
            <w:pPr>
              <w:jc w:val="center"/>
              <w:rPr>
                <w:color w:val="000000"/>
                <w:sz w:val="22"/>
                <w:szCs w:val="22"/>
              </w:rPr>
            </w:pPr>
            <w:r>
              <w:rPr>
                <w:color w:val="000000"/>
                <w:sz w:val="22"/>
                <w:szCs w:val="22"/>
              </w:rPr>
              <w:t>.918**</w:t>
            </w:r>
          </w:p>
        </w:tc>
        <w:tc>
          <w:tcPr>
            <w:tcW w:w="821" w:type="dxa"/>
            <w:tcBorders>
              <w:top w:val="nil"/>
              <w:left w:val="nil"/>
              <w:bottom w:val="nil"/>
              <w:right w:val="nil"/>
            </w:tcBorders>
            <w:shd w:val="clear" w:color="000000" w:fill="FFFFFF"/>
            <w:noWrap/>
            <w:vAlign w:val="bottom"/>
            <w:hideMark/>
          </w:tcPr>
          <w:p w14:paraId="676F33EB" w14:textId="77777777" w:rsidR="001A0CF9" w:rsidRDefault="001A0CF9">
            <w:pPr>
              <w:jc w:val="center"/>
              <w:rPr>
                <w:color w:val="000000"/>
                <w:sz w:val="22"/>
                <w:szCs w:val="22"/>
              </w:rPr>
            </w:pPr>
            <w:r>
              <w:rPr>
                <w:color w:val="000000"/>
                <w:sz w:val="22"/>
                <w:szCs w:val="22"/>
              </w:rPr>
              <w:t>.929**</w:t>
            </w:r>
          </w:p>
        </w:tc>
        <w:tc>
          <w:tcPr>
            <w:tcW w:w="821" w:type="dxa"/>
            <w:tcBorders>
              <w:top w:val="nil"/>
              <w:left w:val="nil"/>
              <w:bottom w:val="nil"/>
              <w:right w:val="nil"/>
            </w:tcBorders>
            <w:shd w:val="clear" w:color="000000" w:fill="FFFFFF"/>
            <w:noWrap/>
            <w:vAlign w:val="bottom"/>
            <w:hideMark/>
          </w:tcPr>
          <w:p w14:paraId="3027BFA0" w14:textId="77777777" w:rsidR="001A0CF9" w:rsidRDefault="001A0CF9">
            <w:pPr>
              <w:jc w:val="center"/>
              <w:rPr>
                <w:color w:val="000000"/>
                <w:sz w:val="22"/>
                <w:szCs w:val="22"/>
              </w:rPr>
            </w:pPr>
            <w:r>
              <w:rPr>
                <w:color w:val="000000"/>
                <w:sz w:val="22"/>
                <w:szCs w:val="22"/>
              </w:rPr>
              <w:t>.888**</w:t>
            </w:r>
          </w:p>
        </w:tc>
        <w:tc>
          <w:tcPr>
            <w:tcW w:w="821" w:type="dxa"/>
            <w:tcBorders>
              <w:top w:val="nil"/>
              <w:left w:val="nil"/>
              <w:bottom w:val="nil"/>
              <w:right w:val="nil"/>
            </w:tcBorders>
            <w:shd w:val="clear" w:color="000000" w:fill="FFFFFF"/>
            <w:noWrap/>
            <w:vAlign w:val="bottom"/>
            <w:hideMark/>
          </w:tcPr>
          <w:p w14:paraId="7FEF1D43" w14:textId="77777777" w:rsidR="001A0CF9" w:rsidRDefault="001A0CF9">
            <w:pPr>
              <w:jc w:val="center"/>
              <w:rPr>
                <w:color w:val="000000"/>
                <w:sz w:val="22"/>
                <w:szCs w:val="22"/>
              </w:rPr>
            </w:pPr>
            <w:r>
              <w:rPr>
                <w:color w:val="000000"/>
                <w:sz w:val="22"/>
                <w:szCs w:val="22"/>
              </w:rPr>
              <w:t>.907**</w:t>
            </w:r>
          </w:p>
        </w:tc>
        <w:tc>
          <w:tcPr>
            <w:tcW w:w="821" w:type="dxa"/>
            <w:tcBorders>
              <w:top w:val="nil"/>
              <w:left w:val="nil"/>
              <w:bottom w:val="nil"/>
              <w:right w:val="nil"/>
            </w:tcBorders>
            <w:shd w:val="clear" w:color="000000" w:fill="FFFFFF"/>
            <w:noWrap/>
            <w:vAlign w:val="bottom"/>
            <w:hideMark/>
          </w:tcPr>
          <w:p w14:paraId="13427FC4" w14:textId="77777777" w:rsidR="001A0CF9" w:rsidRDefault="001A0CF9">
            <w:pPr>
              <w:jc w:val="center"/>
              <w:rPr>
                <w:color w:val="000000"/>
                <w:sz w:val="22"/>
                <w:szCs w:val="22"/>
              </w:rPr>
            </w:pPr>
            <w:r>
              <w:rPr>
                <w:color w:val="000000"/>
                <w:sz w:val="22"/>
                <w:szCs w:val="22"/>
              </w:rPr>
              <w:t>.860**</w:t>
            </w:r>
          </w:p>
        </w:tc>
      </w:tr>
      <w:tr w:rsidR="000A6429" w14:paraId="0420612C" w14:textId="77777777" w:rsidTr="000A6429">
        <w:trPr>
          <w:trHeight w:val="282"/>
        </w:trPr>
        <w:tc>
          <w:tcPr>
            <w:tcW w:w="696" w:type="dxa"/>
            <w:tcBorders>
              <w:top w:val="nil"/>
              <w:left w:val="nil"/>
              <w:bottom w:val="nil"/>
              <w:right w:val="nil"/>
            </w:tcBorders>
            <w:shd w:val="clear" w:color="000000" w:fill="FFFFFF"/>
            <w:noWrap/>
            <w:vAlign w:val="bottom"/>
            <w:hideMark/>
          </w:tcPr>
          <w:p w14:paraId="2F22B0BF" w14:textId="77777777" w:rsidR="001A0CF9" w:rsidRDefault="001A0CF9">
            <w:pPr>
              <w:jc w:val="center"/>
              <w:rPr>
                <w:color w:val="000000"/>
                <w:u w:val="single"/>
              </w:rPr>
            </w:pPr>
            <w:r>
              <w:rPr>
                <w:color w:val="000000"/>
                <w:u w:val="single"/>
              </w:rPr>
              <w:t>2013</w:t>
            </w:r>
          </w:p>
        </w:tc>
        <w:tc>
          <w:tcPr>
            <w:tcW w:w="821" w:type="dxa"/>
            <w:tcBorders>
              <w:top w:val="nil"/>
              <w:left w:val="nil"/>
              <w:bottom w:val="nil"/>
              <w:right w:val="nil"/>
            </w:tcBorders>
            <w:shd w:val="clear" w:color="000000" w:fill="FFFFFF"/>
            <w:noWrap/>
            <w:vAlign w:val="bottom"/>
            <w:hideMark/>
          </w:tcPr>
          <w:p w14:paraId="60E369D3" w14:textId="77777777" w:rsidR="001A0CF9" w:rsidRDefault="001A0CF9">
            <w:pPr>
              <w:jc w:val="center"/>
              <w:rPr>
                <w:color w:val="000000"/>
                <w:sz w:val="22"/>
                <w:szCs w:val="22"/>
              </w:rPr>
            </w:pPr>
            <w:r>
              <w:rPr>
                <w:color w:val="000000"/>
                <w:sz w:val="22"/>
                <w:szCs w:val="22"/>
              </w:rPr>
              <w:t>.979**</w:t>
            </w:r>
          </w:p>
        </w:tc>
        <w:tc>
          <w:tcPr>
            <w:tcW w:w="821" w:type="dxa"/>
            <w:tcBorders>
              <w:top w:val="nil"/>
              <w:left w:val="nil"/>
              <w:bottom w:val="nil"/>
              <w:right w:val="nil"/>
            </w:tcBorders>
            <w:shd w:val="clear" w:color="000000" w:fill="FFFFFF"/>
            <w:noWrap/>
            <w:vAlign w:val="bottom"/>
            <w:hideMark/>
          </w:tcPr>
          <w:p w14:paraId="0F5FA6B6" w14:textId="77777777" w:rsidR="001A0CF9" w:rsidRDefault="001A0CF9">
            <w:pPr>
              <w:jc w:val="center"/>
              <w:rPr>
                <w:color w:val="000000"/>
                <w:sz w:val="22"/>
                <w:szCs w:val="22"/>
              </w:rPr>
            </w:pPr>
            <w:r>
              <w:rPr>
                <w:color w:val="000000"/>
                <w:sz w:val="22"/>
                <w:szCs w:val="22"/>
              </w:rPr>
              <w:t>1.000</w:t>
            </w:r>
          </w:p>
        </w:tc>
        <w:tc>
          <w:tcPr>
            <w:tcW w:w="821" w:type="dxa"/>
            <w:tcBorders>
              <w:top w:val="nil"/>
              <w:left w:val="nil"/>
              <w:bottom w:val="nil"/>
              <w:right w:val="nil"/>
            </w:tcBorders>
            <w:shd w:val="clear" w:color="000000" w:fill="FFFFFF"/>
            <w:noWrap/>
            <w:vAlign w:val="bottom"/>
            <w:hideMark/>
          </w:tcPr>
          <w:p w14:paraId="638B4C89" w14:textId="77777777" w:rsidR="001A0CF9" w:rsidRDefault="001A0CF9">
            <w:pPr>
              <w:jc w:val="center"/>
              <w:rPr>
                <w:color w:val="000000"/>
                <w:sz w:val="22"/>
                <w:szCs w:val="22"/>
              </w:rPr>
            </w:pPr>
            <w:r>
              <w:rPr>
                <w:color w:val="000000"/>
                <w:sz w:val="22"/>
                <w:szCs w:val="22"/>
              </w:rPr>
              <w:t>.971**</w:t>
            </w:r>
          </w:p>
        </w:tc>
        <w:tc>
          <w:tcPr>
            <w:tcW w:w="821" w:type="dxa"/>
            <w:tcBorders>
              <w:top w:val="nil"/>
              <w:left w:val="nil"/>
              <w:bottom w:val="nil"/>
              <w:right w:val="nil"/>
            </w:tcBorders>
            <w:shd w:val="clear" w:color="000000" w:fill="FFFFFF"/>
            <w:noWrap/>
            <w:vAlign w:val="bottom"/>
            <w:hideMark/>
          </w:tcPr>
          <w:p w14:paraId="72041B5A" w14:textId="77777777" w:rsidR="001A0CF9" w:rsidRDefault="001A0CF9">
            <w:pPr>
              <w:jc w:val="center"/>
              <w:rPr>
                <w:color w:val="000000"/>
                <w:sz w:val="22"/>
                <w:szCs w:val="22"/>
              </w:rPr>
            </w:pPr>
            <w:r>
              <w:rPr>
                <w:color w:val="000000"/>
                <w:sz w:val="22"/>
                <w:szCs w:val="22"/>
              </w:rPr>
              <w:t>.965**</w:t>
            </w:r>
          </w:p>
        </w:tc>
        <w:tc>
          <w:tcPr>
            <w:tcW w:w="821" w:type="dxa"/>
            <w:tcBorders>
              <w:top w:val="nil"/>
              <w:left w:val="nil"/>
              <w:bottom w:val="nil"/>
              <w:right w:val="nil"/>
            </w:tcBorders>
            <w:shd w:val="clear" w:color="000000" w:fill="FFFFFF"/>
            <w:noWrap/>
            <w:vAlign w:val="bottom"/>
            <w:hideMark/>
          </w:tcPr>
          <w:p w14:paraId="229A4801" w14:textId="77777777" w:rsidR="001A0CF9" w:rsidRDefault="001A0CF9">
            <w:pPr>
              <w:jc w:val="center"/>
              <w:rPr>
                <w:color w:val="000000"/>
                <w:sz w:val="22"/>
                <w:szCs w:val="22"/>
              </w:rPr>
            </w:pPr>
            <w:r>
              <w:rPr>
                <w:color w:val="000000"/>
                <w:sz w:val="22"/>
                <w:szCs w:val="22"/>
              </w:rPr>
              <w:t>.933**</w:t>
            </w:r>
          </w:p>
        </w:tc>
        <w:tc>
          <w:tcPr>
            <w:tcW w:w="821" w:type="dxa"/>
            <w:tcBorders>
              <w:top w:val="nil"/>
              <w:left w:val="nil"/>
              <w:bottom w:val="nil"/>
              <w:right w:val="nil"/>
            </w:tcBorders>
            <w:shd w:val="clear" w:color="000000" w:fill="FFFFFF"/>
            <w:noWrap/>
            <w:vAlign w:val="bottom"/>
            <w:hideMark/>
          </w:tcPr>
          <w:p w14:paraId="13C90F08" w14:textId="77777777" w:rsidR="001A0CF9" w:rsidRDefault="001A0CF9">
            <w:pPr>
              <w:jc w:val="center"/>
              <w:rPr>
                <w:color w:val="000000"/>
                <w:sz w:val="22"/>
                <w:szCs w:val="22"/>
              </w:rPr>
            </w:pPr>
            <w:r>
              <w:rPr>
                <w:color w:val="000000"/>
                <w:sz w:val="22"/>
                <w:szCs w:val="22"/>
              </w:rPr>
              <w:t>.936**</w:t>
            </w:r>
          </w:p>
        </w:tc>
        <w:tc>
          <w:tcPr>
            <w:tcW w:w="821" w:type="dxa"/>
            <w:tcBorders>
              <w:top w:val="nil"/>
              <w:left w:val="nil"/>
              <w:bottom w:val="nil"/>
              <w:right w:val="nil"/>
            </w:tcBorders>
            <w:shd w:val="clear" w:color="000000" w:fill="FFFFFF"/>
            <w:noWrap/>
            <w:vAlign w:val="bottom"/>
            <w:hideMark/>
          </w:tcPr>
          <w:p w14:paraId="23525005" w14:textId="77777777" w:rsidR="001A0CF9" w:rsidRDefault="001A0CF9">
            <w:pPr>
              <w:jc w:val="center"/>
              <w:rPr>
                <w:color w:val="000000"/>
                <w:sz w:val="22"/>
                <w:szCs w:val="22"/>
              </w:rPr>
            </w:pPr>
            <w:r>
              <w:rPr>
                <w:color w:val="000000"/>
                <w:sz w:val="22"/>
                <w:szCs w:val="22"/>
              </w:rPr>
              <w:t>.901**</w:t>
            </w:r>
          </w:p>
        </w:tc>
        <w:tc>
          <w:tcPr>
            <w:tcW w:w="821" w:type="dxa"/>
            <w:tcBorders>
              <w:top w:val="nil"/>
              <w:left w:val="nil"/>
              <w:bottom w:val="nil"/>
              <w:right w:val="nil"/>
            </w:tcBorders>
            <w:shd w:val="clear" w:color="000000" w:fill="FFFFFF"/>
            <w:noWrap/>
            <w:vAlign w:val="bottom"/>
            <w:hideMark/>
          </w:tcPr>
          <w:p w14:paraId="27D48671" w14:textId="77777777" w:rsidR="001A0CF9" w:rsidRDefault="001A0CF9">
            <w:pPr>
              <w:jc w:val="center"/>
              <w:rPr>
                <w:color w:val="000000"/>
                <w:sz w:val="22"/>
                <w:szCs w:val="22"/>
              </w:rPr>
            </w:pPr>
            <w:r>
              <w:rPr>
                <w:color w:val="000000"/>
                <w:sz w:val="22"/>
                <w:szCs w:val="22"/>
              </w:rPr>
              <w:t>.915**</w:t>
            </w:r>
          </w:p>
        </w:tc>
        <w:tc>
          <w:tcPr>
            <w:tcW w:w="821" w:type="dxa"/>
            <w:tcBorders>
              <w:top w:val="nil"/>
              <w:left w:val="nil"/>
              <w:bottom w:val="nil"/>
              <w:right w:val="nil"/>
            </w:tcBorders>
            <w:shd w:val="clear" w:color="000000" w:fill="FFFFFF"/>
            <w:noWrap/>
            <w:vAlign w:val="bottom"/>
            <w:hideMark/>
          </w:tcPr>
          <w:p w14:paraId="1F36607D" w14:textId="77777777" w:rsidR="001A0CF9" w:rsidRDefault="001A0CF9">
            <w:pPr>
              <w:jc w:val="center"/>
              <w:rPr>
                <w:color w:val="000000"/>
                <w:sz w:val="22"/>
                <w:szCs w:val="22"/>
              </w:rPr>
            </w:pPr>
            <w:r>
              <w:rPr>
                <w:color w:val="000000"/>
                <w:sz w:val="22"/>
                <w:szCs w:val="22"/>
              </w:rPr>
              <w:t>.881**</w:t>
            </w:r>
          </w:p>
        </w:tc>
      </w:tr>
      <w:tr w:rsidR="000A6429" w14:paraId="6FE66AEB" w14:textId="77777777" w:rsidTr="000A6429">
        <w:trPr>
          <w:trHeight w:val="282"/>
        </w:trPr>
        <w:tc>
          <w:tcPr>
            <w:tcW w:w="696" w:type="dxa"/>
            <w:tcBorders>
              <w:top w:val="nil"/>
              <w:left w:val="nil"/>
              <w:bottom w:val="nil"/>
              <w:right w:val="nil"/>
            </w:tcBorders>
            <w:shd w:val="clear" w:color="000000" w:fill="FFFFFF"/>
            <w:noWrap/>
            <w:vAlign w:val="bottom"/>
            <w:hideMark/>
          </w:tcPr>
          <w:p w14:paraId="693C8C94" w14:textId="77777777" w:rsidR="001A0CF9" w:rsidRDefault="001A0CF9">
            <w:pPr>
              <w:jc w:val="center"/>
              <w:rPr>
                <w:color w:val="000000"/>
                <w:u w:val="single"/>
              </w:rPr>
            </w:pPr>
            <w:r>
              <w:rPr>
                <w:color w:val="000000"/>
                <w:u w:val="single"/>
              </w:rPr>
              <w:t>2012</w:t>
            </w:r>
          </w:p>
        </w:tc>
        <w:tc>
          <w:tcPr>
            <w:tcW w:w="821" w:type="dxa"/>
            <w:tcBorders>
              <w:top w:val="nil"/>
              <w:left w:val="nil"/>
              <w:bottom w:val="nil"/>
              <w:right w:val="nil"/>
            </w:tcBorders>
            <w:shd w:val="clear" w:color="000000" w:fill="FFFFFF"/>
            <w:noWrap/>
            <w:vAlign w:val="bottom"/>
            <w:hideMark/>
          </w:tcPr>
          <w:p w14:paraId="52EA016D" w14:textId="77777777" w:rsidR="001A0CF9" w:rsidRDefault="001A0CF9">
            <w:pPr>
              <w:jc w:val="center"/>
              <w:rPr>
                <w:color w:val="000000"/>
                <w:sz w:val="22"/>
                <w:szCs w:val="22"/>
              </w:rPr>
            </w:pPr>
            <w:r>
              <w:rPr>
                <w:color w:val="000000"/>
                <w:sz w:val="22"/>
                <w:szCs w:val="22"/>
              </w:rPr>
              <w:t>.953**</w:t>
            </w:r>
          </w:p>
        </w:tc>
        <w:tc>
          <w:tcPr>
            <w:tcW w:w="821" w:type="dxa"/>
            <w:tcBorders>
              <w:top w:val="nil"/>
              <w:left w:val="nil"/>
              <w:bottom w:val="nil"/>
              <w:right w:val="nil"/>
            </w:tcBorders>
            <w:shd w:val="clear" w:color="000000" w:fill="FFFFFF"/>
            <w:noWrap/>
            <w:vAlign w:val="bottom"/>
            <w:hideMark/>
          </w:tcPr>
          <w:p w14:paraId="76458F81" w14:textId="77777777" w:rsidR="001A0CF9" w:rsidRDefault="001A0CF9">
            <w:pPr>
              <w:jc w:val="center"/>
              <w:rPr>
                <w:color w:val="000000"/>
                <w:sz w:val="22"/>
                <w:szCs w:val="22"/>
              </w:rPr>
            </w:pPr>
            <w:r>
              <w:rPr>
                <w:color w:val="000000"/>
                <w:sz w:val="22"/>
                <w:szCs w:val="22"/>
              </w:rPr>
              <w:t>.971**</w:t>
            </w:r>
          </w:p>
        </w:tc>
        <w:tc>
          <w:tcPr>
            <w:tcW w:w="821" w:type="dxa"/>
            <w:tcBorders>
              <w:top w:val="nil"/>
              <w:left w:val="nil"/>
              <w:bottom w:val="nil"/>
              <w:right w:val="nil"/>
            </w:tcBorders>
            <w:shd w:val="clear" w:color="000000" w:fill="FFFFFF"/>
            <w:noWrap/>
            <w:vAlign w:val="bottom"/>
            <w:hideMark/>
          </w:tcPr>
          <w:p w14:paraId="659F510E" w14:textId="77777777" w:rsidR="001A0CF9" w:rsidRDefault="001A0CF9">
            <w:pPr>
              <w:jc w:val="center"/>
              <w:rPr>
                <w:color w:val="000000"/>
                <w:sz w:val="22"/>
                <w:szCs w:val="22"/>
              </w:rPr>
            </w:pPr>
            <w:r>
              <w:rPr>
                <w:color w:val="000000"/>
                <w:sz w:val="22"/>
                <w:szCs w:val="22"/>
              </w:rPr>
              <w:t>1.000</w:t>
            </w:r>
          </w:p>
        </w:tc>
        <w:tc>
          <w:tcPr>
            <w:tcW w:w="821" w:type="dxa"/>
            <w:tcBorders>
              <w:top w:val="nil"/>
              <w:left w:val="nil"/>
              <w:bottom w:val="nil"/>
              <w:right w:val="nil"/>
            </w:tcBorders>
            <w:shd w:val="clear" w:color="000000" w:fill="FFFFFF"/>
            <w:noWrap/>
            <w:vAlign w:val="bottom"/>
            <w:hideMark/>
          </w:tcPr>
          <w:p w14:paraId="2BF57668" w14:textId="77777777" w:rsidR="001A0CF9" w:rsidRDefault="001A0CF9">
            <w:pPr>
              <w:jc w:val="center"/>
              <w:rPr>
                <w:color w:val="000000"/>
                <w:sz w:val="22"/>
                <w:szCs w:val="22"/>
              </w:rPr>
            </w:pPr>
            <w:r>
              <w:rPr>
                <w:color w:val="000000"/>
                <w:sz w:val="22"/>
                <w:szCs w:val="22"/>
              </w:rPr>
              <w:t>.987**</w:t>
            </w:r>
          </w:p>
        </w:tc>
        <w:tc>
          <w:tcPr>
            <w:tcW w:w="821" w:type="dxa"/>
            <w:tcBorders>
              <w:top w:val="nil"/>
              <w:left w:val="nil"/>
              <w:bottom w:val="nil"/>
              <w:right w:val="nil"/>
            </w:tcBorders>
            <w:shd w:val="clear" w:color="000000" w:fill="FFFFFF"/>
            <w:noWrap/>
            <w:vAlign w:val="bottom"/>
            <w:hideMark/>
          </w:tcPr>
          <w:p w14:paraId="02CC31FA" w14:textId="77777777" w:rsidR="001A0CF9" w:rsidRDefault="001A0CF9">
            <w:pPr>
              <w:jc w:val="center"/>
              <w:rPr>
                <w:color w:val="000000"/>
                <w:sz w:val="22"/>
                <w:szCs w:val="22"/>
              </w:rPr>
            </w:pPr>
            <w:r>
              <w:rPr>
                <w:color w:val="000000"/>
                <w:sz w:val="22"/>
                <w:szCs w:val="22"/>
              </w:rPr>
              <w:t>.944**</w:t>
            </w:r>
          </w:p>
        </w:tc>
        <w:tc>
          <w:tcPr>
            <w:tcW w:w="821" w:type="dxa"/>
            <w:tcBorders>
              <w:top w:val="nil"/>
              <w:left w:val="nil"/>
              <w:bottom w:val="nil"/>
              <w:right w:val="nil"/>
            </w:tcBorders>
            <w:shd w:val="clear" w:color="000000" w:fill="FFFFFF"/>
            <w:noWrap/>
            <w:vAlign w:val="bottom"/>
            <w:hideMark/>
          </w:tcPr>
          <w:p w14:paraId="6EA5EE27" w14:textId="77777777" w:rsidR="001A0CF9" w:rsidRDefault="001A0CF9">
            <w:pPr>
              <w:jc w:val="center"/>
              <w:rPr>
                <w:color w:val="000000"/>
                <w:sz w:val="22"/>
                <w:szCs w:val="22"/>
              </w:rPr>
            </w:pPr>
            <w:r>
              <w:rPr>
                <w:color w:val="000000"/>
                <w:sz w:val="22"/>
                <w:szCs w:val="22"/>
              </w:rPr>
              <w:t>.942**</w:t>
            </w:r>
          </w:p>
        </w:tc>
        <w:tc>
          <w:tcPr>
            <w:tcW w:w="821" w:type="dxa"/>
            <w:tcBorders>
              <w:top w:val="nil"/>
              <w:left w:val="nil"/>
              <w:bottom w:val="nil"/>
              <w:right w:val="nil"/>
            </w:tcBorders>
            <w:shd w:val="clear" w:color="000000" w:fill="FFFFFF"/>
            <w:noWrap/>
            <w:vAlign w:val="bottom"/>
            <w:hideMark/>
          </w:tcPr>
          <w:p w14:paraId="6EAE400F" w14:textId="77777777" w:rsidR="001A0CF9" w:rsidRDefault="001A0CF9">
            <w:pPr>
              <w:jc w:val="center"/>
              <w:rPr>
                <w:color w:val="000000"/>
                <w:sz w:val="22"/>
                <w:szCs w:val="22"/>
              </w:rPr>
            </w:pPr>
            <w:r>
              <w:rPr>
                <w:color w:val="000000"/>
                <w:sz w:val="22"/>
                <w:szCs w:val="22"/>
              </w:rPr>
              <w:t>.916**</w:t>
            </w:r>
          </w:p>
        </w:tc>
        <w:tc>
          <w:tcPr>
            <w:tcW w:w="821" w:type="dxa"/>
            <w:tcBorders>
              <w:top w:val="nil"/>
              <w:left w:val="nil"/>
              <w:bottom w:val="nil"/>
              <w:right w:val="nil"/>
            </w:tcBorders>
            <w:shd w:val="clear" w:color="000000" w:fill="FFFFFF"/>
            <w:noWrap/>
            <w:vAlign w:val="bottom"/>
            <w:hideMark/>
          </w:tcPr>
          <w:p w14:paraId="2DDC73F7" w14:textId="77777777" w:rsidR="001A0CF9" w:rsidRDefault="001A0CF9">
            <w:pPr>
              <w:jc w:val="center"/>
              <w:rPr>
                <w:color w:val="000000"/>
                <w:sz w:val="22"/>
                <w:szCs w:val="22"/>
              </w:rPr>
            </w:pPr>
            <w:r>
              <w:rPr>
                <w:color w:val="000000"/>
                <w:sz w:val="22"/>
                <w:szCs w:val="22"/>
              </w:rPr>
              <w:t>.930**</w:t>
            </w:r>
          </w:p>
        </w:tc>
        <w:tc>
          <w:tcPr>
            <w:tcW w:w="821" w:type="dxa"/>
            <w:tcBorders>
              <w:top w:val="nil"/>
              <w:left w:val="nil"/>
              <w:bottom w:val="nil"/>
              <w:right w:val="nil"/>
            </w:tcBorders>
            <w:shd w:val="clear" w:color="000000" w:fill="FFFFFF"/>
            <w:noWrap/>
            <w:vAlign w:val="bottom"/>
            <w:hideMark/>
          </w:tcPr>
          <w:p w14:paraId="7D598F96" w14:textId="77777777" w:rsidR="001A0CF9" w:rsidRDefault="001A0CF9">
            <w:pPr>
              <w:jc w:val="center"/>
              <w:rPr>
                <w:color w:val="000000"/>
                <w:sz w:val="22"/>
                <w:szCs w:val="22"/>
              </w:rPr>
            </w:pPr>
            <w:r>
              <w:rPr>
                <w:color w:val="000000"/>
                <w:sz w:val="22"/>
                <w:szCs w:val="22"/>
              </w:rPr>
              <w:t>.898**</w:t>
            </w:r>
          </w:p>
        </w:tc>
      </w:tr>
      <w:tr w:rsidR="000A6429" w14:paraId="01C2922E" w14:textId="77777777" w:rsidTr="000A6429">
        <w:trPr>
          <w:trHeight w:val="282"/>
        </w:trPr>
        <w:tc>
          <w:tcPr>
            <w:tcW w:w="696" w:type="dxa"/>
            <w:tcBorders>
              <w:top w:val="nil"/>
              <w:left w:val="nil"/>
              <w:bottom w:val="nil"/>
              <w:right w:val="nil"/>
            </w:tcBorders>
            <w:shd w:val="clear" w:color="000000" w:fill="FFFFFF"/>
            <w:noWrap/>
            <w:vAlign w:val="bottom"/>
            <w:hideMark/>
          </w:tcPr>
          <w:p w14:paraId="75A0BC45" w14:textId="77777777" w:rsidR="001A0CF9" w:rsidRDefault="001A0CF9">
            <w:pPr>
              <w:jc w:val="center"/>
              <w:rPr>
                <w:color w:val="000000"/>
                <w:u w:val="single"/>
              </w:rPr>
            </w:pPr>
            <w:r>
              <w:rPr>
                <w:color w:val="000000"/>
                <w:u w:val="single"/>
              </w:rPr>
              <w:t>2011</w:t>
            </w:r>
          </w:p>
        </w:tc>
        <w:tc>
          <w:tcPr>
            <w:tcW w:w="821" w:type="dxa"/>
            <w:tcBorders>
              <w:top w:val="nil"/>
              <w:left w:val="nil"/>
              <w:bottom w:val="nil"/>
              <w:right w:val="nil"/>
            </w:tcBorders>
            <w:shd w:val="clear" w:color="000000" w:fill="FFFFFF"/>
            <w:noWrap/>
            <w:vAlign w:val="bottom"/>
            <w:hideMark/>
          </w:tcPr>
          <w:p w14:paraId="3263897F" w14:textId="77777777" w:rsidR="001A0CF9" w:rsidRDefault="001A0CF9">
            <w:pPr>
              <w:jc w:val="center"/>
              <w:rPr>
                <w:color w:val="000000"/>
                <w:sz w:val="22"/>
                <w:szCs w:val="22"/>
              </w:rPr>
            </w:pPr>
            <w:r>
              <w:rPr>
                <w:color w:val="000000"/>
                <w:sz w:val="22"/>
                <w:szCs w:val="22"/>
              </w:rPr>
              <w:t>.946**</w:t>
            </w:r>
          </w:p>
        </w:tc>
        <w:tc>
          <w:tcPr>
            <w:tcW w:w="821" w:type="dxa"/>
            <w:tcBorders>
              <w:top w:val="nil"/>
              <w:left w:val="nil"/>
              <w:bottom w:val="nil"/>
              <w:right w:val="nil"/>
            </w:tcBorders>
            <w:shd w:val="clear" w:color="000000" w:fill="FFFFFF"/>
            <w:noWrap/>
            <w:vAlign w:val="bottom"/>
            <w:hideMark/>
          </w:tcPr>
          <w:p w14:paraId="2F9E8C4D" w14:textId="77777777" w:rsidR="001A0CF9" w:rsidRDefault="001A0CF9">
            <w:pPr>
              <w:jc w:val="center"/>
              <w:rPr>
                <w:color w:val="000000"/>
                <w:sz w:val="22"/>
                <w:szCs w:val="22"/>
              </w:rPr>
            </w:pPr>
            <w:r>
              <w:rPr>
                <w:color w:val="000000"/>
                <w:sz w:val="22"/>
                <w:szCs w:val="22"/>
              </w:rPr>
              <w:t>.965**</w:t>
            </w:r>
          </w:p>
        </w:tc>
        <w:tc>
          <w:tcPr>
            <w:tcW w:w="821" w:type="dxa"/>
            <w:tcBorders>
              <w:top w:val="nil"/>
              <w:left w:val="nil"/>
              <w:bottom w:val="nil"/>
              <w:right w:val="nil"/>
            </w:tcBorders>
            <w:shd w:val="clear" w:color="000000" w:fill="FFFFFF"/>
            <w:noWrap/>
            <w:vAlign w:val="bottom"/>
            <w:hideMark/>
          </w:tcPr>
          <w:p w14:paraId="70794488" w14:textId="77777777" w:rsidR="001A0CF9" w:rsidRDefault="001A0CF9">
            <w:pPr>
              <w:jc w:val="center"/>
              <w:rPr>
                <w:color w:val="000000"/>
                <w:sz w:val="22"/>
                <w:szCs w:val="22"/>
              </w:rPr>
            </w:pPr>
            <w:r>
              <w:rPr>
                <w:color w:val="000000"/>
                <w:sz w:val="22"/>
                <w:szCs w:val="22"/>
              </w:rPr>
              <w:t>.987**</w:t>
            </w:r>
          </w:p>
        </w:tc>
        <w:tc>
          <w:tcPr>
            <w:tcW w:w="821" w:type="dxa"/>
            <w:tcBorders>
              <w:top w:val="nil"/>
              <w:left w:val="nil"/>
              <w:bottom w:val="nil"/>
              <w:right w:val="nil"/>
            </w:tcBorders>
            <w:shd w:val="clear" w:color="000000" w:fill="FFFFFF"/>
            <w:noWrap/>
            <w:vAlign w:val="bottom"/>
            <w:hideMark/>
          </w:tcPr>
          <w:p w14:paraId="7746F815" w14:textId="77777777" w:rsidR="001A0CF9" w:rsidRDefault="001A0CF9">
            <w:pPr>
              <w:jc w:val="center"/>
              <w:rPr>
                <w:color w:val="000000"/>
                <w:sz w:val="22"/>
                <w:szCs w:val="22"/>
              </w:rPr>
            </w:pPr>
            <w:r>
              <w:rPr>
                <w:color w:val="000000"/>
                <w:sz w:val="22"/>
                <w:szCs w:val="22"/>
              </w:rPr>
              <w:t>1.000</w:t>
            </w:r>
          </w:p>
        </w:tc>
        <w:tc>
          <w:tcPr>
            <w:tcW w:w="821" w:type="dxa"/>
            <w:tcBorders>
              <w:top w:val="nil"/>
              <w:left w:val="nil"/>
              <w:bottom w:val="nil"/>
              <w:right w:val="nil"/>
            </w:tcBorders>
            <w:shd w:val="clear" w:color="000000" w:fill="FFFFFF"/>
            <w:noWrap/>
            <w:vAlign w:val="bottom"/>
            <w:hideMark/>
          </w:tcPr>
          <w:p w14:paraId="78A8465F" w14:textId="77777777" w:rsidR="001A0CF9" w:rsidRDefault="001A0CF9">
            <w:pPr>
              <w:jc w:val="center"/>
              <w:rPr>
                <w:color w:val="000000"/>
                <w:sz w:val="22"/>
                <w:szCs w:val="22"/>
              </w:rPr>
            </w:pPr>
            <w:r>
              <w:rPr>
                <w:color w:val="000000"/>
                <w:sz w:val="22"/>
                <w:szCs w:val="22"/>
              </w:rPr>
              <w:t>.948**</w:t>
            </w:r>
          </w:p>
        </w:tc>
        <w:tc>
          <w:tcPr>
            <w:tcW w:w="821" w:type="dxa"/>
            <w:tcBorders>
              <w:top w:val="nil"/>
              <w:left w:val="nil"/>
              <w:bottom w:val="nil"/>
              <w:right w:val="nil"/>
            </w:tcBorders>
            <w:shd w:val="clear" w:color="000000" w:fill="FFFFFF"/>
            <w:noWrap/>
            <w:vAlign w:val="bottom"/>
            <w:hideMark/>
          </w:tcPr>
          <w:p w14:paraId="6AA09761" w14:textId="77777777" w:rsidR="001A0CF9" w:rsidRDefault="001A0CF9">
            <w:pPr>
              <w:jc w:val="center"/>
              <w:rPr>
                <w:color w:val="000000"/>
                <w:sz w:val="22"/>
                <w:szCs w:val="22"/>
              </w:rPr>
            </w:pPr>
            <w:r>
              <w:rPr>
                <w:color w:val="000000"/>
                <w:sz w:val="22"/>
                <w:szCs w:val="22"/>
              </w:rPr>
              <w:t>.947**</w:t>
            </w:r>
          </w:p>
        </w:tc>
        <w:tc>
          <w:tcPr>
            <w:tcW w:w="821" w:type="dxa"/>
            <w:tcBorders>
              <w:top w:val="nil"/>
              <w:left w:val="nil"/>
              <w:bottom w:val="nil"/>
              <w:right w:val="nil"/>
            </w:tcBorders>
            <w:shd w:val="clear" w:color="000000" w:fill="FFFFFF"/>
            <w:noWrap/>
            <w:vAlign w:val="bottom"/>
            <w:hideMark/>
          </w:tcPr>
          <w:p w14:paraId="2DDC6198" w14:textId="77777777" w:rsidR="001A0CF9" w:rsidRDefault="001A0CF9">
            <w:pPr>
              <w:jc w:val="center"/>
              <w:rPr>
                <w:color w:val="000000"/>
                <w:sz w:val="22"/>
                <w:szCs w:val="22"/>
              </w:rPr>
            </w:pPr>
            <w:r>
              <w:rPr>
                <w:color w:val="000000"/>
                <w:sz w:val="22"/>
                <w:szCs w:val="22"/>
              </w:rPr>
              <w:t>.919**</w:t>
            </w:r>
          </w:p>
        </w:tc>
        <w:tc>
          <w:tcPr>
            <w:tcW w:w="821" w:type="dxa"/>
            <w:tcBorders>
              <w:top w:val="nil"/>
              <w:left w:val="nil"/>
              <w:bottom w:val="nil"/>
              <w:right w:val="nil"/>
            </w:tcBorders>
            <w:shd w:val="clear" w:color="000000" w:fill="FFFFFF"/>
            <w:noWrap/>
            <w:vAlign w:val="bottom"/>
            <w:hideMark/>
          </w:tcPr>
          <w:p w14:paraId="7A98D9A2" w14:textId="77777777" w:rsidR="001A0CF9" w:rsidRDefault="001A0CF9">
            <w:pPr>
              <w:jc w:val="center"/>
              <w:rPr>
                <w:color w:val="000000"/>
                <w:sz w:val="22"/>
                <w:szCs w:val="22"/>
              </w:rPr>
            </w:pPr>
            <w:r>
              <w:rPr>
                <w:color w:val="000000"/>
                <w:sz w:val="22"/>
                <w:szCs w:val="22"/>
              </w:rPr>
              <w:t>.928**</w:t>
            </w:r>
          </w:p>
        </w:tc>
        <w:tc>
          <w:tcPr>
            <w:tcW w:w="821" w:type="dxa"/>
            <w:tcBorders>
              <w:top w:val="nil"/>
              <w:left w:val="nil"/>
              <w:bottom w:val="nil"/>
              <w:right w:val="nil"/>
            </w:tcBorders>
            <w:shd w:val="clear" w:color="000000" w:fill="FFFFFF"/>
            <w:noWrap/>
            <w:vAlign w:val="bottom"/>
            <w:hideMark/>
          </w:tcPr>
          <w:p w14:paraId="54E21EC0" w14:textId="77777777" w:rsidR="001A0CF9" w:rsidRDefault="001A0CF9">
            <w:pPr>
              <w:jc w:val="center"/>
              <w:rPr>
                <w:color w:val="000000"/>
                <w:sz w:val="22"/>
                <w:szCs w:val="22"/>
              </w:rPr>
            </w:pPr>
            <w:r>
              <w:rPr>
                <w:color w:val="000000"/>
                <w:sz w:val="22"/>
                <w:szCs w:val="22"/>
              </w:rPr>
              <w:t>.904**</w:t>
            </w:r>
          </w:p>
        </w:tc>
      </w:tr>
      <w:tr w:rsidR="000A6429" w14:paraId="3DF5D869" w14:textId="77777777" w:rsidTr="000A6429">
        <w:trPr>
          <w:trHeight w:val="282"/>
        </w:trPr>
        <w:tc>
          <w:tcPr>
            <w:tcW w:w="696" w:type="dxa"/>
            <w:tcBorders>
              <w:top w:val="nil"/>
              <w:left w:val="nil"/>
              <w:bottom w:val="nil"/>
              <w:right w:val="nil"/>
            </w:tcBorders>
            <w:shd w:val="clear" w:color="000000" w:fill="FFFFFF"/>
            <w:noWrap/>
            <w:vAlign w:val="bottom"/>
            <w:hideMark/>
          </w:tcPr>
          <w:p w14:paraId="206EADCE" w14:textId="77777777" w:rsidR="001A0CF9" w:rsidRDefault="001A0CF9">
            <w:pPr>
              <w:jc w:val="center"/>
              <w:rPr>
                <w:color w:val="000000"/>
                <w:u w:val="single"/>
              </w:rPr>
            </w:pPr>
            <w:r>
              <w:rPr>
                <w:color w:val="000000"/>
                <w:u w:val="single"/>
              </w:rPr>
              <w:t>2010</w:t>
            </w:r>
          </w:p>
        </w:tc>
        <w:tc>
          <w:tcPr>
            <w:tcW w:w="821" w:type="dxa"/>
            <w:tcBorders>
              <w:top w:val="nil"/>
              <w:left w:val="nil"/>
              <w:bottom w:val="nil"/>
              <w:right w:val="nil"/>
            </w:tcBorders>
            <w:shd w:val="clear" w:color="000000" w:fill="FFFFFF"/>
            <w:noWrap/>
            <w:vAlign w:val="bottom"/>
            <w:hideMark/>
          </w:tcPr>
          <w:p w14:paraId="510E6911" w14:textId="77777777" w:rsidR="001A0CF9" w:rsidRDefault="001A0CF9">
            <w:pPr>
              <w:jc w:val="center"/>
              <w:rPr>
                <w:color w:val="000000"/>
                <w:sz w:val="22"/>
                <w:szCs w:val="22"/>
              </w:rPr>
            </w:pPr>
            <w:r>
              <w:rPr>
                <w:color w:val="000000"/>
                <w:sz w:val="22"/>
                <w:szCs w:val="22"/>
              </w:rPr>
              <w:t>.918**</w:t>
            </w:r>
          </w:p>
        </w:tc>
        <w:tc>
          <w:tcPr>
            <w:tcW w:w="821" w:type="dxa"/>
            <w:tcBorders>
              <w:top w:val="nil"/>
              <w:left w:val="nil"/>
              <w:bottom w:val="nil"/>
              <w:right w:val="nil"/>
            </w:tcBorders>
            <w:shd w:val="clear" w:color="000000" w:fill="FFFFFF"/>
            <w:noWrap/>
            <w:vAlign w:val="bottom"/>
            <w:hideMark/>
          </w:tcPr>
          <w:p w14:paraId="30E1889E" w14:textId="77777777" w:rsidR="001A0CF9" w:rsidRDefault="001A0CF9">
            <w:pPr>
              <w:jc w:val="center"/>
              <w:rPr>
                <w:color w:val="000000"/>
                <w:sz w:val="22"/>
                <w:szCs w:val="22"/>
              </w:rPr>
            </w:pPr>
            <w:r>
              <w:rPr>
                <w:color w:val="000000"/>
                <w:sz w:val="22"/>
                <w:szCs w:val="22"/>
              </w:rPr>
              <w:t>.933**</w:t>
            </w:r>
          </w:p>
        </w:tc>
        <w:tc>
          <w:tcPr>
            <w:tcW w:w="821" w:type="dxa"/>
            <w:tcBorders>
              <w:top w:val="nil"/>
              <w:left w:val="nil"/>
              <w:bottom w:val="nil"/>
              <w:right w:val="nil"/>
            </w:tcBorders>
            <w:shd w:val="clear" w:color="000000" w:fill="FFFFFF"/>
            <w:noWrap/>
            <w:vAlign w:val="bottom"/>
            <w:hideMark/>
          </w:tcPr>
          <w:p w14:paraId="5742EE43" w14:textId="77777777" w:rsidR="001A0CF9" w:rsidRDefault="001A0CF9">
            <w:pPr>
              <w:jc w:val="center"/>
              <w:rPr>
                <w:color w:val="000000"/>
                <w:sz w:val="22"/>
                <w:szCs w:val="22"/>
              </w:rPr>
            </w:pPr>
            <w:r>
              <w:rPr>
                <w:color w:val="000000"/>
                <w:sz w:val="22"/>
                <w:szCs w:val="22"/>
              </w:rPr>
              <w:t>.944**</w:t>
            </w:r>
          </w:p>
        </w:tc>
        <w:tc>
          <w:tcPr>
            <w:tcW w:w="821" w:type="dxa"/>
            <w:tcBorders>
              <w:top w:val="nil"/>
              <w:left w:val="nil"/>
              <w:bottom w:val="nil"/>
              <w:right w:val="nil"/>
            </w:tcBorders>
            <w:shd w:val="clear" w:color="000000" w:fill="FFFFFF"/>
            <w:noWrap/>
            <w:vAlign w:val="bottom"/>
            <w:hideMark/>
          </w:tcPr>
          <w:p w14:paraId="3DBB6A84" w14:textId="77777777" w:rsidR="001A0CF9" w:rsidRDefault="001A0CF9">
            <w:pPr>
              <w:jc w:val="center"/>
              <w:rPr>
                <w:color w:val="000000"/>
                <w:sz w:val="22"/>
                <w:szCs w:val="22"/>
              </w:rPr>
            </w:pPr>
            <w:r>
              <w:rPr>
                <w:color w:val="000000"/>
                <w:sz w:val="22"/>
                <w:szCs w:val="22"/>
              </w:rPr>
              <w:t>.948**</w:t>
            </w:r>
          </w:p>
        </w:tc>
        <w:tc>
          <w:tcPr>
            <w:tcW w:w="821" w:type="dxa"/>
            <w:tcBorders>
              <w:top w:val="nil"/>
              <w:left w:val="nil"/>
              <w:bottom w:val="nil"/>
              <w:right w:val="nil"/>
            </w:tcBorders>
            <w:shd w:val="clear" w:color="000000" w:fill="FFFFFF"/>
            <w:noWrap/>
            <w:vAlign w:val="bottom"/>
            <w:hideMark/>
          </w:tcPr>
          <w:p w14:paraId="59F20C30" w14:textId="77777777" w:rsidR="001A0CF9" w:rsidRDefault="001A0CF9">
            <w:pPr>
              <w:jc w:val="center"/>
              <w:rPr>
                <w:color w:val="000000"/>
                <w:sz w:val="22"/>
                <w:szCs w:val="22"/>
              </w:rPr>
            </w:pPr>
            <w:r>
              <w:rPr>
                <w:color w:val="000000"/>
                <w:sz w:val="22"/>
                <w:szCs w:val="22"/>
              </w:rPr>
              <w:t>1.000</w:t>
            </w:r>
          </w:p>
        </w:tc>
        <w:tc>
          <w:tcPr>
            <w:tcW w:w="821" w:type="dxa"/>
            <w:tcBorders>
              <w:top w:val="nil"/>
              <w:left w:val="nil"/>
              <w:bottom w:val="nil"/>
              <w:right w:val="nil"/>
            </w:tcBorders>
            <w:shd w:val="clear" w:color="000000" w:fill="FFFFFF"/>
            <w:noWrap/>
            <w:vAlign w:val="bottom"/>
            <w:hideMark/>
          </w:tcPr>
          <w:p w14:paraId="35CA7D28" w14:textId="77777777" w:rsidR="001A0CF9" w:rsidRDefault="001A0CF9">
            <w:pPr>
              <w:jc w:val="center"/>
              <w:rPr>
                <w:color w:val="000000"/>
                <w:sz w:val="22"/>
                <w:szCs w:val="22"/>
              </w:rPr>
            </w:pPr>
            <w:r>
              <w:rPr>
                <w:color w:val="000000"/>
                <w:sz w:val="22"/>
                <w:szCs w:val="22"/>
              </w:rPr>
              <w:t>.948**</w:t>
            </w:r>
          </w:p>
        </w:tc>
        <w:tc>
          <w:tcPr>
            <w:tcW w:w="821" w:type="dxa"/>
            <w:tcBorders>
              <w:top w:val="nil"/>
              <w:left w:val="nil"/>
              <w:bottom w:val="nil"/>
              <w:right w:val="nil"/>
            </w:tcBorders>
            <w:shd w:val="clear" w:color="000000" w:fill="FFFFFF"/>
            <w:noWrap/>
            <w:vAlign w:val="bottom"/>
            <w:hideMark/>
          </w:tcPr>
          <w:p w14:paraId="34303AB4" w14:textId="77777777" w:rsidR="001A0CF9" w:rsidRDefault="001A0CF9">
            <w:pPr>
              <w:jc w:val="center"/>
              <w:rPr>
                <w:color w:val="000000"/>
                <w:sz w:val="22"/>
                <w:szCs w:val="22"/>
              </w:rPr>
            </w:pPr>
            <w:r>
              <w:rPr>
                <w:color w:val="000000"/>
                <w:sz w:val="22"/>
                <w:szCs w:val="22"/>
              </w:rPr>
              <w:t>.927**</w:t>
            </w:r>
          </w:p>
        </w:tc>
        <w:tc>
          <w:tcPr>
            <w:tcW w:w="821" w:type="dxa"/>
            <w:tcBorders>
              <w:top w:val="nil"/>
              <w:left w:val="nil"/>
              <w:bottom w:val="nil"/>
              <w:right w:val="nil"/>
            </w:tcBorders>
            <w:shd w:val="clear" w:color="000000" w:fill="FFFFFF"/>
            <w:noWrap/>
            <w:vAlign w:val="bottom"/>
            <w:hideMark/>
          </w:tcPr>
          <w:p w14:paraId="3948D6B2" w14:textId="77777777" w:rsidR="001A0CF9" w:rsidRDefault="001A0CF9">
            <w:pPr>
              <w:jc w:val="center"/>
              <w:rPr>
                <w:color w:val="000000"/>
                <w:sz w:val="22"/>
                <w:szCs w:val="22"/>
              </w:rPr>
            </w:pPr>
            <w:r>
              <w:rPr>
                <w:color w:val="000000"/>
                <w:sz w:val="22"/>
                <w:szCs w:val="22"/>
              </w:rPr>
              <w:t>.919**</w:t>
            </w:r>
          </w:p>
        </w:tc>
        <w:tc>
          <w:tcPr>
            <w:tcW w:w="821" w:type="dxa"/>
            <w:tcBorders>
              <w:top w:val="nil"/>
              <w:left w:val="nil"/>
              <w:bottom w:val="nil"/>
              <w:right w:val="nil"/>
            </w:tcBorders>
            <w:shd w:val="clear" w:color="000000" w:fill="FFFFFF"/>
            <w:noWrap/>
            <w:vAlign w:val="bottom"/>
            <w:hideMark/>
          </w:tcPr>
          <w:p w14:paraId="3A613332" w14:textId="77777777" w:rsidR="001A0CF9" w:rsidRDefault="001A0CF9">
            <w:pPr>
              <w:jc w:val="center"/>
              <w:rPr>
                <w:color w:val="000000"/>
                <w:sz w:val="22"/>
                <w:szCs w:val="22"/>
              </w:rPr>
            </w:pPr>
            <w:r>
              <w:rPr>
                <w:color w:val="000000"/>
                <w:sz w:val="22"/>
                <w:szCs w:val="22"/>
              </w:rPr>
              <w:t>.941**</w:t>
            </w:r>
          </w:p>
        </w:tc>
      </w:tr>
      <w:tr w:rsidR="000A6429" w14:paraId="5EE9B9AF" w14:textId="77777777" w:rsidTr="000A6429">
        <w:trPr>
          <w:trHeight w:val="282"/>
        </w:trPr>
        <w:tc>
          <w:tcPr>
            <w:tcW w:w="696" w:type="dxa"/>
            <w:tcBorders>
              <w:top w:val="nil"/>
              <w:left w:val="nil"/>
              <w:bottom w:val="nil"/>
              <w:right w:val="nil"/>
            </w:tcBorders>
            <w:shd w:val="clear" w:color="000000" w:fill="FFFFFF"/>
            <w:noWrap/>
            <w:vAlign w:val="bottom"/>
            <w:hideMark/>
          </w:tcPr>
          <w:p w14:paraId="1B7C066B" w14:textId="77777777" w:rsidR="001A0CF9" w:rsidRDefault="001A0CF9">
            <w:pPr>
              <w:jc w:val="center"/>
              <w:rPr>
                <w:color w:val="000000"/>
                <w:u w:val="single"/>
              </w:rPr>
            </w:pPr>
            <w:r>
              <w:rPr>
                <w:color w:val="000000"/>
                <w:u w:val="single"/>
              </w:rPr>
              <w:t>2009</w:t>
            </w:r>
          </w:p>
        </w:tc>
        <w:tc>
          <w:tcPr>
            <w:tcW w:w="821" w:type="dxa"/>
            <w:tcBorders>
              <w:top w:val="nil"/>
              <w:left w:val="nil"/>
              <w:bottom w:val="nil"/>
              <w:right w:val="nil"/>
            </w:tcBorders>
            <w:shd w:val="clear" w:color="000000" w:fill="FFFFFF"/>
            <w:noWrap/>
            <w:vAlign w:val="bottom"/>
            <w:hideMark/>
          </w:tcPr>
          <w:p w14:paraId="000EFB49" w14:textId="77777777" w:rsidR="001A0CF9" w:rsidRDefault="001A0CF9">
            <w:pPr>
              <w:jc w:val="center"/>
              <w:rPr>
                <w:color w:val="000000"/>
                <w:sz w:val="22"/>
                <w:szCs w:val="22"/>
              </w:rPr>
            </w:pPr>
            <w:r>
              <w:rPr>
                <w:color w:val="000000"/>
                <w:sz w:val="22"/>
                <w:szCs w:val="22"/>
              </w:rPr>
              <w:t>.929**</w:t>
            </w:r>
          </w:p>
        </w:tc>
        <w:tc>
          <w:tcPr>
            <w:tcW w:w="821" w:type="dxa"/>
            <w:tcBorders>
              <w:top w:val="nil"/>
              <w:left w:val="nil"/>
              <w:bottom w:val="nil"/>
              <w:right w:val="nil"/>
            </w:tcBorders>
            <w:shd w:val="clear" w:color="000000" w:fill="FFFFFF"/>
            <w:noWrap/>
            <w:vAlign w:val="bottom"/>
            <w:hideMark/>
          </w:tcPr>
          <w:p w14:paraId="59CACCC6" w14:textId="77777777" w:rsidR="001A0CF9" w:rsidRDefault="001A0CF9">
            <w:pPr>
              <w:jc w:val="center"/>
              <w:rPr>
                <w:color w:val="000000"/>
                <w:sz w:val="22"/>
                <w:szCs w:val="22"/>
              </w:rPr>
            </w:pPr>
            <w:r>
              <w:rPr>
                <w:color w:val="000000"/>
                <w:sz w:val="22"/>
                <w:szCs w:val="22"/>
              </w:rPr>
              <w:t>.936**</w:t>
            </w:r>
          </w:p>
        </w:tc>
        <w:tc>
          <w:tcPr>
            <w:tcW w:w="821" w:type="dxa"/>
            <w:tcBorders>
              <w:top w:val="nil"/>
              <w:left w:val="nil"/>
              <w:bottom w:val="nil"/>
              <w:right w:val="nil"/>
            </w:tcBorders>
            <w:shd w:val="clear" w:color="000000" w:fill="FFFFFF"/>
            <w:noWrap/>
            <w:vAlign w:val="bottom"/>
            <w:hideMark/>
          </w:tcPr>
          <w:p w14:paraId="541EBD0B" w14:textId="77777777" w:rsidR="001A0CF9" w:rsidRDefault="001A0CF9">
            <w:pPr>
              <w:jc w:val="center"/>
              <w:rPr>
                <w:color w:val="000000"/>
                <w:sz w:val="22"/>
                <w:szCs w:val="22"/>
              </w:rPr>
            </w:pPr>
            <w:r>
              <w:rPr>
                <w:color w:val="000000"/>
                <w:sz w:val="22"/>
                <w:szCs w:val="22"/>
              </w:rPr>
              <w:t>.942**</w:t>
            </w:r>
          </w:p>
        </w:tc>
        <w:tc>
          <w:tcPr>
            <w:tcW w:w="821" w:type="dxa"/>
            <w:tcBorders>
              <w:top w:val="nil"/>
              <w:left w:val="nil"/>
              <w:bottom w:val="nil"/>
              <w:right w:val="nil"/>
            </w:tcBorders>
            <w:shd w:val="clear" w:color="000000" w:fill="FFFFFF"/>
            <w:noWrap/>
            <w:vAlign w:val="bottom"/>
            <w:hideMark/>
          </w:tcPr>
          <w:p w14:paraId="3A4732CD" w14:textId="77777777" w:rsidR="001A0CF9" w:rsidRDefault="001A0CF9">
            <w:pPr>
              <w:jc w:val="center"/>
              <w:rPr>
                <w:color w:val="000000"/>
                <w:sz w:val="22"/>
                <w:szCs w:val="22"/>
              </w:rPr>
            </w:pPr>
            <w:r>
              <w:rPr>
                <w:color w:val="000000"/>
                <w:sz w:val="22"/>
                <w:szCs w:val="22"/>
              </w:rPr>
              <w:t>.947**</w:t>
            </w:r>
          </w:p>
        </w:tc>
        <w:tc>
          <w:tcPr>
            <w:tcW w:w="821" w:type="dxa"/>
            <w:tcBorders>
              <w:top w:val="nil"/>
              <w:left w:val="nil"/>
              <w:bottom w:val="nil"/>
              <w:right w:val="nil"/>
            </w:tcBorders>
            <w:shd w:val="clear" w:color="000000" w:fill="FFFFFF"/>
            <w:noWrap/>
            <w:vAlign w:val="bottom"/>
            <w:hideMark/>
          </w:tcPr>
          <w:p w14:paraId="5874BA36" w14:textId="77777777" w:rsidR="001A0CF9" w:rsidRDefault="001A0CF9">
            <w:pPr>
              <w:jc w:val="center"/>
              <w:rPr>
                <w:color w:val="000000"/>
                <w:sz w:val="22"/>
                <w:szCs w:val="22"/>
              </w:rPr>
            </w:pPr>
            <w:r>
              <w:rPr>
                <w:color w:val="000000"/>
                <w:sz w:val="22"/>
                <w:szCs w:val="22"/>
              </w:rPr>
              <w:t>.948**</w:t>
            </w:r>
          </w:p>
        </w:tc>
        <w:tc>
          <w:tcPr>
            <w:tcW w:w="821" w:type="dxa"/>
            <w:tcBorders>
              <w:top w:val="nil"/>
              <w:left w:val="nil"/>
              <w:bottom w:val="nil"/>
              <w:right w:val="nil"/>
            </w:tcBorders>
            <w:shd w:val="clear" w:color="000000" w:fill="FFFFFF"/>
            <w:noWrap/>
            <w:vAlign w:val="bottom"/>
            <w:hideMark/>
          </w:tcPr>
          <w:p w14:paraId="11189E5C" w14:textId="77777777" w:rsidR="001A0CF9" w:rsidRDefault="001A0CF9">
            <w:pPr>
              <w:jc w:val="center"/>
              <w:rPr>
                <w:color w:val="000000"/>
                <w:sz w:val="22"/>
                <w:szCs w:val="22"/>
              </w:rPr>
            </w:pPr>
            <w:r>
              <w:rPr>
                <w:color w:val="000000"/>
                <w:sz w:val="22"/>
                <w:szCs w:val="22"/>
              </w:rPr>
              <w:t>1.000</w:t>
            </w:r>
          </w:p>
        </w:tc>
        <w:tc>
          <w:tcPr>
            <w:tcW w:w="821" w:type="dxa"/>
            <w:tcBorders>
              <w:top w:val="nil"/>
              <w:left w:val="nil"/>
              <w:bottom w:val="nil"/>
              <w:right w:val="nil"/>
            </w:tcBorders>
            <w:shd w:val="clear" w:color="000000" w:fill="FFFFFF"/>
            <w:noWrap/>
            <w:vAlign w:val="bottom"/>
            <w:hideMark/>
          </w:tcPr>
          <w:p w14:paraId="787FE2BF" w14:textId="77777777" w:rsidR="001A0CF9" w:rsidRDefault="001A0CF9">
            <w:pPr>
              <w:jc w:val="center"/>
              <w:rPr>
                <w:color w:val="000000"/>
                <w:sz w:val="22"/>
                <w:szCs w:val="22"/>
              </w:rPr>
            </w:pPr>
            <w:r>
              <w:rPr>
                <w:color w:val="000000"/>
                <w:sz w:val="22"/>
                <w:szCs w:val="22"/>
              </w:rPr>
              <w:t>.939**</w:t>
            </w:r>
          </w:p>
        </w:tc>
        <w:tc>
          <w:tcPr>
            <w:tcW w:w="821" w:type="dxa"/>
            <w:tcBorders>
              <w:top w:val="nil"/>
              <w:left w:val="nil"/>
              <w:bottom w:val="nil"/>
              <w:right w:val="nil"/>
            </w:tcBorders>
            <w:shd w:val="clear" w:color="000000" w:fill="FFFFFF"/>
            <w:noWrap/>
            <w:vAlign w:val="bottom"/>
            <w:hideMark/>
          </w:tcPr>
          <w:p w14:paraId="5D2AA37C" w14:textId="77777777" w:rsidR="001A0CF9" w:rsidRDefault="001A0CF9">
            <w:pPr>
              <w:jc w:val="center"/>
              <w:rPr>
                <w:color w:val="000000"/>
                <w:sz w:val="22"/>
                <w:szCs w:val="22"/>
              </w:rPr>
            </w:pPr>
            <w:r>
              <w:rPr>
                <w:color w:val="000000"/>
                <w:sz w:val="22"/>
                <w:szCs w:val="22"/>
              </w:rPr>
              <w:t>.947**</w:t>
            </w:r>
          </w:p>
        </w:tc>
        <w:tc>
          <w:tcPr>
            <w:tcW w:w="821" w:type="dxa"/>
            <w:tcBorders>
              <w:top w:val="nil"/>
              <w:left w:val="nil"/>
              <w:bottom w:val="nil"/>
              <w:right w:val="nil"/>
            </w:tcBorders>
            <w:shd w:val="clear" w:color="000000" w:fill="FFFFFF"/>
            <w:noWrap/>
            <w:vAlign w:val="bottom"/>
            <w:hideMark/>
          </w:tcPr>
          <w:p w14:paraId="47CEADAE" w14:textId="77777777" w:rsidR="001A0CF9" w:rsidRDefault="001A0CF9">
            <w:pPr>
              <w:jc w:val="center"/>
              <w:rPr>
                <w:color w:val="000000"/>
                <w:sz w:val="22"/>
                <w:szCs w:val="22"/>
              </w:rPr>
            </w:pPr>
            <w:r>
              <w:rPr>
                <w:color w:val="000000"/>
                <w:sz w:val="22"/>
                <w:szCs w:val="22"/>
              </w:rPr>
              <w:t>.917**</w:t>
            </w:r>
          </w:p>
        </w:tc>
      </w:tr>
      <w:tr w:rsidR="000A6429" w14:paraId="7E8B2D06" w14:textId="77777777" w:rsidTr="000A6429">
        <w:trPr>
          <w:trHeight w:val="282"/>
        </w:trPr>
        <w:tc>
          <w:tcPr>
            <w:tcW w:w="696" w:type="dxa"/>
            <w:tcBorders>
              <w:top w:val="nil"/>
              <w:left w:val="nil"/>
              <w:bottom w:val="nil"/>
              <w:right w:val="nil"/>
            </w:tcBorders>
            <w:shd w:val="clear" w:color="000000" w:fill="FFFFFF"/>
            <w:noWrap/>
            <w:vAlign w:val="bottom"/>
            <w:hideMark/>
          </w:tcPr>
          <w:p w14:paraId="478567BC" w14:textId="77777777" w:rsidR="001A0CF9" w:rsidRDefault="001A0CF9">
            <w:pPr>
              <w:jc w:val="center"/>
              <w:rPr>
                <w:color w:val="000000"/>
                <w:u w:val="single"/>
              </w:rPr>
            </w:pPr>
            <w:r>
              <w:rPr>
                <w:color w:val="000000"/>
                <w:u w:val="single"/>
              </w:rPr>
              <w:t>2008</w:t>
            </w:r>
          </w:p>
        </w:tc>
        <w:tc>
          <w:tcPr>
            <w:tcW w:w="821" w:type="dxa"/>
            <w:tcBorders>
              <w:top w:val="nil"/>
              <w:left w:val="nil"/>
              <w:bottom w:val="nil"/>
              <w:right w:val="nil"/>
            </w:tcBorders>
            <w:shd w:val="clear" w:color="000000" w:fill="FFFFFF"/>
            <w:noWrap/>
            <w:vAlign w:val="bottom"/>
            <w:hideMark/>
          </w:tcPr>
          <w:p w14:paraId="63E9661F" w14:textId="77777777" w:rsidR="001A0CF9" w:rsidRDefault="001A0CF9">
            <w:pPr>
              <w:jc w:val="center"/>
              <w:rPr>
                <w:color w:val="000000"/>
                <w:sz w:val="22"/>
                <w:szCs w:val="22"/>
              </w:rPr>
            </w:pPr>
            <w:r>
              <w:rPr>
                <w:color w:val="000000"/>
                <w:sz w:val="22"/>
                <w:szCs w:val="22"/>
              </w:rPr>
              <w:t>.888**</w:t>
            </w:r>
          </w:p>
        </w:tc>
        <w:tc>
          <w:tcPr>
            <w:tcW w:w="821" w:type="dxa"/>
            <w:tcBorders>
              <w:top w:val="nil"/>
              <w:left w:val="nil"/>
              <w:bottom w:val="nil"/>
              <w:right w:val="nil"/>
            </w:tcBorders>
            <w:shd w:val="clear" w:color="000000" w:fill="FFFFFF"/>
            <w:noWrap/>
            <w:vAlign w:val="bottom"/>
            <w:hideMark/>
          </w:tcPr>
          <w:p w14:paraId="0BFF9067" w14:textId="77777777" w:rsidR="001A0CF9" w:rsidRDefault="001A0CF9">
            <w:pPr>
              <w:jc w:val="center"/>
              <w:rPr>
                <w:color w:val="000000"/>
                <w:sz w:val="22"/>
                <w:szCs w:val="22"/>
              </w:rPr>
            </w:pPr>
            <w:r>
              <w:rPr>
                <w:color w:val="000000"/>
                <w:sz w:val="22"/>
                <w:szCs w:val="22"/>
              </w:rPr>
              <w:t>.901**</w:t>
            </w:r>
          </w:p>
        </w:tc>
        <w:tc>
          <w:tcPr>
            <w:tcW w:w="821" w:type="dxa"/>
            <w:tcBorders>
              <w:top w:val="nil"/>
              <w:left w:val="nil"/>
              <w:bottom w:val="nil"/>
              <w:right w:val="nil"/>
            </w:tcBorders>
            <w:shd w:val="clear" w:color="000000" w:fill="FFFFFF"/>
            <w:noWrap/>
            <w:vAlign w:val="bottom"/>
            <w:hideMark/>
          </w:tcPr>
          <w:p w14:paraId="66536A6D" w14:textId="77777777" w:rsidR="001A0CF9" w:rsidRDefault="001A0CF9">
            <w:pPr>
              <w:jc w:val="center"/>
              <w:rPr>
                <w:color w:val="000000"/>
                <w:sz w:val="22"/>
                <w:szCs w:val="22"/>
              </w:rPr>
            </w:pPr>
            <w:r>
              <w:rPr>
                <w:color w:val="000000"/>
                <w:sz w:val="22"/>
                <w:szCs w:val="22"/>
              </w:rPr>
              <w:t>.916**</w:t>
            </w:r>
          </w:p>
        </w:tc>
        <w:tc>
          <w:tcPr>
            <w:tcW w:w="821" w:type="dxa"/>
            <w:tcBorders>
              <w:top w:val="nil"/>
              <w:left w:val="nil"/>
              <w:bottom w:val="nil"/>
              <w:right w:val="nil"/>
            </w:tcBorders>
            <w:shd w:val="clear" w:color="000000" w:fill="FFFFFF"/>
            <w:noWrap/>
            <w:vAlign w:val="bottom"/>
            <w:hideMark/>
          </w:tcPr>
          <w:p w14:paraId="2926BB7B" w14:textId="77777777" w:rsidR="001A0CF9" w:rsidRDefault="001A0CF9">
            <w:pPr>
              <w:jc w:val="center"/>
              <w:rPr>
                <w:color w:val="000000"/>
                <w:sz w:val="22"/>
                <w:szCs w:val="22"/>
              </w:rPr>
            </w:pPr>
            <w:r>
              <w:rPr>
                <w:color w:val="000000"/>
                <w:sz w:val="22"/>
                <w:szCs w:val="22"/>
              </w:rPr>
              <w:t>.919**</w:t>
            </w:r>
          </w:p>
        </w:tc>
        <w:tc>
          <w:tcPr>
            <w:tcW w:w="821" w:type="dxa"/>
            <w:tcBorders>
              <w:top w:val="nil"/>
              <w:left w:val="nil"/>
              <w:bottom w:val="nil"/>
              <w:right w:val="nil"/>
            </w:tcBorders>
            <w:shd w:val="clear" w:color="000000" w:fill="FFFFFF"/>
            <w:noWrap/>
            <w:vAlign w:val="bottom"/>
            <w:hideMark/>
          </w:tcPr>
          <w:p w14:paraId="4DF31607" w14:textId="77777777" w:rsidR="001A0CF9" w:rsidRDefault="001A0CF9">
            <w:pPr>
              <w:jc w:val="center"/>
              <w:rPr>
                <w:color w:val="000000"/>
                <w:sz w:val="22"/>
                <w:szCs w:val="22"/>
              </w:rPr>
            </w:pPr>
            <w:r>
              <w:rPr>
                <w:color w:val="000000"/>
                <w:sz w:val="22"/>
                <w:szCs w:val="22"/>
              </w:rPr>
              <w:t>.927**</w:t>
            </w:r>
          </w:p>
        </w:tc>
        <w:tc>
          <w:tcPr>
            <w:tcW w:w="821" w:type="dxa"/>
            <w:tcBorders>
              <w:top w:val="nil"/>
              <w:left w:val="nil"/>
              <w:bottom w:val="nil"/>
              <w:right w:val="nil"/>
            </w:tcBorders>
            <w:shd w:val="clear" w:color="000000" w:fill="FFFFFF"/>
            <w:noWrap/>
            <w:vAlign w:val="bottom"/>
            <w:hideMark/>
          </w:tcPr>
          <w:p w14:paraId="01A0FB2A" w14:textId="77777777" w:rsidR="001A0CF9" w:rsidRDefault="001A0CF9">
            <w:pPr>
              <w:jc w:val="center"/>
              <w:rPr>
                <w:color w:val="000000"/>
                <w:sz w:val="22"/>
                <w:szCs w:val="22"/>
              </w:rPr>
            </w:pPr>
            <w:r>
              <w:rPr>
                <w:color w:val="000000"/>
                <w:sz w:val="22"/>
                <w:szCs w:val="22"/>
              </w:rPr>
              <w:t>.939**</w:t>
            </w:r>
          </w:p>
        </w:tc>
        <w:tc>
          <w:tcPr>
            <w:tcW w:w="821" w:type="dxa"/>
            <w:tcBorders>
              <w:top w:val="nil"/>
              <w:left w:val="nil"/>
              <w:bottom w:val="nil"/>
              <w:right w:val="nil"/>
            </w:tcBorders>
            <w:shd w:val="clear" w:color="000000" w:fill="FFFFFF"/>
            <w:noWrap/>
            <w:vAlign w:val="bottom"/>
            <w:hideMark/>
          </w:tcPr>
          <w:p w14:paraId="17D02DF6" w14:textId="77777777" w:rsidR="001A0CF9" w:rsidRDefault="001A0CF9">
            <w:pPr>
              <w:jc w:val="center"/>
              <w:rPr>
                <w:color w:val="000000"/>
                <w:sz w:val="22"/>
                <w:szCs w:val="22"/>
              </w:rPr>
            </w:pPr>
            <w:r>
              <w:rPr>
                <w:color w:val="000000"/>
                <w:sz w:val="22"/>
                <w:szCs w:val="22"/>
              </w:rPr>
              <w:t>1.000</w:t>
            </w:r>
          </w:p>
        </w:tc>
        <w:tc>
          <w:tcPr>
            <w:tcW w:w="821" w:type="dxa"/>
            <w:tcBorders>
              <w:top w:val="nil"/>
              <w:left w:val="nil"/>
              <w:bottom w:val="nil"/>
              <w:right w:val="nil"/>
            </w:tcBorders>
            <w:shd w:val="clear" w:color="000000" w:fill="FFFFFF"/>
            <w:noWrap/>
            <w:vAlign w:val="bottom"/>
            <w:hideMark/>
          </w:tcPr>
          <w:p w14:paraId="287FF695" w14:textId="77777777" w:rsidR="001A0CF9" w:rsidRDefault="001A0CF9">
            <w:pPr>
              <w:jc w:val="center"/>
              <w:rPr>
                <w:color w:val="000000"/>
                <w:sz w:val="22"/>
                <w:szCs w:val="22"/>
              </w:rPr>
            </w:pPr>
            <w:r>
              <w:rPr>
                <w:color w:val="000000"/>
                <w:sz w:val="22"/>
                <w:szCs w:val="22"/>
              </w:rPr>
              <w:t>.928**</w:t>
            </w:r>
          </w:p>
        </w:tc>
        <w:tc>
          <w:tcPr>
            <w:tcW w:w="821" w:type="dxa"/>
            <w:tcBorders>
              <w:top w:val="nil"/>
              <w:left w:val="nil"/>
              <w:bottom w:val="nil"/>
              <w:right w:val="nil"/>
            </w:tcBorders>
            <w:shd w:val="clear" w:color="000000" w:fill="FFFFFF"/>
            <w:noWrap/>
            <w:vAlign w:val="bottom"/>
            <w:hideMark/>
          </w:tcPr>
          <w:p w14:paraId="50238AA8" w14:textId="77777777" w:rsidR="001A0CF9" w:rsidRDefault="001A0CF9">
            <w:pPr>
              <w:jc w:val="center"/>
              <w:rPr>
                <w:color w:val="000000"/>
                <w:sz w:val="22"/>
                <w:szCs w:val="22"/>
              </w:rPr>
            </w:pPr>
            <w:r>
              <w:rPr>
                <w:color w:val="000000"/>
                <w:sz w:val="22"/>
                <w:szCs w:val="22"/>
              </w:rPr>
              <w:t>.938**</w:t>
            </w:r>
          </w:p>
        </w:tc>
      </w:tr>
      <w:tr w:rsidR="000A6429" w14:paraId="25C30632" w14:textId="77777777" w:rsidTr="000A6429">
        <w:trPr>
          <w:trHeight w:val="282"/>
        </w:trPr>
        <w:tc>
          <w:tcPr>
            <w:tcW w:w="696" w:type="dxa"/>
            <w:tcBorders>
              <w:top w:val="nil"/>
              <w:left w:val="nil"/>
              <w:bottom w:val="nil"/>
              <w:right w:val="nil"/>
            </w:tcBorders>
            <w:shd w:val="clear" w:color="000000" w:fill="FFFFFF"/>
            <w:noWrap/>
            <w:vAlign w:val="bottom"/>
            <w:hideMark/>
          </w:tcPr>
          <w:p w14:paraId="3C4B4D8B" w14:textId="77777777" w:rsidR="001A0CF9" w:rsidRDefault="001A0CF9">
            <w:pPr>
              <w:jc w:val="center"/>
              <w:rPr>
                <w:color w:val="000000"/>
                <w:u w:val="single"/>
              </w:rPr>
            </w:pPr>
            <w:r>
              <w:rPr>
                <w:color w:val="000000"/>
                <w:u w:val="single"/>
              </w:rPr>
              <w:t>2007</w:t>
            </w:r>
          </w:p>
        </w:tc>
        <w:tc>
          <w:tcPr>
            <w:tcW w:w="821" w:type="dxa"/>
            <w:tcBorders>
              <w:top w:val="nil"/>
              <w:left w:val="nil"/>
              <w:bottom w:val="nil"/>
              <w:right w:val="nil"/>
            </w:tcBorders>
            <w:shd w:val="clear" w:color="000000" w:fill="FFFFFF"/>
            <w:noWrap/>
            <w:vAlign w:val="bottom"/>
            <w:hideMark/>
          </w:tcPr>
          <w:p w14:paraId="2FEAABD5" w14:textId="77777777" w:rsidR="001A0CF9" w:rsidRDefault="001A0CF9">
            <w:pPr>
              <w:jc w:val="center"/>
              <w:rPr>
                <w:color w:val="000000"/>
                <w:sz w:val="22"/>
                <w:szCs w:val="22"/>
              </w:rPr>
            </w:pPr>
            <w:r>
              <w:rPr>
                <w:color w:val="000000"/>
                <w:sz w:val="22"/>
                <w:szCs w:val="22"/>
              </w:rPr>
              <w:t>.907**</w:t>
            </w:r>
          </w:p>
        </w:tc>
        <w:tc>
          <w:tcPr>
            <w:tcW w:w="821" w:type="dxa"/>
            <w:tcBorders>
              <w:top w:val="nil"/>
              <w:left w:val="nil"/>
              <w:bottom w:val="nil"/>
              <w:right w:val="nil"/>
            </w:tcBorders>
            <w:shd w:val="clear" w:color="000000" w:fill="FFFFFF"/>
            <w:noWrap/>
            <w:vAlign w:val="bottom"/>
            <w:hideMark/>
          </w:tcPr>
          <w:p w14:paraId="58CED827" w14:textId="77777777" w:rsidR="001A0CF9" w:rsidRDefault="001A0CF9">
            <w:pPr>
              <w:jc w:val="center"/>
              <w:rPr>
                <w:color w:val="000000"/>
                <w:sz w:val="22"/>
                <w:szCs w:val="22"/>
              </w:rPr>
            </w:pPr>
            <w:r>
              <w:rPr>
                <w:color w:val="000000"/>
                <w:sz w:val="22"/>
                <w:szCs w:val="22"/>
              </w:rPr>
              <w:t>.915**</w:t>
            </w:r>
          </w:p>
        </w:tc>
        <w:tc>
          <w:tcPr>
            <w:tcW w:w="821" w:type="dxa"/>
            <w:tcBorders>
              <w:top w:val="nil"/>
              <w:left w:val="nil"/>
              <w:bottom w:val="nil"/>
              <w:right w:val="nil"/>
            </w:tcBorders>
            <w:shd w:val="clear" w:color="000000" w:fill="FFFFFF"/>
            <w:noWrap/>
            <w:vAlign w:val="bottom"/>
            <w:hideMark/>
          </w:tcPr>
          <w:p w14:paraId="12473ED7" w14:textId="77777777" w:rsidR="001A0CF9" w:rsidRDefault="001A0CF9">
            <w:pPr>
              <w:jc w:val="center"/>
              <w:rPr>
                <w:color w:val="000000"/>
                <w:sz w:val="22"/>
                <w:szCs w:val="22"/>
              </w:rPr>
            </w:pPr>
            <w:r>
              <w:rPr>
                <w:color w:val="000000"/>
                <w:sz w:val="22"/>
                <w:szCs w:val="22"/>
              </w:rPr>
              <w:t>.930**</w:t>
            </w:r>
          </w:p>
        </w:tc>
        <w:tc>
          <w:tcPr>
            <w:tcW w:w="821" w:type="dxa"/>
            <w:tcBorders>
              <w:top w:val="nil"/>
              <w:left w:val="nil"/>
              <w:bottom w:val="nil"/>
              <w:right w:val="nil"/>
            </w:tcBorders>
            <w:shd w:val="clear" w:color="000000" w:fill="FFFFFF"/>
            <w:noWrap/>
            <w:vAlign w:val="bottom"/>
            <w:hideMark/>
          </w:tcPr>
          <w:p w14:paraId="52427C72" w14:textId="77777777" w:rsidR="001A0CF9" w:rsidRDefault="001A0CF9">
            <w:pPr>
              <w:jc w:val="center"/>
              <w:rPr>
                <w:color w:val="000000"/>
                <w:sz w:val="22"/>
                <w:szCs w:val="22"/>
              </w:rPr>
            </w:pPr>
            <w:r>
              <w:rPr>
                <w:color w:val="000000"/>
                <w:sz w:val="22"/>
                <w:szCs w:val="22"/>
              </w:rPr>
              <w:t>.928**</w:t>
            </w:r>
          </w:p>
        </w:tc>
        <w:tc>
          <w:tcPr>
            <w:tcW w:w="821" w:type="dxa"/>
            <w:tcBorders>
              <w:top w:val="nil"/>
              <w:left w:val="nil"/>
              <w:bottom w:val="nil"/>
              <w:right w:val="nil"/>
            </w:tcBorders>
            <w:shd w:val="clear" w:color="000000" w:fill="FFFFFF"/>
            <w:noWrap/>
            <w:vAlign w:val="bottom"/>
            <w:hideMark/>
          </w:tcPr>
          <w:p w14:paraId="5BAD000C" w14:textId="77777777" w:rsidR="001A0CF9" w:rsidRDefault="001A0CF9">
            <w:pPr>
              <w:jc w:val="center"/>
              <w:rPr>
                <w:color w:val="000000"/>
                <w:sz w:val="22"/>
                <w:szCs w:val="22"/>
              </w:rPr>
            </w:pPr>
            <w:r>
              <w:rPr>
                <w:color w:val="000000"/>
                <w:sz w:val="22"/>
                <w:szCs w:val="22"/>
              </w:rPr>
              <w:t>.919**</w:t>
            </w:r>
          </w:p>
        </w:tc>
        <w:tc>
          <w:tcPr>
            <w:tcW w:w="821" w:type="dxa"/>
            <w:tcBorders>
              <w:top w:val="nil"/>
              <w:left w:val="nil"/>
              <w:bottom w:val="nil"/>
              <w:right w:val="nil"/>
            </w:tcBorders>
            <w:shd w:val="clear" w:color="000000" w:fill="FFFFFF"/>
            <w:noWrap/>
            <w:vAlign w:val="bottom"/>
            <w:hideMark/>
          </w:tcPr>
          <w:p w14:paraId="16E7B603" w14:textId="77777777" w:rsidR="001A0CF9" w:rsidRDefault="001A0CF9">
            <w:pPr>
              <w:jc w:val="center"/>
              <w:rPr>
                <w:color w:val="000000"/>
                <w:sz w:val="22"/>
                <w:szCs w:val="22"/>
              </w:rPr>
            </w:pPr>
            <w:r>
              <w:rPr>
                <w:color w:val="000000"/>
                <w:sz w:val="22"/>
                <w:szCs w:val="22"/>
              </w:rPr>
              <w:t>.947**</w:t>
            </w:r>
          </w:p>
        </w:tc>
        <w:tc>
          <w:tcPr>
            <w:tcW w:w="821" w:type="dxa"/>
            <w:tcBorders>
              <w:top w:val="nil"/>
              <w:left w:val="nil"/>
              <w:bottom w:val="nil"/>
              <w:right w:val="nil"/>
            </w:tcBorders>
            <w:shd w:val="clear" w:color="000000" w:fill="FFFFFF"/>
            <w:noWrap/>
            <w:vAlign w:val="bottom"/>
            <w:hideMark/>
          </w:tcPr>
          <w:p w14:paraId="523E48E9" w14:textId="77777777" w:rsidR="001A0CF9" w:rsidRDefault="001A0CF9">
            <w:pPr>
              <w:jc w:val="center"/>
              <w:rPr>
                <w:color w:val="000000"/>
                <w:sz w:val="22"/>
                <w:szCs w:val="22"/>
              </w:rPr>
            </w:pPr>
            <w:r>
              <w:rPr>
                <w:color w:val="000000"/>
                <w:sz w:val="22"/>
                <w:szCs w:val="22"/>
              </w:rPr>
              <w:t>.928**</w:t>
            </w:r>
          </w:p>
        </w:tc>
        <w:tc>
          <w:tcPr>
            <w:tcW w:w="821" w:type="dxa"/>
            <w:tcBorders>
              <w:top w:val="nil"/>
              <w:left w:val="nil"/>
              <w:bottom w:val="nil"/>
              <w:right w:val="nil"/>
            </w:tcBorders>
            <w:shd w:val="clear" w:color="000000" w:fill="FFFFFF"/>
            <w:noWrap/>
            <w:vAlign w:val="bottom"/>
            <w:hideMark/>
          </w:tcPr>
          <w:p w14:paraId="3A7FF8D9" w14:textId="77777777" w:rsidR="001A0CF9" w:rsidRDefault="001A0CF9">
            <w:pPr>
              <w:jc w:val="center"/>
              <w:rPr>
                <w:color w:val="000000"/>
                <w:sz w:val="22"/>
                <w:szCs w:val="22"/>
              </w:rPr>
            </w:pPr>
            <w:r>
              <w:rPr>
                <w:color w:val="000000"/>
                <w:sz w:val="22"/>
                <w:szCs w:val="22"/>
              </w:rPr>
              <w:t>1.000</w:t>
            </w:r>
          </w:p>
        </w:tc>
        <w:tc>
          <w:tcPr>
            <w:tcW w:w="821" w:type="dxa"/>
            <w:tcBorders>
              <w:top w:val="nil"/>
              <w:left w:val="nil"/>
              <w:bottom w:val="nil"/>
              <w:right w:val="nil"/>
            </w:tcBorders>
            <w:shd w:val="clear" w:color="000000" w:fill="FFFFFF"/>
            <w:noWrap/>
            <w:vAlign w:val="bottom"/>
            <w:hideMark/>
          </w:tcPr>
          <w:p w14:paraId="5A7A6D61" w14:textId="77777777" w:rsidR="001A0CF9" w:rsidRDefault="001A0CF9">
            <w:pPr>
              <w:jc w:val="center"/>
              <w:rPr>
                <w:color w:val="000000"/>
                <w:sz w:val="22"/>
                <w:szCs w:val="22"/>
              </w:rPr>
            </w:pPr>
            <w:r>
              <w:rPr>
                <w:color w:val="000000"/>
                <w:sz w:val="22"/>
                <w:szCs w:val="22"/>
              </w:rPr>
              <w:t>.898**</w:t>
            </w:r>
          </w:p>
        </w:tc>
      </w:tr>
      <w:tr w:rsidR="000A6429" w14:paraId="50E9F3DA" w14:textId="77777777" w:rsidTr="000A6429">
        <w:trPr>
          <w:trHeight w:val="282"/>
        </w:trPr>
        <w:tc>
          <w:tcPr>
            <w:tcW w:w="696" w:type="dxa"/>
            <w:tcBorders>
              <w:top w:val="nil"/>
              <w:left w:val="nil"/>
              <w:bottom w:val="nil"/>
              <w:right w:val="nil"/>
            </w:tcBorders>
            <w:shd w:val="clear" w:color="000000" w:fill="FFFFFF"/>
            <w:noWrap/>
            <w:vAlign w:val="bottom"/>
            <w:hideMark/>
          </w:tcPr>
          <w:p w14:paraId="45D16B7A" w14:textId="77777777" w:rsidR="001A0CF9" w:rsidRDefault="001A0CF9">
            <w:pPr>
              <w:jc w:val="center"/>
              <w:rPr>
                <w:color w:val="000000"/>
                <w:u w:val="single"/>
              </w:rPr>
            </w:pPr>
            <w:r>
              <w:rPr>
                <w:color w:val="000000"/>
                <w:u w:val="single"/>
              </w:rPr>
              <w:t>2006</w:t>
            </w:r>
          </w:p>
        </w:tc>
        <w:tc>
          <w:tcPr>
            <w:tcW w:w="821" w:type="dxa"/>
            <w:tcBorders>
              <w:top w:val="nil"/>
              <w:left w:val="nil"/>
              <w:bottom w:val="nil"/>
              <w:right w:val="nil"/>
            </w:tcBorders>
            <w:shd w:val="clear" w:color="000000" w:fill="FFFFFF"/>
            <w:noWrap/>
            <w:vAlign w:val="bottom"/>
            <w:hideMark/>
          </w:tcPr>
          <w:p w14:paraId="0E1513D2" w14:textId="77777777" w:rsidR="001A0CF9" w:rsidRDefault="001A0CF9">
            <w:pPr>
              <w:jc w:val="center"/>
              <w:rPr>
                <w:color w:val="000000"/>
                <w:sz w:val="22"/>
                <w:szCs w:val="22"/>
              </w:rPr>
            </w:pPr>
            <w:r>
              <w:rPr>
                <w:color w:val="000000"/>
                <w:sz w:val="22"/>
                <w:szCs w:val="22"/>
              </w:rPr>
              <w:t>.860**</w:t>
            </w:r>
          </w:p>
        </w:tc>
        <w:tc>
          <w:tcPr>
            <w:tcW w:w="821" w:type="dxa"/>
            <w:tcBorders>
              <w:top w:val="nil"/>
              <w:left w:val="nil"/>
              <w:bottom w:val="nil"/>
              <w:right w:val="nil"/>
            </w:tcBorders>
            <w:shd w:val="clear" w:color="000000" w:fill="FFFFFF"/>
            <w:noWrap/>
            <w:vAlign w:val="bottom"/>
            <w:hideMark/>
          </w:tcPr>
          <w:p w14:paraId="59A6135D" w14:textId="77777777" w:rsidR="001A0CF9" w:rsidRDefault="001A0CF9">
            <w:pPr>
              <w:jc w:val="center"/>
              <w:rPr>
                <w:color w:val="000000"/>
                <w:sz w:val="22"/>
                <w:szCs w:val="22"/>
              </w:rPr>
            </w:pPr>
            <w:r>
              <w:rPr>
                <w:color w:val="000000"/>
                <w:sz w:val="22"/>
                <w:szCs w:val="22"/>
              </w:rPr>
              <w:t>.881**</w:t>
            </w:r>
          </w:p>
        </w:tc>
        <w:tc>
          <w:tcPr>
            <w:tcW w:w="821" w:type="dxa"/>
            <w:tcBorders>
              <w:top w:val="nil"/>
              <w:left w:val="nil"/>
              <w:bottom w:val="nil"/>
              <w:right w:val="nil"/>
            </w:tcBorders>
            <w:shd w:val="clear" w:color="000000" w:fill="FFFFFF"/>
            <w:noWrap/>
            <w:vAlign w:val="bottom"/>
            <w:hideMark/>
          </w:tcPr>
          <w:p w14:paraId="5341B9D7" w14:textId="77777777" w:rsidR="001A0CF9" w:rsidRDefault="001A0CF9">
            <w:pPr>
              <w:jc w:val="center"/>
              <w:rPr>
                <w:color w:val="000000"/>
                <w:sz w:val="22"/>
                <w:szCs w:val="22"/>
              </w:rPr>
            </w:pPr>
            <w:r>
              <w:rPr>
                <w:color w:val="000000"/>
                <w:sz w:val="22"/>
                <w:szCs w:val="22"/>
              </w:rPr>
              <w:t>.898**</w:t>
            </w:r>
          </w:p>
        </w:tc>
        <w:tc>
          <w:tcPr>
            <w:tcW w:w="821" w:type="dxa"/>
            <w:tcBorders>
              <w:top w:val="nil"/>
              <w:left w:val="nil"/>
              <w:bottom w:val="nil"/>
              <w:right w:val="nil"/>
            </w:tcBorders>
            <w:shd w:val="clear" w:color="000000" w:fill="FFFFFF"/>
            <w:noWrap/>
            <w:vAlign w:val="bottom"/>
            <w:hideMark/>
          </w:tcPr>
          <w:p w14:paraId="1B834BE4" w14:textId="77777777" w:rsidR="001A0CF9" w:rsidRDefault="001A0CF9">
            <w:pPr>
              <w:jc w:val="center"/>
              <w:rPr>
                <w:color w:val="000000"/>
                <w:sz w:val="22"/>
                <w:szCs w:val="22"/>
              </w:rPr>
            </w:pPr>
            <w:r>
              <w:rPr>
                <w:color w:val="000000"/>
                <w:sz w:val="22"/>
                <w:szCs w:val="22"/>
              </w:rPr>
              <w:t>.904**</w:t>
            </w:r>
          </w:p>
        </w:tc>
        <w:tc>
          <w:tcPr>
            <w:tcW w:w="821" w:type="dxa"/>
            <w:tcBorders>
              <w:top w:val="nil"/>
              <w:left w:val="nil"/>
              <w:bottom w:val="nil"/>
              <w:right w:val="nil"/>
            </w:tcBorders>
            <w:shd w:val="clear" w:color="000000" w:fill="FFFFFF"/>
            <w:noWrap/>
            <w:vAlign w:val="bottom"/>
            <w:hideMark/>
          </w:tcPr>
          <w:p w14:paraId="17033B0E" w14:textId="77777777" w:rsidR="001A0CF9" w:rsidRDefault="001A0CF9">
            <w:pPr>
              <w:jc w:val="center"/>
              <w:rPr>
                <w:color w:val="000000"/>
                <w:sz w:val="22"/>
                <w:szCs w:val="22"/>
              </w:rPr>
            </w:pPr>
            <w:r>
              <w:rPr>
                <w:color w:val="000000"/>
                <w:sz w:val="22"/>
                <w:szCs w:val="22"/>
              </w:rPr>
              <w:t>.941**</w:t>
            </w:r>
          </w:p>
        </w:tc>
        <w:tc>
          <w:tcPr>
            <w:tcW w:w="821" w:type="dxa"/>
            <w:tcBorders>
              <w:top w:val="nil"/>
              <w:left w:val="nil"/>
              <w:bottom w:val="nil"/>
              <w:right w:val="nil"/>
            </w:tcBorders>
            <w:shd w:val="clear" w:color="000000" w:fill="FFFFFF"/>
            <w:noWrap/>
            <w:vAlign w:val="bottom"/>
            <w:hideMark/>
          </w:tcPr>
          <w:p w14:paraId="71FD37AA" w14:textId="77777777" w:rsidR="001A0CF9" w:rsidRDefault="001A0CF9">
            <w:pPr>
              <w:jc w:val="center"/>
              <w:rPr>
                <w:color w:val="000000"/>
                <w:sz w:val="22"/>
                <w:szCs w:val="22"/>
              </w:rPr>
            </w:pPr>
            <w:r>
              <w:rPr>
                <w:color w:val="000000"/>
                <w:sz w:val="22"/>
                <w:szCs w:val="22"/>
              </w:rPr>
              <w:t>.917**</w:t>
            </w:r>
          </w:p>
        </w:tc>
        <w:tc>
          <w:tcPr>
            <w:tcW w:w="821" w:type="dxa"/>
            <w:tcBorders>
              <w:top w:val="nil"/>
              <w:left w:val="nil"/>
              <w:bottom w:val="nil"/>
              <w:right w:val="nil"/>
            </w:tcBorders>
            <w:shd w:val="clear" w:color="000000" w:fill="FFFFFF"/>
            <w:noWrap/>
            <w:vAlign w:val="bottom"/>
            <w:hideMark/>
          </w:tcPr>
          <w:p w14:paraId="1A4D5BB6" w14:textId="77777777" w:rsidR="001A0CF9" w:rsidRDefault="001A0CF9">
            <w:pPr>
              <w:jc w:val="center"/>
              <w:rPr>
                <w:color w:val="000000"/>
                <w:sz w:val="22"/>
                <w:szCs w:val="22"/>
              </w:rPr>
            </w:pPr>
            <w:r>
              <w:rPr>
                <w:color w:val="000000"/>
                <w:sz w:val="22"/>
                <w:szCs w:val="22"/>
              </w:rPr>
              <w:t>.938**</w:t>
            </w:r>
          </w:p>
        </w:tc>
        <w:tc>
          <w:tcPr>
            <w:tcW w:w="821" w:type="dxa"/>
            <w:tcBorders>
              <w:top w:val="nil"/>
              <w:left w:val="nil"/>
              <w:bottom w:val="nil"/>
              <w:right w:val="nil"/>
            </w:tcBorders>
            <w:shd w:val="clear" w:color="000000" w:fill="FFFFFF"/>
            <w:noWrap/>
            <w:vAlign w:val="bottom"/>
            <w:hideMark/>
          </w:tcPr>
          <w:p w14:paraId="24C41EC6" w14:textId="77777777" w:rsidR="001A0CF9" w:rsidRDefault="001A0CF9">
            <w:pPr>
              <w:jc w:val="center"/>
              <w:rPr>
                <w:color w:val="000000"/>
                <w:sz w:val="22"/>
                <w:szCs w:val="22"/>
              </w:rPr>
            </w:pPr>
            <w:r>
              <w:rPr>
                <w:color w:val="000000"/>
                <w:sz w:val="22"/>
                <w:szCs w:val="22"/>
              </w:rPr>
              <w:t>.898**</w:t>
            </w:r>
          </w:p>
        </w:tc>
        <w:tc>
          <w:tcPr>
            <w:tcW w:w="821" w:type="dxa"/>
            <w:tcBorders>
              <w:top w:val="nil"/>
              <w:left w:val="nil"/>
              <w:bottom w:val="nil"/>
              <w:right w:val="nil"/>
            </w:tcBorders>
            <w:shd w:val="clear" w:color="000000" w:fill="FFFFFF"/>
            <w:noWrap/>
            <w:vAlign w:val="bottom"/>
            <w:hideMark/>
          </w:tcPr>
          <w:p w14:paraId="12DD5A9D" w14:textId="77777777" w:rsidR="001A0CF9" w:rsidRDefault="001A0CF9">
            <w:pPr>
              <w:jc w:val="center"/>
              <w:rPr>
                <w:color w:val="000000"/>
                <w:sz w:val="22"/>
                <w:szCs w:val="22"/>
              </w:rPr>
            </w:pPr>
            <w:r>
              <w:rPr>
                <w:color w:val="000000"/>
                <w:sz w:val="22"/>
                <w:szCs w:val="22"/>
              </w:rPr>
              <w:t>1.000</w:t>
            </w:r>
          </w:p>
        </w:tc>
      </w:tr>
      <w:tr w:rsidR="000A6429" w14:paraId="3BFFABA3" w14:textId="77777777" w:rsidTr="000A6429">
        <w:trPr>
          <w:trHeight w:val="169"/>
        </w:trPr>
        <w:tc>
          <w:tcPr>
            <w:tcW w:w="696" w:type="dxa"/>
            <w:tcBorders>
              <w:top w:val="nil"/>
              <w:left w:val="nil"/>
              <w:bottom w:val="nil"/>
              <w:right w:val="nil"/>
            </w:tcBorders>
            <w:shd w:val="clear" w:color="000000" w:fill="FFFFFF"/>
            <w:noWrap/>
            <w:vAlign w:val="bottom"/>
            <w:hideMark/>
          </w:tcPr>
          <w:p w14:paraId="3A3CE297" w14:textId="77777777" w:rsidR="001A0CF9" w:rsidRDefault="001A0CF9">
            <w:pPr>
              <w:jc w:val="center"/>
              <w:rPr>
                <w:color w:val="000000"/>
                <w:u w:val="single"/>
              </w:rPr>
            </w:pPr>
          </w:p>
        </w:tc>
        <w:tc>
          <w:tcPr>
            <w:tcW w:w="821" w:type="dxa"/>
            <w:tcBorders>
              <w:top w:val="nil"/>
              <w:left w:val="nil"/>
              <w:bottom w:val="nil"/>
              <w:right w:val="nil"/>
            </w:tcBorders>
            <w:shd w:val="clear" w:color="000000" w:fill="FFFFFF"/>
            <w:noWrap/>
            <w:vAlign w:val="bottom"/>
            <w:hideMark/>
          </w:tcPr>
          <w:p w14:paraId="4CCD8004" w14:textId="77777777" w:rsidR="001A0CF9" w:rsidRDefault="001A0CF9">
            <w:pPr>
              <w:jc w:val="center"/>
              <w:rPr>
                <w:color w:val="000000"/>
                <w:sz w:val="22"/>
                <w:szCs w:val="22"/>
              </w:rPr>
            </w:pPr>
            <w:r>
              <w:rPr>
                <w:color w:val="000000"/>
                <w:sz w:val="22"/>
                <w:szCs w:val="22"/>
              </w:rPr>
              <w:t> </w:t>
            </w:r>
          </w:p>
        </w:tc>
        <w:tc>
          <w:tcPr>
            <w:tcW w:w="821" w:type="dxa"/>
            <w:tcBorders>
              <w:top w:val="nil"/>
              <w:left w:val="nil"/>
              <w:bottom w:val="nil"/>
              <w:right w:val="nil"/>
            </w:tcBorders>
            <w:shd w:val="clear" w:color="000000" w:fill="FFFFFF"/>
            <w:noWrap/>
            <w:vAlign w:val="bottom"/>
            <w:hideMark/>
          </w:tcPr>
          <w:p w14:paraId="02B4E609" w14:textId="77777777" w:rsidR="001A0CF9" w:rsidRDefault="001A0CF9">
            <w:pPr>
              <w:jc w:val="center"/>
              <w:rPr>
                <w:color w:val="000000"/>
                <w:sz w:val="22"/>
                <w:szCs w:val="22"/>
              </w:rPr>
            </w:pPr>
            <w:r>
              <w:rPr>
                <w:color w:val="000000"/>
                <w:sz w:val="22"/>
                <w:szCs w:val="22"/>
              </w:rPr>
              <w:t> </w:t>
            </w:r>
          </w:p>
        </w:tc>
        <w:tc>
          <w:tcPr>
            <w:tcW w:w="821" w:type="dxa"/>
            <w:tcBorders>
              <w:top w:val="nil"/>
              <w:left w:val="nil"/>
              <w:bottom w:val="nil"/>
              <w:right w:val="nil"/>
            </w:tcBorders>
            <w:shd w:val="clear" w:color="000000" w:fill="FFFFFF"/>
            <w:noWrap/>
            <w:vAlign w:val="bottom"/>
            <w:hideMark/>
          </w:tcPr>
          <w:p w14:paraId="70E98CCE" w14:textId="77777777" w:rsidR="001A0CF9" w:rsidRDefault="001A0CF9">
            <w:pPr>
              <w:jc w:val="center"/>
              <w:rPr>
                <w:color w:val="000000"/>
                <w:sz w:val="22"/>
                <w:szCs w:val="22"/>
              </w:rPr>
            </w:pPr>
            <w:r>
              <w:rPr>
                <w:color w:val="000000"/>
                <w:sz w:val="22"/>
                <w:szCs w:val="22"/>
              </w:rPr>
              <w:t> </w:t>
            </w:r>
          </w:p>
        </w:tc>
        <w:tc>
          <w:tcPr>
            <w:tcW w:w="821" w:type="dxa"/>
            <w:tcBorders>
              <w:top w:val="nil"/>
              <w:left w:val="nil"/>
              <w:bottom w:val="nil"/>
              <w:right w:val="nil"/>
            </w:tcBorders>
            <w:shd w:val="clear" w:color="000000" w:fill="FFFFFF"/>
            <w:noWrap/>
            <w:vAlign w:val="bottom"/>
            <w:hideMark/>
          </w:tcPr>
          <w:p w14:paraId="4ACBBB1D" w14:textId="77777777" w:rsidR="001A0CF9" w:rsidRDefault="001A0CF9">
            <w:pPr>
              <w:jc w:val="center"/>
              <w:rPr>
                <w:color w:val="000000"/>
                <w:sz w:val="22"/>
                <w:szCs w:val="22"/>
              </w:rPr>
            </w:pPr>
            <w:r>
              <w:rPr>
                <w:color w:val="000000"/>
                <w:sz w:val="22"/>
                <w:szCs w:val="22"/>
              </w:rPr>
              <w:t> </w:t>
            </w:r>
          </w:p>
        </w:tc>
        <w:tc>
          <w:tcPr>
            <w:tcW w:w="821" w:type="dxa"/>
            <w:tcBorders>
              <w:top w:val="nil"/>
              <w:left w:val="nil"/>
              <w:bottom w:val="nil"/>
              <w:right w:val="nil"/>
            </w:tcBorders>
            <w:shd w:val="clear" w:color="000000" w:fill="FFFFFF"/>
            <w:noWrap/>
            <w:vAlign w:val="bottom"/>
            <w:hideMark/>
          </w:tcPr>
          <w:p w14:paraId="04D63742" w14:textId="77777777" w:rsidR="001A0CF9" w:rsidRDefault="001A0CF9">
            <w:pPr>
              <w:jc w:val="center"/>
              <w:rPr>
                <w:color w:val="000000"/>
                <w:sz w:val="22"/>
                <w:szCs w:val="22"/>
              </w:rPr>
            </w:pPr>
            <w:r>
              <w:rPr>
                <w:color w:val="000000"/>
                <w:sz w:val="22"/>
                <w:szCs w:val="22"/>
              </w:rPr>
              <w:t> </w:t>
            </w:r>
          </w:p>
        </w:tc>
        <w:tc>
          <w:tcPr>
            <w:tcW w:w="821" w:type="dxa"/>
            <w:tcBorders>
              <w:top w:val="nil"/>
              <w:left w:val="nil"/>
              <w:bottom w:val="nil"/>
              <w:right w:val="nil"/>
            </w:tcBorders>
            <w:shd w:val="clear" w:color="000000" w:fill="FFFFFF"/>
            <w:noWrap/>
            <w:vAlign w:val="bottom"/>
            <w:hideMark/>
          </w:tcPr>
          <w:p w14:paraId="29128BC9" w14:textId="77777777" w:rsidR="001A0CF9" w:rsidRDefault="001A0CF9">
            <w:pPr>
              <w:jc w:val="center"/>
              <w:rPr>
                <w:color w:val="000000"/>
                <w:sz w:val="22"/>
                <w:szCs w:val="22"/>
              </w:rPr>
            </w:pPr>
            <w:r>
              <w:rPr>
                <w:color w:val="000000"/>
                <w:sz w:val="22"/>
                <w:szCs w:val="22"/>
              </w:rPr>
              <w:t> </w:t>
            </w:r>
          </w:p>
        </w:tc>
        <w:tc>
          <w:tcPr>
            <w:tcW w:w="821" w:type="dxa"/>
            <w:tcBorders>
              <w:top w:val="nil"/>
              <w:left w:val="nil"/>
              <w:bottom w:val="nil"/>
              <w:right w:val="nil"/>
            </w:tcBorders>
            <w:shd w:val="clear" w:color="000000" w:fill="FFFFFF"/>
            <w:noWrap/>
            <w:vAlign w:val="bottom"/>
            <w:hideMark/>
          </w:tcPr>
          <w:p w14:paraId="47896953" w14:textId="77777777" w:rsidR="001A0CF9" w:rsidRDefault="001A0CF9">
            <w:pPr>
              <w:jc w:val="center"/>
              <w:rPr>
                <w:color w:val="000000"/>
                <w:sz w:val="22"/>
                <w:szCs w:val="22"/>
              </w:rPr>
            </w:pPr>
            <w:r>
              <w:rPr>
                <w:color w:val="000000"/>
                <w:sz w:val="22"/>
                <w:szCs w:val="22"/>
              </w:rPr>
              <w:t> </w:t>
            </w:r>
          </w:p>
        </w:tc>
        <w:tc>
          <w:tcPr>
            <w:tcW w:w="821" w:type="dxa"/>
            <w:tcBorders>
              <w:top w:val="nil"/>
              <w:left w:val="nil"/>
              <w:bottom w:val="nil"/>
              <w:right w:val="nil"/>
            </w:tcBorders>
            <w:shd w:val="clear" w:color="000000" w:fill="FFFFFF"/>
            <w:noWrap/>
            <w:vAlign w:val="bottom"/>
            <w:hideMark/>
          </w:tcPr>
          <w:p w14:paraId="7D9A5DAE" w14:textId="77777777" w:rsidR="001A0CF9" w:rsidRDefault="001A0CF9">
            <w:pPr>
              <w:jc w:val="center"/>
              <w:rPr>
                <w:color w:val="000000"/>
                <w:sz w:val="22"/>
                <w:szCs w:val="22"/>
              </w:rPr>
            </w:pPr>
            <w:r>
              <w:rPr>
                <w:color w:val="000000"/>
                <w:sz w:val="22"/>
                <w:szCs w:val="22"/>
              </w:rPr>
              <w:t> </w:t>
            </w:r>
          </w:p>
        </w:tc>
        <w:tc>
          <w:tcPr>
            <w:tcW w:w="821" w:type="dxa"/>
            <w:tcBorders>
              <w:top w:val="nil"/>
              <w:left w:val="nil"/>
              <w:bottom w:val="nil"/>
              <w:right w:val="nil"/>
            </w:tcBorders>
            <w:shd w:val="clear" w:color="000000" w:fill="FFFFFF"/>
            <w:noWrap/>
            <w:vAlign w:val="bottom"/>
            <w:hideMark/>
          </w:tcPr>
          <w:p w14:paraId="2608D5D2" w14:textId="77777777" w:rsidR="001A0CF9" w:rsidRDefault="001A0CF9">
            <w:pPr>
              <w:jc w:val="center"/>
              <w:rPr>
                <w:color w:val="000000"/>
                <w:sz w:val="22"/>
                <w:szCs w:val="22"/>
              </w:rPr>
            </w:pPr>
            <w:r>
              <w:rPr>
                <w:color w:val="000000"/>
                <w:sz w:val="22"/>
                <w:szCs w:val="22"/>
              </w:rPr>
              <w:t> </w:t>
            </w:r>
          </w:p>
        </w:tc>
      </w:tr>
      <w:tr w:rsidR="001A0CF9" w14:paraId="3597418B" w14:textId="77777777" w:rsidTr="000A6429">
        <w:trPr>
          <w:trHeight w:val="211"/>
        </w:trPr>
        <w:tc>
          <w:tcPr>
            <w:tcW w:w="3980" w:type="dxa"/>
            <w:gridSpan w:val="5"/>
            <w:tcBorders>
              <w:top w:val="nil"/>
              <w:left w:val="nil"/>
              <w:bottom w:val="nil"/>
              <w:right w:val="nil"/>
            </w:tcBorders>
            <w:shd w:val="clear" w:color="000000" w:fill="FFFFFF"/>
            <w:noWrap/>
            <w:vAlign w:val="bottom"/>
            <w:hideMark/>
          </w:tcPr>
          <w:p w14:paraId="5A685797" w14:textId="77777777" w:rsidR="001A0CF9" w:rsidRDefault="001A0CF9">
            <w:pPr>
              <w:rPr>
                <w:color w:val="000000"/>
                <w:sz w:val="16"/>
                <w:szCs w:val="16"/>
              </w:rPr>
            </w:pPr>
            <w:r>
              <w:rPr>
                <w:color w:val="000000"/>
                <w:sz w:val="16"/>
                <w:szCs w:val="16"/>
              </w:rPr>
              <w:t xml:space="preserve">N = 564 4-Year Public Higher Education Institutions </w:t>
            </w:r>
          </w:p>
        </w:tc>
        <w:tc>
          <w:tcPr>
            <w:tcW w:w="821" w:type="dxa"/>
            <w:tcBorders>
              <w:top w:val="nil"/>
              <w:left w:val="nil"/>
              <w:bottom w:val="nil"/>
              <w:right w:val="nil"/>
            </w:tcBorders>
            <w:shd w:val="clear" w:color="000000" w:fill="FFFFFF"/>
            <w:noWrap/>
            <w:vAlign w:val="bottom"/>
            <w:hideMark/>
          </w:tcPr>
          <w:p w14:paraId="6FF531B7" w14:textId="77777777" w:rsidR="001A0CF9" w:rsidRDefault="001A0CF9">
            <w:pPr>
              <w:rPr>
                <w:color w:val="000000"/>
                <w:sz w:val="16"/>
                <w:szCs w:val="16"/>
              </w:rPr>
            </w:pPr>
            <w:r>
              <w:rPr>
                <w:color w:val="000000"/>
                <w:sz w:val="16"/>
                <w:szCs w:val="16"/>
              </w:rPr>
              <w:t> </w:t>
            </w:r>
          </w:p>
        </w:tc>
        <w:tc>
          <w:tcPr>
            <w:tcW w:w="821" w:type="dxa"/>
            <w:tcBorders>
              <w:top w:val="nil"/>
              <w:left w:val="nil"/>
              <w:bottom w:val="nil"/>
              <w:right w:val="nil"/>
            </w:tcBorders>
            <w:shd w:val="clear" w:color="000000" w:fill="FFFFFF"/>
            <w:noWrap/>
            <w:vAlign w:val="bottom"/>
            <w:hideMark/>
          </w:tcPr>
          <w:p w14:paraId="2C812EF8" w14:textId="77777777" w:rsidR="001A0CF9" w:rsidRDefault="001A0CF9">
            <w:pPr>
              <w:rPr>
                <w:color w:val="000000"/>
                <w:sz w:val="16"/>
                <w:szCs w:val="16"/>
              </w:rPr>
            </w:pPr>
            <w:r>
              <w:rPr>
                <w:color w:val="000000"/>
                <w:sz w:val="16"/>
                <w:szCs w:val="16"/>
              </w:rPr>
              <w:t> </w:t>
            </w:r>
          </w:p>
        </w:tc>
        <w:tc>
          <w:tcPr>
            <w:tcW w:w="821" w:type="dxa"/>
            <w:tcBorders>
              <w:top w:val="nil"/>
              <w:left w:val="nil"/>
              <w:bottom w:val="nil"/>
              <w:right w:val="nil"/>
            </w:tcBorders>
            <w:shd w:val="clear" w:color="000000" w:fill="FFFFFF"/>
            <w:noWrap/>
            <w:vAlign w:val="bottom"/>
            <w:hideMark/>
          </w:tcPr>
          <w:p w14:paraId="72F3B2BD" w14:textId="77777777" w:rsidR="001A0CF9" w:rsidRDefault="001A0CF9">
            <w:pPr>
              <w:rPr>
                <w:color w:val="000000"/>
                <w:sz w:val="16"/>
                <w:szCs w:val="16"/>
              </w:rPr>
            </w:pPr>
            <w:r>
              <w:rPr>
                <w:color w:val="000000"/>
                <w:sz w:val="16"/>
                <w:szCs w:val="16"/>
              </w:rPr>
              <w:t> </w:t>
            </w:r>
          </w:p>
        </w:tc>
        <w:tc>
          <w:tcPr>
            <w:tcW w:w="821" w:type="dxa"/>
            <w:tcBorders>
              <w:top w:val="nil"/>
              <w:left w:val="nil"/>
              <w:bottom w:val="nil"/>
              <w:right w:val="nil"/>
            </w:tcBorders>
            <w:shd w:val="clear" w:color="000000" w:fill="FFFFFF"/>
            <w:noWrap/>
            <w:vAlign w:val="bottom"/>
            <w:hideMark/>
          </w:tcPr>
          <w:p w14:paraId="0A1CE3EA" w14:textId="77777777" w:rsidR="001A0CF9" w:rsidRDefault="001A0CF9">
            <w:pPr>
              <w:rPr>
                <w:color w:val="000000"/>
                <w:sz w:val="16"/>
                <w:szCs w:val="16"/>
              </w:rPr>
            </w:pPr>
            <w:r>
              <w:rPr>
                <w:color w:val="000000"/>
                <w:sz w:val="16"/>
                <w:szCs w:val="16"/>
              </w:rPr>
              <w:t> </w:t>
            </w:r>
          </w:p>
        </w:tc>
        <w:tc>
          <w:tcPr>
            <w:tcW w:w="821" w:type="dxa"/>
            <w:tcBorders>
              <w:top w:val="nil"/>
              <w:left w:val="nil"/>
              <w:bottom w:val="nil"/>
              <w:right w:val="nil"/>
            </w:tcBorders>
            <w:shd w:val="clear" w:color="000000" w:fill="FFFFFF"/>
            <w:noWrap/>
            <w:vAlign w:val="bottom"/>
            <w:hideMark/>
          </w:tcPr>
          <w:p w14:paraId="1160472D" w14:textId="77777777" w:rsidR="001A0CF9" w:rsidRDefault="001A0CF9">
            <w:pPr>
              <w:rPr>
                <w:color w:val="000000"/>
                <w:sz w:val="16"/>
                <w:szCs w:val="16"/>
              </w:rPr>
            </w:pPr>
            <w:r>
              <w:rPr>
                <w:color w:val="000000"/>
                <w:sz w:val="16"/>
                <w:szCs w:val="16"/>
              </w:rPr>
              <w:t> </w:t>
            </w:r>
          </w:p>
        </w:tc>
      </w:tr>
      <w:tr w:rsidR="001A0CF9" w14:paraId="50BDB295" w14:textId="77777777" w:rsidTr="000A6429">
        <w:trPr>
          <w:trHeight w:val="211"/>
        </w:trPr>
        <w:tc>
          <w:tcPr>
            <w:tcW w:w="4801" w:type="dxa"/>
            <w:gridSpan w:val="6"/>
            <w:tcBorders>
              <w:top w:val="nil"/>
              <w:left w:val="nil"/>
              <w:bottom w:val="single" w:sz="4" w:space="0" w:color="auto"/>
              <w:right w:val="nil"/>
            </w:tcBorders>
            <w:shd w:val="clear" w:color="000000" w:fill="FFFFFF"/>
            <w:noWrap/>
            <w:vAlign w:val="bottom"/>
            <w:hideMark/>
          </w:tcPr>
          <w:p w14:paraId="06BA542E" w14:textId="77777777" w:rsidR="001A0CF9" w:rsidRDefault="001A0CF9">
            <w:pPr>
              <w:rPr>
                <w:color w:val="000000"/>
                <w:sz w:val="16"/>
                <w:szCs w:val="16"/>
              </w:rPr>
            </w:pPr>
            <w:r>
              <w:rPr>
                <w:color w:val="000000"/>
                <w:sz w:val="16"/>
                <w:szCs w:val="16"/>
              </w:rPr>
              <w:t xml:space="preserve">**Correlation is significant at the 0.01 level (2-tailed). </w:t>
            </w:r>
          </w:p>
        </w:tc>
        <w:tc>
          <w:tcPr>
            <w:tcW w:w="821" w:type="dxa"/>
            <w:tcBorders>
              <w:top w:val="nil"/>
              <w:left w:val="nil"/>
              <w:bottom w:val="single" w:sz="4" w:space="0" w:color="auto"/>
              <w:right w:val="nil"/>
            </w:tcBorders>
            <w:shd w:val="clear" w:color="000000" w:fill="FFFFFF"/>
            <w:vAlign w:val="bottom"/>
            <w:hideMark/>
          </w:tcPr>
          <w:p w14:paraId="353C24A8" w14:textId="77777777" w:rsidR="001A0CF9" w:rsidRDefault="001A0CF9">
            <w:pPr>
              <w:jc w:val="center"/>
              <w:rPr>
                <w:color w:val="000000"/>
                <w:sz w:val="16"/>
                <w:szCs w:val="16"/>
              </w:rPr>
            </w:pPr>
            <w:r>
              <w:rPr>
                <w:color w:val="000000"/>
                <w:sz w:val="16"/>
                <w:szCs w:val="16"/>
              </w:rPr>
              <w:t> </w:t>
            </w:r>
          </w:p>
        </w:tc>
        <w:tc>
          <w:tcPr>
            <w:tcW w:w="821" w:type="dxa"/>
            <w:tcBorders>
              <w:top w:val="nil"/>
              <w:left w:val="nil"/>
              <w:bottom w:val="single" w:sz="4" w:space="0" w:color="auto"/>
              <w:right w:val="nil"/>
            </w:tcBorders>
            <w:shd w:val="clear" w:color="000000" w:fill="FFFFFF"/>
            <w:vAlign w:val="bottom"/>
            <w:hideMark/>
          </w:tcPr>
          <w:p w14:paraId="5F57007E" w14:textId="77777777" w:rsidR="001A0CF9" w:rsidRDefault="001A0CF9">
            <w:pPr>
              <w:jc w:val="center"/>
              <w:rPr>
                <w:color w:val="000000"/>
                <w:sz w:val="16"/>
                <w:szCs w:val="16"/>
              </w:rPr>
            </w:pPr>
            <w:r>
              <w:rPr>
                <w:color w:val="000000"/>
                <w:sz w:val="16"/>
                <w:szCs w:val="16"/>
              </w:rPr>
              <w:t> </w:t>
            </w:r>
          </w:p>
        </w:tc>
        <w:tc>
          <w:tcPr>
            <w:tcW w:w="821" w:type="dxa"/>
            <w:tcBorders>
              <w:top w:val="nil"/>
              <w:left w:val="nil"/>
              <w:bottom w:val="single" w:sz="4" w:space="0" w:color="auto"/>
              <w:right w:val="nil"/>
            </w:tcBorders>
            <w:shd w:val="clear" w:color="000000" w:fill="FFFFFF"/>
            <w:vAlign w:val="bottom"/>
            <w:hideMark/>
          </w:tcPr>
          <w:p w14:paraId="27BADC35" w14:textId="77777777" w:rsidR="001A0CF9" w:rsidRDefault="001A0CF9">
            <w:pPr>
              <w:jc w:val="center"/>
              <w:rPr>
                <w:color w:val="000000"/>
                <w:sz w:val="16"/>
                <w:szCs w:val="16"/>
              </w:rPr>
            </w:pPr>
            <w:r>
              <w:rPr>
                <w:color w:val="000000"/>
                <w:sz w:val="16"/>
                <w:szCs w:val="16"/>
              </w:rPr>
              <w:t> </w:t>
            </w:r>
          </w:p>
        </w:tc>
        <w:tc>
          <w:tcPr>
            <w:tcW w:w="821" w:type="dxa"/>
            <w:tcBorders>
              <w:top w:val="nil"/>
              <w:left w:val="nil"/>
              <w:bottom w:val="single" w:sz="4" w:space="0" w:color="auto"/>
              <w:right w:val="nil"/>
            </w:tcBorders>
            <w:shd w:val="clear" w:color="000000" w:fill="FFFFFF"/>
            <w:vAlign w:val="bottom"/>
            <w:hideMark/>
          </w:tcPr>
          <w:p w14:paraId="469EAF73" w14:textId="77777777" w:rsidR="001A0CF9" w:rsidRDefault="001A0CF9">
            <w:pPr>
              <w:jc w:val="center"/>
              <w:rPr>
                <w:color w:val="000000"/>
                <w:sz w:val="16"/>
                <w:szCs w:val="16"/>
              </w:rPr>
            </w:pPr>
            <w:r>
              <w:rPr>
                <w:color w:val="000000"/>
                <w:sz w:val="16"/>
                <w:szCs w:val="16"/>
              </w:rPr>
              <w:t> </w:t>
            </w:r>
          </w:p>
        </w:tc>
      </w:tr>
    </w:tbl>
    <w:p w14:paraId="1878D5DF" w14:textId="77777777" w:rsidR="001A0CF9" w:rsidRDefault="001A0CF9" w:rsidP="001A0CF9">
      <w:pPr>
        <w:spacing w:before="240" w:after="160" w:line="480" w:lineRule="auto"/>
        <w:ind w:firstLine="720"/>
        <w:rPr>
          <w:rFonts w:eastAsia="Calibri"/>
        </w:rPr>
      </w:pPr>
      <w:r>
        <w:rPr>
          <w:rFonts w:eastAsia="Calibri"/>
        </w:rPr>
        <w:t xml:space="preserve">Because of this stability, there appeared reasonable justification to use only the first three years (2006, 2007, and 2008) of student services expenditures to represent institutional spending on student services over the entire 2006 through 2014 timeframe. </w:t>
      </w:r>
    </w:p>
    <w:p w14:paraId="6EB19A62" w14:textId="77777777" w:rsidR="005C7062" w:rsidRDefault="005C7062" w:rsidP="005C7062">
      <w:pPr>
        <w:keepNext/>
        <w:spacing w:after="160" w:line="480" w:lineRule="auto"/>
        <w:ind w:firstLine="720"/>
        <w:rPr>
          <w:rFonts w:eastAsia="Calibri"/>
        </w:rPr>
      </w:pPr>
      <w:r w:rsidRPr="00232FD3">
        <w:rPr>
          <w:rFonts w:eastAsia="Calibri"/>
        </w:rPr>
        <w:lastRenderedPageBreak/>
        <w:t>Prior to conducting the inferential statistic</w:t>
      </w:r>
      <w:r>
        <w:rPr>
          <w:rFonts w:eastAsia="Calibri"/>
        </w:rPr>
        <w:t>s,</w:t>
      </w:r>
      <w:r w:rsidRPr="00232FD3">
        <w:rPr>
          <w:rFonts w:eastAsia="Calibri"/>
        </w:rPr>
        <w:t xml:space="preserve"> preliminary analyses </w:t>
      </w:r>
      <w:r w:rsidR="0027069E" w:rsidRPr="00232FD3">
        <w:rPr>
          <w:rFonts w:eastAsia="Calibri"/>
        </w:rPr>
        <w:t>w</w:t>
      </w:r>
      <w:r w:rsidR="0027069E">
        <w:rPr>
          <w:rFonts w:eastAsia="Calibri"/>
        </w:rPr>
        <w:t>ere</w:t>
      </w:r>
      <w:r w:rsidRPr="00232FD3">
        <w:rPr>
          <w:rFonts w:eastAsia="Calibri"/>
        </w:rPr>
        <w:t xml:space="preserve"> performed </w:t>
      </w:r>
      <w:r>
        <w:rPr>
          <w:rFonts w:eastAsia="Calibri"/>
        </w:rPr>
        <w:t>to ensure data integrity</w:t>
      </w:r>
      <w:r w:rsidRPr="00232FD3">
        <w:rPr>
          <w:rFonts w:eastAsia="Calibri"/>
        </w:rPr>
        <w:t xml:space="preserve">. </w:t>
      </w:r>
      <w:r>
        <w:rPr>
          <w:rFonts w:eastAsia="Calibri"/>
        </w:rPr>
        <w:t xml:space="preserve"> Diagnostic testing of the independent variables was performed using SPSS software to look for any indications of non-normality or multicollinearity among the variables.  No indications of non-normality or multicollinearity were found.</w:t>
      </w:r>
    </w:p>
    <w:p w14:paraId="2E7CA1A8" w14:textId="7366EFDE" w:rsidR="00874FEC" w:rsidRDefault="00510B96" w:rsidP="00EB21EB">
      <w:pPr>
        <w:spacing w:after="160" w:line="480" w:lineRule="auto"/>
        <w:ind w:firstLine="720"/>
        <w:rPr>
          <w:rFonts w:eastAsia="Calibri"/>
        </w:rPr>
      </w:pPr>
      <w:r>
        <w:rPr>
          <w:rFonts w:eastAsia="Calibri"/>
        </w:rPr>
        <w:t>Table 4.6</w:t>
      </w:r>
      <w:r w:rsidR="00EF10A1">
        <w:rPr>
          <w:rFonts w:eastAsia="Calibri"/>
        </w:rPr>
        <w:t xml:space="preserve"> on </w:t>
      </w:r>
      <w:r w:rsidR="009C305F">
        <w:rPr>
          <w:rFonts w:eastAsia="Calibri"/>
        </w:rPr>
        <w:t>the following page</w:t>
      </w:r>
      <w:r w:rsidR="00EF10A1">
        <w:rPr>
          <w:rFonts w:eastAsia="Calibri"/>
        </w:rPr>
        <w:t xml:space="preserve"> </w:t>
      </w:r>
      <w:r w:rsidR="00EB21EB" w:rsidRPr="00EB21EB">
        <w:rPr>
          <w:rFonts w:eastAsia="Calibri"/>
        </w:rPr>
        <w:t xml:space="preserve">gives </w:t>
      </w:r>
      <w:r w:rsidR="00CF484B">
        <w:rPr>
          <w:rFonts w:eastAsia="Calibri"/>
        </w:rPr>
        <w:t xml:space="preserve">the HLM software </w:t>
      </w:r>
      <w:r w:rsidR="009E690B">
        <w:rPr>
          <w:rFonts w:eastAsia="Calibri"/>
        </w:rPr>
        <w:t xml:space="preserve">multilevel regression </w:t>
      </w:r>
      <w:r w:rsidR="00CF484B">
        <w:rPr>
          <w:rFonts w:eastAsia="Calibri"/>
        </w:rPr>
        <w:t xml:space="preserve">results </w:t>
      </w:r>
      <w:r w:rsidR="00EB21EB" w:rsidRPr="00EB21EB">
        <w:rPr>
          <w:rFonts w:eastAsia="Calibri"/>
        </w:rPr>
        <w:t>of what percentage of variability in the dependent variable</w:t>
      </w:r>
      <w:r w:rsidR="00FB14D6">
        <w:rPr>
          <w:rFonts w:eastAsia="Calibri"/>
        </w:rPr>
        <w:t xml:space="preserve"> - </w:t>
      </w:r>
      <w:r w:rsidR="00EB21EB" w:rsidRPr="00EB21EB">
        <w:rPr>
          <w:rFonts w:eastAsia="Calibri"/>
        </w:rPr>
        <w:t>2012</w:t>
      </w:r>
      <w:r w:rsidR="007F55B5">
        <w:rPr>
          <w:rFonts w:eastAsia="Calibri"/>
        </w:rPr>
        <w:t>-2014</w:t>
      </w:r>
      <w:r w:rsidR="00EB21EB" w:rsidRPr="00EB21EB">
        <w:rPr>
          <w:rFonts w:eastAsia="Calibri"/>
        </w:rPr>
        <w:t xml:space="preserve"> </w:t>
      </w:r>
      <w:r w:rsidR="007F55B5">
        <w:rPr>
          <w:rFonts w:eastAsia="Calibri"/>
        </w:rPr>
        <w:t>averaged six-year g</w:t>
      </w:r>
      <w:r w:rsidR="00EB21EB" w:rsidRPr="00EB21EB">
        <w:rPr>
          <w:rFonts w:eastAsia="Calibri"/>
        </w:rPr>
        <w:t xml:space="preserve">raduation </w:t>
      </w:r>
      <w:r w:rsidR="007F55B5">
        <w:rPr>
          <w:rFonts w:eastAsia="Calibri"/>
        </w:rPr>
        <w:t>r</w:t>
      </w:r>
      <w:r w:rsidR="00EB21EB" w:rsidRPr="00EB21EB">
        <w:rPr>
          <w:rFonts w:eastAsia="Calibri"/>
        </w:rPr>
        <w:t>ate</w:t>
      </w:r>
      <w:r w:rsidR="00FB14D6">
        <w:rPr>
          <w:rFonts w:eastAsia="Calibri"/>
        </w:rPr>
        <w:t xml:space="preserve"> – </w:t>
      </w:r>
      <w:r w:rsidR="00EB21EB" w:rsidRPr="00EB21EB">
        <w:rPr>
          <w:rFonts w:eastAsia="Calibri"/>
        </w:rPr>
        <w:t xml:space="preserve">can be explained by the </w:t>
      </w:r>
      <w:r w:rsidR="005863FD">
        <w:rPr>
          <w:rFonts w:eastAsia="Calibri"/>
        </w:rPr>
        <w:t xml:space="preserve">expenditure </w:t>
      </w:r>
      <w:r w:rsidR="00EB21EB" w:rsidRPr="00EB21EB">
        <w:rPr>
          <w:rFonts w:eastAsia="Calibri"/>
        </w:rPr>
        <w:t>variable</w:t>
      </w:r>
      <w:r w:rsidR="00874FEC">
        <w:rPr>
          <w:rFonts w:eastAsia="Calibri"/>
        </w:rPr>
        <w:t>s included in this study</w:t>
      </w:r>
      <w:r w:rsidR="005863FD">
        <w:rPr>
          <w:rFonts w:eastAsia="Calibri"/>
        </w:rPr>
        <w:t>:  instruction, research, public service, academic support and student services.</w:t>
      </w:r>
    </w:p>
    <w:p w14:paraId="7E526DD6" w14:textId="4F0D0C89" w:rsidR="001045D5" w:rsidRPr="001045D5" w:rsidRDefault="001045D5" w:rsidP="001045D5">
      <w:pPr>
        <w:spacing w:after="160" w:line="480" w:lineRule="auto"/>
        <w:ind w:firstLine="720"/>
        <w:rPr>
          <w:rFonts w:eastAsia="Calibri"/>
        </w:rPr>
      </w:pPr>
      <w:r w:rsidRPr="001045D5">
        <w:rPr>
          <w:rFonts w:eastAsia="Calibri"/>
        </w:rPr>
        <w:t xml:space="preserve">The </w:t>
      </w:r>
      <w:r w:rsidR="009E690B">
        <w:rPr>
          <w:rFonts w:eastAsia="Calibri"/>
        </w:rPr>
        <w:t xml:space="preserve">multilevel </w:t>
      </w:r>
      <w:r w:rsidRPr="001045D5">
        <w:rPr>
          <w:rFonts w:eastAsia="Calibri"/>
        </w:rPr>
        <w:t xml:space="preserve">analyses showed that </w:t>
      </w:r>
      <w:r>
        <w:rPr>
          <w:rFonts w:eastAsia="Calibri"/>
        </w:rPr>
        <w:t>both instruction expenditures per student FTE and research expenditures per student FTE</w:t>
      </w:r>
      <w:r w:rsidRPr="001045D5">
        <w:rPr>
          <w:rFonts w:eastAsia="Calibri"/>
        </w:rPr>
        <w:t xml:space="preserve"> did have a significant positive effect on six-year graduation rates.  </w:t>
      </w:r>
      <w:r>
        <w:rPr>
          <w:rFonts w:eastAsia="Calibri"/>
        </w:rPr>
        <w:t>Instruction expenditures</w:t>
      </w:r>
      <w:r w:rsidRPr="001045D5">
        <w:rPr>
          <w:rFonts w:eastAsia="Calibri"/>
        </w:rPr>
        <w:t xml:space="preserve"> had a p-value </w:t>
      </w:r>
      <w:r>
        <w:rPr>
          <w:rFonts w:eastAsia="Calibri"/>
        </w:rPr>
        <w:t>equal to</w:t>
      </w:r>
      <w:r w:rsidRPr="001045D5">
        <w:rPr>
          <w:rFonts w:eastAsia="Calibri"/>
        </w:rPr>
        <w:t xml:space="preserve"> .001 </w:t>
      </w:r>
      <w:r>
        <w:rPr>
          <w:rFonts w:eastAsia="Calibri"/>
        </w:rPr>
        <w:t>whereas</w:t>
      </w:r>
      <w:r w:rsidRPr="001045D5">
        <w:rPr>
          <w:rFonts w:eastAsia="Calibri"/>
        </w:rPr>
        <w:t xml:space="preserve"> </w:t>
      </w:r>
      <w:r>
        <w:rPr>
          <w:rFonts w:eastAsia="Calibri"/>
        </w:rPr>
        <w:t>research expenditures</w:t>
      </w:r>
      <w:r w:rsidRPr="001045D5">
        <w:rPr>
          <w:rFonts w:eastAsia="Calibri"/>
        </w:rPr>
        <w:t xml:space="preserve"> had a p-value of &lt; .0</w:t>
      </w:r>
      <w:r>
        <w:rPr>
          <w:rFonts w:eastAsia="Calibri"/>
        </w:rPr>
        <w:t>5 (p value = .025)</w:t>
      </w:r>
      <w:r w:rsidRPr="001045D5">
        <w:rPr>
          <w:rFonts w:eastAsia="Calibri"/>
        </w:rPr>
        <w:t xml:space="preserve">.  P-values of .05 or smaller are generally regarded as statistically significant.   </w:t>
      </w:r>
    </w:p>
    <w:p w14:paraId="3B4CB9B5" w14:textId="42A6CB65" w:rsidR="009C305F" w:rsidRDefault="001045D5" w:rsidP="001045D5">
      <w:pPr>
        <w:spacing w:after="160" w:line="480" w:lineRule="auto"/>
        <w:ind w:firstLine="720"/>
        <w:rPr>
          <w:rFonts w:eastAsia="Calibri"/>
        </w:rPr>
      </w:pPr>
      <w:r w:rsidRPr="001045D5">
        <w:rPr>
          <w:rFonts w:eastAsia="Calibri"/>
        </w:rPr>
        <w:t xml:space="preserve">The analyses </w:t>
      </w:r>
      <w:r w:rsidR="009E690B">
        <w:rPr>
          <w:rFonts w:eastAsia="Calibri"/>
        </w:rPr>
        <w:t xml:space="preserve">also </w:t>
      </w:r>
      <w:r w:rsidRPr="001045D5">
        <w:rPr>
          <w:rFonts w:eastAsia="Calibri"/>
        </w:rPr>
        <w:t xml:space="preserve">revealed that the institution </w:t>
      </w:r>
      <w:r w:rsidR="00600E10">
        <w:rPr>
          <w:rFonts w:eastAsia="Calibri"/>
        </w:rPr>
        <w:t>expenditures</w:t>
      </w:r>
      <w:r w:rsidRPr="001045D5">
        <w:rPr>
          <w:rFonts w:eastAsia="Calibri"/>
        </w:rPr>
        <w:t xml:space="preserve"> </w:t>
      </w:r>
      <w:r w:rsidR="00600E10">
        <w:rPr>
          <w:rFonts w:eastAsia="Calibri"/>
        </w:rPr>
        <w:t>in</w:t>
      </w:r>
      <w:r w:rsidRPr="001045D5">
        <w:rPr>
          <w:rFonts w:eastAsia="Calibri"/>
        </w:rPr>
        <w:t xml:space="preserve"> </w:t>
      </w:r>
      <w:r w:rsidR="00600E10">
        <w:rPr>
          <w:rFonts w:eastAsia="Calibri"/>
        </w:rPr>
        <w:t>public service</w:t>
      </w:r>
      <w:r w:rsidRPr="001045D5">
        <w:rPr>
          <w:rFonts w:eastAsia="Calibri"/>
        </w:rPr>
        <w:t>,</w:t>
      </w:r>
      <w:r w:rsidR="00600E10">
        <w:rPr>
          <w:rFonts w:eastAsia="Calibri"/>
        </w:rPr>
        <w:t xml:space="preserve"> academic support, and student services</w:t>
      </w:r>
      <w:r w:rsidRPr="001045D5">
        <w:rPr>
          <w:rFonts w:eastAsia="Calibri"/>
        </w:rPr>
        <w:t xml:space="preserve"> did not have a significant effect on six-year graduation rates.  </w:t>
      </w:r>
      <w:r w:rsidR="00600E10">
        <w:rPr>
          <w:rFonts w:eastAsia="Calibri"/>
        </w:rPr>
        <w:t>Public service spending</w:t>
      </w:r>
      <w:r w:rsidRPr="001045D5">
        <w:rPr>
          <w:rFonts w:eastAsia="Calibri"/>
        </w:rPr>
        <w:t xml:space="preserve"> had a p-value of </w:t>
      </w:r>
      <w:r w:rsidR="00600E10">
        <w:rPr>
          <w:rFonts w:eastAsia="Calibri"/>
        </w:rPr>
        <w:t>0.468.  Academic support</w:t>
      </w:r>
      <w:r w:rsidRPr="001045D5">
        <w:rPr>
          <w:rFonts w:eastAsia="Calibri"/>
        </w:rPr>
        <w:t xml:space="preserve"> </w:t>
      </w:r>
      <w:r w:rsidR="00600E10">
        <w:rPr>
          <w:rFonts w:eastAsia="Calibri"/>
        </w:rPr>
        <w:t xml:space="preserve">expenditures </w:t>
      </w:r>
      <w:r w:rsidRPr="001045D5">
        <w:rPr>
          <w:rFonts w:eastAsia="Calibri"/>
        </w:rPr>
        <w:t xml:space="preserve">had a p-value of </w:t>
      </w:r>
      <w:r w:rsidR="00600E10">
        <w:rPr>
          <w:rFonts w:eastAsia="Calibri"/>
        </w:rPr>
        <w:t>.098</w:t>
      </w:r>
      <w:r w:rsidRPr="001045D5">
        <w:rPr>
          <w:rFonts w:eastAsia="Calibri"/>
        </w:rPr>
        <w:t xml:space="preserve">, and </w:t>
      </w:r>
      <w:r w:rsidR="00EF10A1">
        <w:rPr>
          <w:rFonts w:eastAsia="Calibri"/>
        </w:rPr>
        <w:t>student services</w:t>
      </w:r>
      <w:r w:rsidRPr="001045D5">
        <w:rPr>
          <w:rFonts w:eastAsia="Calibri"/>
        </w:rPr>
        <w:t xml:space="preserve"> had a p-value of </w:t>
      </w:r>
      <w:r w:rsidR="00EF10A1">
        <w:rPr>
          <w:rFonts w:eastAsia="Calibri"/>
        </w:rPr>
        <w:t>.061.</w:t>
      </w:r>
    </w:p>
    <w:p w14:paraId="097D1E1D" w14:textId="77777777" w:rsidR="009C305F" w:rsidRDefault="009C305F">
      <w:pPr>
        <w:rPr>
          <w:rFonts w:eastAsia="Calibri"/>
        </w:rPr>
      </w:pPr>
      <w:r>
        <w:rPr>
          <w:rFonts w:eastAsia="Calibri"/>
        </w:rPr>
        <w:br w:type="page"/>
      </w:r>
    </w:p>
    <w:tbl>
      <w:tblPr>
        <w:tblW w:w="8142" w:type="dxa"/>
        <w:tblLook w:val="04A0" w:firstRow="1" w:lastRow="0" w:firstColumn="1" w:lastColumn="0" w:noHBand="0" w:noVBand="1"/>
      </w:tblPr>
      <w:tblGrid>
        <w:gridCol w:w="976"/>
        <w:gridCol w:w="976"/>
        <w:gridCol w:w="976"/>
        <w:gridCol w:w="1392"/>
        <w:gridCol w:w="284"/>
        <w:gridCol w:w="672"/>
        <w:gridCol w:w="760"/>
        <w:gridCol w:w="280"/>
        <w:gridCol w:w="1066"/>
        <w:gridCol w:w="760"/>
      </w:tblGrid>
      <w:tr w:rsidR="00597171" w14:paraId="11A6757A" w14:textId="77777777" w:rsidTr="00597171">
        <w:trPr>
          <w:trHeight w:val="315"/>
        </w:trPr>
        <w:tc>
          <w:tcPr>
            <w:tcW w:w="4320" w:type="dxa"/>
            <w:gridSpan w:val="4"/>
            <w:tcBorders>
              <w:top w:val="nil"/>
              <w:left w:val="nil"/>
              <w:bottom w:val="nil"/>
              <w:right w:val="nil"/>
            </w:tcBorders>
            <w:shd w:val="clear" w:color="000000" w:fill="FFFFFF"/>
            <w:noWrap/>
            <w:vAlign w:val="bottom"/>
            <w:hideMark/>
          </w:tcPr>
          <w:p w14:paraId="1276D5A9" w14:textId="77777777" w:rsidR="00597171" w:rsidRDefault="00597171">
            <w:pPr>
              <w:rPr>
                <w:color w:val="000000"/>
              </w:rPr>
            </w:pPr>
            <w:r>
              <w:rPr>
                <w:color w:val="000000"/>
              </w:rPr>
              <w:lastRenderedPageBreak/>
              <w:t>Table 4.6   Multilevel Regression Results</w:t>
            </w:r>
          </w:p>
        </w:tc>
        <w:tc>
          <w:tcPr>
            <w:tcW w:w="280" w:type="dxa"/>
            <w:tcBorders>
              <w:top w:val="nil"/>
              <w:left w:val="nil"/>
              <w:bottom w:val="nil"/>
              <w:right w:val="nil"/>
            </w:tcBorders>
            <w:shd w:val="clear" w:color="000000" w:fill="FFFFFF"/>
            <w:noWrap/>
            <w:vAlign w:val="bottom"/>
            <w:hideMark/>
          </w:tcPr>
          <w:p w14:paraId="73EF6864" w14:textId="77777777" w:rsidR="00597171" w:rsidRDefault="00597171">
            <w:pPr>
              <w:rPr>
                <w:color w:val="000000"/>
              </w:rPr>
            </w:pPr>
            <w:r>
              <w:rPr>
                <w:color w:val="000000"/>
              </w:rPr>
              <w:t> </w:t>
            </w:r>
          </w:p>
        </w:tc>
        <w:tc>
          <w:tcPr>
            <w:tcW w:w="672" w:type="dxa"/>
            <w:tcBorders>
              <w:top w:val="nil"/>
              <w:left w:val="nil"/>
              <w:bottom w:val="nil"/>
              <w:right w:val="nil"/>
            </w:tcBorders>
            <w:shd w:val="clear" w:color="000000" w:fill="FFFFFF"/>
            <w:noWrap/>
            <w:vAlign w:val="bottom"/>
            <w:hideMark/>
          </w:tcPr>
          <w:p w14:paraId="4284C6C7" w14:textId="77777777" w:rsidR="00597171" w:rsidRDefault="00597171">
            <w:pPr>
              <w:rPr>
                <w:color w:val="000000"/>
              </w:rPr>
            </w:pPr>
            <w:r>
              <w:rPr>
                <w:color w:val="000000"/>
              </w:rPr>
              <w:t> </w:t>
            </w:r>
          </w:p>
        </w:tc>
        <w:tc>
          <w:tcPr>
            <w:tcW w:w="760" w:type="dxa"/>
            <w:tcBorders>
              <w:top w:val="nil"/>
              <w:left w:val="nil"/>
              <w:bottom w:val="nil"/>
              <w:right w:val="nil"/>
            </w:tcBorders>
            <w:shd w:val="clear" w:color="000000" w:fill="FFFFFF"/>
            <w:noWrap/>
            <w:vAlign w:val="bottom"/>
            <w:hideMark/>
          </w:tcPr>
          <w:p w14:paraId="7ACAA345" w14:textId="77777777" w:rsidR="00597171" w:rsidRDefault="00597171">
            <w:pPr>
              <w:rPr>
                <w:color w:val="000000"/>
              </w:rPr>
            </w:pPr>
            <w:r>
              <w:rPr>
                <w:color w:val="000000"/>
              </w:rPr>
              <w:t> </w:t>
            </w:r>
          </w:p>
        </w:tc>
        <w:tc>
          <w:tcPr>
            <w:tcW w:w="280" w:type="dxa"/>
            <w:tcBorders>
              <w:top w:val="nil"/>
              <w:left w:val="nil"/>
              <w:bottom w:val="nil"/>
              <w:right w:val="nil"/>
            </w:tcBorders>
            <w:shd w:val="clear" w:color="000000" w:fill="FFFFFF"/>
            <w:noWrap/>
            <w:vAlign w:val="bottom"/>
            <w:hideMark/>
          </w:tcPr>
          <w:p w14:paraId="4AE68C3F" w14:textId="77777777" w:rsidR="00597171" w:rsidRDefault="00597171">
            <w:pPr>
              <w:rPr>
                <w:color w:val="000000"/>
              </w:rPr>
            </w:pPr>
            <w:r>
              <w:rPr>
                <w:color w:val="000000"/>
              </w:rPr>
              <w:t> </w:t>
            </w:r>
          </w:p>
        </w:tc>
        <w:tc>
          <w:tcPr>
            <w:tcW w:w="1066" w:type="dxa"/>
            <w:tcBorders>
              <w:top w:val="nil"/>
              <w:left w:val="nil"/>
              <w:bottom w:val="nil"/>
              <w:right w:val="nil"/>
            </w:tcBorders>
            <w:shd w:val="clear" w:color="000000" w:fill="FFFFFF"/>
            <w:noWrap/>
            <w:vAlign w:val="bottom"/>
            <w:hideMark/>
          </w:tcPr>
          <w:p w14:paraId="099F223C" w14:textId="77777777" w:rsidR="00597171" w:rsidRDefault="00597171">
            <w:pPr>
              <w:rPr>
                <w:color w:val="000000"/>
              </w:rPr>
            </w:pPr>
            <w:r>
              <w:rPr>
                <w:color w:val="000000"/>
              </w:rPr>
              <w:t> </w:t>
            </w:r>
          </w:p>
        </w:tc>
        <w:tc>
          <w:tcPr>
            <w:tcW w:w="760" w:type="dxa"/>
            <w:tcBorders>
              <w:top w:val="nil"/>
              <w:left w:val="nil"/>
              <w:bottom w:val="nil"/>
              <w:right w:val="nil"/>
            </w:tcBorders>
            <w:shd w:val="clear" w:color="000000" w:fill="FFFFFF"/>
            <w:noWrap/>
            <w:vAlign w:val="bottom"/>
            <w:hideMark/>
          </w:tcPr>
          <w:p w14:paraId="38F10701" w14:textId="77777777" w:rsidR="00597171" w:rsidRDefault="00597171">
            <w:pPr>
              <w:rPr>
                <w:color w:val="000000"/>
              </w:rPr>
            </w:pPr>
            <w:r>
              <w:rPr>
                <w:color w:val="000000"/>
              </w:rPr>
              <w:t> </w:t>
            </w:r>
          </w:p>
        </w:tc>
      </w:tr>
      <w:tr w:rsidR="00597171" w14:paraId="4F57EFDC" w14:textId="77777777" w:rsidTr="00597171">
        <w:trPr>
          <w:trHeight w:val="315"/>
        </w:trPr>
        <w:tc>
          <w:tcPr>
            <w:tcW w:w="976" w:type="dxa"/>
            <w:tcBorders>
              <w:top w:val="nil"/>
              <w:left w:val="nil"/>
              <w:bottom w:val="single" w:sz="4" w:space="0" w:color="auto"/>
              <w:right w:val="nil"/>
            </w:tcBorders>
            <w:shd w:val="clear" w:color="000000" w:fill="FFFFFF"/>
            <w:noWrap/>
            <w:vAlign w:val="bottom"/>
            <w:hideMark/>
          </w:tcPr>
          <w:p w14:paraId="39F58111" w14:textId="77777777" w:rsidR="00597171" w:rsidRDefault="00597171">
            <w:pPr>
              <w:rPr>
                <w:color w:val="000000"/>
              </w:rPr>
            </w:pPr>
            <w:r>
              <w:rPr>
                <w:color w:val="000000"/>
              </w:rPr>
              <w:t> </w:t>
            </w:r>
          </w:p>
        </w:tc>
        <w:tc>
          <w:tcPr>
            <w:tcW w:w="976" w:type="dxa"/>
            <w:tcBorders>
              <w:top w:val="nil"/>
              <w:left w:val="nil"/>
              <w:bottom w:val="single" w:sz="4" w:space="0" w:color="auto"/>
              <w:right w:val="nil"/>
            </w:tcBorders>
            <w:shd w:val="clear" w:color="000000" w:fill="FFFFFF"/>
            <w:noWrap/>
            <w:vAlign w:val="bottom"/>
            <w:hideMark/>
          </w:tcPr>
          <w:p w14:paraId="1A65486A" w14:textId="77777777" w:rsidR="00597171" w:rsidRDefault="00597171">
            <w:pPr>
              <w:rPr>
                <w:color w:val="000000"/>
              </w:rPr>
            </w:pPr>
            <w:r>
              <w:rPr>
                <w:color w:val="000000"/>
              </w:rPr>
              <w:t> </w:t>
            </w:r>
          </w:p>
        </w:tc>
        <w:tc>
          <w:tcPr>
            <w:tcW w:w="976" w:type="dxa"/>
            <w:tcBorders>
              <w:top w:val="nil"/>
              <w:left w:val="nil"/>
              <w:bottom w:val="single" w:sz="4" w:space="0" w:color="auto"/>
              <w:right w:val="nil"/>
            </w:tcBorders>
            <w:shd w:val="clear" w:color="000000" w:fill="FFFFFF"/>
            <w:noWrap/>
            <w:vAlign w:val="bottom"/>
            <w:hideMark/>
          </w:tcPr>
          <w:p w14:paraId="3A97B8D0" w14:textId="77777777" w:rsidR="00597171" w:rsidRDefault="00597171">
            <w:pPr>
              <w:rPr>
                <w:color w:val="000000"/>
              </w:rPr>
            </w:pPr>
            <w:r>
              <w:rPr>
                <w:color w:val="000000"/>
              </w:rPr>
              <w:t> </w:t>
            </w:r>
          </w:p>
        </w:tc>
        <w:tc>
          <w:tcPr>
            <w:tcW w:w="1392" w:type="dxa"/>
            <w:tcBorders>
              <w:top w:val="nil"/>
              <w:left w:val="nil"/>
              <w:bottom w:val="single" w:sz="4" w:space="0" w:color="auto"/>
              <w:right w:val="nil"/>
            </w:tcBorders>
            <w:shd w:val="clear" w:color="000000" w:fill="FFFFFF"/>
            <w:noWrap/>
            <w:vAlign w:val="bottom"/>
            <w:hideMark/>
          </w:tcPr>
          <w:p w14:paraId="6999E724" w14:textId="77777777" w:rsidR="00597171" w:rsidRDefault="00597171">
            <w:pPr>
              <w:rPr>
                <w:color w:val="000000"/>
              </w:rPr>
            </w:pPr>
            <w:r>
              <w:rPr>
                <w:color w:val="000000"/>
              </w:rPr>
              <w:t> </w:t>
            </w:r>
          </w:p>
        </w:tc>
        <w:tc>
          <w:tcPr>
            <w:tcW w:w="280" w:type="dxa"/>
            <w:tcBorders>
              <w:top w:val="nil"/>
              <w:left w:val="nil"/>
              <w:bottom w:val="single" w:sz="4" w:space="0" w:color="auto"/>
              <w:right w:val="nil"/>
            </w:tcBorders>
            <w:shd w:val="clear" w:color="000000" w:fill="FFFFFF"/>
            <w:noWrap/>
            <w:vAlign w:val="bottom"/>
            <w:hideMark/>
          </w:tcPr>
          <w:p w14:paraId="50453947" w14:textId="77777777" w:rsidR="00597171" w:rsidRDefault="00597171">
            <w:pPr>
              <w:rPr>
                <w:color w:val="000000"/>
              </w:rPr>
            </w:pPr>
            <w:r>
              <w:rPr>
                <w:color w:val="000000"/>
              </w:rPr>
              <w:t> </w:t>
            </w:r>
          </w:p>
        </w:tc>
        <w:tc>
          <w:tcPr>
            <w:tcW w:w="672" w:type="dxa"/>
            <w:tcBorders>
              <w:top w:val="nil"/>
              <w:left w:val="nil"/>
              <w:bottom w:val="single" w:sz="4" w:space="0" w:color="auto"/>
              <w:right w:val="nil"/>
            </w:tcBorders>
            <w:shd w:val="clear" w:color="000000" w:fill="FFFFFF"/>
            <w:noWrap/>
            <w:vAlign w:val="bottom"/>
            <w:hideMark/>
          </w:tcPr>
          <w:p w14:paraId="0AB33389" w14:textId="77777777" w:rsidR="00597171" w:rsidRDefault="00597171">
            <w:pPr>
              <w:rPr>
                <w:color w:val="000000"/>
              </w:rPr>
            </w:pPr>
            <w:r>
              <w:rPr>
                <w:color w:val="000000"/>
              </w:rPr>
              <w:t> </w:t>
            </w:r>
          </w:p>
        </w:tc>
        <w:tc>
          <w:tcPr>
            <w:tcW w:w="760" w:type="dxa"/>
            <w:tcBorders>
              <w:top w:val="nil"/>
              <w:left w:val="nil"/>
              <w:bottom w:val="single" w:sz="4" w:space="0" w:color="auto"/>
              <w:right w:val="nil"/>
            </w:tcBorders>
            <w:shd w:val="clear" w:color="000000" w:fill="FFFFFF"/>
            <w:noWrap/>
            <w:vAlign w:val="bottom"/>
            <w:hideMark/>
          </w:tcPr>
          <w:p w14:paraId="17CCC0F9" w14:textId="77777777" w:rsidR="00597171" w:rsidRDefault="00597171">
            <w:pPr>
              <w:rPr>
                <w:color w:val="000000"/>
              </w:rPr>
            </w:pPr>
            <w:r>
              <w:rPr>
                <w:color w:val="000000"/>
              </w:rPr>
              <w:t> </w:t>
            </w:r>
          </w:p>
        </w:tc>
        <w:tc>
          <w:tcPr>
            <w:tcW w:w="280" w:type="dxa"/>
            <w:tcBorders>
              <w:top w:val="nil"/>
              <w:left w:val="nil"/>
              <w:bottom w:val="single" w:sz="4" w:space="0" w:color="auto"/>
              <w:right w:val="nil"/>
            </w:tcBorders>
            <w:shd w:val="clear" w:color="000000" w:fill="FFFFFF"/>
            <w:noWrap/>
            <w:vAlign w:val="bottom"/>
            <w:hideMark/>
          </w:tcPr>
          <w:p w14:paraId="2513DEC2" w14:textId="77777777" w:rsidR="00597171" w:rsidRDefault="00597171">
            <w:pPr>
              <w:rPr>
                <w:color w:val="000000"/>
              </w:rPr>
            </w:pPr>
            <w:r>
              <w:rPr>
                <w:color w:val="000000"/>
              </w:rPr>
              <w:t> </w:t>
            </w:r>
          </w:p>
        </w:tc>
        <w:tc>
          <w:tcPr>
            <w:tcW w:w="1066" w:type="dxa"/>
            <w:tcBorders>
              <w:top w:val="nil"/>
              <w:left w:val="nil"/>
              <w:bottom w:val="single" w:sz="4" w:space="0" w:color="auto"/>
              <w:right w:val="nil"/>
            </w:tcBorders>
            <w:shd w:val="clear" w:color="000000" w:fill="FFFFFF"/>
            <w:noWrap/>
            <w:vAlign w:val="bottom"/>
            <w:hideMark/>
          </w:tcPr>
          <w:p w14:paraId="06558B34" w14:textId="77777777" w:rsidR="00597171" w:rsidRDefault="00597171">
            <w:pPr>
              <w:rPr>
                <w:color w:val="000000"/>
              </w:rPr>
            </w:pPr>
            <w:r>
              <w:rPr>
                <w:color w:val="000000"/>
              </w:rPr>
              <w:t> </w:t>
            </w:r>
          </w:p>
        </w:tc>
        <w:tc>
          <w:tcPr>
            <w:tcW w:w="760" w:type="dxa"/>
            <w:tcBorders>
              <w:top w:val="nil"/>
              <w:left w:val="nil"/>
              <w:bottom w:val="single" w:sz="4" w:space="0" w:color="auto"/>
              <w:right w:val="nil"/>
            </w:tcBorders>
            <w:shd w:val="clear" w:color="000000" w:fill="FFFFFF"/>
            <w:noWrap/>
            <w:vAlign w:val="bottom"/>
            <w:hideMark/>
          </w:tcPr>
          <w:p w14:paraId="1AC9EB63" w14:textId="77777777" w:rsidR="00597171" w:rsidRDefault="00597171">
            <w:pPr>
              <w:rPr>
                <w:color w:val="000000"/>
              </w:rPr>
            </w:pPr>
            <w:r>
              <w:rPr>
                <w:color w:val="000000"/>
              </w:rPr>
              <w:t> </w:t>
            </w:r>
          </w:p>
        </w:tc>
      </w:tr>
      <w:tr w:rsidR="00597171" w14:paraId="76A8FEEA" w14:textId="77777777" w:rsidTr="00597171">
        <w:trPr>
          <w:trHeight w:val="315"/>
        </w:trPr>
        <w:tc>
          <w:tcPr>
            <w:tcW w:w="976" w:type="dxa"/>
            <w:tcBorders>
              <w:top w:val="nil"/>
              <w:left w:val="nil"/>
              <w:bottom w:val="nil"/>
              <w:right w:val="nil"/>
            </w:tcBorders>
            <w:shd w:val="clear" w:color="auto" w:fill="auto"/>
            <w:noWrap/>
            <w:vAlign w:val="center"/>
            <w:hideMark/>
          </w:tcPr>
          <w:p w14:paraId="7B999BEB" w14:textId="77777777" w:rsidR="00597171" w:rsidRDefault="00597171">
            <w:pPr>
              <w:rPr>
                <w:color w:val="000000"/>
              </w:rPr>
            </w:pPr>
          </w:p>
        </w:tc>
        <w:tc>
          <w:tcPr>
            <w:tcW w:w="976" w:type="dxa"/>
            <w:tcBorders>
              <w:top w:val="nil"/>
              <w:left w:val="nil"/>
              <w:bottom w:val="nil"/>
              <w:right w:val="nil"/>
            </w:tcBorders>
            <w:shd w:val="clear" w:color="000000" w:fill="FFFFFF"/>
            <w:noWrap/>
            <w:vAlign w:val="center"/>
            <w:hideMark/>
          </w:tcPr>
          <w:p w14:paraId="4EFF6DC6" w14:textId="77777777" w:rsidR="00597171" w:rsidRDefault="00597171">
            <w:pPr>
              <w:rPr>
                <w:color w:val="000000"/>
                <w:sz w:val="20"/>
                <w:szCs w:val="20"/>
              </w:rPr>
            </w:pPr>
            <w:r>
              <w:rPr>
                <w:color w:val="000000"/>
                <w:sz w:val="20"/>
                <w:szCs w:val="20"/>
              </w:rPr>
              <w:t> </w:t>
            </w:r>
          </w:p>
        </w:tc>
        <w:tc>
          <w:tcPr>
            <w:tcW w:w="976" w:type="dxa"/>
            <w:tcBorders>
              <w:top w:val="nil"/>
              <w:left w:val="nil"/>
              <w:bottom w:val="nil"/>
              <w:right w:val="nil"/>
            </w:tcBorders>
            <w:shd w:val="clear" w:color="000000" w:fill="FFFFFF"/>
            <w:noWrap/>
            <w:vAlign w:val="center"/>
            <w:hideMark/>
          </w:tcPr>
          <w:p w14:paraId="382311E2" w14:textId="77777777" w:rsidR="00597171" w:rsidRDefault="00597171">
            <w:pPr>
              <w:rPr>
                <w:color w:val="000000"/>
                <w:sz w:val="20"/>
                <w:szCs w:val="20"/>
              </w:rPr>
            </w:pPr>
            <w:r>
              <w:rPr>
                <w:color w:val="000000"/>
                <w:sz w:val="20"/>
                <w:szCs w:val="20"/>
              </w:rPr>
              <w:t> </w:t>
            </w:r>
          </w:p>
        </w:tc>
        <w:tc>
          <w:tcPr>
            <w:tcW w:w="1392" w:type="dxa"/>
            <w:tcBorders>
              <w:top w:val="nil"/>
              <w:left w:val="nil"/>
              <w:bottom w:val="nil"/>
              <w:right w:val="nil"/>
            </w:tcBorders>
            <w:shd w:val="clear" w:color="000000" w:fill="FFFFFF"/>
            <w:noWrap/>
            <w:vAlign w:val="center"/>
            <w:hideMark/>
          </w:tcPr>
          <w:p w14:paraId="3471D37C" w14:textId="77777777" w:rsidR="00597171" w:rsidRDefault="00597171">
            <w:pP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center"/>
            <w:hideMark/>
          </w:tcPr>
          <w:p w14:paraId="0DCB015C" w14:textId="77777777" w:rsidR="00597171" w:rsidRDefault="00597171">
            <w:pPr>
              <w:jc w:val="center"/>
              <w:rPr>
                <w:color w:val="000000"/>
                <w:sz w:val="20"/>
                <w:szCs w:val="20"/>
              </w:rPr>
            </w:pPr>
            <w:r>
              <w:rPr>
                <w:color w:val="000000"/>
                <w:sz w:val="20"/>
                <w:szCs w:val="20"/>
              </w:rPr>
              <w:t> </w:t>
            </w:r>
          </w:p>
        </w:tc>
        <w:tc>
          <w:tcPr>
            <w:tcW w:w="1432" w:type="dxa"/>
            <w:gridSpan w:val="2"/>
            <w:tcBorders>
              <w:top w:val="single" w:sz="4" w:space="0" w:color="auto"/>
              <w:left w:val="nil"/>
              <w:bottom w:val="nil"/>
              <w:right w:val="nil"/>
            </w:tcBorders>
            <w:shd w:val="clear" w:color="000000" w:fill="FFFFFF"/>
            <w:vAlign w:val="center"/>
            <w:hideMark/>
          </w:tcPr>
          <w:p w14:paraId="3FFFDA93" w14:textId="77777777" w:rsidR="00597171" w:rsidRDefault="00597171">
            <w:pPr>
              <w:jc w:val="center"/>
              <w:rPr>
                <w:color w:val="000000"/>
                <w:sz w:val="20"/>
                <w:szCs w:val="20"/>
              </w:rPr>
            </w:pPr>
            <w:r>
              <w:rPr>
                <w:color w:val="000000"/>
                <w:sz w:val="20"/>
                <w:szCs w:val="20"/>
              </w:rPr>
              <w:t>Model 1</w:t>
            </w:r>
          </w:p>
        </w:tc>
        <w:tc>
          <w:tcPr>
            <w:tcW w:w="280" w:type="dxa"/>
            <w:tcBorders>
              <w:top w:val="nil"/>
              <w:left w:val="nil"/>
              <w:bottom w:val="nil"/>
              <w:right w:val="nil"/>
            </w:tcBorders>
            <w:shd w:val="clear" w:color="000000" w:fill="FFFFFF"/>
            <w:noWrap/>
            <w:vAlign w:val="center"/>
            <w:hideMark/>
          </w:tcPr>
          <w:p w14:paraId="5570FD10" w14:textId="77777777" w:rsidR="00597171" w:rsidRDefault="00597171">
            <w:pPr>
              <w:rPr>
                <w:color w:val="000000"/>
                <w:sz w:val="20"/>
                <w:szCs w:val="20"/>
              </w:rPr>
            </w:pPr>
            <w:r>
              <w:rPr>
                <w:color w:val="000000"/>
                <w:sz w:val="20"/>
                <w:szCs w:val="20"/>
              </w:rPr>
              <w:t> </w:t>
            </w:r>
          </w:p>
        </w:tc>
        <w:tc>
          <w:tcPr>
            <w:tcW w:w="1826" w:type="dxa"/>
            <w:gridSpan w:val="2"/>
            <w:tcBorders>
              <w:top w:val="single" w:sz="4" w:space="0" w:color="auto"/>
              <w:left w:val="nil"/>
              <w:bottom w:val="nil"/>
              <w:right w:val="nil"/>
            </w:tcBorders>
            <w:shd w:val="clear" w:color="000000" w:fill="FFFFFF"/>
            <w:vAlign w:val="center"/>
            <w:hideMark/>
          </w:tcPr>
          <w:p w14:paraId="6AA92979" w14:textId="77777777" w:rsidR="00597171" w:rsidRDefault="00597171">
            <w:pPr>
              <w:jc w:val="center"/>
              <w:rPr>
                <w:color w:val="000000"/>
                <w:sz w:val="20"/>
                <w:szCs w:val="20"/>
              </w:rPr>
            </w:pPr>
            <w:r>
              <w:rPr>
                <w:color w:val="000000"/>
                <w:sz w:val="20"/>
                <w:szCs w:val="20"/>
              </w:rPr>
              <w:t>Model 2</w:t>
            </w:r>
          </w:p>
        </w:tc>
      </w:tr>
      <w:tr w:rsidR="00597171" w14:paraId="23C71D3B" w14:textId="77777777" w:rsidTr="00597171">
        <w:trPr>
          <w:trHeight w:val="300"/>
        </w:trPr>
        <w:tc>
          <w:tcPr>
            <w:tcW w:w="4604" w:type="dxa"/>
            <w:gridSpan w:val="5"/>
            <w:tcBorders>
              <w:top w:val="nil"/>
              <w:left w:val="nil"/>
              <w:bottom w:val="single" w:sz="4" w:space="0" w:color="auto"/>
              <w:right w:val="nil"/>
            </w:tcBorders>
            <w:shd w:val="clear" w:color="000000" w:fill="FFFFFF"/>
            <w:noWrap/>
            <w:vAlign w:val="bottom"/>
            <w:hideMark/>
          </w:tcPr>
          <w:p w14:paraId="4C484FCB" w14:textId="77777777" w:rsidR="00597171" w:rsidRDefault="00597171">
            <w:pPr>
              <w:jc w:val="center"/>
              <w:rPr>
                <w:color w:val="000000"/>
                <w:sz w:val="20"/>
                <w:szCs w:val="20"/>
              </w:rPr>
            </w:pPr>
            <w:r>
              <w:rPr>
                <w:color w:val="000000"/>
                <w:sz w:val="20"/>
                <w:szCs w:val="20"/>
              </w:rPr>
              <w:t>Predictor Variable</w:t>
            </w:r>
          </w:p>
        </w:tc>
        <w:tc>
          <w:tcPr>
            <w:tcW w:w="672" w:type="dxa"/>
            <w:tcBorders>
              <w:top w:val="nil"/>
              <w:left w:val="nil"/>
              <w:bottom w:val="single" w:sz="4" w:space="0" w:color="auto"/>
              <w:right w:val="nil"/>
            </w:tcBorders>
            <w:shd w:val="clear" w:color="000000" w:fill="FFFFFF"/>
            <w:hideMark/>
          </w:tcPr>
          <w:p w14:paraId="0D29F119" w14:textId="77777777" w:rsidR="00597171" w:rsidRDefault="00597171">
            <w:pPr>
              <w:jc w:val="center"/>
              <w:rPr>
                <w:color w:val="000000"/>
                <w:sz w:val="20"/>
                <w:szCs w:val="20"/>
              </w:rPr>
            </w:pPr>
            <w:proofErr w:type="spellStart"/>
            <w:r>
              <w:rPr>
                <w:color w:val="000000"/>
                <w:sz w:val="20"/>
                <w:szCs w:val="20"/>
              </w:rPr>
              <w:t>Coeff</w:t>
            </w:r>
            <w:proofErr w:type="spellEnd"/>
          </w:p>
        </w:tc>
        <w:tc>
          <w:tcPr>
            <w:tcW w:w="760" w:type="dxa"/>
            <w:tcBorders>
              <w:top w:val="nil"/>
              <w:left w:val="nil"/>
              <w:bottom w:val="single" w:sz="4" w:space="0" w:color="auto"/>
              <w:right w:val="nil"/>
            </w:tcBorders>
            <w:shd w:val="clear" w:color="000000" w:fill="FFFFFF"/>
            <w:hideMark/>
          </w:tcPr>
          <w:p w14:paraId="1D12F119" w14:textId="77777777" w:rsidR="00597171" w:rsidRDefault="00597171">
            <w:pPr>
              <w:jc w:val="center"/>
              <w:rPr>
                <w:color w:val="000000"/>
                <w:sz w:val="20"/>
                <w:szCs w:val="20"/>
              </w:rPr>
            </w:pPr>
            <w:r>
              <w:rPr>
                <w:color w:val="000000"/>
                <w:sz w:val="20"/>
                <w:szCs w:val="20"/>
              </w:rPr>
              <w:t>SE</w:t>
            </w:r>
          </w:p>
        </w:tc>
        <w:tc>
          <w:tcPr>
            <w:tcW w:w="280" w:type="dxa"/>
            <w:tcBorders>
              <w:top w:val="nil"/>
              <w:left w:val="nil"/>
              <w:bottom w:val="single" w:sz="4" w:space="0" w:color="auto"/>
              <w:right w:val="nil"/>
            </w:tcBorders>
            <w:shd w:val="clear" w:color="000000" w:fill="FFFFFF"/>
            <w:noWrap/>
            <w:vAlign w:val="bottom"/>
            <w:hideMark/>
          </w:tcPr>
          <w:p w14:paraId="7AB81B94"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single" w:sz="4" w:space="0" w:color="auto"/>
              <w:right w:val="nil"/>
            </w:tcBorders>
            <w:shd w:val="clear" w:color="000000" w:fill="FFFFFF"/>
            <w:hideMark/>
          </w:tcPr>
          <w:p w14:paraId="0406F242" w14:textId="77777777" w:rsidR="00597171" w:rsidRDefault="00597171">
            <w:pPr>
              <w:jc w:val="center"/>
              <w:rPr>
                <w:color w:val="000000"/>
                <w:sz w:val="20"/>
                <w:szCs w:val="20"/>
              </w:rPr>
            </w:pPr>
            <w:proofErr w:type="spellStart"/>
            <w:r>
              <w:rPr>
                <w:color w:val="000000"/>
                <w:sz w:val="20"/>
                <w:szCs w:val="20"/>
              </w:rPr>
              <w:t>Coeff</w:t>
            </w:r>
            <w:proofErr w:type="spellEnd"/>
          </w:p>
        </w:tc>
        <w:tc>
          <w:tcPr>
            <w:tcW w:w="760" w:type="dxa"/>
            <w:tcBorders>
              <w:top w:val="nil"/>
              <w:left w:val="nil"/>
              <w:bottom w:val="single" w:sz="4" w:space="0" w:color="auto"/>
              <w:right w:val="nil"/>
            </w:tcBorders>
            <w:shd w:val="clear" w:color="000000" w:fill="FFFFFF"/>
            <w:hideMark/>
          </w:tcPr>
          <w:p w14:paraId="19887A43" w14:textId="77777777" w:rsidR="00597171" w:rsidRDefault="00597171">
            <w:pPr>
              <w:jc w:val="center"/>
              <w:rPr>
                <w:color w:val="000000"/>
                <w:sz w:val="20"/>
                <w:szCs w:val="20"/>
              </w:rPr>
            </w:pPr>
            <w:r>
              <w:rPr>
                <w:color w:val="000000"/>
                <w:sz w:val="20"/>
                <w:szCs w:val="20"/>
              </w:rPr>
              <w:t>SE</w:t>
            </w:r>
          </w:p>
        </w:tc>
      </w:tr>
      <w:tr w:rsidR="00597171" w14:paraId="34AE2B5A" w14:textId="77777777" w:rsidTr="00597171">
        <w:trPr>
          <w:trHeight w:val="195"/>
        </w:trPr>
        <w:tc>
          <w:tcPr>
            <w:tcW w:w="976" w:type="dxa"/>
            <w:tcBorders>
              <w:top w:val="nil"/>
              <w:left w:val="nil"/>
              <w:bottom w:val="nil"/>
              <w:right w:val="nil"/>
            </w:tcBorders>
            <w:shd w:val="clear" w:color="000000" w:fill="FFFFFF"/>
            <w:noWrap/>
            <w:vAlign w:val="bottom"/>
            <w:hideMark/>
          </w:tcPr>
          <w:p w14:paraId="28B91F73" w14:textId="77777777" w:rsidR="00597171" w:rsidRDefault="00597171">
            <w:pPr>
              <w:rPr>
                <w:i/>
                <w:iCs/>
                <w:color w:val="000000"/>
                <w:sz w:val="20"/>
                <w:szCs w:val="20"/>
              </w:rPr>
            </w:pPr>
            <w:r>
              <w:rPr>
                <w:i/>
                <w:iCs/>
                <w:color w:val="000000"/>
                <w:sz w:val="20"/>
                <w:szCs w:val="20"/>
              </w:rPr>
              <w:t> </w:t>
            </w:r>
          </w:p>
        </w:tc>
        <w:tc>
          <w:tcPr>
            <w:tcW w:w="976" w:type="dxa"/>
            <w:tcBorders>
              <w:top w:val="nil"/>
              <w:left w:val="nil"/>
              <w:bottom w:val="nil"/>
              <w:right w:val="nil"/>
            </w:tcBorders>
            <w:shd w:val="clear" w:color="000000" w:fill="FFFFFF"/>
            <w:noWrap/>
            <w:vAlign w:val="bottom"/>
            <w:hideMark/>
          </w:tcPr>
          <w:p w14:paraId="60F84F66" w14:textId="77777777" w:rsidR="00597171" w:rsidRDefault="00597171">
            <w:pPr>
              <w:rPr>
                <w:i/>
                <w:iCs/>
                <w:color w:val="000000"/>
                <w:sz w:val="20"/>
                <w:szCs w:val="20"/>
              </w:rPr>
            </w:pPr>
            <w:r>
              <w:rPr>
                <w:i/>
                <w:iCs/>
                <w:color w:val="000000"/>
                <w:sz w:val="20"/>
                <w:szCs w:val="20"/>
              </w:rPr>
              <w:t> </w:t>
            </w:r>
          </w:p>
        </w:tc>
        <w:tc>
          <w:tcPr>
            <w:tcW w:w="976" w:type="dxa"/>
            <w:tcBorders>
              <w:top w:val="nil"/>
              <w:left w:val="nil"/>
              <w:bottom w:val="nil"/>
              <w:right w:val="nil"/>
            </w:tcBorders>
            <w:shd w:val="clear" w:color="000000" w:fill="FFFFFF"/>
            <w:noWrap/>
            <w:vAlign w:val="bottom"/>
            <w:hideMark/>
          </w:tcPr>
          <w:p w14:paraId="310AE6FB" w14:textId="77777777" w:rsidR="00597171" w:rsidRDefault="00597171">
            <w:pPr>
              <w:rPr>
                <w:color w:val="000000"/>
                <w:sz w:val="20"/>
                <w:szCs w:val="20"/>
              </w:rPr>
            </w:pPr>
            <w:r>
              <w:rPr>
                <w:color w:val="000000"/>
                <w:sz w:val="20"/>
                <w:szCs w:val="20"/>
              </w:rPr>
              <w:t> </w:t>
            </w:r>
          </w:p>
        </w:tc>
        <w:tc>
          <w:tcPr>
            <w:tcW w:w="1392" w:type="dxa"/>
            <w:tcBorders>
              <w:top w:val="nil"/>
              <w:left w:val="nil"/>
              <w:bottom w:val="nil"/>
              <w:right w:val="nil"/>
            </w:tcBorders>
            <w:shd w:val="clear" w:color="000000" w:fill="FFFFFF"/>
            <w:noWrap/>
            <w:vAlign w:val="bottom"/>
            <w:hideMark/>
          </w:tcPr>
          <w:p w14:paraId="0A4BE661" w14:textId="77777777" w:rsidR="00597171" w:rsidRDefault="00597171">
            <w:pP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1CD1DDC0" w14:textId="77777777" w:rsidR="00597171" w:rsidRDefault="00597171">
            <w:pPr>
              <w:jc w:val="center"/>
              <w:rPr>
                <w:color w:val="000000"/>
                <w:sz w:val="20"/>
                <w:szCs w:val="20"/>
              </w:rPr>
            </w:pPr>
            <w:r>
              <w:rPr>
                <w:color w:val="000000"/>
                <w:sz w:val="20"/>
                <w:szCs w:val="20"/>
              </w:rPr>
              <w:t> </w:t>
            </w:r>
          </w:p>
        </w:tc>
        <w:tc>
          <w:tcPr>
            <w:tcW w:w="672" w:type="dxa"/>
            <w:tcBorders>
              <w:top w:val="nil"/>
              <w:left w:val="nil"/>
              <w:bottom w:val="nil"/>
              <w:right w:val="nil"/>
            </w:tcBorders>
            <w:shd w:val="clear" w:color="000000" w:fill="FFFFFF"/>
            <w:noWrap/>
            <w:vAlign w:val="bottom"/>
            <w:hideMark/>
          </w:tcPr>
          <w:p w14:paraId="3A34BF4E" w14:textId="77777777" w:rsidR="00597171" w:rsidRDefault="00597171">
            <w:pPr>
              <w:jc w:val="center"/>
              <w:rPr>
                <w:color w:val="000000"/>
                <w:sz w:val="20"/>
                <w:szCs w:val="20"/>
              </w:rPr>
            </w:pPr>
            <w:r>
              <w:rPr>
                <w:color w:val="000000"/>
                <w:sz w:val="20"/>
                <w:szCs w:val="20"/>
              </w:rPr>
              <w:t> </w:t>
            </w:r>
          </w:p>
        </w:tc>
        <w:tc>
          <w:tcPr>
            <w:tcW w:w="760" w:type="dxa"/>
            <w:tcBorders>
              <w:top w:val="nil"/>
              <w:left w:val="nil"/>
              <w:bottom w:val="nil"/>
              <w:right w:val="nil"/>
            </w:tcBorders>
            <w:shd w:val="clear" w:color="000000" w:fill="FFFFFF"/>
            <w:noWrap/>
            <w:vAlign w:val="bottom"/>
            <w:hideMark/>
          </w:tcPr>
          <w:p w14:paraId="149BE1CA" w14:textId="77777777" w:rsidR="00597171" w:rsidRDefault="00597171">
            <w:pPr>
              <w:jc w:val="cente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3B31BCAD"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7E201ED2" w14:textId="77777777" w:rsidR="00597171" w:rsidRDefault="00597171">
            <w:pPr>
              <w:jc w:val="center"/>
              <w:rPr>
                <w:color w:val="000000"/>
                <w:sz w:val="20"/>
                <w:szCs w:val="20"/>
              </w:rPr>
            </w:pPr>
            <w:r>
              <w:rPr>
                <w:color w:val="000000"/>
                <w:sz w:val="20"/>
                <w:szCs w:val="20"/>
              </w:rPr>
              <w:t> </w:t>
            </w:r>
          </w:p>
        </w:tc>
        <w:tc>
          <w:tcPr>
            <w:tcW w:w="760" w:type="dxa"/>
            <w:tcBorders>
              <w:top w:val="nil"/>
              <w:left w:val="nil"/>
              <w:bottom w:val="nil"/>
              <w:right w:val="nil"/>
            </w:tcBorders>
            <w:shd w:val="clear" w:color="000000" w:fill="FFFFFF"/>
            <w:noWrap/>
            <w:vAlign w:val="bottom"/>
            <w:hideMark/>
          </w:tcPr>
          <w:p w14:paraId="314B66A9" w14:textId="77777777" w:rsidR="00597171" w:rsidRDefault="00597171">
            <w:pPr>
              <w:jc w:val="center"/>
              <w:rPr>
                <w:color w:val="000000"/>
                <w:sz w:val="20"/>
                <w:szCs w:val="20"/>
              </w:rPr>
            </w:pPr>
            <w:r>
              <w:rPr>
                <w:color w:val="000000"/>
                <w:sz w:val="20"/>
                <w:szCs w:val="20"/>
              </w:rPr>
              <w:t> </w:t>
            </w:r>
          </w:p>
        </w:tc>
      </w:tr>
      <w:tr w:rsidR="00597171" w14:paraId="40865805" w14:textId="77777777" w:rsidTr="00597171">
        <w:trPr>
          <w:trHeight w:val="300"/>
        </w:trPr>
        <w:tc>
          <w:tcPr>
            <w:tcW w:w="4320" w:type="dxa"/>
            <w:gridSpan w:val="4"/>
            <w:tcBorders>
              <w:top w:val="nil"/>
              <w:left w:val="nil"/>
              <w:bottom w:val="nil"/>
              <w:right w:val="nil"/>
            </w:tcBorders>
            <w:shd w:val="clear" w:color="000000" w:fill="FFFFFF"/>
            <w:noWrap/>
            <w:vAlign w:val="bottom"/>
            <w:hideMark/>
          </w:tcPr>
          <w:p w14:paraId="18C1D9E3" w14:textId="77777777" w:rsidR="00597171" w:rsidRDefault="00597171">
            <w:pPr>
              <w:rPr>
                <w:color w:val="000000"/>
                <w:sz w:val="20"/>
                <w:szCs w:val="20"/>
              </w:rPr>
            </w:pPr>
            <w:r>
              <w:rPr>
                <w:color w:val="000000"/>
                <w:sz w:val="20"/>
                <w:szCs w:val="20"/>
              </w:rPr>
              <w:t>Higher Education Expenditures per Capita</w:t>
            </w:r>
          </w:p>
        </w:tc>
        <w:tc>
          <w:tcPr>
            <w:tcW w:w="280" w:type="dxa"/>
            <w:tcBorders>
              <w:top w:val="nil"/>
              <w:left w:val="nil"/>
              <w:bottom w:val="nil"/>
              <w:right w:val="nil"/>
            </w:tcBorders>
            <w:shd w:val="clear" w:color="000000" w:fill="FFFFFF"/>
            <w:noWrap/>
            <w:vAlign w:val="bottom"/>
            <w:hideMark/>
          </w:tcPr>
          <w:p w14:paraId="5FD0AA29" w14:textId="77777777" w:rsidR="00597171" w:rsidRDefault="00597171">
            <w:pPr>
              <w:jc w:val="center"/>
              <w:rPr>
                <w:color w:val="000000"/>
                <w:sz w:val="20"/>
                <w:szCs w:val="20"/>
              </w:rPr>
            </w:pPr>
            <w:r>
              <w:rPr>
                <w:color w:val="000000"/>
                <w:sz w:val="20"/>
                <w:szCs w:val="20"/>
              </w:rPr>
              <w:t> </w:t>
            </w:r>
          </w:p>
        </w:tc>
        <w:tc>
          <w:tcPr>
            <w:tcW w:w="672" w:type="dxa"/>
            <w:tcBorders>
              <w:top w:val="nil"/>
              <w:left w:val="nil"/>
              <w:bottom w:val="nil"/>
              <w:right w:val="nil"/>
            </w:tcBorders>
            <w:shd w:val="clear" w:color="000000" w:fill="FFFFFF"/>
            <w:noWrap/>
            <w:vAlign w:val="bottom"/>
            <w:hideMark/>
          </w:tcPr>
          <w:p w14:paraId="631CD8C9" w14:textId="77777777" w:rsidR="00597171" w:rsidRDefault="00597171">
            <w:pPr>
              <w:jc w:val="center"/>
              <w:rPr>
                <w:color w:val="000000"/>
                <w:sz w:val="20"/>
                <w:szCs w:val="20"/>
              </w:rPr>
            </w:pPr>
            <w:r>
              <w:rPr>
                <w:color w:val="000000"/>
                <w:sz w:val="20"/>
                <w:szCs w:val="20"/>
              </w:rPr>
              <w:t> </w:t>
            </w:r>
          </w:p>
        </w:tc>
        <w:tc>
          <w:tcPr>
            <w:tcW w:w="760" w:type="dxa"/>
            <w:tcBorders>
              <w:top w:val="nil"/>
              <w:left w:val="nil"/>
              <w:bottom w:val="nil"/>
              <w:right w:val="nil"/>
            </w:tcBorders>
            <w:shd w:val="clear" w:color="000000" w:fill="FFFFFF"/>
            <w:noWrap/>
            <w:vAlign w:val="bottom"/>
            <w:hideMark/>
          </w:tcPr>
          <w:p w14:paraId="64B57474" w14:textId="77777777" w:rsidR="00597171" w:rsidRDefault="00597171">
            <w:pPr>
              <w:jc w:val="cente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20417363"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09F4705D" w14:textId="77777777" w:rsidR="00597171" w:rsidRDefault="00597171">
            <w:pPr>
              <w:jc w:val="center"/>
              <w:rPr>
                <w:color w:val="000000"/>
                <w:sz w:val="20"/>
                <w:szCs w:val="20"/>
              </w:rPr>
            </w:pPr>
            <w:r>
              <w:rPr>
                <w:color w:val="000000"/>
                <w:sz w:val="20"/>
                <w:szCs w:val="20"/>
              </w:rPr>
              <w:t>-0.019</w:t>
            </w:r>
          </w:p>
        </w:tc>
        <w:tc>
          <w:tcPr>
            <w:tcW w:w="760" w:type="dxa"/>
            <w:tcBorders>
              <w:top w:val="nil"/>
              <w:left w:val="nil"/>
              <w:bottom w:val="nil"/>
              <w:right w:val="nil"/>
            </w:tcBorders>
            <w:shd w:val="clear" w:color="000000" w:fill="FFFFFF"/>
            <w:noWrap/>
            <w:vAlign w:val="bottom"/>
            <w:hideMark/>
          </w:tcPr>
          <w:p w14:paraId="018759A2" w14:textId="77777777" w:rsidR="00597171" w:rsidRDefault="00597171">
            <w:pPr>
              <w:jc w:val="center"/>
              <w:rPr>
                <w:color w:val="000000"/>
                <w:sz w:val="20"/>
                <w:szCs w:val="20"/>
              </w:rPr>
            </w:pPr>
            <w:r>
              <w:rPr>
                <w:color w:val="000000"/>
                <w:sz w:val="20"/>
                <w:szCs w:val="20"/>
              </w:rPr>
              <w:t>0.019</w:t>
            </w:r>
          </w:p>
        </w:tc>
      </w:tr>
      <w:tr w:rsidR="00597171" w14:paraId="64EFB44A" w14:textId="77777777" w:rsidTr="00597171">
        <w:trPr>
          <w:trHeight w:val="300"/>
        </w:trPr>
        <w:tc>
          <w:tcPr>
            <w:tcW w:w="2928" w:type="dxa"/>
            <w:gridSpan w:val="3"/>
            <w:tcBorders>
              <w:top w:val="nil"/>
              <w:left w:val="nil"/>
              <w:bottom w:val="nil"/>
              <w:right w:val="nil"/>
            </w:tcBorders>
            <w:shd w:val="clear" w:color="000000" w:fill="FFFFFF"/>
            <w:noWrap/>
            <w:vAlign w:val="bottom"/>
            <w:hideMark/>
          </w:tcPr>
          <w:p w14:paraId="7CEB8C2F" w14:textId="77777777" w:rsidR="00597171" w:rsidRDefault="00597171">
            <w:pPr>
              <w:rPr>
                <w:color w:val="000000"/>
                <w:sz w:val="20"/>
                <w:szCs w:val="20"/>
              </w:rPr>
            </w:pPr>
            <w:r>
              <w:rPr>
                <w:color w:val="000000"/>
                <w:sz w:val="20"/>
                <w:szCs w:val="20"/>
              </w:rPr>
              <w:t>Average Unemployment Rate</w:t>
            </w:r>
          </w:p>
        </w:tc>
        <w:tc>
          <w:tcPr>
            <w:tcW w:w="1392" w:type="dxa"/>
            <w:tcBorders>
              <w:top w:val="nil"/>
              <w:left w:val="nil"/>
              <w:bottom w:val="nil"/>
              <w:right w:val="nil"/>
            </w:tcBorders>
            <w:shd w:val="clear" w:color="000000" w:fill="FFFFFF"/>
            <w:noWrap/>
            <w:vAlign w:val="bottom"/>
            <w:hideMark/>
          </w:tcPr>
          <w:p w14:paraId="736DE09B" w14:textId="77777777" w:rsidR="00597171" w:rsidRDefault="00597171">
            <w:pPr>
              <w:jc w:val="cente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594E8C20" w14:textId="77777777" w:rsidR="00597171" w:rsidRDefault="00597171">
            <w:pPr>
              <w:jc w:val="center"/>
              <w:rPr>
                <w:color w:val="000000"/>
                <w:sz w:val="20"/>
                <w:szCs w:val="20"/>
              </w:rPr>
            </w:pPr>
            <w:r>
              <w:rPr>
                <w:color w:val="000000"/>
                <w:sz w:val="20"/>
                <w:szCs w:val="20"/>
              </w:rPr>
              <w:t> </w:t>
            </w:r>
          </w:p>
        </w:tc>
        <w:tc>
          <w:tcPr>
            <w:tcW w:w="672" w:type="dxa"/>
            <w:tcBorders>
              <w:top w:val="nil"/>
              <w:left w:val="nil"/>
              <w:bottom w:val="nil"/>
              <w:right w:val="nil"/>
            </w:tcBorders>
            <w:shd w:val="clear" w:color="000000" w:fill="FFFFFF"/>
            <w:noWrap/>
            <w:vAlign w:val="bottom"/>
            <w:hideMark/>
          </w:tcPr>
          <w:p w14:paraId="35627E2B" w14:textId="77777777" w:rsidR="00597171" w:rsidRDefault="00597171">
            <w:pPr>
              <w:jc w:val="center"/>
              <w:rPr>
                <w:color w:val="000000"/>
                <w:sz w:val="20"/>
                <w:szCs w:val="20"/>
              </w:rPr>
            </w:pPr>
            <w:r>
              <w:rPr>
                <w:color w:val="000000"/>
                <w:sz w:val="20"/>
                <w:szCs w:val="20"/>
              </w:rPr>
              <w:t> </w:t>
            </w:r>
          </w:p>
        </w:tc>
        <w:tc>
          <w:tcPr>
            <w:tcW w:w="760" w:type="dxa"/>
            <w:tcBorders>
              <w:top w:val="nil"/>
              <w:left w:val="nil"/>
              <w:bottom w:val="nil"/>
              <w:right w:val="nil"/>
            </w:tcBorders>
            <w:shd w:val="clear" w:color="000000" w:fill="FFFFFF"/>
            <w:noWrap/>
            <w:vAlign w:val="bottom"/>
            <w:hideMark/>
          </w:tcPr>
          <w:p w14:paraId="1E8F0998" w14:textId="77777777" w:rsidR="00597171" w:rsidRDefault="00597171">
            <w:pPr>
              <w:jc w:val="cente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706FDB1E"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0E35F202" w14:textId="77777777" w:rsidR="00597171" w:rsidRDefault="00597171">
            <w:pPr>
              <w:jc w:val="center"/>
              <w:rPr>
                <w:color w:val="000000"/>
                <w:sz w:val="20"/>
                <w:szCs w:val="20"/>
              </w:rPr>
            </w:pPr>
            <w:r>
              <w:rPr>
                <w:color w:val="000000"/>
                <w:sz w:val="20"/>
                <w:szCs w:val="20"/>
              </w:rPr>
              <w:t>0.791</w:t>
            </w:r>
          </w:p>
        </w:tc>
        <w:tc>
          <w:tcPr>
            <w:tcW w:w="760" w:type="dxa"/>
            <w:tcBorders>
              <w:top w:val="nil"/>
              <w:left w:val="nil"/>
              <w:bottom w:val="nil"/>
              <w:right w:val="nil"/>
            </w:tcBorders>
            <w:shd w:val="clear" w:color="000000" w:fill="FFFFFF"/>
            <w:noWrap/>
            <w:vAlign w:val="bottom"/>
            <w:hideMark/>
          </w:tcPr>
          <w:p w14:paraId="4691DD9D" w14:textId="77777777" w:rsidR="00597171" w:rsidRDefault="00597171">
            <w:pPr>
              <w:jc w:val="center"/>
              <w:rPr>
                <w:color w:val="000000"/>
                <w:sz w:val="20"/>
                <w:szCs w:val="20"/>
              </w:rPr>
            </w:pPr>
            <w:r>
              <w:rPr>
                <w:color w:val="000000"/>
                <w:sz w:val="20"/>
                <w:szCs w:val="20"/>
              </w:rPr>
              <w:t>1.480</w:t>
            </w:r>
          </w:p>
        </w:tc>
      </w:tr>
      <w:tr w:rsidR="00597171" w14:paraId="0710EB92" w14:textId="77777777" w:rsidTr="00597171">
        <w:trPr>
          <w:trHeight w:val="300"/>
        </w:trPr>
        <w:tc>
          <w:tcPr>
            <w:tcW w:w="1952" w:type="dxa"/>
            <w:gridSpan w:val="2"/>
            <w:tcBorders>
              <w:top w:val="nil"/>
              <w:left w:val="nil"/>
              <w:bottom w:val="nil"/>
              <w:right w:val="nil"/>
            </w:tcBorders>
            <w:shd w:val="clear" w:color="000000" w:fill="FFFFFF"/>
            <w:noWrap/>
            <w:vAlign w:val="bottom"/>
            <w:hideMark/>
          </w:tcPr>
          <w:p w14:paraId="5AE45612" w14:textId="77777777" w:rsidR="00597171" w:rsidRDefault="00597171">
            <w:pPr>
              <w:rPr>
                <w:color w:val="000000"/>
                <w:sz w:val="20"/>
                <w:szCs w:val="20"/>
              </w:rPr>
            </w:pPr>
            <w:r>
              <w:rPr>
                <w:color w:val="000000"/>
                <w:sz w:val="20"/>
                <w:szCs w:val="20"/>
              </w:rPr>
              <w:t>North East Region</w:t>
            </w:r>
          </w:p>
        </w:tc>
        <w:tc>
          <w:tcPr>
            <w:tcW w:w="976" w:type="dxa"/>
            <w:tcBorders>
              <w:top w:val="nil"/>
              <w:left w:val="nil"/>
              <w:bottom w:val="nil"/>
              <w:right w:val="nil"/>
            </w:tcBorders>
            <w:shd w:val="clear" w:color="000000" w:fill="FFFFFF"/>
            <w:noWrap/>
            <w:vAlign w:val="bottom"/>
            <w:hideMark/>
          </w:tcPr>
          <w:p w14:paraId="04C6CC8E" w14:textId="77777777" w:rsidR="00597171" w:rsidRDefault="00597171">
            <w:pPr>
              <w:jc w:val="center"/>
              <w:rPr>
                <w:color w:val="000000"/>
                <w:sz w:val="20"/>
                <w:szCs w:val="20"/>
              </w:rPr>
            </w:pPr>
            <w:r>
              <w:rPr>
                <w:color w:val="000000"/>
                <w:sz w:val="20"/>
                <w:szCs w:val="20"/>
              </w:rPr>
              <w:t> </w:t>
            </w:r>
          </w:p>
        </w:tc>
        <w:tc>
          <w:tcPr>
            <w:tcW w:w="1392" w:type="dxa"/>
            <w:tcBorders>
              <w:top w:val="nil"/>
              <w:left w:val="nil"/>
              <w:bottom w:val="nil"/>
              <w:right w:val="nil"/>
            </w:tcBorders>
            <w:shd w:val="clear" w:color="000000" w:fill="FFFFFF"/>
            <w:noWrap/>
            <w:vAlign w:val="bottom"/>
            <w:hideMark/>
          </w:tcPr>
          <w:p w14:paraId="59A21929" w14:textId="77777777" w:rsidR="00597171" w:rsidRDefault="00597171">
            <w:pPr>
              <w:jc w:val="cente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3AAC0EDD" w14:textId="77777777" w:rsidR="00597171" w:rsidRDefault="00597171">
            <w:pPr>
              <w:jc w:val="center"/>
              <w:rPr>
                <w:color w:val="000000"/>
                <w:sz w:val="20"/>
                <w:szCs w:val="20"/>
              </w:rPr>
            </w:pPr>
            <w:r>
              <w:rPr>
                <w:color w:val="000000"/>
                <w:sz w:val="20"/>
                <w:szCs w:val="20"/>
              </w:rPr>
              <w:t> </w:t>
            </w:r>
          </w:p>
        </w:tc>
        <w:tc>
          <w:tcPr>
            <w:tcW w:w="672" w:type="dxa"/>
            <w:tcBorders>
              <w:top w:val="nil"/>
              <w:left w:val="nil"/>
              <w:bottom w:val="nil"/>
              <w:right w:val="nil"/>
            </w:tcBorders>
            <w:shd w:val="clear" w:color="000000" w:fill="FFFFFF"/>
            <w:noWrap/>
            <w:vAlign w:val="bottom"/>
            <w:hideMark/>
          </w:tcPr>
          <w:p w14:paraId="75C30D5F" w14:textId="77777777" w:rsidR="00597171" w:rsidRDefault="00597171">
            <w:pPr>
              <w:jc w:val="center"/>
              <w:rPr>
                <w:color w:val="000000"/>
                <w:sz w:val="20"/>
                <w:szCs w:val="20"/>
              </w:rPr>
            </w:pPr>
            <w:r>
              <w:rPr>
                <w:color w:val="000000"/>
                <w:sz w:val="20"/>
                <w:szCs w:val="20"/>
              </w:rPr>
              <w:t> </w:t>
            </w:r>
          </w:p>
        </w:tc>
        <w:tc>
          <w:tcPr>
            <w:tcW w:w="760" w:type="dxa"/>
            <w:tcBorders>
              <w:top w:val="nil"/>
              <w:left w:val="nil"/>
              <w:bottom w:val="nil"/>
              <w:right w:val="nil"/>
            </w:tcBorders>
            <w:shd w:val="clear" w:color="000000" w:fill="FFFFFF"/>
            <w:noWrap/>
            <w:vAlign w:val="bottom"/>
            <w:hideMark/>
          </w:tcPr>
          <w:p w14:paraId="56E4F497" w14:textId="77777777" w:rsidR="00597171" w:rsidRDefault="00597171">
            <w:pPr>
              <w:jc w:val="cente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28882118"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096A6033" w14:textId="77777777" w:rsidR="00597171" w:rsidRDefault="00597171">
            <w:pPr>
              <w:jc w:val="center"/>
              <w:rPr>
                <w:color w:val="000000"/>
                <w:sz w:val="20"/>
                <w:szCs w:val="20"/>
              </w:rPr>
            </w:pPr>
            <w:r>
              <w:rPr>
                <w:color w:val="000000"/>
                <w:sz w:val="20"/>
                <w:szCs w:val="20"/>
              </w:rPr>
              <w:t>11.066***</w:t>
            </w:r>
          </w:p>
        </w:tc>
        <w:tc>
          <w:tcPr>
            <w:tcW w:w="760" w:type="dxa"/>
            <w:tcBorders>
              <w:top w:val="nil"/>
              <w:left w:val="nil"/>
              <w:bottom w:val="nil"/>
              <w:right w:val="nil"/>
            </w:tcBorders>
            <w:shd w:val="clear" w:color="000000" w:fill="FFFFFF"/>
            <w:noWrap/>
            <w:vAlign w:val="bottom"/>
            <w:hideMark/>
          </w:tcPr>
          <w:p w14:paraId="50F94D22" w14:textId="77777777" w:rsidR="00597171" w:rsidRDefault="00597171">
            <w:pPr>
              <w:jc w:val="center"/>
              <w:rPr>
                <w:color w:val="000000"/>
                <w:sz w:val="20"/>
                <w:szCs w:val="20"/>
              </w:rPr>
            </w:pPr>
            <w:r>
              <w:rPr>
                <w:color w:val="000000"/>
                <w:sz w:val="20"/>
                <w:szCs w:val="20"/>
              </w:rPr>
              <w:t>2.699</w:t>
            </w:r>
          </w:p>
        </w:tc>
      </w:tr>
      <w:tr w:rsidR="00597171" w14:paraId="3D00C21F" w14:textId="77777777" w:rsidTr="00597171">
        <w:trPr>
          <w:trHeight w:val="300"/>
        </w:trPr>
        <w:tc>
          <w:tcPr>
            <w:tcW w:w="1952" w:type="dxa"/>
            <w:gridSpan w:val="2"/>
            <w:tcBorders>
              <w:top w:val="nil"/>
              <w:left w:val="nil"/>
              <w:bottom w:val="nil"/>
              <w:right w:val="nil"/>
            </w:tcBorders>
            <w:shd w:val="clear" w:color="000000" w:fill="FFFFFF"/>
            <w:noWrap/>
            <w:vAlign w:val="bottom"/>
            <w:hideMark/>
          </w:tcPr>
          <w:p w14:paraId="2F29E7D4" w14:textId="77777777" w:rsidR="00597171" w:rsidRDefault="00597171">
            <w:pPr>
              <w:rPr>
                <w:color w:val="000000"/>
                <w:sz w:val="20"/>
                <w:szCs w:val="20"/>
              </w:rPr>
            </w:pPr>
            <w:r>
              <w:rPr>
                <w:color w:val="000000"/>
                <w:sz w:val="20"/>
                <w:szCs w:val="20"/>
              </w:rPr>
              <w:t>Midwest Region</w:t>
            </w:r>
          </w:p>
        </w:tc>
        <w:tc>
          <w:tcPr>
            <w:tcW w:w="976" w:type="dxa"/>
            <w:tcBorders>
              <w:top w:val="nil"/>
              <w:left w:val="nil"/>
              <w:bottom w:val="nil"/>
              <w:right w:val="nil"/>
            </w:tcBorders>
            <w:shd w:val="clear" w:color="000000" w:fill="FFFFFF"/>
            <w:noWrap/>
            <w:vAlign w:val="bottom"/>
            <w:hideMark/>
          </w:tcPr>
          <w:p w14:paraId="75AF74CC" w14:textId="77777777" w:rsidR="00597171" w:rsidRDefault="00597171">
            <w:pPr>
              <w:jc w:val="center"/>
              <w:rPr>
                <w:color w:val="000000"/>
                <w:sz w:val="20"/>
                <w:szCs w:val="20"/>
              </w:rPr>
            </w:pPr>
            <w:r>
              <w:rPr>
                <w:color w:val="000000"/>
                <w:sz w:val="20"/>
                <w:szCs w:val="20"/>
              </w:rPr>
              <w:t> </w:t>
            </w:r>
          </w:p>
        </w:tc>
        <w:tc>
          <w:tcPr>
            <w:tcW w:w="1392" w:type="dxa"/>
            <w:tcBorders>
              <w:top w:val="nil"/>
              <w:left w:val="nil"/>
              <w:bottom w:val="nil"/>
              <w:right w:val="nil"/>
            </w:tcBorders>
            <w:shd w:val="clear" w:color="000000" w:fill="FFFFFF"/>
            <w:noWrap/>
            <w:vAlign w:val="bottom"/>
            <w:hideMark/>
          </w:tcPr>
          <w:p w14:paraId="6720AC92" w14:textId="77777777" w:rsidR="00597171" w:rsidRDefault="00597171">
            <w:pPr>
              <w:jc w:val="cente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6B893D9F" w14:textId="77777777" w:rsidR="00597171" w:rsidRDefault="00597171">
            <w:pPr>
              <w:jc w:val="center"/>
              <w:rPr>
                <w:color w:val="000000"/>
                <w:sz w:val="20"/>
                <w:szCs w:val="20"/>
              </w:rPr>
            </w:pPr>
            <w:r>
              <w:rPr>
                <w:color w:val="000000"/>
                <w:sz w:val="20"/>
                <w:szCs w:val="20"/>
              </w:rPr>
              <w:t> </w:t>
            </w:r>
          </w:p>
        </w:tc>
        <w:tc>
          <w:tcPr>
            <w:tcW w:w="672" w:type="dxa"/>
            <w:tcBorders>
              <w:top w:val="nil"/>
              <w:left w:val="nil"/>
              <w:bottom w:val="nil"/>
              <w:right w:val="nil"/>
            </w:tcBorders>
            <w:shd w:val="clear" w:color="000000" w:fill="FFFFFF"/>
            <w:noWrap/>
            <w:vAlign w:val="bottom"/>
            <w:hideMark/>
          </w:tcPr>
          <w:p w14:paraId="0B0DDBC6" w14:textId="77777777" w:rsidR="00597171" w:rsidRDefault="00597171">
            <w:pPr>
              <w:jc w:val="center"/>
              <w:rPr>
                <w:color w:val="000000"/>
                <w:sz w:val="20"/>
                <w:szCs w:val="20"/>
              </w:rPr>
            </w:pPr>
            <w:r>
              <w:rPr>
                <w:color w:val="000000"/>
                <w:sz w:val="20"/>
                <w:szCs w:val="20"/>
              </w:rPr>
              <w:t> </w:t>
            </w:r>
          </w:p>
        </w:tc>
        <w:tc>
          <w:tcPr>
            <w:tcW w:w="760" w:type="dxa"/>
            <w:tcBorders>
              <w:top w:val="nil"/>
              <w:left w:val="nil"/>
              <w:bottom w:val="nil"/>
              <w:right w:val="nil"/>
            </w:tcBorders>
            <w:shd w:val="clear" w:color="000000" w:fill="FFFFFF"/>
            <w:noWrap/>
            <w:vAlign w:val="bottom"/>
            <w:hideMark/>
          </w:tcPr>
          <w:p w14:paraId="2DB4FAB2" w14:textId="77777777" w:rsidR="00597171" w:rsidRDefault="00597171">
            <w:pPr>
              <w:jc w:val="cente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1302483F"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599A5A99" w14:textId="77777777" w:rsidR="00597171" w:rsidRDefault="00597171">
            <w:pPr>
              <w:jc w:val="center"/>
              <w:rPr>
                <w:color w:val="000000"/>
                <w:sz w:val="20"/>
                <w:szCs w:val="20"/>
              </w:rPr>
            </w:pPr>
            <w:r>
              <w:rPr>
                <w:color w:val="000000"/>
                <w:sz w:val="20"/>
                <w:szCs w:val="20"/>
              </w:rPr>
              <w:t>7.176**</w:t>
            </w:r>
          </w:p>
        </w:tc>
        <w:tc>
          <w:tcPr>
            <w:tcW w:w="760" w:type="dxa"/>
            <w:tcBorders>
              <w:top w:val="nil"/>
              <w:left w:val="nil"/>
              <w:bottom w:val="nil"/>
              <w:right w:val="nil"/>
            </w:tcBorders>
            <w:shd w:val="clear" w:color="000000" w:fill="FFFFFF"/>
            <w:noWrap/>
            <w:vAlign w:val="bottom"/>
            <w:hideMark/>
          </w:tcPr>
          <w:p w14:paraId="119284E3" w14:textId="77777777" w:rsidR="00597171" w:rsidRDefault="00597171">
            <w:pPr>
              <w:jc w:val="center"/>
              <w:rPr>
                <w:color w:val="000000"/>
                <w:sz w:val="20"/>
                <w:szCs w:val="20"/>
              </w:rPr>
            </w:pPr>
            <w:r>
              <w:rPr>
                <w:color w:val="000000"/>
                <w:sz w:val="20"/>
                <w:szCs w:val="20"/>
              </w:rPr>
              <w:t>2.449</w:t>
            </w:r>
          </w:p>
        </w:tc>
      </w:tr>
      <w:tr w:rsidR="00597171" w14:paraId="43DB0C1C" w14:textId="77777777" w:rsidTr="00597171">
        <w:trPr>
          <w:trHeight w:val="300"/>
        </w:trPr>
        <w:tc>
          <w:tcPr>
            <w:tcW w:w="1952" w:type="dxa"/>
            <w:gridSpan w:val="2"/>
            <w:tcBorders>
              <w:top w:val="nil"/>
              <w:left w:val="nil"/>
              <w:bottom w:val="nil"/>
              <w:right w:val="nil"/>
            </w:tcBorders>
            <w:shd w:val="clear" w:color="000000" w:fill="FFFFFF"/>
            <w:noWrap/>
            <w:vAlign w:val="bottom"/>
            <w:hideMark/>
          </w:tcPr>
          <w:p w14:paraId="6123E7F1" w14:textId="77777777" w:rsidR="00597171" w:rsidRDefault="00597171">
            <w:pPr>
              <w:rPr>
                <w:color w:val="000000"/>
                <w:sz w:val="20"/>
                <w:szCs w:val="20"/>
              </w:rPr>
            </w:pPr>
            <w:r>
              <w:rPr>
                <w:color w:val="000000"/>
                <w:sz w:val="20"/>
                <w:szCs w:val="20"/>
              </w:rPr>
              <w:t>South Region</w:t>
            </w:r>
          </w:p>
        </w:tc>
        <w:tc>
          <w:tcPr>
            <w:tcW w:w="976" w:type="dxa"/>
            <w:tcBorders>
              <w:top w:val="nil"/>
              <w:left w:val="nil"/>
              <w:bottom w:val="nil"/>
              <w:right w:val="nil"/>
            </w:tcBorders>
            <w:shd w:val="clear" w:color="000000" w:fill="FFFFFF"/>
            <w:noWrap/>
            <w:vAlign w:val="bottom"/>
            <w:hideMark/>
          </w:tcPr>
          <w:p w14:paraId="3985E9BC" w14:textId="77777777" w:rsidR="00597171" w:rsidRDefault="00597171">
            <w:pPr>
              <w:jc w:val="center"/>
              <w:rPr>
                <w:color w:val="000000"/>
                <w:sz w:val="20"/>
                <w:szCs w:val="20"/>
              </w:rPr>
            </w:pPr>
            <w:r>
              <w:rPr>
                <w:color w:val="000000"/>
                <w:sz w:val="20"/>
                <w:szCs w:val="20"/>
              </w:rPr>
              <w:t> </w:t>
            </w:r>
          </w:p>
        </w:tc>
        <w:tc>
          <w:tcPr>
            <w:tcW w:w="1392" w:type="dxa"/>
            <w:tcBorders>
              <w:top w:val="nil"/>
              <w:left w:val="nil"/>
              <w:bottom w:val="nil"/>
              <w:right w:val="nil"/>
            </w:tcBorders>
            <w:shd w:val="clear" w:color="000000" w:fill="FFFFFF"/>
            <w:noWrap/>
            <w:vAlign w:val="bottom"/>
            <w:hideMark/>
          </w:tcPr>
          <w:p w14:paraId="61649B53" w14:textId="77777777" w:rsidR="00597171" w:rsidRDefault="00597171">
            <w:pPr>
              <w:jc w:val="cente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6BA7AAAC" w14:textId="77777777" w:rsidR="00597171" w:rsidRDefault="00597171">
            <w:pPr>
              <w:jc w:val="center"/>
              <w:rPr>
                <w:color w:val="000000"/>
                <w:sz w:val="20"/>
                <w:szCs w:val="20"/>
              </w:rPr>
            </w:pPr>
            <w:r>
              <w:rPr>
                <w:color w:val="000000"/>
                <w:sz w:val="20"/>
                <w:szCs w:val="20"/>
              </w:rPr>
              <w:t> </w:t>
            </w:r>
          </w:p>
        </w:tc>
        <w:tc>
          <w:tcPr>
            <w:tcW w:w="672" w:type="dxa"/>
            <w:tcBorders>
              <w:top w:val="nil"/>
              <w:left w:val="nil"/>
              <w:bottom w:val="nil"/>
              <w:right w:val="nil"/>
            </w:tcBorders>
            <w:shd w:val="clear" w:color="000000" w:fill="FFFFFF"/>
            <w:noWrap/>
            <w:vAlign w:val="bottom"/>
            <w:hideMark/>
          </w:tcPr>
          <w:p w14:paraId="1A4B7B6D" w14:textId="77777777" w:rsidR="00597171" w:rsidRDefault="00597171">
            <w:pPr>
              <w:jc w:val="center"/>
              <w:rPr>
                <w:color w:val="000000"/>
                <w:sz w:val="20"/>
                <w:szCs w:val="20"/>
              </w:rPr>
            </w:pPr>
            <w:r>
              <w:rPr>
                <w:color w:val="000000"/>
                <w:sz w:val="20"/>
                <w:szCs w:val="20"/>
              </w:rPr>
              <w:t> </w:t>
            </w:r>
          </w:p>
        </w:tc>
        <w:tc>
          <w:tcPr>
            <w:tcW w:w="760" w:type="dxa"/>
            <w:tcBorders>
              <w:top w:val="nil"/>
              <w:left w:val="nil"/>
              <w:bottom w:val="nil"/>
              <w:right w:val="nil"/>
            </w:tcBorders>
            <w:shd w:val="clear" w:color="000000" w:fill="FFFFFF"/>
            <w:noWrap/>
            <w:vAlign w:val="bottom"/>
            <w:hideMark/>
          </w:tcPr>
          <w:p w14:paraId="5CCAD0A6" w14:textId="77777777" w:rsidR="00597171" w:rsidRDefault="00597171">
            <w:pPr>
              <w:jc w:val="cente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6BB35827"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5A49C6EE" w14:textId="77777777" w:rsidR="00597171" w:rsidRDefault="00597171">
            <w:pPr>
              <w:jc w:val="center"/>
              <w:rPr>
                <w:color w:val="000000"/>
                <w:sz w:val="20"/>
                <w:szCs w:val="20"/>
              </w:rPr>
            </w:pPr>
            <w:r>
              <w:rPr>
                <w:color w:val="000000"/>
                <w:sz w:val="20"/>
                <w:szCs w:val="20"/>
              </w:rPr>
              <w:t>14.405***</w:t>
            </w:r>
          </w:p>
        </w:tc>
        <w:tc>
          <w:tcPr>
            <w:tcW w:w="760" w:type="dxa"/>
            <w:tcBorders>
              <w:top w:val="nil"/>
              <w:left w:val="nil"/>
              <w:bottom w:val="nil"/>
              <w:right w:val="nil"/>
            </w:tcBorders>
            <w:shd w:val="clear" w:color="000000" w:fill="FFFFFF"/>
            <w:noWrap/>
            <w:vAlign w:val="bottom"/>
            <w:hideMark/>
          </w:tcPr>
          <w:p w14:paraId="5B616E8D" w14:textId="77777777" w:rsidR="00597171" w:rsidRDefault="00597171">
            <w:pPr>
              <w:jc w:val="center"/>
              <w:rPr>
                <w:color w:val="000000"/>
                <w:sz w:val="20"/>
                <w:szCs w:val="20"/>
              </w:rPr>
            </w:pPr>
            <w:r>
              <w:rPr>
                <w:color w:val="000000"/>
                <w:sz w:val="20"/>
                <w:szCs w:val="20"/>
              </w:rPr>
              <w:t>3.004</w:t>
            </w:r>
          </w:p>
        </w:tc>
      </w:tr>
      <w:tr w:rsidR="00597171" w14:paraId="4E778E0F" w14:textId="77777777" w:rsidTr="00597171">
        <w:trPr>
          <w:trHeight w:val="300"/>
        </w:trPr>
        <w:tc>
          <w:tcPr>
            <w:tcW w:w="2928" w:type="dxa"/>
            <w:gridSpan w:val="3"/>
            <w:tcBorders>
              <w:top w:val="nil"/>
              <w:left w:val="nil"/>
              <w:bottom w:val="nil"/>
              <w:right w:val="nil"/>
            </w:tcBorders>
            <w:shd w:val="clear" w:color="000000" w:fill="FFFFFF"/>
            <w:noWrap/>
            <w:vAlign w:val="bottom"/>
            <w:hideMark/>
          </w:tcPr>
          <w:p w14:paraId="456C75CC" w14:textId="77777777" w:rsidR="00597171" w:rsidRDefault="00597171">
            <w:pPr>
              <w:rPr>
                <w:color w:val="000000"/>
                <w:sz w:val="20"/>
                <w:szCs w:val="20"/>
              </w:rPr>
            </w:pPr>
            <w:r>
              <w:rPr>
                <w:color w:val="000000"/>
                <w:sz w:val="20"/>
                <w:szCs w:val="20"/>
              </w:rPr>
              <w:t>Average Household Income</w:t>
            </w:r>
          </w:p>
        </w:tc>
        <w:tc>
          <w:tcPr>
            <w:tcW w:w="1392" w:type="dxa"/>
            <w:tcBorders>
              <w:top w:val="nil"/>
              <w:left w:val="nil"/>
              <w:bottom w:val="nil"/>
              <w:right w:val="nil"/>
            </w:tcBorders>
            <w:shd w:val="clear" w:color="000000" w:fill="FFFFFF"/>
            <w:noWrap/>
            <w:vAlign w:val="bottom"/>
            <w:hideMark/>
          </w:tcPr>
          <w:p w14:paraId="6CEFF4F7" w14:textId="77777777" w:rsidR="00597171" w:rsidRDefault="00597171">
            <w:pPr>
              <w:jc w:val="cente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4C958A1C" w14:textId="77777777" w:rsidR="00597171" w:rsidRDefault="00597171">
            <w:pPr>
              <w:jc w:val="center"/>
              <w:rPr>
                <w:color w:val="000000"/>
                <w:sz w:val="20"/>
                <w:szCs w:val="20"/>
              </w:rPr>
            </w:pPr>
            <w:r>
              <w:rPr>
                <w:color w:val="000000"/>
                <w:sz w:val="20"/>
                <w:szCs w:val="20"/>
              </w:rPr>
              <w:t> </w:t>
            </w:r>
          </w:p>
        </w:tc>
        <w:tc>
          <w:tcPr>
            <w:tcW w:w="672" w:type="dxa"/>
            <w:tcBorders>
              <w:top w:val="nil"/>
              <w:left w:val="nil"/>
              <w:bottom w:val="nil"/>
              <w:right w:val="nil"/>
            </w:tcBorders>
            <w:shd w:val="clear" w:color="000000" w:fill="FFFFFF"/>
            <w:noWrap/>
            <w:vAlign w:val="bottom"/>
            <w:hideMark/>
          </w:tcPr>
          <w:p w14:paraId="1FE0410C" w14:textId="77777777" w:rsidR="00597171" w:rsidRDefault="00597171">
            <w:pPr>
              <w:jc w:val="center"/>
              <w:rPr>
                <w:color w:val="000000"/>
                <w:sz w:val="20"/>
                <w:szCs w:val="20"/>
              </w:rPr>
            </w:pPr>
            <w:r>
              <w:rPr>
                <w:color w:val="000000"/>
                <w:sz w:val="20"/>
                <w:szCs w:val="20"/>
              </w:rPr>
              <w:t> </w:t>
            </w:r>
          </w:p>
        </w:tc>
        <w:tc>
          <w:tcPr>
            <w:tcW w:w="760" w:type="dxa"/>
            <w:tcBorders>
              <w:top w:val="nil"/>
              <w:left w:val="nil"/>
              <w:bottom w:val="nil"/>
              <w:right w:val="nil"/>
            </w:tcBorders>
            <w:shd w:val="clear" w:color="000000" w:fill="FFFFFF"/>
            <w:noWrap/>
            <w:vAlign w:val="bottom"/>
            <w:hideMark/>
          </w:tcPr>
          <w:p w14:paraId="792C19E9" w14:textId="77777777" w:rsidR="00597171" w:rsidRDefault="00597171">
            <w:pPr>
              <w:jc w:val="cente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2BEAF476"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6FB10D3C" w14:textId="77777777" w:rsidR="00597171" w:rsidRDefault="00597171">
            <w:pPr>
              <w:jc w:val="center"/>
              <w:rPr>
                <w:color w:val="000000"/>
                <w:sz w:val="20"/>
                <w:szCs w:val="20"/>
              </w:rPr>
            </w:pPr>
            <w:r>
              <w:rPr>
                <w:color w:val="000000"/>
                <w:sz w:val="20"/>
                <w:szCs w:val="20"/>
              </w:rPr>
              <w:t>0.366*</w:t>
            </w:r>
          </w:p>
        </w:tc>
        <w:tc>
          <w:tcPr>
            <w:tcW w:w="760" w:type="dxa"/>
            <w:tcBorders>
              <w:top w:val="nil"/>
              <w:left w:val="nil"/>
              <w:bottom w:val="nil"/>
              <w:right w:val="nil"/>
            </w:tcBorders>
            <w:shd w:val="clear" w:color="000000" w:fill="FFFFFF"/>
            <w:noWrap/>
            <w:vAlign w:val="bottom"/>
            <w:hideMark/>
          </w:tcPr>
          <w:p w14:paraId="7655A3BD" w14:textId="77777777" w:rsidR="00597171" w:rsidRDefault="00597171">
            <w:pPr>
              <w:jc w:val="center"/>
              <w:rPr>
                <w:color w:val="000000"/>
                <w:sz w:val="20"/>
                <w:szCs w:val="20"/>
              </w:rPr>
            </w:pPr>
            <w:r>
              <w:rPr>
                <w:color w:val="000000"/>
                <w:sz w:val="20"/>
                <w:szCs w:val="20"/>
              </w:rPr>
              <w:t>0.168</w:t>
            </w:r>
          </w:p>
        </w:tc>
      </w:tr>
      <w:tr w:rsidR="00597171" w14:paraId="7A659940" w14:textId="77777777" w:rsidTr="00597171">
        <w:trPr>
          <w:trHeight w:val="300"/>
        </w:trPr>
        <w:tc>
          <w:tcPr>
            <w:tcW w:w="4320" w:type="dxa"/>
            <w:gridSpan w:val="4"/>
            <w:tcBorders>
              <w:top w:val="nil"/>
              <w:left w:val="nil"/>
              <w:bottom w:val="nil"/>
              <w:right w:val="nil"/>
            </w:tcBorders>
            <w:shd w:val="clear" w:color="000000" w:fill="FFFFFF"/>
            <w:noWrap/>
            <w:vAlign w:val="bottom"/>
            <w:hideMark/>
          </w:tcPr>
          <w:p w14:paraId="5B91ADCA" w14:textId="77777777" w:rsidR="00597171" w:rsidRDefault="00597171">
            <w:pPr>
              <w:rPr>
                <w:color w:val="000000"/>
                <w:sz w:val="20"/>
                <w:szCs w:val="20"/>
              </w:rPr>
            </w:pPr>
            <w:r>
              <w:rPr>
                <w:color w:val="000000"/>
                <w:sz w:val="20"/>
                <w:szCs w:val="20"/>
              </w:rPr>
              <w:t>2006-08 Instruction Expenditures per FTE</w:t>
            </w:r>
          </w:p>
        </w:tc>
        <w:tc>
          <w:tcPr>
            <w:tcW w:w="280" w:type="dxa"/>
            <w:tcBorders>
              <w:top w:val="nil"/>
              <w:left w:val="nil"/>
              <w:bottom w:val="nil"/>
              <w:right w:val="nil"/>
            </w:tcBorders>
            <w:shd w:val="clear" w:color="000000" w:fill="FFFFFF"/>
            <w:noWrap/>
            <w:vAlign w:val="bottom"/>
            <w:hideMark/>
          </w:tcPr>
          <w:p w14:paraId="7EC4FE23" w14:textId="77777777" w:rsidR="00597171" w:rsidRDefault="00597171">
            <w:pPr>
              <w:jc w:val="center"/>
              <w:rPr>
                <w:color w:val="000000"/>
                <w:sz w:val="20"/>
                <w:szCs w:val="20"/>
              </w:rPr>
            </w:pPr>
            <w:r>
              <w:rPr>
                <w:color w:val="000000"/>
                <w:sz w:val="20"/>
                <w:szCs w:val="20"/>
              </w:rPr>
              <w:t> </w:t>
            </w:r>
          </w:p>
        </w:tc>
        <w:tc>
          <w:tcPr>
            <w:tcW w:w="672" w:type="dxa"/>
            <w:tcBorders>
              <w:top w:val="nil"/>
              <w:left w:val="nil"/>
              <w:bottom w:val="nil"/>
              <w:right w:val="nil"/>
            </w:tcBorders>
            <w:shd w:val="clear" w:color="000000" w:fill="FFFFFF"/>
            <w:noWrap/>
            <w:vAlign w:val="bottom"/>
            <w:hideMark/>
          </w:tcPr>
          <w:p w14:paraId="66568A29" w14:textId="77777777" w:rsidR="00597171" w:rsidRDefault="00597171">
            <w:pPr>
              <w:jc w:val="center"/>
              <w:rPr>
                <w:color w:val="000000"/>
                <w:sz w:val="20"/>
                <w:szCs w:val="20"/>
              </w:rPr>
            </w:pPr>
            <w:r>
              <w:rPr>
                <w:color w:val="000000"/>
                <w:sz w:val="20"/>
                <w:szCs w:val="20"/>
              </w:rPr>
              <w:t>0.001</w:t>
            </w:r>
          </w:p>
        </w:tc>
        <w:tc>
          <w:tcPr>
            <w:tcW w:w="760" w:type="dxa"/>
            <w:tcBorders>
              <w:top w:val="nil"/>
              <w:left w:val="nil"/>
              <w:bottom w:val="nil"/>
              <w:right w:val="nil"/>
            </w:tcBorders>
            <w:shd w:val="clear" w:color="000000" w:fill="FFFFFF"/>
            <w:noWrap/>
            <w:vAlign w:val="bottom"/>
            <w:hideMark/>
          </w:tcPr>
          <w:p w14:paraId="20FF3411" w14:textId="77777777" w:rsidR="00597171" w:rsidRDefault="00597171">
            <w:pPr>
              <w:jc w:val="center"/>
              <w:rPr>
                <w:color w:val="000000"/>
                <w:sz w:val="20"/>
                <w:szCs w:val="20"/>
              </w:rPr>
            </w:pPr>
            <w:r>
              <w:rPr>
                <w:color w:val="000000"/>
                <w:sz w:val="20"/>
                <w:szCs w:val="20"/>
              </w:rPr>
              <w:t>0.003</w:t>
            </w:r>
          </w:p>
        </w:tc>
        <w:tc>
          <w:tcPr>
            <w:tcW w:w="280" w:type="dxa"/>
            <w:tcBorders>
              <w:top w:val="nil"/>
              <w:left w:val="nil"/>
              <w:bottom w:val="nil"/>
              <w:right w:val="nil"/>
            </w:tcBorders>
            <w:shd w:val="clear" w:color="000000" w:fill="FFFFFF"/>
            <w:noWrap/>
            <w:vAlign w:val="bottom"/>
            <w:hideMark/>
          </w:tcPr>
          <w:p w14:paraId="797D3C99"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548AC446" w14:textId="77777777" w:rsidR="00597171" w:rsidRDefault="00597171">
            <w:pPr>
              <w:jc w:val="center"/>
              <w:rPr>
                <w:color w:val="000000"/>
                <w:sz w:val="20"/>
                <w:szCs w:val="20"/>
              </w:rPr>
            </w:pPr>
            <w:r>
              <w:rPr>
                <w:color w:val="000000"/>
                <w:sz w:val="20"/>
                <w:szCs w:val="20"/>
              </w:rPr>
              <w:t>0.001**</w:t>
            </w:r>
          </w:p>
        </w:tc>
        <w:tc>
          <w:tcPr>
            <w:tcW w:w="760" w:type="dxa"/>
            <w:tcBorders>
              <w:top w:val="nil"/>
              <w:left w:val="nil"/>
              <w:bottom w:val="nil"/>
              <w:right w:val="nil"/>
            </w:tcBorders>
            <w:shd w:val="clear" w:color="000000" w:fill="FFFFFF"/>
            <w:noWrap/>
            <w:vAlign w:val="bottom"/>
            <w:hideMark/>
          </w:tcPr>
          <w:p w14:paraId="6A9893A9" w14:textId="77777777" w:rsidR="00597171" w:rsidRDefault="00597171">
            <w:pPr>
              <w:jc w:val="center"/>
              <w:rPr>
                <w:color w:val="000000"/>
                <w:sz w:val="20"/>
                <w:szCs w:val="20"/>
              </w:rPr>
            </w:pPr>
            <w:r>
              <w:rPr>
                <w:color w:val="000000"/>
                <w:sz w:val="20"/>
                <w:szCs w:val="20"/>
              </w:rPr>
              <w:t>0.000</w:t>
            </w:r>
          </w:p>
        </w:tc>
      </w:tr>
      <w:tr w:rsidR="00597171" w14:paraId="488CD2F8" w14:textId="77777777" w:rsidTr="00597171">
        <w:trPr>
          <w:trHeight w:val="300"/>
        </w:trPr>
        <w:tc>
          <w:tcPr>
            <w:tcW w:w="4320" w:type="dxa"/>
            <w:gridSpan w:val="4"/>
            <w:tcBorders>
              <w:top w:val="nil"/>
              <w:left w:val="nil"/>
              <w:bottom w:val="nil"/>
              <w:right w:val="nil"/>
            </w:tcBorders>
            <w:shd w:val="clear" w:color="000000" w:fill="FFFFFF"/>
            <w:noWrap/>
            <w:vAlign w:val="bottom"/>
            <w:hideMark/>
          </w:tcPr>
          <w:p w14:paraId="26B52ACE" w14:textId="77777777" w:rsidR="00597171" w:rsidRDefault="00597171">
            <w:pPr>
              <w:rPr>
                <w:color w:val="000000"/>
                <w:sz w:val="20"/>
                <w:szCs w:val="20"/>
              </w:rPr>
            </w:pPr>
            <w:r>
              <w:rPr>
                <w:color w:val="000000"/>
                <w:sz w:val="20"/>
                <w:szCs w:val="20"/>
              </w:rPr>
              <w:t>2006-08 Research Expenditures per FTE</w:t>
            </w:r>
          </w:p>
        </w:tc>
        <w:tc>
          <w:tcPr>
            <w:tcW w:w="280" w:type="dxa"/>
            <w:tcBorders>
              <w:top w:val="nil"/>
              <w:left w:val="nil"/>
              <w:bottom w:val="nil"/>
              <w:right w:val="nil"/>
            </w:tcBorders>
            <w:shd w:val="clear" w:color="000000" w:fill="FFFFFF"/>
            <w:noWrap/>
            <w:vAlign w:val="bottom"/>
            <w:hideMark/>
          </w:tcPr>
          <w:p w14:paraId="0F37F2BC" w14:textId="77777777" w:rsidR="00597171" w:rsidRDefault="00597171">
            <w:pPr>
              <w:jc w:val="center"/>
              <w:rPr>
                <w:color w:val="000000"/>
                <w:sz w:val="20"/>
                <w:szCs w:val="20"/>
              </w:rPr>
            </w:pPr>
            <w:r>
              <w:rPr>
                <w:color w:val="000000"/>
                <w:sz w:val="20"/>
                <w:szCs w:val="20"/>
              </w:rPr>
              <w:t> </w:t>
            </w:r>
          </w:p>
        </w:tc>
        <w:tc>
          <w:tcPr>
            <w:tcW w:w="672" w:type="dxa"/>
            <w:tcBorders>
              <w:top w:val="nil"/>
              <w:left w:val="nil"/>
              <w:bottom w:val="nil"/>
              <w:right w:val="nil"/>
            </w:tcBorders>
            <w:shd w:val="clear" w:color="000000" w:fill="FFFFFF"/>
            <w:noWrap/>
            <w:vAlign w:val="bottom"/>
            <w:hideMark/>
          </w:tcPr>
          <w:p w14:paraId="7067DE3A" w14:textId="77777777" w:rsidR="00597171" w:rsidRDefault="00597171">
            <w:pPr>
              <w:jc w:val="center"/>
              <w:rPr>
                <w:color w:val="000000"/>
                <w:sz w:val="20"/>
                <w:szCs w:val="20"/>
              </w:rPr>
            </w:pPr>
            <w:r>
              <w:rPr>
                <w:color w:val="000000"/>
                <w:sz w:val="20"/>
                <w:szCs w:val="20"/>
              </w:rPr>
              <w:t>0.001</w:t>
            </w:r>
          </w:p>
        </w:tc>
        <w:tc>
          <w:tcPr>
            <w:tcW w:w="760" w:type="dxa"/>
            <w:tcBorders>
              <w:top w:val="nil"/>
              <w:left w:val="nil"/>
              <w:bottom w:val="nil"/>
              <w:right w:val="nil"/>
            </w:tcBorders>
            <w:shd w:val="clear" w:color="000000" w:fill="FFFFFF"/>
            <w:noWrap/>
            <w:vAlign w:val="bottom"/>
            <w:hideMark/>
          </w:tcPr>
          <w:p w14:paraId="5BC53F4B" w14:textId="77777777" w:rsidR="00597171" w:rsidRDefault="00597171">
            <w:pPr>
              <w:jc w:val="center"/>
              <w:rPr>
                <w:color w:val="000000"/>
                <w:sz w:val="20"/>
                <w:szCs w:val="20"/>
              </w:rPr>
            </w:pPr>
            <w:r>
              <w:rPr>
                <w:color w:val="000000"/>
                <w:sz w:val="20"/>
                <w:szCs w:val="20"/>
              </w:rPr>
              <w:t>0.000</w:t>
            </w:r>
          </w:p>
        </w:tc>
        <w:tc>
          <w:tcPr>
            <w:tcW w:w="280" w:type="dxa"/>
            <w:tcBorders>
              <w:top w:val="nil"/>
              <w:left w:val="nil"/>
              <w:bottom w:val="nil"/>
              <w:right w:val="nil"/>
            </w:tcBorders>
            <w:shd w:val="clear" w:color="000000" w:fill="FFFFFF"/>
            <w:noWrap/>
            <w:vAlign w:val="bottom"/>
            <w:hideMark/>
          </w:tcPr>
          <w:p w14:paraId="391A1390"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386D43B2" w14:textId="77777777" w:rsidR="00597171" w:rsidRDefault="00597171">
            <w:pPr>
              <w:jc w:val="center"/>
              <w:rPr>
                <w:color w:val="000000"/>
                <w:sz w:val="20"/>
                <w:szCs w:val="20"/>
              </w:rPr>
            </w:pPr>
            <w:r>
              <w:rPr>
                <w:color w:val="000000"/>
                <w:sz w:val="20"/>
                <w:szCs w:val="20"/>
              </w:rPr>
              <w:t>0.001*</w:t>
            </w:r>
          </w:p>
        </w:tc>
        <w:tc>
          <w:tcPr>
            <w:tcW w:w="760" w:type="dxa"/>
            <w:tcBorders>
              <w:top w:val="nil"/>
              <w:left w:val="nil"/>
              <w:bottom w:val="nil"/>
              <w:right w:val="nil"/>
            </w:tcBorders>
            <w:shd w:val="clear" w:color="000000" w:fill="FFFFFF"/>
            <w:noWrap/>
            <w:vAlign w:val="bottom"/>
            <w:hideMark/>
          </w:tcPr>
          <w:p w14:paraId="52CAC8F9" w14:textId="77777777" w:rsidR="00597171" w:rsidRDefault="00597171">
            <w:pPr>
              <w:jc w:val="center"/>
              <w:rPr>
                <w:color w:val="000000"/>
                <w:sz w:val="20"/>
                <w:szCs w:val="20"/>
              </w:rPr>
            </w:pPr>
            <w:r>
              <w:rPr>
                <w:color w:val="000000"/>
                <w:sz w:val="20"/>
                <w:szCs w:val="20"/>
              </w:rPr>
              <w:t>0.000</w:t>
            </w:r>
          </w:p>
        </w:tc>
      </w:tr>
      <w:tr w:rsidR="00597171" w14:paraId="0BBB3A68" w14:textId="77777777" w:rsidTr="00597171">
        <w:trPr>
          <w:trHeight w:val="300"/>
        </w:trPr>
        <w:tc>
          <w:tcPr>
            <w:tcW w:w="4320" w:type="dxa"/>
            <w:gridSpan w:val="4"/>
            <w:tcBorders>
              <w:top w:val="nil"/>
              <w:left w:val="nil"/>
              <w:bottom w:val="nil"/>
              <w:right w:val="nil"/>
            </w:tcBorders>
            <w:shd w:val="clear" w:color="000000" w:fill="FFFFFF"/>
            <w:noWrap/>
            <w:vAlign w:val="bottom"/>
            <w:hideMark/>
          </w:tcPr>
          <w:p w14:paraId="5D865E1E" w14:textId="77777777" w:rsidR="00597171" w:rsidRDefault="00597171">
            <w:pPr>
              <w:rPr>
                <w:color w:val="000000"/>
                <w:sz w:val="20"/>
                <w:szCs w:val="20"/>
              </w:rPr>
            </w:pPr>
            <w:r>
              <w:rPr>
                <w:color w:val="000000"/>
                <w:sz w:val="20"/>
                <w:szCs w:val="20"/>
              </w:rPr>
              <w:t>2006-08 Public Service Expenditures per FTE</w:t>
            </w:r>
          </w:p>
        </w:tc>
        <w:tc>
          <w:tcPr>
            <w:tcW w:w="280" w:type="dxa"/>
            <w:tcBorders>
              <w:top w:val="nil"/>
              <w:left w:val="nil"/>
              <w:bottom w:val="nil"/>
              <w:right w:val="nil"/>
            </w:tcBorders>
            <w:shd w:val="clear" w:color="000000" w:fill="FFFFFF"/>
            <w:noWrap/>
            <w:vAlign w:val="bottom"/>
            <w:hideMark/>
          </w:tcPr>
          <w:p w14:paraId="06D57F91" w14:textId="77777777" w:rsidR="00597171" w:rsidRDefault="00597171">
            <w:pPr>
              <w:jc w:val="center"/>
              <w:rPr>
                <w:color w:val="000000"/>
                <w:sz w:val="20"/>
                <w:szCs w:val="20"/>
              </w:rPr>
            </w:pPr>
            <w:r>
              <w:rPr>
                <w:color w:val="000000"/>
                <w:sz w:val="20"/>
                <w:szCs w:val="20"/>
              </w:rPr>
              <w:t> </w:t>
            </w:r>
          </w:p>
        </w:tc>
        <w:tc>
          <w:tcPr>
            <w:tcW w:w="672" w:type="dxa"/>
            <w:tcBorders>
              <w:top w:val="nil"/>
              <w:left w:val="nil"/>
              <w:bottom w:val="nil"/>
              <w:right w:val="nil"/>
            </w:tcBorders>
            <w:shd w:val="clear" w:color="000000" w:fill="FFFFFF"/>
            <w:noWrap/>
            <w:vAlign w:val="bottom"/>
            <w:hideMark/>
          </w:tcPr>
          <w:p w14:paraId="478B88E9" w14:textId="77777777" w:rsidR="00597171" w:rsidRDefault="00597171">
            <w:pPr>
              <w:jc w:val="center"/>
              <w:rPr>
                <w:color w:val="000000"/>
                <w:sz w:val="20"/>
                <w:szCs w:val="20"/>
              </w:rPr>
            </w:pPr>
            <w:r>
              <w:rPr>
                <w:color w:val="000000"/>
                <w:sz w:val="20"/>
                <w:szCs w:val="20"/>
              </w:rPr>
              <w:t>0.000</w:t>
            </w:r>
          </w:p>
        </w:tc>
        <w:tc>
          <w:tcPr>
            <w:tcW w:w="760" w:type="dxa"/>
            <w:tcBorders>
              <w:top w:val="nil"/>
              <w:left w:val="nil"/>
              <w:bottom w:val="nil"/>
              <w:right w:val="nil"/>
            </w:tcBorders>
            <w:shd w:val="clear" w:color="000000" w:fill="FFFFFF"/>
            <w:noWrap/>
            <w:vAlign w:val="bottom"/>
            <w:hideMark/>
          </w:tcPr>
          <w:p w14:paraId="4F102511" w14:textId="77777777" w:rsidR="00597171" w:rsidRDefault="00597171">
            <w:pPr>
              <w:jc w:val="center"/>
              <w:rPr>
                <w:color w:val="000000"/>
                <w:sz w:val="20"/>
                <w:szCs w:val="20"/>
              </w:rPr>
            </w:pPr>
            <w:r>
              <w:rPr>
                <w:color w:val="000000"/>
                <w:sz w:val="20"/>
                <w:szCs w:val="20"/>
              </w:rPr>
              <w:t>0.000</w:t>
            </w:r>
          </w:p>
        </w:tc>
        <w:tc>
          <w:tcPr>
            <w:tcW w:w="280" w:type="dxa"/>
            <w:tcBorders>
              <w:top w:val="nil"/>
              <w:left w:val="nil"/>
              <w:bottom w:val="nil"/>
              <w:right w:val="nil"/>
            </w:tcBorders>
            <w:shd w:val="clear" w:color="000000" w:fill="FFFFFF"/>
            <w:noWrap/>
            <w:vAlign w:val="bottom"/>
            <w:hideMark/>
          </w:tcPr>
          <w:p w14:paraId="396ACF86"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51A8130F" w14:textId="77777777" w:rsidR="00597171" w:rsidRDefault="00597171">
            <w:pPr>
              <w:jc w:val="center"/>
              <w:rPr>
                <w:color w:val="000000"/>
                <w:sz w:val="20"/>
                <w:szCs w:val="20"/>
              </w:rPr>
            </w:pPr>
            <w:r>
              <w:rPr>
                <w:color w:val="000000"/>
                <w:sz w:val="20"/>
                <w:szCs w:val="20"/>
              </w:rPr>
              <w:t>0.000</w:t>
            </w:r>
          </w:p>
        </w:tc>
        <w:tc>
          <w:tcPr>
            <w:tcW w:w="760" w:type="dxa"/>
            <w:tcBorders>
              <w:top w:val="nil"/>
              <w:left w:val="nil"/>
              <w:bottom w:val="nil"/>
              <w:right w:val="nil"/>
            </w:tcBorders>
            <w:shd w:val="clear" w:color="000000" w:fill="FFFFFF"/>
            <w:noWrap/>
            <w:vAlign w:val="bottom"/>
            <w:hideMark/>
          </w:tcPr>
          <w:p w14:paraId="37EFF5F3" w14:textId="77777777" w:rsidR="00597171" w:rsidRDefault="00597171">
            <w:pPr>
              <w:jc w:val="center"/>
              <w:rPr>
                <w:color w:val="000000"/>
                <w:sz w:val="20"/>
                <w:szCs w:val="20"/>
              </w:rPr>
            </w:pPr>
            <w:r>
              <w:rPr>
                <w:color w:val="000000"/>
                <w:sz w:val="20"/>
                <w:szCs w:val="20"/>
              </w:rPr>
              <w:t>0.000</w:t>
            </w:r>
          </w:p>
        </w:tc>
      </w:tr>
      <w:tr w:rsidR="00597171" w14:paraId="09DF82DE" w14:textId="77777777" w:rsidTr="00597171">
        <w:trPr>
          <w:trHeight w:val="300"/>
        </w:trPr>
        <w:tc>
          <w:tcPr>
            <w:tcW w:w="4604" w:type="dxa"/>
            <w:gridSpan w:val="5"/>
            <w:tcBorders>
              <w:top w:val="nil"/>
              <w:left w:val="nil"/>
              <w:bottom w:val="nil"/>
              <w:right w:val="nil"/>
            </w:tcBorders>
            <w:shd w:val="clear" w:color="000000" w:fill="FFFFFF"/>
            <w:noWrap/>
            <w:vAlign w:val="bottom"/>
            <w:hideMark/>
          </w:tcPr>
          <w:p w14:paraId="28BC5411" w14:textId="77777777" w:rsidR="00597171" w:rsidRDefault="00597171">
            <w:pPr>
              <w:rPr>
                <w:color w:val="000000"/>
                <w:sz w:val="20"/>
                <w:szCs w:val="20"/>
              </w:rPr>
            </w:pPr>
            <w:r>
              <w:rPr>
                <w:color w:val="000000"/>
                <w:sz w:val="20"/>
                <w:szCs w:val="20"/>
              </w:rPr>
              <w:t>2006-08 Academic Support Expenditures per FTE</w:t>
            </w:r>
          </w:p>
        </w:tc>
        <w:tc>
          <w:tcPr>
            <w:tcW w:w="672" w:type="dxa"/>
            <w:tcBorders>
              <w:top w:val="nil"/>
              <w:left w:val="nil"/>
              <w:bottom w:val="nil"/>
              <w:right w:val="nil"/>
            </w:tcBorders>
            <w:shd w:val="clear" w:color="000000" w:fill="FFFFFF"/>
            <w:noWrap/>
            <w:vAlign w:val="bottom"/>
            <w:hideMark/>
          </w:tcPr>
          <w:p w14:paraId="5BF1D110" w14:textId="77777777" w:rsidR="00597171" w:rsidRDefault="00597171">
            <w:pPr>
              <w:jc w:val="center"/>
              <w:rPr>
                <w:color w:val="000000"/>
                <w:sz w:val="20"/>
                <w:szCs w:val="20"/>
              </w:rPr>
            </w:pPr>
            <w:r>
              <w:rPr>
                <w:color w:val="000000"/>
                <w:sz w:val="20"/>
                <w:szCs w:val="20"/>
              </w:rPr>
              <w:t>0.002</w:t>
            </w:r>
          </w:p>
        </w:tc>
        <w:tc>
          <w:tcPr>
            <w:tcW w:w="760" w:type="dxa"/>
            <w:tcBorders>
              <w:top w:val="nil"/>
              <w:left w:val="nil"/>
              <w:bottom w:val="nil"/>
              <w:right w:val="nil"/>
            </w:tcBorders>
            <w:shd w:val="clear" w:color="000000" w:fill="FFFFFF"/>
            <w:noWrap/>
            <w:vAlign w:val="bottom"/>
            <w:hideMark/>
          </w:tcPr>
          <w:p w14:paraId="66EE3830" w14:textId="77777777" w:rsidR="00597171" w:rsidRDefault="00597171">
            <w:pPr>
              <w:jc w:val="center"/>
              <w:rPr>
                <w:color w:val="000000"/>
                <w:sz w:val="20"/>
                <w:szCs w:val="20"/>
              </w:rPr>
            </w:pPr>
            <w:r>
              <w:rPr>
                <w:color w:val="000000"/>
                <w:sz w:val="20"/>
                <w:szCs w:val="20"/>
              </w:rPr>
              <w:t>0.001</w:t>
            </w:r>
          </w:p>
        </w:tc>
        <w:tc>
          <w:tcPr>
            <w:tcW w:w="280" w:type="dxa"/>
            <w:tcBorders>
              <w:top w:val="nil"/>
              <w:left w:val="nil"/>
              <w:bottom w:val="nil"/>
              <w:right w:val="nil"/>
            </w:tcBorders>
            <w:shd w:val="clear" w:color="000000" w:fill="FFFFFF"/>
            <w:noWrap/>
            <w:vAlign w:val="bottom"/>
            <w:hideMark/>
          </w:tcPr>
          <w:p w14:paraId="5BEE806C"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67C19A28" w14:textId="77777777" w:rsidR="00597171" w:rsidRDefault="00597171">
            <w:pPr>
              <w:jc w:val="center"/>
              <w:rPr>
                <w:color w:val="000000"/>
                <w:sz w:val="20"/>
                <w:szCs w:val="20"/>
              </w:rPr>
            </w:pPr>
            <w:r>
              <w:rPr>
                <w:color w:val="000000"/>
                <w:sz w:val="20"/>
                <w:szCs w:val="20"/>
              </w:rPr>
              <w:t>0.002</w:t>
            </w:r>
          </w:p>
        </w:tc>
        <w:tc>
          <w:tcPr>
            <w:tcW w:w="760" w:type="dxa"/>
            <w:tcBorders>
              <w:top w:val="nil"/>
              <w:left w:val="nil"/>
              <w:bottom w:val="nil"/>
              <w:right w:val="nil"/>
            </w:tcBorders>
            <w:shd w:val="clear" w:color="000000" w:fill="FFFFFF"/>
            <w:noWrap/>
            <w:vAlign w:val="bottom"/>
            <w:hideMark/>
          </w:tcPr>
          <w:p w14:paraId="0943D217" w14:textId="77777777" w:rsidR="00597171" w:rsidRDefault="00597171">
            <w:pPr>
              <w:jc w:val="center"/>
              <w:rPr>
                <w:color w:val="000000"/>
                <w:sz w:val="20"/>
                <w:szCs w:val="20"/>
              </w:rPr>
            </w:pPr>
            <w:r>
              <w:rPr>
                <w:color w:val="000000"/>
                <w:sz w:val="20"/>
                <w:szCs w:val="20"/>
              </w:rPr>
              <w:t>0.001</w:t>
            </w:r>
          </w:p>
        </w:tc>
      </w:tr>
      <w:tr w:rsidR="00597171" w14:paraId="0224D209" w14:textId="77777777" w:rsidTr="00597171">
        <w:trPr>
          <w:trHeight w:val="300"/>
        </w:trPr>
        <w:tc>
          <w:tcPr>
            <w:tcW w:w="4320" w:type="dxa"/>
            <w:gridSpan w:val="4"/>
            <w:tcBorders>
              <w:top w:val="nil"/>
              <w:left w:val="nil"/>
              <w:bottom w:val="nil"/>
              <w:right w:val="nil"/>
            </w:tcBorders>
            <w:shd w:val="clear" w:color="000000" w:fill="FFFFFF"/>
            <w:noWrap/>
            <w:vAlign w:val="bottom"/>
            <w:hideMark/>
          </w:tcPr>
          <w:p w14:paraId="5EAC2F33" w14:textId="77777777" w:rsidR="00597171" w:rsidRDefault="00597171">
            <w:pPr>
              <w:rPr>
                <w:color w:val="000000"/>
                <w:sz w:val="20"/>
                <w:szCs w:val="20"/>
              </w:rPr>
            </w:pPr>
            <w:r>
              <w:rPr>
                <w:color w:val="000000"/>
                <w:sz w:val="20"/>
                <w:szCs w:val="20"/>
              </w:rPr>
              <w:t>2006-08 Student Services Expenditures per FTE</w:t>
            </w:r>
          </w:p>
        </w:tc>
        <w:tc>
          <w:tcPr>
            <w:tcW w:w="280" w:type="dxa"/>
            <w:tcBorders>
              <w:top w:val="nil"/>
              <w:left w:val="nil"/>
              <w:bottom w:val="nil"/>
              <w:right w:val="nil"/>
            </w:tcBorders>
            <w:shd w:val="clear" w:color="000000" w:fill="FFFFFF"/>
            <w:noWrap/>
            <w:vAlign w:val="bottom"/>
            <w:hideMark/>
          </w:tcPr>
          <w:p w14:paraId="0E9BAC58" w14:textId="77777777" w:rsidR="00597171" w:rsidRDefault="00597171">
            <w:pPr>
              <w:jc w:val="center"/>
              <w:rPr>
                <w:color w:val="000000"/>
                <w:sz w:val="20"/>
                <w:szCs w:val="20"/>
              </w:rPr>
            </w:pPr>
            <w:r>
              <w:rPr>
                <w:color w:val="000000"/>
                <w:sz w:val="20"/>
                <w:szCs w:val="20"/>
              </w:rPr>
              <w:t> </w:t>
            </w:r>
          </w:p>
        </w:tc>
        <w:tc>
          <w:tcPr>
            <w:tcW w:w="672" w:type="dxa"/>
            <w:tcBorders>
              <w:top w:val="nil"/>
              <w:left w:val="nil"/>
              <w:bottom w:val="nil"/>
              <w:right w:val="nil"/>
            </w:tcBorders>
            <w:shd w:val="clear" w:color="000000" w:fill="FFFFFF"/>
            <w:noWrap/>
            <w:vAlign w:val="bottom"/>
            <w:hideMark/>
          </w:tcPr>
          <w:p w14:paraId="052F6644" w14:textId="7140C6E1" w:rsidR="00597171" w:rsidRDefault="00597171">
            <w:pPr>
              <w:jc w:val="center"/>
              <w:rPr>
                <w:color w:val="000000"/>
                <w:sz w:val="20"/>
                <w:szCs w:val="20"/>
              </w:rPr>
            </w:pPr>
            <w:r>
              <w:rPr>
                <w:color w:val="000000"/>
                <w:sz w:val="20"/>
                <w:szCs w:val="20"/>
              </w:rPr>
              <w:t>0.001</w:t>
            </w:r>
          </w:p>
        </w:tc>
        <w:tc>
          <w:tcPr>
            <w:tcW w:w="760" w:type="dxa"/>
            <w:tcBorders>
              <w:top w:val="nil"/>
              <w:left w:val="nil"/>
              <w:bottom w:val="nil"/>
              <w:right w:val="nil"/>
            </w:tcBorders>
            <w:shd w:val="clear" w:color="000000" w:fill="FFFFFF"/>
            <w:noWrap/>
            <w:vAlign w:val="bottom"/>
            <w:hideMark/>
          </w:tcPr>
          <w:p w14:paraId="0672FE52" w14:textId="77777777" w:rsidR="00597171" w:rsidRDefault="00597171">
            <w:pPr>
              <w:jc w:val="center"/>
              <w:rPr>
                <w:color w:val="000000"/>
                <w:sz w:val="20"/>
                <w:szCs w:val="20"/>
              </w:rPr>
            </w:pPr>
            <w:r>
              <w:rPr>
                <w:color w:val="000000"/>
                <w:sz w:val="20"/>
                <w:szCs w:val="20"/>
              </w:rPr>
              <w:t>0.001</w:t>
            </w:r>
          </w:p>
        </w:tc>
        <w:tc>
          <w:tcPr>
            <w:tcW w:w="280" w:type="dxa"/>
            <w:tcBorders>
              <w:top w:val="nil"/>
              <w:left w:val="nil"/>
              <w:bottom w:val="nil"/>
              <w:right w:val="nil"/>
            </w:tcBorders>
            <w:shd w:val="clear" w:color="000000" w:fill="FFFFFF"/>
            <w:noWrap/>
            <w:vAlign w:val="bottom"/>
            <w:hideMark/>
          </w:tcPr>
          <w:p w14:paraId="04934B70"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21C1AB48" w14:textId="77777777" w:rsidR="00597171" w:rsidRDefault="00597171">
            <w:pPr>
              <w:jc w:val="center"/>
              <w:rPr>
                <w:color w:val="000000"/>
                <w:sz w:val="20"/>
                <w:szCs w:val="20"/>
              </w:rPr>
            </w:pPr>
            <w:r>
              <w:rPr>
                <w:color w:val="000000"/>
                <w:sz w:val="20"/>
                <w:szCs w:val="20"/>
              </w:rPr>
              <w:t>-0.001</w:t>
            </w:r>
          </w:p>
        </w:tc>
        <w:tc>
          <w:tcPr>
            <w:tcW w:w="760" w:type="dxa"/>
            <w:tcBorders>
              <w:top w:val="nil"/>
              <w:left w:val="nil"/>
              <w:bottom w:val="nil"/>
              <w:right w:val="nil"/>
            </w:tcBorders>
            <w:shd w:val="clear" w:color="000000" w:fill="FFFFFF"/>
            <w:noWrap/>
            <w:vAlign w:val="bottom"/>
            <w:hideMark/>
          </w:tcPr>
          <w:p w14:paraId="1DD4A759" w14:textId="77777777" w:rsidR="00597171" w:rsidRDefault="00597171">
            <w:pPr>
              <w:jc w:val="center"/>
              <w:rPr>
                <w:color w:val="000000"/>
                <w:sz w:val="20"/>
                <w:szCs w:val="20"/>
              </w:rPr>
            </w:pPr>
            <w:r>
              <w:rPr>
                <w:color w:val="000000"/>
                <w:sz w:val="20"/>
                <w:szCs w:val="20"/>
              </w:rPr>
              <w:t>0.001</w:t>
            </w:r>
          </w:p>
        </w:tc>
      </w:tr>
      <w:tr w:rsidR="00597171" w14:paraId="253FE887" w14:textId="77777777" w:rsidTr="00597171">
        <w:trPr>
          <w:trHeight w:val="300"/>
        </w:trPr>
        <w:tc>
          <w:tcPr>
            <w:tcW w:w="1952" w:type="dxa"/>
            <w:gridSpan w:val="2"/>
            <w:tcBorders>
              <w:top w:val="nil"/>
              <w:left w:val="nil"/>
              <w:bottom w:val="nil"/>
              <w:right w:val="nil"/>
            </w:tcBorders>
            <w:shd w:val="clear" w:color="000000" w:fill="FFFFFF"/>
            <w:noWrap/>
            <w:vAlign w:val="bottom"/>
            <w:hideMark/>
          </w:tcPr>
          <w:p w14:paraId="599A486F" w14:textId="77777777" w:rsidR="00597171" w:rsidRDefault="00597171">
            <w:pPr>
              <w:rPr>
                <w:color w:val="000000"/>
                <w:sz w:val="20"/>
                <w:szCs w:val="20"/>
              </w:rPr>
            </w:pPr>
            <w:r>
              <w:rPr>
                <w:color w:val="000000"/>
                <w:sz w:val="20"/>
                <w:szCs w:val="20"/>
              </w:rPr>
              <w:t>Gender - Male</w:t>
            </w:r>
          </w:p>
        </w:tc>
        <w:tc>
          <w:tcPr>
            <w:tcW w:w="976" w:type="dxa"/>
            <w:tcBorders>
              <w:top w:val="nil"/>
              <w:left w:val="nil"/>
              <w:bottom w:val="nil"/>
              <w:right w:val="nil"/>
            </w:tcBorders>
            <w:shd w:val="clear" w:color="000000" w:fill="FFFFFF"/>
            <w:noWrap/>
            <w:vAlign w:val="bottom"/>
            <w:hideMark/>
          </w:tcPr>
          <w:p w14:paraId="0ED9A7C4" w14:textId="77777777" w:rsidR="00597171" w:rsidRDefault="00597171">
            <w:pPr>
              <w:jc w:val="center"/>
              <w:rPr>
                <w:color w:val="000000"/>
                <w:sz w:val="20"/>
                <w:szCs w:val="20"/>
              </w:rPr>
            </w:pPr>
            <w:r>
              <w:rPr>
                <w:color w:val="000000"/>
                <w:sz w:val="20"/>
                <w:szCs w:val="20"/>
              </w:rPr>
              <w:t> </w:t>
            </w:r>
          </w:p>
        </w:tc>
        <w:tc>
          <w:tcPr>
            <w:tcW w:w="1392" w:type="dxa"/>
            <w:tcBorders>
              <w:top w:val="nil"/>
              <w:left w:val="nil"/>
              <w:bottom w:val="nil"/>
              <w:right w:val="nil"/>
            </w:tcBorders>
            <w:shd w:val="clear" w:color="000000" w:fill="FFFFFF"/>
            <w:noWrap/>
            <w:vAlign w:val="bottom"/>
            <w:hideMark/>
          </w:tcPr>
          <w:p w14:paraId="4F05C1B9" w14:textId="77777777" w:rsidR="00597171" w:rsidRDefault="00597171">
            <w:pPr>
              <w:jc w:val="cente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2AE5C6E7" w14:textId="77777777" w:rsidR="00597171" w:rsidRDefault="00597171">
            <w:pPr>
              <w:jc w:val="center"/>
              <w:rPr>
                <w:color w:val="000000"/>
                <w:sz w:val="20"/>
                <w:szCs w:val="20"/>
              </w:rPr>
            </w:pPr>
            <w:r>
              <w:rPr>
                <w:color w:val="000000"/>
                <w:sz w:val="20"/>
                <w:szCs w:val="20"/>
              </w:rPr>
              <w:t> </w:t>
            </w:r>
          </w:p>
        </w:tc>
        <w:tc>
          <w:tcPr>
            <w:tcW w:w="672" w:type="dxa"/>
            <w:tcBorders>
              <w:top w:val="nil"/>
              <w:left w:val="nil"/>
              <w:bottom w:val="nil"/>
              <w:right w:val="nil"/>
            </w:tcBorders>
            <w:shd w:val="clear" w:color="000000" w:fill="FFFFFF"/>
            <w:noWrap/>
            <w:vAlign w:val="bottom"/>
            <w:hideMark/>
          </w:tcPr>
          <w:p w14:paraId="4C0C4696" w14:textId="77777777" w:rsidR="00597171" w:rsidRDefault="00597171">
            <w:pPr>
              <w:jc w:val="center"/>
              <w:rPr>
                <w:color w:val="000000"/>
                <w:sz w:val="20"/>
                <w:szCs w:val="20"/>
              </w:rPr>
            </w:pPr>
            <w:r>
              <w:rPr>
                <w:color w:val="000000"/>
                <w:sz w:val="20"/>
                <w:szCs w:val="20"/>
              </w:rPr>
              <w:t>0.065</w:t>
            </w:r>
          </w:p>
        </w:tc>
        <w:tc>
          <w:tcPr>
            <w:tcW w:w="760" w:type="dxa"/>
            <w:tcBorders>
              <w:top w:val="nil"/>
              <w:left w:val="nil"/>
              <w:bottom w:val="nil"/>
              <w:right w:val="nil"/>
            </w:tcBorders>
            <w:shd w:val="clear" w:color="000000" w:fill="FFFFFF"/>
            <w:noWrap/>
            <w:vAlign w:val="bottom"/>
            <w:hideMark/>
          </w:tcPr>
          <w:p w14:paraId="0DFCCAF4" w14:textId="77777777" w:rsidR="00597171" w:rsidRDefault="00597171">
            <w:pPr>
              <w:jc w:val="center"/>
              <w:rPr>
                <w:color w:val="000000"/>
                <w:sz w:val="20"/>
                <w:szCs w:val="20"/>
              </w:rPr>
            </w:pPr>
            <w:r>
              <w:rPr>
                <w:color w:val="000000"/>
                <w:sz w:val="20"/>
                <w:szCs w:val="20"/>
              </w:rPr>
              <w:t>0.072</w:t>
            </w:r>
          </w:p>
        </w:tc>
        <w:tc>
          <w:tcPr>
            <w:tcW w:w="280" w:type="dxa"/>
            <w:tcBorders>
              <w:top w:val="nil"/>
              <w:left w:val="nil"/>
              <w:bottom w:val="nil"/>
              <w:right w:val="nil"/>
            </w:tcBorders>
            <w:shd w:val="clear" w:color="000000" w:fill="FFFFFF"/>
            <w:noWrap/>
            <w:vAlign w:val="bottom"/>
            <w:hideMark/>
          </w:tcPr>
          <w:p w14:paraId="360299AE"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1CCE740A" w14:textId="77777777" w:rsidR="00597171" w:rsidRDefault="00597171">
            <w:pPr>
              <w:jc w:val="center"/>
              <w:rPr>
                <w:color w:val="000000"/>
                <w:sz w:val="20"/>
                <w:szCs w:val="20"/>
              </w:rPr>
            </w:pPr>
            <w:r>
              <w:rPr>
                <w:color w:val="000000"/>
                <w:sz w:val="20"/>
                <w:szCs w:val="20"/>
              </w:rPr>
              <w:t>0.065</w:t>
            </w:r>
          </w:p>
        </w:tc>
        <w:tc>
          <w:tcPr>
            <w:tcW w:w="760" w:type="dxa"/>
            <w:tcBorders>
              <w:top w:val="nil"/>
              <w:left w:val="nil"/>
              <w:bottom w:val="nil"/>
              <w:right w:val="nil"/>
            </w:tcBorders>
            <w:shd w:val="clear" w:color="000000" w:fill="FFFFFF"/>
            <w:noWrap/>
            <w:vAlign w:val="bottom"/>
            <w:hideMark/>
          </w:tcPr>
          <w:p w14:paraId="37467694" w14:textId="77777777" w:rsidR="00597171" w:rsidRDefault="00597171">
            <w:pPr>
              <w:jc w:val="center"/>
              <w:rPr>
                <w:color w:val="000000"/>
                <w:sz w:val="20"/>
                <w:szCs w:val="20"/>
              </w:rPr>
            </w:pPr>
            <w:r>
              <w:rPr>
                <w:color w:val="000000"/>
                <w:sz w:val="20"/>
                <w:szCs w:val="20"/>
              </w:rPr>
              <w:t>0.065</w:t>
            </w:r>
          </w:p>
        </w:tc>
      </w:tr>
      <w:tr w:rsidR="00597171" w14:paraId="7571AD76" w14:textId="77777777" w:rsidTr="00597171">
        <w:trPr>
          <w:trHeight w:val="300"/>
        </w:trPr>
        <w:tc>
          <w:tcPr>
            <w:tcW w:w="1952" w:type="dxa"/>
            <w:gridSpan w:val="2"/>
            <w:tcBorders>
              <w:top w:val="nil"/>
              <w:left w:val="nil"/>
              <w:bottom w:val="nil"/>
              <w:right w:val="nil"/>
            </w:tcBorders>
            <w:shd w:val="clear" w:color="000000" w:fill="FFFFFF"/>
            <w:noWrap/>
            <w:vAlign w:val="bottom"/>
            <w:hideMark/>
          </w:tcPr>
          <w:p w14:paraId="1FC857F0" w14:textId="77777777" w:rsidR="00597171" w:rsidRDefault="00597171">
            <w:pPr>
              <w:rPr>
                <w:color w:val="000000"/>
                <w:sz w:val="20"/>
                <w:szCs w:val="20"/>
              </w:rPr>
            </w:pPr>
            <w:r>
              <w:rPr>
                <w:color w:val="000000"/>
                <w:sz w:val="20"/>
                <w:szCs w:val="20"/>
              </w:rPr>
              <w:t>Race - Black</w:t>
            </w:r>
          </w:p>
        </w:tc>
        <w:tc>
          <w:tcPr>
            <w:tcW w:w="976" w:type="dxa"/>
            <w:tcBorders>
              <w:top w:val="nil"/>
              <w:left w:val="nil"/>
              <w:bottom w:val="nil"/>
              <w:right w:val="nil"/>
            </w:tcBorders>
            <w:shd w:val="clear" w:color="000000" w:fill="FFFFFF"/>
            <w:noWrap/>
            <w:vAlign w:val="bottom"/>
            <w:hideMark/>
          </w:tcPr>
          <w:p w14:paraId="63E2644F" w14:textId="77777777" w:rsidR="00597171" w:rsidRDefault="00597171">
            <w:pPr>
              <w:jc w:val="center"/>
              <w:rPr>
                <w:color w:val="000000"/>
                <w:sz w:val="20"/>
                <w:szCs w:val="20"/>
              </w:rPr>
            </w:pPr>
            <w:r>
              <w:rPr>
                <w:color w:val="000000"/>
                <w:sz w:val="20"/>
                <w:szCs w:val="20"/>
              </w:rPr>
              <w:t> </w:t>
            </w:r>
          </w:p>
        </w:tc>
        <w:tc>
          <w:tcPr>
            <w:tcW w:w="1392" w:type="dxa"/>
            <w:tcBorders>
              <w:top w:val="nil"/>
              <w:left w:val="nil"/>
              <w:bottom w:val="nil"/>
              <w:right w:val="nil"/>
            </w:tcBorders>
            <w:shd w:val="clear" w:color="000000" w:fill="FFFFFF"/>
            <w:noWrap/>
            <w:vAlign w:val="bottom"/>
            <w:hideMark/>
          </w:tcPr>
          <w:p w14:paraId="7F2F0788" w14:textId="77777777" w:rsidR="00597171" w:rsidRDefault="00597171">
            <w:pPr>
              <w:jc w:val="cente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4A40EEA2" w14:textId="77777777" w:rsidR="00597171" w:rsidRDefault="00597171">
            <w:pPr>
              <w:jc w:val="center"/>
              <w:rPr>
                <w:color w:val="000000"/>
                <w:sz w:val="20"/>
                <w:szCs w:val="20"/>
              </w:rPr>
            </w:pPr>
            <w:r>
              <w:rPr>
                <w:color w:val="000000"/>
                <w:sz w:val="20"/>
                <w:szCs w:val="20"/>
              </w:rPr>
              <w:t> </w:t>
            </w:r>
          </w:p>
        </w:tc>
        <w:tc>
          <w:tcPr>
            <w:tcW w:w="672" w:type="dxa"/>
            <w:tcBorders>
              <w:top w:val="nil"/>
              <w:left w:val="nil"/>
              <w:bottom w:val="nil"/>
              <w:right w:val="nil"/>
            </w:tcBorders>
            <w:shd w:val="clear" w:color="000000" w:fill="FFFFFF"/>
            <w:noWrap/>
            <w:vAlign w:val="bottom"/>
            <w:hideMark/>
          </w:tcPr>
          <w:p w14:paraId="380F8B01" w14:textId="004687E4" w:rsidR="00597171" w:rsidRDefault="00597171">
            <w:pPr>
              <w:jc w:val="center"/>
              <w:rPr>
                <w:color w:val="000000"/>
                <w:sz w:val="20"/>
                <w:szCs w:val="20"/>
              </w:rPr>
            </w:pPr>
            <w:r>
              <w:rPr>
                <w:color w:val="000000"/>
                <w:sz w:val="20"/>
                <w:szCs w:val="20"/>
              </w:rPr>
              <w:t>0.224</w:t>
            </w:r>
          </w:p>
        </w:tc>
        <w:tc>
          <w:tcPr>
            <w:tcW w:w="760" w:type="dxa"/>
            <w:tcBorders>
              <w:top w:val="nil"/>
              <w:left w:val="nil"/>
              <w:bottom w:val="nil"/>
              <w:right w:val="nil"/>
            </w:tcBorders>
            <w:shd w:val="clear" w:color="000000" w:fill="FFFFFF"/>
            <w:noWrap/>
            <w:vAlign w:val="bottom"/>
            <w:hideMark/>
          </w:tcPr>
          <w:p w14:paraId="47546A26" w14:textId="77777777" w:rsidR="00597171" w:rsidRDefault="00597171">
            <w:pPr>
              <w:jc w:val="center"/>
              <w:rPr>
                <w:color w:val="000000"/>
                <w:sz w:val="20"/>
                <w:szCs w:val="20"/>
              </w:rPr>
            </w:pPr>
            <w:r>
              <w:rPr>
                <w:color w:val="000000"/>
                <w:sz w:val="20"/>
                <w:szCs w:val="20"/>
              </w:rPr>
              <w:t>0.029</w:t>
            </w:r>
          </w:p>
        </w:tc>
        <w:tc>
          <w:tcPr>
            <w:tcW w:w="280" w:type="dxa"/>
            <w:tcBorders>
              <w:top w:val="nil"/>
              <w:left w:val="nil"/>
              <w:bottom w:val="nil"/>
              <w:right w:val="nil"/>
            </w:tcBorders>
            <w:shd w:val="clear" w:color="000000" w:fill="FFFFFF"/>
            <w:noWrap/>
            <w:vAlign w:val="bottom"/>
            <w:hideMark/>
          </w:tcPr>
          <w:p w14:paraId="0C7903E8"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1997956E" w14:textId="77777777" w:rsidR="00597171" w:rsidRDefault="00597171">
            <w:pPr>
              <w:jc w:val="center"/>
              <w:rPr>
                <w:color w:val="000000"/>
                <w:sz w:val="20"/>
                <w:szCs w:val="20"/>
              </w:rPr>
            </w:pPr>
            <w:r>
              <w:rPr>
                <w:color w:val="000000"/>
                <w:sz w:val="20"/>
                <w:szCs w:val="20"/>
              </w:rPr>
              <w:t>-0.224***</w:t>
            </w:r>
          </w:p>
        </w:tc>
        <w:tc>
          <w:tcPr>
            <w:tcW w:w="760" w:type="dxa"/>
            <w:tcBorders>
              <w:top w:val="nil"/>
              <w:left w:val="nil"/>
              <w:bottom w:val="nil"/>
              <w:right w:val="nil"/>
            </w:tcBorders>
            <w:shd w:val="clear" w:color="000000" w:fill="FFFFFF"/>
            <w:noWrap/>
            <w:vAlign w:val="bottom"/>
            <w:hideMark/>
          </w:tcPr>
          <w:p w14:paraId="674C4EA3" w14:textId="77777777" w:rsidR="00597171" w:rsidRDefault="00597171">
            <w:pPr>
              <w:jc w:val="center"/>
              <w:rPr>
                <w:color w:val="000000"/>
                <w:sz w:val="20"/>
                <w:szCs w:val="20"/>
              </w:rPr>
            </w:pPr>
            <w:r>
              <w:rPr>
                <w:color w:val="000000"/>
                <w:sz w:val="20"/>
                <w:szCs w:val="20"/>
              </w:rPr>
              <w:t>0.047</w:t>
            </w:r>
          </w:p>
        </w:tc>
      </w:tr>
      <w:tr w:rsidR="00597171" w14:paraId="43EB09B9" w14:textId="77777777" w:rsidTr="00597171">
        <w:trPr>
          <w:trHeight w:val="300"/>
        </w:trPr>
        <w:tc>
          <w:tcPr>
            <w:tcW w:w="1952" w:type="dxa"/>
            <w:gridSpan w:val="2"/>
            <w:tcBorders>
              <w:top w:val="nil"/>
              <w:left w:val="nil"/>
              <w:bottom w:val="nil"/>
              <w:right w:val="nil"/>
            </w:tcBorders>
            <w:shd w:val="clear" w:color="000000" w:fill="FFFFFF"/>
            <w:noWrap/>
            <w:vAlign w:val="bottom"/>
            <w:hideMark/>
          </w:tcPr>
          <w:p w14:paraId="25187770" w14:textId="77777777" w:rsidR="00597171" w:rsidRDefault="00597171">
            <w:pPr>
              <w:rPr>
                <w:color w:val="000000"/>
                <w:sz w:val="20"/>
                <w:szCs w:val="20"/>
              </w:rPr>
            </w:pPr>
            <w:r>
              <w:rPr>
                <w:color w:val="000000"/>
                <w:sz w:val="20"/>
                <w:szCs w:val="20"/>
              </w:rPr>
              <w:t>Race - Hispanic</w:t>
            </w:r>
          </w:p>
        </w:tc>
        <w:tc>
          <w:tcPr>
            <w:tcW w:w="976" w:type="dxa"/>
            <w:tcBorders>
              <w:top w:val="nil"/>
              <w:left w:val="nil"/>
              <w:bottom w:val="nil"/>
              <w:right w:val="nil"/>
            </w:tcBorders>
            <w:shd w:val="clear" w:color="000000" w:fill="FFFFFF"/>
            <w:noWrap/>
            <w:vAlign w:val="bottom"/>
            <w:hideMark/>
          </w:tcPr>
          <w:p w14:paraId="36AAC8FF" w14:textId="77777777" w:rsidR="00597171" w:rsidRDefault="00597171">
            <w:pPr>
              <w:jc w:val="center"/>
              <w:rPr>
                <w:color w:val="000000"/>
                <w:sz w:val="20"/>
                <w:szCs w:val="20"/>
              </w:rPr>
            </w:pPr>
            <w:r>
              <w:rPr>
                <w:color w:val="000000"/>
                <w:sz w:val="20"/>
                <w:szCs w:val="20"/>
              </w:rPr>
              <w:t> </w:t>
            </w:r>
          </w:p>
        </w:tc>
        <w:tc>
          <w:tcPr>
            <w:tcW w:w="1392" w:type="dxa"/>
            <w:tcBorders>
              <w:top w:val="nil"/>
              <w:left w:val="nil"/>
              <w:bottom w:val="nil"/>
              <w:right w:val="nil"/>
            </w:tcBorders>
            <w:shd w:val="clear" w:color="000000" w:fill="FFFFFF"/>
            <w:noWrap/>
            <w:vAlign w:val="bottom"/>
            <w:hideMark/>
          </w:tcPr>
          <w:p w14:paraId="50EDB926" w14:textId="77777777" w:rsidR="00597171" w:rsidRDefault="00597171">
            <w:pPr>
              <w:jc w:val="cente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4AE4D0D4" w14:textId="77777777" w:rsidR="00597171" w:rsidRDefault="00597171">
            <w:pPr>
              <w:jc w:val="center"/>
              <w:rPr>
                <w:color w:val="000000"/>
                <w:sz w:val="20"/>
                <w:szCs w:val="20"/>
              </w:rPr>
            </w:pPr>
            <w:r>
              <w:rPr>
                <w:color w:val="000000"/>
                <w:sz w:val="20"/>
                <w:szCs w:val="20"/>
              </w:rPr>
              <w:t> </w:t>
            </w:r>
          </w:p>
        </w:tc>
        <w:tc>
          <w:tcPr>
            <w:tcW w:w="672" w:type="dxa"/>
            <w:tcBorders>
              <w:top w:val="nil"/>
              <w:left w:val="nil"/>
              <w:bottom w:val="nil"/>
              <w:right w:val="nil"/>
            </w:tcBorders>
            <w:shd w:val="clear" w:color="000000" w:fill="FFFFFF"/>
            <w:noWrap/>
            <w:vAlign w:val="bottom"/>
            <w:hideMark/>
          </w:tcPr>
          <w:p w14:paraId="472C2FAE" w14:textId="0297EF4C" w:rsidR="00597171" w:rsidRDefault="00597171">
            <w:pPr>
              <w:jc w:val="center"/>
              <w:rPr>
                <w:color w:val="000000"/>
                <w:sz w:val="20"/>
                <w:szCs w:val="20"/>
              </w:rPr>
            </w:pPr>
            <w:r>
              <w:rPr>
                <w:color w:val="000000"/>
                <w:sz w:val="20"/>
                <w:szCs w:val="20"/>
              </w:rPr>
              <w:t>0.219</w:t>
            </w:r>
          </w:p>
        </w:tc>
        <w:tc>
          <w:tcPr>
            <w:tcW w:w="760" w:type="dxa"/>
            <w:tcBorders>
              <w:top w:val="nil"/>
              <w:left w:val="nil"/>
              <w:bottom w:val="nil"/>
              <w:right w:val="nil"/>
            </w:tcBorders>
            <w:shd w:val="clear" w:color="000000" w:fill="FFFFFF"/>
            <w:noWrap/>
            <w:vAlign w:val="bottom"/>
            <w:hideMark/>
          </w:tcPr>
          <w:p w14:paraId="052DF7D0" w14:textId="77777777" w:rsidR="00597171" w:rsidRDefault="00597171">
            <w:pPr>
              <w:jc w:val="center"/>
              <w:rPr>
                <w:color w:val="000000"/>
                <w:sz w:val="20"/>
                <w:szCs w:val="20"/>
              </w:rPr>
            </w:pPr>
            <w:r>
              <w:rPr>
                <w:color w:val="000000"/>
                <w:sz w:val="20"/>
                <w:szCs w:val="20"/>
              </w:rPr>
              <w:t>0.046</w:t>
            </w:r>
          </w:p>
        </w:tc>
        <w:tc>
          <w:tcPr>
            <w:tcW w:w="280" w:type="dxa"/>
            <w:tcBorders>
              <w:top w:val="nil"/>
              <w:left w:val="nil"/>
              <w:bottom w:val="nil"/>
              <w:right w:val="nil"/>
            </w:tcBorders>
            <w:shd w:val="clear" w:color="000000" w:fill="FFFFFF"/>
            <w:noWrap/>
            <w:vAlign w:val="bottom"/>
            <w:hideMark/>
          </w:tcPr>
          <w:p w14:paraId="4F88929F"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456DB01C" w14:textId="77777777" w:rsidR="00597171" w:rsidRDefault="00597171">
            <w:pPr>
              <w:jc w:val="center"/>
              <w:rPr>
                <w:color w:val="000000"/>
                <w:sz w:val="20"/>
                <w:szCs w:val="20"/>
              </w:rPr>
            </w:pPr>
            <w:r>
              <w:rPr>
                <w:color w:val="000000"/>
                <w:sz w:val="20"/>
                <w:szCs w:val="20"/>
              </w:rPr>
              <w:t>-0.219***</w:t>
            </w:r>
          </w:p>
        </w:tc>
        <w:tc>
          <w:tcPr>
            <w:tcW w:w="760" w:type="dxa"/>
            <w:tcBorders>
              <w:top w:val="nil"/>
              <w:left w:val="nil"/>
              <w:bottom w:val="nil"/>
              <w:right w:val="nil"/>
            </w:tcBorders>
            <w:shd w:val="clear" w:color="000000" w:fill="FFFFFF"/>
            <w:noWrap/>
            <w:vAlign w:val="bottom"/>
            <w:hideMark/>
          </w:tcPr>
          <w:p w14:paraId="1C09ED8D" w14:textId="77777777" w:rsidR="00597171" w:rsidRDefault="00597171">
            <w:pPr>
              <w:jc w:val="center"/>
              <w:rPr>
                <w:color w:val="000000"/>
                <w:sz w:val="20"/>
                <w:szCs w:val="20"/>
              </w:rPr>
            </w:pPr>
            <w:r>
              <w:rPr>
                <w:color w:val="000000"/>
                <w:sz w:val="20"/>
                <w:szCs w:val="20"/>
              </w:rPr>
              <w:t>0.055</w:t>
            </w:r>
          </w:p>
        </w:tc>
      </w:tr>
      <w:tr w:rsidR="00597171" w14:paraId="13EBBA8E" w14:textId="77777777" w:rsidTr="00597171">
        <w:trPr>
          <w:trHeight w:val="300"/>
        </w:trPr>
        <w:tc>
          <w:tcPr>
            <w:tcW w:w="1952" w:type="dxa"/>
            <w:gridSpan w:val="2"/>
            <w:tcBorders>
              <w:top w:val="nil"/>
              <w:left w:val="nil"/>
              <w:bottom w:val="nil"/>
              <w:right w:val="nil"/>
            </w:tcBorders>
            <w:shd w:val="clear" w:color="000000" w:fill="FFFFFF"/>
            <w:noWrap/>
            <w:vAlign w:val="bottom"/>
            <w:hideMark/>
          </w:tcPr>
          <w:p w14:paraId="2AE0CD55" w14:textId="77777777" w:rsidR="00597171" w:rsidRDefault="00597171">
            <w:pPr>
              <w:rPr>
                <w:color w:val="000000"/>
                <w:sz w:val="20"/>
                <w:szCs w:val="20"/>
              </w:rPr>
            </w:pPr>
            <w:r>
              <w:rPr>
                <w:color w:val="000000"/>
                <w:sz w:val="20"/>
                <w:szCs w:val="20"/>
              </w:rPr>
              <w:t>Race - Asian</w:t>
            </w:r>
          </w:p>
        </w:tc>
        <w:tc>
          <w:tcPr>
            <w:tcW w:w="976" w:type="dxa"/>
            <w:tcBorders>
              <w:top w:val="nil"/>
              <w:left w:val="nil"/>
              <w:bottom w:val="nil"/>
              <w:right w:val="nil"/>
            </w:tcBorders>
            <w:shd w:val="clear" w:color="000000" w:fill="FFFFFF"/>
            <w:noWrap/>
            <w:vAlign w:val="bottom"/>
            <w:hideMark/>
          </w:tcPr>
          <w:p w14:paraId="0D320887" w14:textId="77777777" w:rsidR="00597171" w:rsidRDefault="00597171">
            <w:pPr>
              <w:jc w:val="center"/>
              <w:rPr>
                <w:color w:val="000000"/>
                <w:sz w:val="20"/>
                <w:szCs w:val="20"/>
              </w:rPr>
            </w:pPr>
            <w:r>
              <w:rPr>
                <w:color w:val="000000"/>
                <w:sz w:val="20"/>
                <w:szCs w:val="20"/>
              </w:rPr>
              <w:t> </w:t>
            </w:r>
          </w:p>
        </w:tc>
        <w:tc>
          <w:tcPr>
            <w:tcW w:w="1392" w:type="dxa"/>
            <w:tcBorders>
              <w:top w:val="nil"/>
              <w:left w:val="nil"/>
              <w:bottom w:val="nil"/>
              <w:right w:val="nil"/>
            </w:tcBorders>
            <w:shd w:val="clear" w:color="000000" w:fill="FFFFFF"/>
            <w:noWrap/>
            <w:vAlign w:val="bottom"/>
            <w:hideMark/>
          </w:tcPr>
          <w:p w14:paraId="537DE3EE" w14:textId="77777777" w:rsidR="00597171" w:rsidRDefault="00597171">
            <w:pPr>
              <w:jc w:val="cente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1F9E06D7" w14:textId="77777777" w:rsidR="00597171" w:rsidRDefault="00597171">
            <w:pPr>
              <w:jc w:val="center"/>
              <w:rPr>
                <w:color w:val="000000"/>
                <w:sz w:val="20"/>
                <w:szCs w:val="20"/>
              </w:rPr>
            </w:pPr>
            <w:r>
              <w:rPr>
                <w:color w:val="000000"/>
                <w:sz w:val="20"/>
                <w:szCs w:val="20"/>
              </w:rPr>
              <w:t> </w:t>
            </w:r>
          </w:p>
        </w:tc>
        <w:tc>
          <w:tcPr>
            <w:tcW w:w="672" w:type="dxa"/>
            <w:tcBorders>
              <w:top w:val="nil"/>
              <w:left w:val="nil"/>
              <w:bottom w:val="nil"/>
              <w:right w:val="nil"/>
            </w:tcBorders>
            <w:shd w:val="clear" w:color="000000" w:fill="FFFFFF"/>
            <w:noWrap/>
            <w:vAlign w:val="bottom"/>
            <w:hideMark/>
          </w:tcPr>
          <w:p w14:paraId="0C7936BB" w14:textId="77777777" w:rsidR="00597171" w:rsidRDefault="00597171">
            <w:pPr>
              <w:jc w:val="center"/>
              <w:rPr>
                <w:color w:val="000000"/>
                <w:sz w:val="20"/>
                <w:szCs w:val="20"/>
              </w:rPr>
            </w:pPr>
            <w:r>
              <w:rPr>
                <w:color w:val="000000"/>
                <w:sz w:val="20"/>
                <w:szCs w:val="20"/>
              </w:rPr>
              <w:t>0.088</w:t>
            </w:r>
          </w:p>
        </w:tc>
        <w:tc>
          <w:tcPr>
            <w:tcW w:w="760" w:type="dxa"/>
            <w:tcBorders>
              <w:top w:val="nil"/>
              <w:left w:val="nil"/>
              <w:bottom w:val="nil"/>
              <w:right w:val="nil"/>
            </w:tcBorders>
            <w:shd w:val="clear" w:color="000000" w:fill="FFFFFF"/>
            <w:noWrap/>
            <w:vAlign w:val="bottom"/>
            <w:hideMark/>
          </w:tcPr>
          <w:p w14:paraId="2135687F" w14:textId="77777777" w:rsidR="00597171" w:rsidRDefault="00597171">
            <w:pPr>
              <w:jc w:val="center"/>
              <w:rPr>
                <w:color w:val="000000"/>
                <w:sz w:val="20"/>
                <w:szCs w:val="20"/>
              </w:rPr>
            </w:pPr>
            <w:r>
              <w:rPr>
                <w:color w:val="000000"/>
                <w:sz w:val="20"/>
                <w:szCs w:val="20"/>
              </w:rPr>
              <w:t>0.078</w:t>
            </w:r>
          </w:p>
        </w:tc>
        <w:tc>
          <w:tcPr>
            <w:tcW w:w="280" w:type="dxa"/>
            <w:tcBorders>
              <w:top w:val="nil"/>
              <w:left w:val="nil"/>
              <w:bottom w:val="nil"/>
              <w:right w:val="nil"/>
            </w:tcBorders>
            <w:shd w:val="clear" w:color="000000" w:fill="FFFFFF"/>
            <w:noWrap/>
            <w:vAlign w:val="bottom"/>
            <w:hideMark/>
          </w:tcPr>
          <w:p w14:paraId="18F68B55"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454C0263" w14:textId="77777777" w:rsidR="00597171" w:rsidRDefault="00597171">
            <w:pPr>
              <w:jc w:val="center"/>
              <w:rPr>
                <w:color w:val="000000"/>
                <w:sz w:val="20"/>
                <w:szCs w:val="20"/>
              </w:rPr>
            </w:pPr>
            <w:r>
              <w:rPr>
                <w:color w:val="000000"/>
                <w:sz w:val="20"/>
                <w:szCs w:val="20"/>
              </w:rPr>
              <w:t>0.088</w:t>
            </w:r>
          </w:p>
        </w:tc>
        <w:tc>
          <w:tcPr>
            <w:tcW w:w="760" w:type="dxa"/>
            <w:tcBorders>
              <w:top w:val="nil"/>
              <w:left w:val="nil"/>
              <w:bottom w:val="nil"/>
              <w:right w:val="nil"/>
            </w:tcBorders>
            <w:shd w:val="clear" w:color="000000" w:fill="FFFFFF"/>
            <w:noWrap/>
            <w:vAlign w:val="bottom"/>
            <w:hideMark/>
          </w:tcPr>
          <w:p w14:paraId="100466E3" w14:textId="77777777" w:rsidR="00597171" w:rsidRDefault="00597171">
            <w:pPr>
              <w:jc w:val="center"/>
              <w:rPr>
                <w:color w:val="000000"/>
                <w:sz w:val="20"/>
                <w:szCs w:val="20"/>
              </w:rPr>
            </w:pPr>
            <w:r>
              <w:rPr>
                <w:color w:val="000000"/>
                <w:sz w:val="20"/>
                <w:szCs w:val="20"/>
              </w:rPr>
              <w:t>0.097</w:t>
            </w:r>
          </w:p>
        </w:tc>
      </w:tr>
      <w:tr w:rsidR="00597171" w14:paraId="3A5EAB17" w14:textId="77777777" w:rsidTr="00597171">
        <w:trPr>
          <w:trHeight w:val="300"/>
        </w:trPr>
        <w:tc>
          <w:tcPr>
            <w:tcW w:w="2928" w:type="dxa"/>
            <w:gridSpan w:val="3"/>
            <w:tcBorders>
              <w:top w:val="nil"/>
              <w:left w:val="nil"/>
              <w:bottom w:val="nil"/>
              <w:right w:val="nil"/>
            </w:tcBorders>
            <w:shd w:val="clear" w:color="000000" w:fill="FFFFFF"/>
            <w:noWrap/>
            <w:vAlign w:val="bottom"/>
            <w:hideMark/>
          </w:tcPr>
          <w:p w14:paraId="556093E1" w14:textId="77777777" w:rsidR="00597171" w:rsidRDefault="00597171">
            <w:pPr>
              <w:rPr>
                <w:color w:val="000000"/>
                <w:sz w:val="20"/>
                <w:szCs w:val="20"/>
              </w:rPr>
            </w:pPr>
            <w:r>
              <w:rPr>
                <w:color w:val="000000"/>
                <w:sz w:val="20"/>
                <w:szCs w:val="20"/>
              </w:rPr>
              <w:t>ACT 25th Percentile Score</w:t>
            </w:r>
          </w:p>
        </w:tc>
        <w:tc>
          <w:tcPr>
            <w:tcW w:w="1392" w:type="dxa"/>
            <w:tcBorders>
              <w:top w:val="nil"/>
              <w:left w:val="nil"/>
              <w:bottom w:val="nil"/>
              <w:right w:val="nil"/>
            </w:tcBorders>
            <w:shd w:val="clear" w:color="000000" w:fill="FFFFFF"/>
            <w:noWrap/>
            <w:vAlign w:val="bottom"/>
            <w:hideMark/>
          </w:tcPr>
          <w:p w14:paraId="751604B6" w14:textId="77777777" w:rsidR="00597171" w:rsidRDefault="00597171">
            <w:pPr>
              <w:jc w:val="center"/>
              <w:rPr>
                <w:color w:val="000000"/>
                <w:sz w:val="20"/>
                <w:szCs w:val="20"/>
              </w:rPr>
            </w:pPr>
            <w:r>
              <w:rPr>
                <w:color w:val="000000"/>
                <w:sz w:val="20"/>
                <w:szCs w:val="20"/>
              </w:rPr>
              <w:t> </w:t>
            </w:r>
          </w:p>
        </w:tc>
        <w:tc>
          <w:tcPr>
            <w:tcW w:w="280" w:type="dxa"/>
            <w:tcBorders>
              <w:top w:val="nil"/>
              <w:left w:val="nil"/>
              <w:bottom w:val="nil"/>
              <w:right w:val="nil"/>
            </w:tcBorders>
            <w:shd w:val="clear" w:color="000000" w:fill="FFFFFF"/>
            <w:noWrap/>
            <w:vAlign w:val="bottom"/>
            <w:hideMark/>
          </w:tcPr>
          <w:p w14:paraId="68BFC27C" w14:textId="77777777" w:rsidR="00597171" w:rsidRDefault="00597171">
            <w:pPr>
              <w:jc w:val="center"/>
              <w:rPr>
                <w:color w:val="000000"/>
                <w:sz w:val="20"/>
                <w:szCs w:val="20"/>
              </w:rPr>
            </w:pPr>
            <w:r>
              <w:rPr>
                <w:color w:val="000000"/>
                <w:sz w:val="20"/>
                <w:szCs w:val="20"/>
              </w:rPr>
              <w:t> </w:t>
            </w:r>
          </w:p>
        </w:tc>
        <w:tc>
          <w:tcPr>
            <w:tcW w:w="672" w:type="dxa"/>
            <w:tcBorders>
              <w:top w:val="nil"/>
              <w:left w:val="nil"/>
              <w:bottom w:val="nil"/>
              <w:right w:val="nil"/>
            </w:tcBorders>
            <w:shd w:val="clear" w:color="000000" w:fill="FFFFFF"/>
            <w:noWrap/>
            <w:vAlign w:val="bottom"/>
            <w:hideMark/>
          </w:tcPr>
          <w:p w14:paraId="1F94FF5E" w14:textId="77777777" w:rsidR="00597171" w:rsidRDefault="00597171">
            <w:pPr>
              <w:jc w:val="center"/>
              <w:rPr>
                <w:color w:val="000000"/>
                <w:sz w:val="20"/>
                <w:szCs w:val="20"/>
              </w:rPr>
            </w:pPr>
            <w:r>
              <w:rPr>
                <w:color w:val="000000"/>
                <w:sz w:val="20"/>
                <w:szCs w:val="20"/>
              </w:rPr>
              <w:t>1.942</w:t>
            </w:r>
          </w:p>
        </w:tc>
        <w:tc>
          <w:tcPr>
            <w:tcW w:w="760" w:type="dxa"/>
            <w:tcBorders>
              <w:top w:val="nil"/>
              <w:left w:val="nil"/>
              <w:bottom w:val="nil"/>
              <w:right w:val="nil"/>
            </w:tcBorders>
            <w:shd w:val="clear" w:color="000000" w:fill="FFFFFF"/>
            <w:noWrap/>
            <w:vAlign w:val="bottom"/>
            <w:hideMark/>
          </w:tcPr>
          <w:p w14:paraId="32157757" w14:textId="77777777" w:rsidR="00597171" w:rsidRDefault="00597171">
            <w:pPr>
              <w:jc w:val="center"/>
              <w:rPr>
                <w:color w:val="000000"/>
                <w:sz w:val="20"/>
                <w:szCs w:val="20"/>
              </w:rPr>
            </w:pPr>
            <w:r>
              <w:rPr>
                <w:color w:val="000000"/>
                <w:sz w:val="20"/>
                <w:szCs w:val="20"/>
              </w:rPr>
              <w:t>0.313</w:t>
            </w:r>
          </w:p>
        </w:tc>
        <w:tc>
          <w:tcPr>
            <w:tcW w:w="280" w:type="dxa"/>
            <w:tcBorders>
              <w:top w:val="nil"/>
              <w:left w:val="nil"/>
              <w:bottom w:val="nil"/>
              <w:right w:val="nil"/>
            </w:tcBorders>
            <w:shd w:val="clear" w:color="000000" w:fill="FFFFFF"/>
            <w:noWrap/>
            <w:vAlign w:val="bottom"/>
            <w:hideMark/>
          </w:tcPr>
          <w:p w14:paraId="7C90154D"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3E8E1CDD" w14:textId="77777777" w:rsidR="00597171" w:rsidRDefault="00597171">
            <w:pPr>
              <w:jc w:val="center"/>
              <w:rPr>
                <w:color w:val="000000"/>
                <w:sz w:val="20"/>
                <w:szCs w:val="20"/>
              </w:rPr>
            </w:pPr>
            <w:r>
              <w:rPr>
                <w:color w:val="000000"/>
                <w:sz w:val="20"/>
                <w:szCs w:val="20"/>
              </w:rPr>
              <w:t>1.942***</w:t>
            </w:r>
          </w:p>
        </w:tc>
        <w:tc>
          <w:tcPr>
            <w:tcW w:w="760" w:type="dxa"/>
            <w:tcBorders>
              <w:top w:val="nil"/>
              <w:left w:val="nil"/>
              <w:bottom w:val="nil"/>
              <w:right w:val="nil"/>
            </w:tcBorders>
            <w:shd w:val="clear" w:color="000000" w:fill="FFFFFF"/>
            <w:noWrap/>
            <w:vAlign w:val="bottom"/>
            <w:hideMark/>
          </w:tcPr>
          <w:p w14:paraId="6CF627B8" w14:textId="77777777" w:rsidR="00597171" w:rsidRDefault="00597171">
            <w:pPr>
              <w:jc w:val="center"/>
              <w:rPr>
                <w:color w:val="000000"/>
                <w:sz w:val="20"/>
                <w:szCs w:val="20"/>
              </w:rPr>
            </w:pPr>
            <w:r>
              <w:rPr>
                <w:color w:val="000000"/>
                <w:sz w:val="20"/>
                <w:szCs w:val="20"/>
              </w:rPr>
              <w:t>0.462</w:t>
            </w:r>
          </w:p>
        </w:tc>
      </w:tr>
      <w:tr w:rsidR="00597171" w14:paraId="1C76A8F8" w14:textId="77777777" w:rsidTr="00597171">
        <w:trPr>
          <w:trHeight w:val="300"/>
        </w:trPr>
        <w:tc>
          <w:tcPr>
            <w:tcW w:w="4320" w:type="dxa"/>
            <w:gridSpan w:val="4"/>
            <w:tcBorders>
              <w:top w:val="nil"/>
              <w:left w:val="nil"/>
              <w:bottom w:val="nil"/>
              <w:right w:val="nil"/>
            </w:tcBorders>
            <w:shd w:val="clear" w:color="000000" w:fill="FFFFFF"/>
            <w:noWrap/>
            <w:vAlign w:val="bottom"/>
            <w:hideMark/>
          </w:tcPr>
          <w:p w14:paraId="5CD664E6" w14:textId="77777777" w:rsidR="00597171" w:rsidRDefault="00597171">
            <w:pPr>
              <w:rPr>
                <w:color w:val="000000"/>
                <w:sz w:val="20"/>
                <w:szCs w:val="20"/>
              </w:rPr>
            </w:pPr>
            <w:r>
              <w:rPr>
                <w:color w:val="000000"/>
                <w:sz w:val="20"/>
                <w:szCs w:val="20"/>
              </w:rPr>
              <w:t>(Need to add Carnegie Classifications)</w:t>
            </w:r>
          </w:p>
        </w:tc>
        <w:tc>
          <w:tcPr>
            <w:tcW w:w="280" w:type="dxa"/>
            <w:tcBorders>
              <w:top w:val="nil"/>
              <w:left w:val="nil"/>
              <w:bottom w:val="nil"/>
              <w:right w:val="nil"/>
            </w:tcBorders>
            <w:shd w:val="clear" w:color="000000" w:fill="FFFFFF"/>
            <w:noWrap/>
            <w:vAlign w:val="bottom"/>
            <w:hideMark/>
          </w:tcPr>
          <w:p w14:paraId="27E9B9B3" w14:textId="77777777" w:rsidR="00597171" w:rsidRDefault="00597171">
            <w:pPr>
              <w:jc w:val="center"/>
              <w:rPr>
                <w:color w:val="000000"/>
                <w:sz w:val="20"/>
                <w:szCs w:val="20"/>
              </w:rPr>
            </w:pPr>
            <w:r>
              <w:rPr>
                <w:color w:val="000000"/>
                <w:sz w:val="20"/>
                <w:szCs w:val="20"/>
              </w:rPr>
              <w:t> </w:t>
            </w:r>
          </w:p>
        </w:tc>
        <w:tc>
          <w:tcPr>
            <w:tcW w:w="672" w:type="dxa"/>
            <w:tcBorders>
              <w:top w:val="nil"/>
              <w:left w:val="nil"/>
              <w:bottom w:val="nil"/>
              <w:right w:val="nil"/>
            </w:tcBorders>
            <w:shd w:val="clear" w:color="000000" w:fill="FFFFFF"/>
            <w:noWrap/>
            <w:vAlign w:val="bottom"/>
            <w:hideMark/>
          </w:tcPr>
          <w:p w14:paraId="4C85E251" w14:textId="77777777" w:rsidR="00597171" w:rsidRDefault="00597171">
            <w:pPr>
              <w:jc w:val="center"/>
              <w:rPr>
                <w:color w:val="000000"/>
                <w:sz w:val="20"/>
                <w:szCs w:val="20"/>
              </w:rPr>
            </w:pPr>
            <w:proofErr w:type="spellStart"/>
            <w:r>
              <w:rPr>
                <w:color w:val="000000"/>
                <w:sz w:val="20"/>
                <w:szCs w:val="20"/>
              </w:rPr>
              <w:t>x.xxx</w:t>
            </w:r>
            <w:proofErr w:type="spellEnd"/>
          </w:p>
        </w:tc>
        <w:tc>
          <w:tcPr>
            <w:tcW w:w="760" w:type="dxa"/>
            <w:tcBorders>
              <w:top w:val="nil"/>
              <w:left w:val="nil"/>
              <w:bottom w:val="nil"/>
              <w:right w:val="nil"/>
            </w:tcBorders>
            <w:shd w:val="clear" w:color="000000" w:fill="FFFFFF"/>
            <w:noWrap/>
            <w:vAlign w:val="bottom"/>
            <w:hideMark/>
          </w:tcPr>
          <w:p w14:paraId="4748128B" w14:textId="77777777" w:rsidR="00597171" w:rsidRDefault="00597171">
            <w:pPr>
              <w:jc w:val="center"/>
              <w:rPr>
                <w:color w:val="000000"/>
                <w:sz w:val="20"/>
                <w:szCs w:val="20"/>
              </w:rPr>
            </w:pPr>
            <w:proofErr w:type="spellStart"/>
            <w:r>
              <w:rPr>
                <w:color w:val="000000"/>
                <w:sz w:val="20"/>
                <w:szCs w:val="20"/>
              </w:rPr>
              <w:t>x.xxx</w:t>
            </w:r>
            <w:proofErr w:type="spellEnd"/>
          </w:p>
        </w:tc>
        <w:tc>
          <w:tcPr>
            <w:tcW w:w="280" w:type="dxa"/>
            <w:tcBorders>
              <w:top w:val="nil"/>
              <w:left w:val="nil"/>
              <w:bottom w:val="nil"/>
              <w:right w:val="nil"/>
            </w:tcBorders>
            <w:shd w:val="clear" w:color="000000" w:fill="FFFFFF"/>
            <w:noWrap/>
            <w:vAlign w:val="bottom"/>
            <w:hideMark/>
          </w:tcPr>
          <w:p w14:paraId="32FC4586" w14:textId="77777777" w:rsidR="00597171" w:rsidRDefault="00597171">
            <w:pPr>
              <w:jc w:val="center"/>
              <w:rPr>
                <w:color w:val="000000"/>
                <w:sz w:val="20"/>
                <w:szCs w:val="20"/>
              </w:rPr>
            </w:pPr>
            <w:r>
              <w:rPr>
                <w:color w:val="000000"/>
                <w:sz w:val="20"/>
                <w:szCs w:val="20"/>
              </w:rPr>
              <w:t> </w:t>
            </w:r>
          </w:p>
        </w:tc>
        <w:tc>
          <w:tcPr>
            <w:tcW w:w="1066" w:type="dxa"/>
            <w:tcBorders>
              <w:top w:val="nil"/>
              <w:left w:val="nil"/>
              <w:bottom w:val="nil"/>
              <w:right w:val="nil"/>
            </w:tcBorders>
            <w:shd w:val="clear" w:color="000000" w:fill="FFFFFF"/>
            <w:noWrap/>
            <w:vAlign w:val="bottom"/>
            <w:hideMark/>
          </w:tcPr>
          <w:p w14:paraId="1303F628" w14:textId="77777777" w:rsidR="00597171" w:rsidRDefault="00597171">
            <w:pPr>
              <w:jc w:val="center"/>
              <w:rPr>
                <w:color w:val="000000"/>
                <w:sz w:val="20"/>
                <w:szCs w:val="20"/>
              </w:rPr>
            </w:pPr>
            <w:proofErr w:type="spellStart"/>
            <w:r>
              <w:rPr>
                <w:color w:val="000000"/>
                <w:sz w:val="20"/>
                <w:szCs w:val="20"/>
              </w:rPr>
              <w:t>x.xxx</w:t>
            </w:r>
            <w:proofErr w:type="spellEnd"/>
          </w:p>
        </w:tc>
        <w:tc>
          <w:tcPr>
            <w:tcW w:w="760" w:type="dxa"/>
            <w:tcBorders>
              <w:top w:val="nil"/>
              <w:left w:val="nil"/>
              <w:bottom w:val="nil"/>
              <w:right w:val="nil"/>
            </w:tcBorders>
            <w:shd w:val="clear" w:color="000000" w:fill="FFFFFF"/>
            <w:noWrap/>
            <w:vAlign w:val="bottom"/>
            <w:hideMark/>
          </w:tcPr>
          <w:p w14:paraId="1A071328" w14:textId="77777777" w:rsidR="00597171" w:rsidRDefault="00597171">
            <w:pPr>
              <w:jc w:val="center"/>
              <w:rPr>
                <w:color w:val="000000"/>
                <w:sz w:val="20"/>
                <w:szCs w:val="20"/>
              </w:rPr>
            </w:pPr>
            <w:proofErr w:type="spellStart"/>
            <w:r>
              <w:rPr>
                <w:color w:val="000000"/>
                <w:sz w:val="20"/>
                <w:szCs w:val="20"/>
              </w:rPr>
              <w:t>x.xxx</w:t>
            </w:r>
            <w:proofErr w:type="spellEnd"/>
          </w:p>
        </w:tc>
      </w:tr>
      <w:tr w:rsidR="00597171" w14:paraId="0DF6BEEE" w14:textId="77777777" w:rsidTr="00597171">
        <w:trPr>
          <w:trHeight w:val="300"/>
        </w:trPr>
        <w:tc>
          <w:tcPr>
            <w:tcW w:w="6036" w:type="dxa"/>
            <w:gridSpan w:val="7"/>
            <w:tcBorders>
              <w:top w:val="nil"/>
              <w:left w:val="nil"/>
              <w:bottom w:val="nil"/>
              <w:right w:val="nil"/>
            </w:tcBorders>
            <w:shd w:val="clear" w:color="000000" w:fill="FFFFFF"/>
            <w:noWrap/>
            <w:vAlign w:val="bottom"/>
            <w:hideMark/>
          </w:tcPr>
          <w:p w14:paraId="0F3CF7DB" w14:textId="77777777" w:rsidR="00597171" w:rsidRDefault="00597171">
            <w:pPr>
              <w:rPr>
                <w:color w:val="000000"/>
                <w:sz w:val="16"/>
                <w:szCs w:val="16"/>
              </w:rPr>
            </w:pPr>
            <w:r>
              <w:rPr>
                <w:color w:val="000000"/>
                <w:sz w:val="16"/>
                <w:szCs w:val="16"/>
              </w:rPr>
              <w:t xml:space="preserve">Model 1 of HLM:  N = 564 4-Year Public Higher Education Institutions </w:t>
            </w:r>
          </w:p>
        </w:tc>
        <w:tc>
          <w:tcPr>
            <w:tcW w:w="280" w:type="dxa"/>
            <w:tcBorders>
              <w:top w:val="nil"/>
              <w:left w:val="nil"/>
              <w:bottom w:val="nil"/>
              <w:right w:val="nil"/>
            </w:tcBorders>
            <w:shd w:val="clear" w:color="000000" w:fill="FFFFFF"/>
            <w:noWrap/>
            <w:vAlign w:val="bottom"/>
            <w:hideMark/>
          </w:tcPr>
          <w:p w14:paraId="30FD4428" w14:textId="77777777" w:rsidR="00597171" w:rsidRDefault="00597171">
            <w:pPr>
              <w:rPr>
                <w:color w:val="000000"/>
                <w:sz w:val="16"/>
                <w:szCs w:val="16"/>
              </w:rPr>
            </w:pPr>
            <w:r>
              <w:rPr>
                <w:color w:val="000000"/>
                <w:sz w:val="16"/>
                <w:szCs w:val="16"/>
              </w:rPr>
              <w:t> </w:t>
            </w:r>
          </w:p>
        </w:tc>
        <w:tc>
          <w:tcPr>
            <w:tcW w:w="1066" w:type="dxa"/>
            <w:tcBorders>
              <w:top w:val="nil"/>
              <w:left w:val="nil"/>
              <w:bottom w:val="nil"/>
              <w:right w:val="nil"/>
            </w:tcBorders>
            <w:shd w:val="clear" w:color="000000" w:fill="FFFFFF"/>
            <w:noWrap/>
            <w:vAlign w:val="bottom"/>
            <w:hideMark/>
          </w:tcPr>
          <w:p w14:paraId="7F2C83D3" w14:textId="77777777" w:rsidR="00597171" w:rsidRDefault="00597171">
            <w:pPr>
              <w:rPr>
                <w:color w:val="000000"/>
                <w:sz w:val="16"/>
                <w:szCs w:val="16"/>
              </w:rPr>
            </w:pPr>
            <w:r>
              <w:rPr>
                <w:color w:val="000000"/>
                <w:sz w:val="16"/>
                <w:szCs w:val="16"/>
              </w:rPr>
              <w:t> </w:t>
            </w:r>
          </w:p>
        </w:tc>
        <w:tc>
          <w:tcPr>
            <w:tcW w:w="760" w:type="dxa"/>
            <w:tcBorders>
              <w:top w:val="nil"/>
              <w:left w:val="nil"/>
              <w:bottom w:val="nil"/>
              <w:right w:val="nil"/>
            </w:tcBorders>
            <w:shd w:val="clear" w:color="000000" w:fill="FFFFFF"/>
            <w:noWrap/>
            <w:vAlign w:val="bottom"/>
            <w:hideMark/>
          </w:tcPr>
          <w:p w14:paraId="69CA38ED" w14:textId="77777777" w:rsidR="00597171" w:rsidRDefault="00597171">
            <w:pPr>
              <w:rPr>
                <w:color w:val="000000"/>
                <w:sz w:val="16"/>
                <w:szCs w:val="16"/>
              </w:rPr>
            </w:pPr>
            <w:r>
              <w:rPr>
                <w:color w:val="000000"/>
                <w:sz w:val="16"/>
                <w:szCs w:val="16"/>
              </w:rPr>
              <w:t> </w:t>
            </w:r>
          </w:p>
        </w:tc>
      </w:tr>
      <w:tr w:rsidR="00597171" w14:paraId="01AE3000" w14:textId="77777777" w:rsidTr="00597171">
        <w:trPr>
          <w:trHeight w:val="300"/>
        </w:trPr>
        <w:tc>
          <w:tcPr>
            <w:tcW w:w="2928" w:type="dxa"/>
            <w:gridSpan w:val="3"/>
            <w:tcBorders>
              <w:top w:val="nil"/>
              <w:left w:val="nil"/>
              <w:bottom w:val="nil"/>
              <w:right w:val="nil"/>
            </w:tcBorders>
            <w:shd w:val="clear" w:color="000000" w:fill="FFFFFF"/>
            <w:noWrap/>
            <w:vAlign w:val="bottom"/>
            <w:hideMark/>
          </w:tcPr>
          <w:p w14:paraId="4E077A57" w14:textId="77777777" w:rsidR="00597171" w:rsidRDefault="00597171">
            <w:pPr>
              <w:rPr>
                <w:color w:val="000000"/>
                <w:sz w:val="16"/>
                <w:szCs w:val="16"/>
              </w:rPr>
            </w:pPr>
            <w:r>
              <w:rPr>
                <w:color w:val="000000"/>
                <w:sz w:val="16"/>
                <w:szCs w:val="16"/>
              </w:rPr>
              <w:t>Model 2 of HLM:  N = 50 U.S. States</w:t>
            </w:r>
          </w:p>
        </w:tc>
        <w:tc>
          <w:tcPr>
            <w:tcW w:w="1392" w:type="dxa"/>
            <w:tcBorders>
              <w:top w:val="nil"/>
              <w:left w:val="nil"/>
              <w:bottom w:val="nil"/>
              <w:right w:val="nil"/>
            </w:tcBorders>
            <w:shd w:val="clear" w:color="000000" w:fill="FFFFFF"/>
            <w:noWrap/>
            <w:vAlign w:val="bottom"/>
            <w:hideMark/>
          </w:tcPr>
          <w:p w14:paraId="0FED3932" w14:textId="77777777" w:rsidR="00597171" w:rsidRDefault="00597171">
            <w:pPr>
              <w:rPr>
                <w:color w:val="000000"/>
                <w:sz w:val="16"/>
                <w:szCs w:val="16"/>
              </w:rPr>
            </w:pPr>
            <w:r>
              <w:rPr>
                <w:color w:val="000000"/>
                <w:sz w:val="16"/>
                <w:szCs w:val="16"/>
              </w:rPr>
              <w:t> </w:t>
            </w:r>
          </w:p>
        </w:tc>
        <w:tc>
          <w:tcPr>
            <w:tcW w:w="280" w:type="dxa"/>
            <w:tcBorders>
              <w:top w:val="nil"/>
              <w:left w:val="nil"/>
              <w:bottom w:val="nil"/>
              <w:right w:val="nil"/>
            </w:tcBorders>
            <w:shd w:val="clear" w:color="000000" w:fill="FFFFFF"/>
            <w:noWrap/>
            <w:vAlign w:val="bottom"/>
            <w:hideMark/>
          </w:tcPr>
          <w:p w14:paraId="1AB7E19F" w14:textId="77777777" w:rsidR="00597171" w:rsidRDefault="00597171">
            <w:pPr>
              <w:rPr>
                <w:color w:val="000000"/>
                <w:sz w:val="16"/>
                <w:szCs w:val="16"/>
              </w:rPr>
            </w:pPr>
            <w:r>
              <w:rPr>
                <w:color w:val="000000"/>
                <w:sz w:val="16"/>
                <w:szCs w:val="16"/>
              </w:rPr>
              <w:t> </w:t>
            </w:r>
          </w:p>
        </w:tc>
        <w:tc>
          <w:tcPr>
            <w:tcW w:w="672" w:type="dxa"/>
            <w:tcBorders>
              <w:top w:val="nil"/>
              <w:left w:val="nil"/>
              <w:bottom w:val="nil"/>
              <w:right w:val="nil"/>
            </w:tcBorders>
            <w:shd w:val="clear" w:color="000000" w:fill="FFFFFF"/>
            <w:noWrap/>
            <w:vAlign w:val="bottom"/>
            <w:hideMark/>
          </w:tcPr>
          <w:p w14:paraId="1B575BEB" w14:textId="77777777" w:rsidR="00597171" w:rsidRDefault="00597171">
            <w:pPr>
              <w:rPr>
                <w:color w:val="000000"/>
                <w:sz w:val="16"/>
                <w:szCs w:val="16"/>
              </w:rPr>
            </w:pPr>
            <w:r>
              <w:rPr>
                <w:color w:val="000000"/>
                <w:sz w:val="16"/>
                <w:szCs w:val="16"/>
              </w:rPr>
              <w:t> </w:t>
            </w:r>
          </w:p>
        </w:tc>
        <w:tc>
          <w:tcPr>
            <w:tcW w:w="760" w:type="dxa"/>
            <w:tcBorders>
              <w:top w:val="nil"/>
              <w:left w:val="nil"/>
              <w:bottom w:val="nil"/>
              <w:right w:val="nil"/>
            </w:tcBorders>
            <w:shd w:val="clear" w:color="000000" w:fill="FFFFFF"/>
            <w:noWrap/>
            <w:vAlign w:val="bottom"/>
            <w:hideMark/>
          </w:tcPr>
          <w:p w14:paraId="016E00F8" w14:textId="77777777" w:rsidR="00597171" w:rsidRDefault="00597171">
            <w:pPr>
              <w:rPr>
                <w:color w:val="000000"/>
                <w:sz w:val="16"/>
                <w:szCs w:val="16"/>
              </w:rPr>
            </w:pPr>
            <w:r>
              <w:rPr>
                <w:color w:val="000000"/>
                <w:sz w:val="16"/>
                <w:szCs w:val="16"/>
              </w:rPr>
              <w:t> </w:t>
            </w:r>
          </w:p>
        </w:tc>
        <w:tc>
          <w:tcPr>
            <w:tcW w:w="280" w:type="dxa"/>
            <w:tcBorders>
              <w:top w:val="nil"/>
              <w:left w:val="nil"/>
              <w:bottom w:val="nil"/>
              <w:right w:val="nil"/>
            </w:tcBorders>
            <w:shd w:val="clear" w:color="000000" w:fill="FFFFFF"/>
            <w:noWrap/>
            <w:vAlign w:val="bottom"/>
            <w:hideMark/>
          </w:tcPr>
          <w:p w14:paraId="7427DF37" w14:textId="77777777" w:rsidR="00597171" w:rsidRDefault="00597171">
            <w:pPr>
              <w:rPr>
                <w:color w:val="000000"/>
                <w:sz w:val="16"/>
                <w:szCs w:val="16"/>
              </w:rPr>
            </w:pPr>
            <w:r>
              <w:rPr>
                <w:color w:val="000000"/>
                <w:sz w:val="16"/>
                <w:szCs w:val="16"/>
              </w:rPr>
              <w:t> </w:t>
            </w:r>
          </w:p>
        </w:tc>
        <w:tc>
          <w:tcPr>
            <w:tcW w:w="1066" w:type="dxa"/>
            <w:tcBorders>
              <w:top w:val="nil"/>
              <w:left w:val="nil"/>
              <w:bottom w:val="nil"/>
              <w:right w:val="nil"/>
            </w:tcBorders>
            <w:shd w:val="clear" w:color="000000" w:fill="FFFFFF"/>
            <w:noWrap/>
            <w:vAlign w:val="bottom"/>
            <w:hideMark/>
          </w:tcPr>
          <w:p w14:paraId="38AB38DE" w14:textId="77777777" w:rsidR="00597171" w:rsidRDefault="00597171">
            <w:pPr>
              <w:rPr>
                <w:color w:val="000000"/>
                <w:sz w:val="16"/>
                <w:szCs w:val="16"/>
              </w:rPr>
            </w:pPr>
            <w:r>
              <w:rPr>
                <w:color w:val="000000"/>
                <w:sz w:val="16"/>
                <w:szCs w:val="16"/>
              </w:rPr>
              <w:t> </w:t>
            </w:r>
          </w:p>
        </w:tc>
        <w:tc>
          <w:tcPr>
            <w:tcW w:w="760" w:type="dxa"/>
            <w:tcBorders>
              <w:top w:val="nil"/>
              <w:left w:val="nil"/>
              <w:bottom w:val="nil"/>
              <w:right w:val="nil"/>
            </w:tcBorders>
            <w:shd w:val="clear" w:color="000000" w:fill="FFFFFF"/>
            <w:noWrap/>
            <w:vAlign w:val="bottom"/>
            <w:hideMark/>
          </w:tcPr>
          <w:p w14:paraId="1BB173A5" w14:textId="77777777" w:rsidR="00597171" w:rsidRDefault="00597171">
            <w:pPr>
              <w:rPr>
                <w:color w:val="000000"/>
                <w:sz w:val="16"/>
                <w:szCs w:val="16"/>
              </w:rPr>
            </w:pPr>
            <w:r>
              <w:rPr>
                <w:color w:val="000000"/>
                <w:sz w:val="16"/>
                <w:szCs w:val="16"/>
              </w:rPr>
              <w:t> </w:t>
            </w:r>
          </w:p>
        </w:tc>
      </w:tr>
      <w:tr w:rsidR="00597171" w14:paraId="30047B88" w14:textId="77777777" w:rsidTr="00597171">
        <w:trPr>
          <w:trHeight w:val="300"/>
        </w:trPr>
        <w:tc>
          <w:tcPr>
            <w:tcW w:w="2928" w:type="dxa"/>
            <w:gridSpan w:val="3"/>
            <w:tcBorders>
              <w:top w:val="nil"/>
              <w:left w:val="nil"/>
              <w:bottom w:val="single" w:sz="4" w:space="0" w:color="auto"/>
              <w:right w:val="nil"/>
            </w:tcBorders>
            <w:shd w:val="clear" w:color="000000" w:fill="FFFFFF"/>
            <w:noWrap/>
            <w:vAlign w:val="bottom"/>
            <w:hideMark/>
          </w:tcPr>
          <w:p w14:paraId="1274262D" w14:textId="77777777" w:rsidR="00597171" w:rsidRDefault="00597171">
            <w:pPr>
              <w:rPr>
                <w:color w:val="000000"/>
                <w:sz w:val="16"/>
                <w:szCs w:val="16"/>
              </w:rPr>
            </w:pPr>
            <w:r>
              <w:rPr>
                <w:color w:val="000000"/>
                <w:sz w:val="16"/>
                <w:szCs w:val="16"/>
              </w:rPr>
              <w:t xml:space="preserve">***p &lt; .001,   **p &lt; .01,   *p &lt; .05 </w:t>
            </w:r>
          </w:p>
        </w:tc>
        <w:tc>
          <w:tcPr>
            <w:tcW w:w="1392" w:type="dxa"/>
            <w:tcBorders>
              <w:top w:val="nil"/>
              <w:left w:val="nil"/>
              <w:bottom w:val="single" w:sz="4" w:space="0" w:color="auto"/>
              <w:right w:val="nil"/>
            </w:tcBorders>
            <w:shd w:val="clear" w:color="000000" w:fill="FFFFFF"/>
            <w:noWrap/>
            <w:vAlign w:val="bottom"/>
            <w:hideMark/>
          </w:tcPr>
          <w:p w14:paraId="0CE94C58" w14:textId="77777777" w:rsidR="00597171" w:rsidRDefault="00597171">
            <w:pPr>
              <w:rPr>
                <w:color w:val="000000"/>
                <w:sz w:val="16"/>
                <w:szCs w:val="16"/>
              </w:rPr>
            </w:pPr>
            <w:r>
              <w:rPr>
                <w:color w:val="000000"/>
                <w:sz w:val="16"/>
                <w:szCs w:val="16"/>
              </w:rPr>
              <w:t> </w:t>
            </w:r>
          </w:p>
        </w:tc>
        <w:tc>
          <w:tcPr>
            <w:tcW w:w="280" w:type="dxa"/>
            <w:tcBorders>
              <w:top w:val="nil"/>
              <w:left w:val="nil"/>
              <w:bottom w:val="single" w:sz="4" w:space="0" w:color="auto"/>
              <w:right w:val="nil"/>
            </w:tcBorders>
            <w:shd w:val="clear" w:color="000000" w:fill="FFFFFF"/>
            <w:noWrap/>
            <w:vAlign w:val="bottom"/>
            <w:hideMark/>
          </w:tcPr>
          <w:p w14:paraId="6D2274BA" w14:textId="77777777" w:rsidR="00597171" w:rsidRDefault="00597171">
            <w:pPr>
              <w:rPr>
                <w:color w:val="000000"/>
                <w:sz w:val="16"/>
                <w:szCs w:val="16"/>
              </w:rPr>
            </w:pPr>
            <w:r>
              <w:rPr>
                <w:color w:val="000000"/>
                <w:sz w:val="16"/>
                <w:szCs w:val="16"/>
              </w:rPr>
              <w:t> </w:t>
            </w:r>
          </w:p>
        </w:tc>
        <w:tc>
          <w:tcPr>
            <w:tcW w:w="672" w:type="dxa"/>
            <w:tcBorders>
              <w:top w:val="nil"/>
              <w:left w:val="nil"/>
              <w:bottom w:val="single" w:sz="4" w:space="0" w:color="auto"/>
              <w:right w:val="nil"/>
            </w:tcBorders>
            <w:shd w:val="clear" w:color="000000" w:fill="FFFFFF"/>
            <w:noWrap/>
            <w:vAlign w:val="bottom"/>
            <w:hideMark/>
          </w:tcPr>
          <w:p w14:paraId="5DE4FC94" w14:textId="77777777" w:rsidR="00597171" w:rsidRDefault="00597171">
            <w:pPr>
              <w:rPr>
                <w:color w:val="000000"/>
                <w:sz w:val="16"/>
                <w:szCs w:val="16"/>
              </w:rPr>
            </w:pPr>
            <w:r>
              <w:rPr>
                <w:color w:val="000000"/>
                <w:sz w:val="16"/>
                <w:szCs w:val="16"/>
              </w:rPr>
              <w:t> </w:t>
            </w:r>
          </w:p>
        </w:tc>
        <w:tc>
          <w:tcPr>
            <w:tcW w:w="760" w:type="dxa"/>
            <w:tcBorders>
              <w:top w:val="nil"/>
              <w:left w:val="nil"/>
              <w:bottom w:val="single" w:sz="4" w:space="0" w:color="auto"/>
              <w:right w:val="nil"/>
            </w:tcBorders>
            <w:shd w:val="clear" w:color="000000" w:fill="FFFFFF"/>
            <w:noWrap/>
            <w:vAlign w:val="bottom"/>
            <w:hideMark/>
          </w:tcPr>
          <w:p w14:paraId="34BAA118" w14:textId="77777777" w:rsidR="00597171" w:rsidRDefault="00597171">
            <w:pPr>
              <w:rPr>
                <w:color w:val="000000"/>
                <w:sz w:val="16"/>
                <w:szCs w:val="16"/>
              </w:rPr>
            </w:pPr>
            <w:r>
              <w:rPr>
                <w:color w:val="000000"/>
                <w:sz w:val="16"/>
                <w:szCs w:val="16"/>
              </w:rPr>
              <w:t> </w:t>
            </w:r>
          </w:p>
        </w:tc>
        <w:tc>
          <w:tcPr>
            <w:tcW w:w="280" w:type="dxa"/>
            <w:tcBorders>
              <w:top w:val="nil"/>
              <w:left w:val="nil"/>
              <w:bottom w:val="single" w:sz="4" w:space="0" w:color="auto"/>
              <w:right w:val="nil"/>
            </w:tcBorders>
            <w:shd w:val="clear" w:color="000000" w:fill="FFFFFF"/>
            <w:noWrap/>
            <w:vAlign w:val="bottom"/>
            <w:hideMark/>
          </w:tcPr>
          <w:p w14:paraId="76C2DBB3" w14:textId="77777777" w:rsidR="00597171" w:rsidRDefault="00597171">
            <w:pPr>
              <w:rPr>
                <w:color w:val="000000"/>
                <w:sz w:val="16"/>
                <w:szCs w:val="16"/>
              </w:rPr>
            </w:pPr>
            <w:r>
              <w:rPr>
                <w:color w:val="000000"/>
                <w:sz w:val="16"/>
                <w:szCs w:val="16"/>
              </w:rPr>
              <w:t> </w:t>
            </w:r>
          </w:p>
        </w:tc>
        <w:tc>
          <w:tcPr>
            <w:tcW w:w="1066" w:type="dxa"/>
            <w:tcBorders>
              <w:top w:val="nil"/>
              <w:left w:val="nil"/>
              <w:bottom w:val="single" w:sz="4" w:space="0" w:color="auto"/>
              <w:right w:val="nil"/>
            </w:tcBorders>
            <w:shd w:val="clear" w:color="000000" w:fill="FFFFFF"/>
            <w:noWrap/>
            <w:vAlign w:val="bottom"/>
            <w:hideMark/>
          </w:tcPr>
          <w:p w14:paraId="2C7354E5" w14:textId="77777777" w:rsidR="00597171" w:rsidRDefault="00597171">
            <w:pPr>
              <w:rPr>
                <w:color w:val="000000"/>
                <w:sz w:val="16"/>
                <w:szCs w:val="16"/>
              </w:rPr>
            </w:pPr>
            <w:r>
              <w:rPr>
                <w:color w:val="000000"/>
                <w:sz w:val="16"/>
                <w:szCs w:val="16"/>
              </w:rPr>
              <w:t> </w:t>
            </w:r>
          </w:p>
        </w:tc>
        <w:tc>
          <w:tcPr>
            <w:tcW w:w="760" w:type="dxa"/>
            <w:tcBorders>
              <w:top w:val="nil"/>
              <w:left w:val="nil"/>
              <w:bottom w:val="single" w:sz="4" w:space="0" w:color="auto"/>
              <w:right w:val="nil"/>
            </w:tcBorders>
            <w:shd w:val="clear" w:color="000000" w:fill="FFFFFF"/>
            <w:noWrap/>
            <w:vAlign w:val="bottom"/>
            <w:hideMark/>
          </w:tcPr>
          <w:p w14:paraId="5F8C9A33" w14:textId="77777777" w:rsidR="00597171" w:rsidRDefault="00597171">
            <w:pPr>
              <w:rPr>
                <w:color w:val="000000"/>
                <w:sz w:val="16"/>
                <w:szCs w:val="16"/>
              </w:rPr>
            </w:pPr>
            <w:r>
              <w:rPr>
                <w:color w:val="000000"/>
                <w:sz w:val="16"/>
                <w:szCs w:val="16"/>
              </w:rPr>
              <w:t> </w:t>
            </w:r>
          </w:p>
        </w:tc>
      </w:tr>
    </w:tbl>
    <w:p w14:paraId="4BD36A06" w14:textId="77777777" w:rsidR="009C305F" w:rsidRDefault="009C305F" w:rsidP="001045D5">
      <w:pPr>
        <w:spacing w:after="160" w:line="480" w:lineRule="auto"/>
        <w:ind w:firstLine="720"/>
        <w:rPr>
          <w:rFonts w:eastAsia="Calibri"/>
        </w:rPr>
      </w:pPr>
    </w:p>
    <w:p w14:paraId="08973A4E" w14:textId="77777777" w:rsidR="009C305F" w:rsidRDefault="009C305F">
      <w:pPr>
        <w:rPr>
          <w:rFonts w:eastAsia="Calibri"/>
        </w:rPr>
      </w:pPr>
      <w:r>
        <w:rPr>
          <w:rFonts w:eastAsia="Calibri"/>
        </w:rPr>
        <w:br w:type="page"/>
      </w:r>
    </w:p>
    <w:p w14:paraId="2CA478CF" w14:textId="77777777" w:rsidR="005863FD" w:rsidRPr="005863FD" w:rsidRDefault="005863FD" w:rsidP="00EB21EB">
      <w:pPr>
        <w:spacing w:after="160" w:line="480" w:lineRule="auto"/>
        <w:ind w:firstLine="720"/>
        <w:rPr>
          <w:rFonts w:eastAsia="Calibri"/>
          <w:b/>
        </w:rPr>
      </w:pPr>
      <w:r w:rsidRPr="005863FD">
        <w:rPr>
          <w:rStyle w:val="Hyperlink"/>
          <w:b/>
          <w:color w:val="auto"/>
          <w:u w:val="none"/>
        </w:rPr>
        <w:lastRenderedPageBreak/>
        <w:t>Institutional Influences on Expenditures/Graduation Rates Relationship</w:t>
      </w:r>
    </w:p>
    <w:p w14:paraId="3CBB7910" w14:textId="0ABBB43E" w:rsidR="007C3DC2" w:rsidRDefault="00AE0C4A" w:rsidP="00EB21EB">
      <w:pPr>
        <w:spacing w:after="160" w:line="480" w:lineRule="auto"/>
        <w:ind w:firstLine="720"/>
        <w:rPr>
          <w:rFonts w:eastAsia="Calibri"/>
        </w:rPr>
      </w:pPr>
      <w:r>
        <w:rPr>
          <w:rFonts w:eastAsia="Calibri"/>
        </w:rPr>
        <w:t xml:space="preserve">  </w:t>
      </w:r>
      <w:r w:rsidR="00A7027B">
        <w:rPr>
          <w:rFonts w:eastAsia="Calibri"/>
        </w:rPr>
        <w:t xml:space="preserve">The </w:t>
      </w:r>
      <w:r w:rsidR="009E690B">
        <w:rPr>
          <w:rFonts w:eastAsia="Calibri"/>
        </w:rPr>
        <w:t xml:space="preserve">multilevel </w:t>
      </w:r>
      <w:r w:rsidR="00A7027B">
        <w:rPr>
          <w:rFonts w:eastAsia="Calibri"/>
        </w:rPr>
        <w:t>analyses show</w:t>
      </w:r>
      <w:r w:rsidR="007C3DC2">
        <w:rPr>
          <w:rFonts w:eastAsia="Calibri"/>
        </w:rPr>
        <w:t>ed</w:t>
      </w:r>
      <w:r w:rsidR="00A7027B">
        <w:rPr>
          <w:rFonts w:eastAsia="Calibri"/>
        </w:rPr>
        <w:t xml:space="preserve"> that </w:t>
      </w:r>
      <w:r w:rsidR="00B951A9">
        <w:rPr>
          <w:rFonts w:eastAsia="Calibri"/>
        </w:rPr>
        <w:t xml:space="preserve">the </w:t>
      </w:r>
      <w:r w:rsidR="005B2014">
        <w:rPr>
          <w:rFonts w:eastAsia="Calibri"/>
        </w:rPr>
        <w:t>institution level</w:t>
      </w:r>
      <w:r w:rsidR="007C3DC2">
        <w:rPr>
          <w:rFonts w:eastAsia="Calibri"/>
        </w:rPr>
        <w:t xml:space="preserve"> variables of </w:t>
      </w:r>
      <w:r w:rsidR="00456E06">
        <w:rPr>
          <w:rFonts w:eastAsia="Calibri"/>
        </w:rPr>
        <w:t xml:space="preserve">race, </w:t>
      </w:r>
      <w:r w:rsidR="005C7062">
        <w:rPr>
          <w:rFonts w:eastAsia="Calibri"/>
        </w:rPr>
        <w:t xml:space="preserve">and </w:t>
      </w:r>
      <w:r w:rsidR="00456E06">
        <w:rPr>
          <w:rFonts w:eastAsia="Calibri"/>
        </w:rPr>
        <w:t>ACT scores</w:t>
      </w:r>
      <w:r w:rsidR="007C3DC2">
        <w:rPr>
          <w:rFonts w:eastAsia="Calibri"/>
        </w:rPr>
        <w:t xml:space="preserve">, did have a significant positive effect on six-year graduation rates.  </w:t>
      </w:r>
      <w:r w:rsidR="006A51AA">
        <w:rPr>
          <w:rFonts w:eastAsia="Calibri"/>
        </w:rPr>
        <w:t>ACT 25</w:t>
      </w:r>
      <w:r w:rsidR="006A51AA" w:rsidRPr="006A51AA">
        <w:rPr>
          <w:rFonts w:eastAsia="Calibri"/>
          <w:vertAlign w:val="superscript"/>
        </w:rPr>
        <w:t>th</w:t>
      </w:r>
      <w:r w:rsidR="006A51AA">
        <w:rPr>
          <w:rFonts w:eastAsia="Calibri"/>
        </w:rPr>
        <w:t xml:space="preserve"> percentile scores had a p-value &lt; .001</w:t>
      </w:r>
      <w:r w:rsidR="007C3DC2">
        <w:rPr>
          <w:rFonts w:eastAsia="Calibri"/>
        </w:rPr>
        <w:t xml:space="preserve"> and </w:t>
      </w:r>
      <w:r w:rsidR="006A51AA">
        <w:rPr>
          <w:rFonts w:eastAsia="Calibri"/>
        </w:rPr>
        <w:t>race</w:t>
      </w:r>
      <w:r w:rsidR="007C3DC2">
        <w:rPr>
          <w:rFonts w:eastAsia="Calibri"/>
        </w:rPr>
        <w:t xml:space="preserve"> </w:t>
      </w:r>
      <w:r w:rsidR="006A51AA">
        <w:rPr>
          <w:rFonts w:eastAsia="Calibri"/>
        </w:rPr>
        <w:t xml:space="preserve">also </w:t>
      </w:r>
      <w:r w:rsidR="007C3DC2">
        <w:rPr>
          <w:rFonts w:eastAsia="Calibri"/>
        </w:rPr>
        <w:t xml:space="preserve">had a p-value of </w:t>
      </w:r>
      <w:r w:rsidR="006A51AA">
        <w:rPr>
          <w:rFonts w:eastAsia="Calibri"/>
        </w:rPr>
        <w:t>&lt; .001</w:t>
      </w:r>
      <w:r w:rsidR="007C3DC2">
        <w:rPr>
          <w:rFonts w:eastAsia="Calibri"/>
        </w:rPr>
        <w:t xml:space="preserve">.  P-values of .05 or smaller are generally regarded as statistically significant.   </w:t>
      </w:r>
    </w:p>
    <w:p w14:paraId="7F2028CF" w14:textId="67DC09CC" w:rsidR="001045D5" w:rsidRDefault="001045D5" w:rsidP="00EB21EB">
      <w:pPr>
        <w:spacing w:after="160" w:line="480" w:lineRule="auto"/>
        <w:ind w:firstLine="720"/>
        <w:rPr>
          <w:rFonts w:eastAsia="Calibri"/>
        </w:rPr>
      </w:pPr>
      <w:r w:rsidRPr="001045D5">
        <w:rPr>
          <w:rFonts w:eastAsia="Calibri"/>
        </w:rPr>
        <w:t xml:space="preserve">The analyses </w:t>
      </w:r>
      <w:r w:rsidR="009E690B">
        <w:rPr>
          <w:rFonts w:eastAsia="Calibri"/>
        </w:rPr>
        <w:t xml:space="preserve">also </w:t>
      </w:r>
      <w:r w:rsidRPr="001045D5">
        <w:rPr>
          <w:rFonts w:eastAsia="Calibri"/>
        </w:rPr>
        <w:t xml:space="preserve">revealed that the institution level variables of XXXXX, did not </w:t>
      </w:r>
      <w:r w:rsidR="006C433E">
        <w:rPr>
          <w:rFonts w:eastAsia="Calibri"/>
        </w:rPr>
        <w:t xml:space="preserve">appear to </w:t>
      </w:r>
      <w:r w:rsidRPr="001045D5">
        <w:rPr>
          <w:rFonts w:eastAsia="Calibri"/>
        </w:rPr>
        <w:t xml:space="preserve">have a significant effect on six-year graduation rates.  XXXXX had a p-value </w:t>
      </w:r>
      <w:proofErr w:type="gramStart"/>
      <w:r w:rsidRPr="001045D5">
        <w:rPr>
          <w:rFonts w:eastAsia="Calibri"/>
        </w:rPr>
        <w:t>of .</w:t>
      </w:r>
      <w:proofErr w:type="gramEnd"/>
      <w:r w:rsidRPr="001045D5">
        <w:rPr>
          <w:rFonts w:eastAsia="Calibri"/>
        </w:rPr>
        <w:t xml:space="preserve">  XXXX had a p-value of XXX, and XXXX had a p-value of XXXX.</w:t>
      </w:r>
    </w:p>
    <w:p w14:paraId="0FCA90C7" w14:textId="77777777" w:rsidR="001045D5" w:rsidRPr="005863FD" w:rsidRDefault="001045D5" w:rsidP="001045D5">
      <w:pPr>
        <w:spacing w:after="160" w:line="480" w:lineRule="auto"/>
        <w:ind w:firstLine="720"/>
        <w:rPr>
          <w:rFonts w:eastAsia="Calibri"/>
          <w:b/>
        </w:rPr>
      </w:pPr>
      <w:r>
        <w:rPr>
          <w:rStyle w:val="Hyperlink"/>
          <w:b/>
          <w:color w:val="auto"/>
          <w:u w:val="none"/>
        </w:rPr>
        <w:t>State Economic</w:t>
      </w:r>
      <w:r w:rsidRPr="005863FD">
        <w:rPr>
          <w:rStyle w:val="Hyperlink"/>
          <w:b/>
          <w:color w:val="auto"/>
          <w:u w:val="none"/>
        </w:rPr>
        <w:t xml:space="preserve"> Influences on Expenditures/Graduation Rates Relationship</w:t>
      </w:r>
    </w:p>
    <w:p w14:paraId="6920D445" w14:textId="77777777" w:rsidR="007C3DC2" w:rsidRDefault="007C3DC2" w:rsidP="00EB21EB">
      <w:pPr>
        <w:spacing w:after="160" w:line="480" w:lineRule="auto"/>
        <w:ind w:firstLine="720"/>
        <w:rPr>
          <w:rFonts w:eastAsia="Calibri"/>
        </w:rPr>
      </w:pPr>
      <w:r>
        <w:rPr>
          <w:rFonts w:eastAsia="Calibri"/>
        </w:rPr>
        <w:t xml:space="preserve">The </w:t>
      </w:r>
      <w:r w:rsidR="005B2014">
        <w:rPr>
          <w:rFonts w:eastAsia="Calibri"/>
        </w:rPr>
        <w:t>state level</w:t>
      </w:r>
      <w:r>
        <w:rPr>
          <w:rFonts w:eastAsia="Calibri"/>
        </w:rPr>
        <w:t xml:space="preserve"> variable of </w:t>
      </w:r>
      <w:r w:rsidR="001045D5">
        <w:rPr>
          <w:rFonts w:eastAsia="Calibri"/>
        </w:rPr>
        <w:t xml:space="preserve">average household income </w:t>
      </w:r>
      <w:r>
        <w:rPr>
          <w:rFonts w:eastAsia="Calibri"/>
        </w:rPr>
        <w:t xml:space="preserve">showed statistically significant effects on graduation rates.   </w:t>
      </w:r>
      <w:r w:rsidR="001045D5">
        <w:rPr>
          <w:rFonts w:eastAsia="Calibri"/>
        </w:rPr>
        <w:t>Average household income</w:t>
      </w:r>
      <w:r>
        <w:rPr>
          <w:rFonts w:eastAsia="Calibri"/>
        </w:rPr>
        <w:t xml:space="preserve"> had a p-value of </w:t>
      </w:r>
      <w:r w:rsidR="001045D5">
        <w:rPr>
          <w:rFonts w:eastAsia="Calibri"/>
        </w:rPr>
        <w:t>&lt; .001</w:t>
      </w:r>
      <w:r>
        <w:rPr>
          <w:rFonts w:eastAsia="Calibri"/>
        </w:rPr>
        <w:t>.</w:t>
      </w:r>
    </w:p>
    <w:p w14:paraId="2B7C3AD4" w14:textId="0EBAED4D" w:rsidR="007C3DC2" w:rsidRDefault="00D56F0C" w:rsidP="007C3DC2">
      <w:pPr>
        <w:spacing w:after="160" w:line="480" w:lineRule="auto"/>
        <w:ind w:firstLine="720"/>
        <w:rPr>
          <w:rFonts w:eastAsia="Calibri"/>
        </w:rPr>
      </w:pPr>
      <w:r>
        <w:rPr>
          <w:rFonts w:eastAsia="Calibri"/>
        </w:rPr>
        <w:t xml:space="preserve">Likewise, the state level variables of higher education expenditures per capita and unemployment rates did not show statistical significant effects on graduation rates.   XXXX had a p-value of XXX </w:t>
      </w:r>
      <w:proofErr w:type="gramStart"/>
      <w:r w:rsidR="007C3DC2">
        <w:rPr>
          <w:rFonts w:eastAsia="Calibri"/>
        </w:rPr>
        <w:t>…..</w:t>
      </w:r>
      <w:proofErr w:type="gramEnd"/>
    </w:p>
    <w:p w14:paraId="57E98FBC" w14:textId="77777777" w:rsidR="00A7027B" w:rsidRDefault="00A7027B" w:rsidP="00EB21EB">
      <w:pPr>
        <w:spacing w:after="160" w:line="480" w:lineRule="auto"/>
        <w:ind w:firstLine="720"/>
        <w:rPr>
          <w:rFonts w:eastAsia="Calibri"/>
        </w:rPr>
      </w:pPr>
    </w:p>
    <w:p w14:paraId="363C0C65" w14:textId="77777777" w:rsidR="00575EFA" w:rsidRPr="00575EFA" w:rsidRDefault="00575EFA" w:rsidP="00575EFA">
      <w:pPr>
        <w:keepNext/>
        <w:spacing w:after="160" w:line="480" w:lineRule="auto"/>
        <w:ind w:firstLine="720"/>
        <w:jc w:val="center"/>
        <w:rPr>
          <w:rFonts w:eastAsia="Calibri"/>
          <w:b/>
        </w:rPr>
      </w:pPr>
      <w:r w:rsidRPr="00575EFA">
        <w:rPr>
          <w:rFonts w:eastAsia="Calibri"/>
          <w:b/>
        </w:rPr>
        <w:t>Summary</w:t>
      </w:r>
    </w:p>
    <w:p w14:paraId="60BA5E27" w14:textId="77777777" w:rsidR="00A378CE" w:rsidRDefault="00575EFA" w:rsidP="00A378CE">
      <w:pPr>
        <w:keepNext/>
        <w:spacing w:after="160" w:line="480" w:lineRule="auto"/>
        <w:ind w:firstLine="720"/>
        <w:rPr>
          <w:rFonts w:eastAsia="Calibri"/>
        </w:rPr>
      </w:pPr>
      <w:r>
        <w:rPr>
          <w:rFonts w:eastAsia="Calibri"/>
        </w:rPr>
        <w:t xml:space="preserve">This chapter provided the details of my study’s data collection and analysis.  </w:t>
      </w:r>
      <w:r w:rsidR="00A378CE" w:rsidRPr="00864B81">
        <w:rPr>
          <w:rFonts w:eastAsia="Calibri"/>
        </w:rPr>
        <w:t xml:space="preserve">The first section of the chapter </w:t>
      </w:r>
      <w:r w:rsidR="00A378CE">
        <w:rPr>
          <w:rFonts w:eastAsia="Calibri"/>
        </w:rPr>
        <w:t>outlined</w:t>
      </w:r>
      <w:r w:rsidR="00A378CE" w:rsidRPr="00864B81">
        <w:rPr>
          <w:rFonts w:eastAsia="Calibri"/>
        </w:rPr>
        <w:t xml:space="preserve"> the results of the preliminary and inferential analyses conducted for the purpose of identifying the relationships between public higher </w:t>
      </w:r>
      <w:r w:rsidR="00A378CE" w:rsidRPr="00864B81">
        <w:rPr>
          <w:rFonts w:eastAsia="Calibri"/>
        </w:rPr>
        <w:lastRenderedPageBreak/>
        <w:t xml:space="preserve">education institutional expenditures per student FTE by type – instruction, research, public service, academic support, and student services – and six-year graduation rates.  The second section of the chapter </w:t>
      </w:r>
      <w:r w:rsidR="00A378CE">
        <w:rPr>
          <w:rFonts w:eastAsia="Calibri"/>
        </w:rPr>
        <w:t>provided</w:t>
      </w:r>
      <w:r w:rsidR="00A378CE" w:rsidRPr="00864B81">
        <w:rPr>
          <w:rFonts w:eastAsia="Calibri"/>
        </w:rPr>
        <w:t xml:space="preserve"> the results of the </w:t>
      </w:r>
      <w:r w:rsidR="00A378CE">
        <w:rPr>
          <w:rFonts w:eastAsia="Calibri"/>
        </w:rPr>
        <w:t>multilevel</w:t>
      </w:r>
      <w:r w:rsidR="00A378CE" w:rsidRPr="00864B81">
        <w:rPr>
          <w:rFonts w:eastAsia="Calibri"/>
        </w:rPr>
        <w:t xml:space="preserve"> analyses with regard to the effects of the institution level mediating factors of:  race, gender, ACT scores, and Carnegie classification.  The third section of the chapter explores the analyses results pertaining to the state economic factors:  state higher education spending per capita, unemployment rate, and average household income.  </w:t>
      </w:r>
      <w:r w:rsidR="00A378CE">
        <w:rPr>
          <w:rFonts w:eastAsia="Calibri"/>
        </w:rPr>
        <w:t>The next chapter will further explore the implications of these data results and provide recommendations with regard to adjusting higher education expenditure levels to improve graduation rates.  These recommendations will be focused to both higher education policy makers and administration responsible for controlling expenditures as well as to future research in the area of public higher education finance and student outcomes.</w:t>
      </w:r>
    </w:p>
    <w:p w14:paraId="669B2CC1" w14:textId="77777777" w:rsidR="00A378CE" w:rsidRDefault="00A378CE">
      <w:pPr>
        <w:rPr>
          <w:rFonts w:eastAsia="Calibri"/>
        </w:rPr>
      </w:pPr>
      <w:r>
        <w:rPr>
          <w:rFonts w:eastAsia="Calibri"/>
        </w:rPr>
        <w:br w:type="page"/>
      </w:r>
    </w:p>
    <w:p w14:paraId="09F1CF54" w14:textId="77777777" w:rsidR="00A378CE" w:rsidRPr="003E1CE3" w:rsidRDefault="00A378CE" w:rsidP="00A378CE">
      <w:pPr>
        <w:spacing w:after="160" w:line="480" w:lineRule="auto"/>
        <w:jc w:val="center"/>
        <w:rPr>
          <w:rFonts w:eastAsia="Calibri"/>
          <w:b/>
        </w:rPr>
      </w:pPr>
      <w:r w:rsidRPr="003E1CE3">
        <w:rPr>
          <w:rFonts w:eastAsia="Calibri"/>
          <w:b/>
        </w:rPr>
        <w:lastRenderedPageBreak/>
        <w:t>CHAPTER V</w:t>
      </w:r>
    </w:p>
    <w:p w14:paraId="1CAB8E27" w14:textId="77777777" w:rsidR="00A378CE" w:rsidRPr="003E1CE3" w:rsidRDefault="00A378CE" w:rsidP="00A378CE">
      <w:pPr>
        <w:spacing w:after="160" w:line="480" w:lineRule="auto"/>
        <w:jc w:val="center"/>
        <w:rPr>
          <w:rFonts w:eastAsia="Calibri"/>
          <w:b/>
        </w:rPr>
      </w:pPr>
      <w:r w:rsidRPr="003E1CE3">
        <w:rPr>
          <w:rFonts w:eastAsia="Calibri"/>
          <w:b/>
        </w:rPr>
        <w:t>CONCLUSION</w:t>
      </w:r>
    </w:p>
    <w:p w14:paraId="7C793054" w14:textId="0DDE4097" w:rsidR="00A378CE" w:rsidRPr="00EB21EB" w:rsidRDefault="00A378CE" w:rsidP="00A378CE">
      <w:pPr>
        <w:spacing w:after="160" w:line="480" w:lineRule="auto"/>
        <w:jc w:val="center"/>
        <w:rPr>
          <w:rFonts w:eastAsia="Calibri"/>
          <w:b/>
        </w:rPr>
      </w:pPr>
      <w:r>
        <w:rPr>
          <w:rFonts w:eastAsia="Calibri"/>
          <w:b/>
        </w:rPr>
        <w:t>Summary of Principle Findings</w:t>
      </w:r>
    </w:p>
    <w:p w14:paraId="03651E41" w14:textId="77777777" w:rsidR="00FC1341" w:rsidRDefault="00EB21EB" w:rsidP="00EB21EB">
      <w:pPr>
        <w:spacing w:after="160" w:line="480" w:lineRule="auto"/>
        <w:ind w:firstLine="720"/>
        <w:rPr>
          <w:rFonts w:eastAsia="Calibri"/>
        </w:rPr>
      </w:pPr>
      <w:r w:rsidRPr="00EB21EB">
        <w:rPr>
          <w:rFonts w:eastAsia="Calibri"/>
        </w:rPr>
        <w:t xml:space="preserve">The results of this study indicate that </w:t>
      </w:r>
      <w:r w:rsidR="00FC63D0">
        <w:rPr>
          <w:rFonts w:eastAsia="Calibri"/>
        </w:rPr>
        <w:t xml:space="preserve">increasing </w:t>
      </w:r>
      <w:r w:rsidR="00C97DD7">
        <w:rPr>
          <w:rFonts w:eastAsia="Calibri"/>
        </w:rPr>
        <w:t xml:space="preserve">public higher education </w:t>
      </w:r>
      <w:r w:rsidRPr="00EB21EB">
        <w:rPr>
          <w:rFonts w:eastAsia="Calibri"/>
        </w:rPr>
        <w:t>institutional spending</w:t>
      </w:r>
      <w:r w:rsidR="00C97DD7">
        <w:rPr>
          <w:rFonts w:eastAsia="Calibri"/>
        </w:rPr>
        <w:t xml:space="preserve"> in the categories of instruction and </w:t>
      </w:r>
      <w:r w:rsidR="00FC63D0">
        <w:rPr>
          <w:rFonts w:eastAsia="Calibri"/>
        </w:rPr>
        <w:t xml:space="preserve">research </w:t>
      </w:r>
      <w:r w:rsidRPr="00EB21EB">
        <w:rPr>
          <w:rFonts w:eastAsia="Calibri"/>
        </w:rPr>
        <w:t xml:space="preserve">deliver </w:t>
      </w:r>
      <w:r w:rsidR="00FC63D0">
        <w:rPr>
          <w:rFonts w:eastAsia="Calibri"/>
        </w:rPr>
        <w:t>a</w:t>
      </w:r>
      <w:r w:rsidRPr="00EB21EB">
        <w:rPr>
          <w:rFonts w:eastAsia="Calibri"/>
        </w:rPr>
        <w:t xml:space="preserve"> positive effect on the </w:t>
      </w:r>
      <w:r w:rsidR="00930FBE">
        <w:rPr>
          <w:rFonts w:eastAsia="Calibri"/>
        </w:rPr>
        <w:t>percentage</w:t>
      </w:r>
      <w:r w:rsidRPr="00EB21EB">
        <w:rPr>
          <w:rFonts w:eastAsia="Calibri"/>
        </w:rPr>
        <w:t xml:space="preserve"> of </w:t>
      </w:r>
      <w:r w:rsidR="00930FBE">
        <w:rPr>
          <w:rFonts w:eastAsia="Calibri"/>
        </w:rPr>
        <w:t xml:space="preserve">first-time </w:t>
      </w:r>
      <w:r w:rsidRPr="00EB21EB">
        <w:rPr>
          <w:rFonts w:eastAsia="Calibri"/>
        </w:rPr>
        <w:t>students to graduat</w:t>
      </w:r>
      <w:r w:rsidR="00930FBE">
        <w:rPr>
          <w:rFonts w:eastAsia="Calibri"/>
        </w:rPr>
        <w:t>e with a bachelor’s degree</w:t>
      </w:r>
      <w:r w:rsidR="00C97DD7">
        <w:rPr>
          <w:rFonts w:eastAsia="Calibri"/>
        </w:rPr>
        <w:t xml:space="preserve"> within six years</w:t>
      </w:r>
      <w:r w:rsidRPr="00EB21EB">
        <w:rPr>
          <w:rFonts w:eastAsia="Calibri"/>
        </w:rPr>
        <w:t xml:space="preserve">.  </w:t>
      </w:r>
    </w:p>
    <w:p w14:paraId="594653B7" w14:textId="77777777" w:rsidR="00675EF3" w:rsidRDefault="00675EF3" w:rsidP="00675EF3">
      <w:pPr>
        <w:spacing w:after="160" w:line="480" w:lineRule="auto"/>
        <w:rPr>
          <w:rFonts w:eastAsia="Calibri"/>
          <w:b/>
        </w:rPr>
      </w:pPr>
      <w:r w:rsidRPr="00675EF3">
        <w:rPr>
          <w:rFonts w:eastAsia="Calibri"/>
          <w:b/>
        </w:rPr>
        <w:t>Interpretation of Institutional Effects</w:t>
      </w:r>
    </w:p>
    <w:p w14:paraId="7A0684D8" w14:textId="77777777" w:rsidR="00675EF3" w:rsidRPr="00675EF3" w:rsidRDefault="00675EF3" w:rsidP="00675EF3">
      <w:pPr>
        <w:spacing w:after="160" w:line="480" w:lineRule="auto"/>
        <w:rPr>
          <w:rFonts w:eastAsia="Calibri"/>
          <w:b/>
        </w:rPr>
      </w:pPr>
      <w:r>
        <w:rPr>
          <w:rFonts w:eastAsia="Calibri"/>
          <w:b/>
        </w:rPr>
        <w:t>Interpretation of State Economic Effects</w:t>
      </w:r>
    </w:p>
    <w:p w14:paraId="67234BDA" w14:textId="77777777" w:rsidR="00282FFC" w:rsidRDefault="00675EF3" w:rsidP="00282FFC">
      <w:pPr>
        <w:spacing w:after="160" w:line="480" w:lineRule="auto"/>
        <w:jc w:val="center"/>
        <w:rPr>
          <w:rFonts w:eastAsia="Calibri"/>
          <w:b/>
        </w:rPr>
      </w:pPr>
      <w:r>
        <w:rPr>
          <w:rFonts w:eastAsia="Calibri"/>
          <w:b/>
        </w:rPr>
        <w:t>Implications</w:t>
      </w:r>
    </w:p>
    <w:p w14:paraId="5021CDED" w14:textId="77777777" w:rsidR="00675EF3" w:rsidRPr="00EB21EB" w:rsidRDefault="00675EF3" w:rsidP="00282FFC">
      <w:pPr>
        <w:spacing w:after="160" w:line="480" w:lineRule="auto"/>
        <w:jc w:val="center"/>
        <w:rPr>
          <w:rFonts w:eastAsia="Calibri"/>
          <w:b/>
        </w:rPr>
      </w:pPr>
      <w:r>
        <w:rPr>
          <w:rFonts w:eastAsia="Calibri"/>
          <w:b/>
        </w:rPr>
        <w:t>Recommendations</w:t>
      </w:r>
    </w:p>
    <w:p w14:paraId="3BE5CDDF" w14:textId="77777777" w:rsidR="00282FFC" w:rsidRDefault="00282FFC" w:rsidP="00EB21EB">
      <w:pPr>
        <w:spacing w:after="160" w:line="480" w:lineRule="auto"/>
        <w:ind w:firstLine="720"/>
        <w:rPr>
          <w:rFonts w:eastAsia="Calibri"/>
          <w:highlight w:val="red"/>
        </w:rPr>
      </w:pPr>
    </w:p>
    <w:p w14:paraId="7A17B681" w14:textId="77777777" w:rsidR="00282FFC" w:rsidRDefault="00282FFC">
      <w:pPr>
        <w:rPr>
          <w:rFonts w:eastAsia="Calibri"/>
          <w:bCs/>
        </w:rPr>
      </w:pPr>
      <w:r>
        <w:rPr>
          <w:rFonts w:eastAsia="Calibri"/>
          <w:bCs/>
        </w:rPr>
        <w:br w:type="page"/>
      </w:r>
    </w:p>
    <w:p w14:paraId="7AC1728A" w14:textId="77777777" w:rsidR="00642912" w:rsidRPr="0052342F" w:rsidRDefault="00BC0185" w:rsidP="0052342F">
      <w:pPr>
        <w:pStyle w:val="Heading1"/>
      </w:pPr>
      <w:r w:rsidRPr="0052342F">
        <w:lastRenderedPageBreak/>
        <w:t>LIST OF REFERENCES</w:t>
      </w:r>
      <w:bookmarkEnd w:id="0"/>
    </w:p>
    <w:p w14:paraId="6A5405C0" w14:textId="77777777" w:rsidR="00642912" w:rsidRDefault="00642912">
      <w:r>
        <w:br w:type="page"/>
      </w:r>
    </w:p>
    <w:p w14:paraId="346D8D10" w14:textId="77777777" w:rsidR="00642912" w:rsidRPr="005121EE" w:rsidRDefault="00642912" w:rsidP="00642912">
      <w:pPr>
        <w:spacing w:line="480" w:lineRule="auto"/>
        <w:ind w:left="720" w:hanging="720"/>
        <w:rPr>
          <w:rFonts w:eastAsia="Calibri"/>
        </w:rPr>
      </w:pPr>
      <w:proofErr w:type="spellStart"/>
      <w:r w:rsidRPr="005121EE">
        <w:rPr>
          <w:rFonts w:eastAsia="Calibri"/>
        </w:rPr>
        <w:lastRenderedPageBreak/>
        <w:t>Argyris</w:t>
      </w:r>
      <w:proofErr w:type="spellEnd"/>
      <w:r w:rsidRPr="005121EE">
        <w:rPr>
          <w:rFonts w:eastAsia="Calibri"/>
        </w:rPr>
        <w:t xml:space="preserve">, C. (1973). </w:t>
      </w:r>
      <w:r w:rsidRPr="005121EE">
        <w:rPr>
          <w:rFonts w:eastAsia="Calibri"/>
          <w:i/>
        </w:rPr>
        <w:t>Some limits of rational man organizational theory.</w:t>
      </w:r>
      <w:r w:rsidRPr="005121EE">
        <w:rPr>
          <w:rFonts w:eastAsia="Calibri"/>
        </w:rPr>
        <w:t xml:space="preserve"> Public Administration Review, 33(3), 253-267. </w:t>
      </w:r>
    </w:p>
    <w:p w14:paraId="69C97162" w14:textId="77777777" w:rsidR="00642912" w:rsidRPr="005121EE" w:rsidRDefault="00642912" w:rsidP="00642912">
      <w:pPr>
        <w:spacing w:line="480" w:lineRule="auto"/>
        <w:ind w:left="720" w:hanging="720"/>
        <w:rPr>
          <w:rFonts w:eastAsia="Calibri"/>
        </w:rPr>
      </w:pPr>
      <w:proofErr w:type="spellStart"/>
      <w:r w:rsidRPr="005121EE">
        <w:rPr>
          <w:rFonts w:eastAsia="Calibri"/>
        </w:rPr>
        <w:t>Astin</w:t>
      </w:r>
      <w:proofErr w:type="spellEnd"/>
      <w:r w:rsidRPr="005121EE">
        <w:rPr>
          <w:rFonts w:eastAsia="Calibri"/>
        </w:rPr>
        <w:t xml:space="preserve">, A. W. (1984). Student involvement: A developmental theory for higher education. </w:t>
      </w:r>
      <w:r w:rsidRPr="005121EE">
        <w:rPr>
          <w:rFonts w:eastAsia="Calibri"/>
          <w:i/>
        </w:rPr>
        <w:t>Journal of College Student Development, 25</w:t>
      </w:r>
      <w:r w:rsidRPr="005121EE">
        <w:rPr>
          <w:rFonts w:eastAsia="Calibri"/>
        </w:rPr>
        <w:t>, 297–308.</w:t>
      </w:r>
    </w:p>
    <w:p w14:paraId="700F9CE2" w14:textId="77777777" w:rsidR="00642912" w:rsidRPr="005121EE" w:rsidRDefault="00642912" w:rsidP="00642912">
      <w:pPr>
        <w:spacing w:line="480" w:lineRule="auto"/>
        <w:ind w:left="720" w:hanging="720"/>
        <w:rPr>
          <w:rFonts w:eastAsia="Calibri"/>
        </w:rPr>
      </w:pPr>
      <w:proofErr w:type="spellStart"/>
      <w:r w:rsidRPr="005121EE">
        <w:rPr>
          <w:rFonts w:eastAsia="Calibri"/>
        </w:rPr>
        <w:t>Astin</w:t>
      </w:r>
      <w:proofErr w:type="spellEnd"/>
      <w:r w:rsidRPr="005121EE">
        <w:rPr>
          <w:rFonts w:eastAsia="Calibri"/>
        </w:rPr>
        <w:t>, A. W. (1985). Involvement the cornerstone of excellence. </w:t>
      </w:r>
      <w:r w:rsidRPr="005121EE">
        <w:rPr>
          <w:rFonts w:eastAsia="Calibri"/>
          <w:i/>
          <w:iCs/>
        </w:rPr>
        <w:t>Change: The Magazine of Higher Learning</w:t>
      </w:r>
      <w:r w:rsidRPr="005121EE">
        <w:rPr>
          <w:rFonts w:eastAsia="Calibri"/>
        </w:rPr>
        <w:t>, </w:t>
      </w:r>
      <w:r w:rsidRPr="005121EE">
        <w:rPr>
          <w:rFonts w:eastAsia="Calibri"/>
          <w:i/>
          <w:iCs/>
        </w:rPr>
        <w:t>17</w:t>
      </w:r>
      <w:r w:rsidRPr="005121EE">
        <w:rPr>
          <w:rFonts w:eastAsia="Calibri"/>
        </w:rPr>
        <w:t xml:space="preserve">(4), 35-39. </w:t>
      </w:r>
    </w:p>
    <w:p w14:paraId="2202739A" w14:textId="77777777" w:rsidR="00642912" w:rsidRPr="005121EE" w:rsidRDefault="00642912" w:rsidP="00642912">
      <w:pPr>
        <w:spacing w:line="480" w:lineRule="auto"/>
        <w:ind w:left="720" w:hanging="720"/>
        <w:rPr>
          <w:rFonts w:eastAsia="Calibri"/>
        </w:rPr>
      </w:pPr>
      <w:proofErr w:type="spellStart"/>
      <w:r w:rsidRPr="005121EE">
        <w:rPr>
          <w:rFonts w:eastAsia="Calibri"/>
        </w:rPr>
        <w:t>Astin</w:t>
      </w:r>
      <w:proofErr w:type="spellEnd"/>
      <w:r w:rsidRPr="005121EE">
        <w:rPr>
          <w:rFonts w:eastAsia="Calibri"/>
        </w:rPr>
        <w:t xml:space="preserve">, A. W. (1993). </w:t>
      </w:r>
      <w:r w:rsidRPr="005121EE">
        <w:rPr>
          <w:rFonts w:eastAsia="Calibri"/>
          <w:i/>
        </w:rPr>
        <w:t>What matters in college? Four critical years revisited.</w:t>
      </w:r>
      <w:r w:rsidRPr="005121EE">
        <w:rPr>
          <w:rFonts w:eastAsia="Calibri"/>
        </w:rPr>
        <w:t xml:space="preserve"> San Francisco: </w:t>
      </w:r>
      <w:proofErr w:type="spellStart"/>
      <w:r w:rsidRPr="005121EE">
        <w:rPr>
          <w:rFonts w:eastAsia="Calibri"/>
        </w:rPr>
        <w:t>Jossey</w:t>
      </w:r>
      <w:proofErr w:type="spellEnd"/>
      <w:r w:rsidRPr="005121EE">
        <w:rPr>
          <w:rFonts w:eastAsia="Calibri"/>
        </w:rPr>
        <w:t xml:space="preserve">-Bass.  </w:t>
      </w:r>
    </w:p>
    <w:p w14:paraId="5319AB31" w14:textId="77777777" w:rsidR="00642912" w:rsidRPr="005121EE" w:rsidRDefault="00642912" w:rsidP="00642912">
      <w:pPr>
        <w:spacing w:line="480" w:lineRule="auto"/>
        <w:ind w:left="720" w:hanging="720"/>
        <w:rPr>
          <w:rFonts w:eastAsia="Calibri"/>
        </w:rPr>
      </w:pPr>
      <w:r w:rsidRPr="005121EE">
        <w:rPr>
          <w:rFonts w:eastAsia="Calibri"/>
        </w:rPr>
        <w:t xml:space="preserve">Becker, G. (1964). </w:t>
      </w:r>
      <w:r w:rsidRPr="005121EE">
        <w:rPr>
          <w:rFonts w:eastAsia="Calibri"/>
          <w:i/>
        </w:rPr>
        <w:t>Human capital: A theoretical and empirical analysis with special references to education.</w:t>
      </w:r>
      <w:r w:rsidRPr="005121EE">
        <w:rPr>
          <w:rFonts w:eastAsia="Calibri"/>
        </w:rPr>
        <w:t xml:space="preserve"> New York: Columbia University Press.</w:t>
      </w:r>
    </w:p>
    <w:p w14:paraId="1AC9653F" w14:textId="77777777" w:rsidR="00642912" w:rsidRPr="005121EE" w:rsidRDefault="00642912" w:rsidP="00642912">
      <w:pPr>
        <w:spacing w:line="480" w:lineRule="auto"/>
        <w:ind w:left="720" w:hanging="720"/>
        <w:rPr>
          <w:rFonts w:eastAsia="Calibri"/>
        </w:rPr>
      </w:pPr>
      <w:r w:rsidRPr="005121EE">
        <w:rPr>
          <w:rFonts w:eastAsia="Calibri"/>
        </w:rPr>
        <w:t xml:space="preserve">Bogue, E. G., &amp; Johnson, B. D. (2010). Performance incentives and public college accountability in the United States. </w:t>
      </w:r>
      <w:r w:rsidRPr="005121EE">
        <w:rPr>
          <w:rFonts w:eastAsia="Calibri"/>
          <w:i/>
        </w:rPr>
        <w:t>Higher Education Management and Policy, 22</w:t>
      </w:r>
      <w:r w:rsidRPr="005121EE">
        <w:rPr>
          <w:rFonts w:eastAsia="Calibri"/>
        </w:rPr>
        <w:t xml:space="preserve">(2), 1-22. </w:t>
      </w:r>
    </w:p>
    <w:p w14:paraId="3B3DF1B0" w14:textId="77777777" w:rsidR="00642912" w:rsidRPr="005121EE" w:rsidRDefault="00642912" w:rsidP="00642912">
      <w:pPr>
        <w:spacing w:line="480" w:lineRule="auto"/>
        <w:ind w:left="720" w:hanging="720"/>
        <w:rPr>
          <w:rFonts w:eastAsia="Calibri"/>
        </w:rPr>
      </w:pPr>
      <w:r w:rsidRPr="005121EE">
        <w:rPr>
          <w:rFonts w:eastAsia="Calibri"/>
        </w:rPr>
        <w:t xml:space="preserve">Bogue, E. G., Hall, K. B., </w:t>
      </w:r>
      <w:proofErr w:type="spellStart"/>
      <w:r w:rsidRPr="005121EE">
        <w:rPr>
          <w:rFonts w:eastAsia="Calibri"/>
        </w:rPr>
        <w:t>Skolits</w:t>
      </w:r>
      <w:proofErr w:type="spellEnd"/>
      <w:r w:rsidRPr="005121EE">
        <w:rPr>
          <w:rFonts w:eastAsia="Calibri"/>
        </w:rPr>
        <w:t xml:space="preserve">, G., Les </w:t>
      </w:r>
      <w:proofErr w:type="spellStart"/>
      <w:r w:rsidRPr="005121EE">
        <w:rPr>
          <w:rFonts w:eastAsia="Calibri"/>
        </w:rPr>
        <w:t>Fout</w:t>
      </w:r>
      <w:proofErr w:type="spellEnd"/>
      <w:r w:rsidRPr="005121EE">
        <w:rPr>
          <w:rFonts w:eastAsia="Calibri"/>
        </w:rPr>
        <w:t xml:space="preserve">, M., Cook, M. P., Vaughan, M. E., &amp; Smith, M. A. (2010). CORPORATE, POLITICAL, AND ACADEMIC PERSPECTIVES ON HIGHER EDUCATION ACCOUNTABILITY POLICY. </w:t>
      </w:r>
    </w:p>
    <w:p w14:paraId="526DB192" w14:textId="77777777" w:rsidR="00642912" w:rsidRPr="005121EE" w:rsidRDefault="00642912" w:rsidP="00642912">
      <w:pPr>
        <w:spacing w:line="480" w:lineRule="auto"/>
        <w:ind w:left="720" w:hanging="720"/>
        <w:rPr>
          <w:rFonts w:eastAsia="Calibri"/>
        </w:rPr>
      </w:pPr>
      <w:r w:rsidRPr="005121EE">
        <w:rPr>
          <w:rFonts w:eastAsia="Calibri"/>
        </w:rPr>
        <w:t xml:space="preserve">Bowen, H. (1980). </w:t>
      </w:r>
      <w:r w:rsidRPr="005121EE">
        <w:rPr>
          <w:rFonts w:eastAsia="Calibri"/>
          <w:i/>
        </w:rPr>
        <w:t>The costs of higher education.</w:t>
      </w:r>
      <w:r w:rsidRPr="005121EE">
        <w:rPr>
          <w:rFonts w:eastAsia="Calibri"/>
        </w:rPr>
        <w:t xml:space="preserve"> San Francisco, CA: </w:t>
      </w:r>
      <w:proofErr w:type="spellStart"/>
      <w:r w:rsidRPr="005121EE">
        <w:rPr>
          <w:rFonts w:eastAsia="Calibri"/>
        </w:rPr>
        <w:t>Jossey</w:t>
      </w:r>
      <w:proofErr w:type="spellEnd"/>
      <w:r w:rsidRPr="005121EE">
        <w:rPr>
          <w:rFonts w:eastAsia="Calibri"/>
        </w:rPr>
        <w:t xml:space="preserve">-Bass. </w:t>
      </w:r>
    </w:p>
    <w:p w14:paraId="55421690" w14:textId="77777777" w:rsidR="00642912" w:rsidRPr="005121EE" w:rsidRDefault="00642912" w:rsidP="00642912">
      <w:pPr>
        <w:spacing w:line="480" w:lineRule="auto"/>
        <w:ind w:left="720" w:hanging="720"/>
        <w:rPr>
          <w:rFonts w:eastAsia="Calibri"/>
        </w:rPr>
      </w:pPr>
      <w:r w:rsidRPr="005121EE">
        <w:rPr>
          <w:rFonts w:eastAsia="Calibri"/>
        </w:rPr>
        <w:t xml:space="preserve">Burke, J. C. (2005). Reinventing accountability. In J. C. </w:t>
      </w:r>
      <w:proofErr w:type="gramStart"/>
      <w:r w:rsidRPr="005121EE">
        <w:rPr>
          <w:rFonts w:eastAsia="Calibri"/>
        </w:rPr>
        <w:t>Burke( Ed.</w:t>
      </w:r>
      <w:proofErr w:type="gramEnd"/>
      <w:r w:rsidRPr="005121EE">
        <w:rPr>
          <w:rFonts w:eastAsia="Calibri"/>
        </w:rPr>
        <w:t xml:space="preserve">), </w:t>
      </w:r>
      <w:r w:rsidRPr="005121EE">
        <w:rPr>
          <w:rFonts w:eastAsia="Calibri"/>
          <w:i/>
        </w:rPr>
        <w:t>Achieving accountability in higher education.</w:t>
      </w:r>
      <w:r w:rsidRPr="005121EE">
        <w:rPr>
          <w:rFonts w:eastAsia="Calibri"/>
        </w:rPr>
        <w:t xml:space="preserve">( pp.2 16-245). San Francisco, CA:  </w:t>
      </w:r>
      <w:proofErr w:type="spellStart"/>
      <w:r w:rsidRPr="005121EE">
        <w:rPr>
          <w:rFonts w:eastAsia="Calibri"/>
        </w:rPr>
        <w:t>Jossey</w:t>
      </w:r>
      <w:proofErr w:type="spellEnd"/>
      <w:r w:rsidRPr="005121EE">
        <w:rPr>
          <w:rFonts w:eastAsia="Calibri"/>
        </w:rPr>
        <w:t>-Bass.</w:t>
      </w:r>
    </w:p>
    <w:p w14:paraId="63687B0F" w14:textId="77777777" w:rsidR="00642912" w:rsidRPr="005121EE" w:rsidRDefault="00642912" w:rsidP="00642912">
      <w:pPr>
        <w:spacing w:line="480" w:lineRule="auto"/>
        <w:ind w:left="720" w:hanging="720"/>
        <w:rPr>
          <w:rFonts w:eastAsia="Calibri"/>
        </w:rPr>
      </w:pPr>
      <w:r w:rsidRPr="005121EE">
        <w:rPr>
          <w:rFonts w:eastAsia="Calibri"/>
        </w:rPr>
        <w:t xml:space="preserve">Burke, J. C., &amp; </w:t>
      </w:r>
      <w:proofErr w:type="spellStart"/>
      <w:r w:rsidRPr="005121EE">
        <w:rPr>
          <w:rFonts w:eastAsia="Calibri"/>
        </w:rPr>
        <w:t>Minassians</w:t>
      </w:r>
      <w:proofErr w:type="spellEnd"/>
      <w:r w:rsidRPr="005121EE">
        <w:rPr>
          <w:rFonts w:eastAsia="Calibri"/>
        </w:rPr>
        <w:t xml:space="preserve">, H. P. (2002). The new accountability: From regulation to results. </w:t>
      </w:r>
      <w:r w:rsidRPr="005121EE">
        <w:rPr>
          <w:rFonts w:eastAsia="Calibri"/>
          <w:i/>
          <w:iCs/>
        </w:rPr>
        <w:t>New Directions for Institutional Research</w:t>
      </w:r>
      <w:r w:rsidRPr="005121EE">
        <w:rPr>
          <w:rFonts w:eastAsia="Calibri"/>
        </w:rPr>
        <w:t xml:space="preserve">, </w:t>
      </w:r>
      <w:r w:rsidRPr="005121EE">
        <w:rPr>
          <w:rFonts w:eastAsia="Calibri"/>
          <w:i/>
          <w:iCs/>
        </w:rPr>
        <w:t>2002</w:t>
      </w:r>
      <w:r w:rsidRPr="005121EE">
        <w:rPr>
          <w:rFonts w:eastAsia="Calibri"/>
        </w:rPr>
        <w:t xml:space="preserve">(116), 5-19. </w:t>
      </w:r>
    </w:p>
    <w:p w14:paraId="3A45EC1B" w14:textId="77777777" w:rsidR="00642912" w:rsidRPr="005121EE" w:rsidRDefault="00642912" w:rsidP="00642912">
      <w:pPr>
        <w:spacing w:line="480" w:lineRule="auto"/>
        <w:ind w:left="720" w:hanging="720"/>
        <w:rPr>
          <w:rFonts w:eastAsia="Calibri"/>
        </w:rPr>
      </w:pPr>
      <w:r w:rsidRPr="005121EE">
        <w:rPr>
          <w:rFonts w:eastAsia="Calibri"/>
        </w:rPr>
        <w:lastRenderedPageBreak/>
        <w:t xml:space="preserve">Campbell, C. M. (2015). Serving a Different Master: Assessing College Educational Quality for the Public. In </w:t>
      </w:r>
      <w:r w:rsidRPr="005121EE">
        <w:rPr>
          <w:rFonts w:eastAsia="Calibri"/>
          <w:i/>
        </w:rPr>
        <w:t>Higher Education: Handbook of Theory and Research</w:t>
      </w:r>
      <w:r w:rsidRPr="005121EE">
        <w:rPr>
          <w:rFonts w:eastAsia="Calibri"/>
        </w:rPr>
        <w:t xml:space="preserve"> (pp. 525-579). Springer International Publishing.</w:t>
      </w:r>
      <w:r w:rsidRPr="005121EE">
        <w:rPr>
          <w:rFonts w:eastAsia="Calibri"/>
          <w:b/>
        </w:rPr>
        <w:t xml:space="preserve"> </w:t>
      </w:r>
    </w:p>
    <w:p w14:paraId="277F92BD" w14:textId="77777777" w:rsidR="00642912" w:rsidRPr="005121EE" w:rsidRDefault="00642912" w:rsidP="00642912">
      <w:pPr>
        <w:spacing w:line="480" w:lineRule="auto"/>
        <w:ind w:left="720" w:hanging="720"/>
        <w:rPr>
          <w:rFonts w:eastAsia="Calibri"/>
        </w:rPr>
      </w:pPr>
      <w:r w:rsidRPr="005121EE">
        <w:rPr>
          <w:rFonts w:eastAsia="Calibri"/>
        </w:rPr>
        <w:t xml:space="preserve">Clark, B. R. (1983). The contradictions of change in academic systems [1]. </w:t>
      </w:r>
      <w:r w:rsidRPr="005121EE">
        <w:rPr>
          <w:rFonts w:eastAsia="Calibri"/>
          <w:i/>
        </w:rPr>
        <w:t>Higher Education, 12</w:t>
      </w:r>
      <w:r w:rsidRPr="005121EE">
        <w:rPr>
          <w:rFonts w:eastAsia="Calibri"/>
        </w:rPr>
        <w:t>(1), 101-116.</w:t>
      </w:r>
    </w:p>
    <w:p w14:paraId="642D28B6" w14:textId="77777777" w:rsidR="00642912" w:rsidRPr="005121EE" w:rsidRDefault="00642912" w:rsidP="00642912">
      <w:pPr>
        <w:spacing w:line="480" w:lineRule="auto"/>
        <w:ind w:left="720" w:hanging="720"/>
        <w:rPr>
          <w:rFonts w:eastAsia="Calibri"/>
        </w:rPr>
      </w:pPr>
      <w:r w:rsidRPr="005121EE">
        <w:rPr>
          <w:rFonts w:eastAsia="Calibri"/>
        </w:rPr>
        <w:t>Conger, S. B., Bell, A., &amp; Stanley, J. (2010). Four-State Cost Study. Revised. </w:t>
      </w:r>
      <w:r w:rsidRPr="005121EE">
        <w:rPr>
          <w:rFonts w:eastAsia="Calibri"/>
          <w:i/>
          <w:iCs/>
        </w:rPr>
        <w:t>State Higher Education Executive Officers</w:t>
      </w:r>
      <w:r w:rsidRPr="005121EE">
        <w:rPr>
          <w:rFonts w:eastAsia="Calibri"/>
        </w:rPr>
        <w:t xml:space="preserve">. </w:t>
      </w:r>
    </w:p>
    <w:p w14:paraId="337FB5F8" w14:textId="77777777" w:rsidR="00642912" w:rsidRPr="005121EE" w:rsidRDefault="00642912" w:rsidP="00642912">
      <w:pPr>
        <w:spacing w:line="480" w:lineRule="auto"/>
        <w:ind w:left="720" w:hanging="720"/>
        <w:rPr>
          <w:rFonts w:eastAsia="Calibri"/>
        </w:rPr>
      </w:pPr>
      <w:r w:rsidRPr="005121EE">
        <w:rPr>
          <w:rFonts w:eastAsia="Calibri"/>
        </w:rPr>
        <w:t xml:space="preserve">Department of Education, National Center for Education Statistics. (2015). </w:t>
      </w:r>
      <w:r w:rsidRPr="005121EE">
        <w:rPr>
          <w:rFonts w:eastAsia="Calibri"/>
          <w:i/>
        </w:rPr>
        <w:t>About IPEDS</w:t>
      </w:r>
      <w:r w:rsidRPr="005121EE">
        <w:rPr>
          <w:rFonts w:eastAsia="Calibri"/>
        </w:rPr>
        <w:t xml:space="preserve">. Retrieved from http://nces.ed.gov/ipeds/about/. </w:t>
      </w:r>
    </w:p>
    <w:p w14:paraId="4574BB7E" w14:textId="77777777" w:rsidR="00642912" w:rsidRPr="005121EE" w:rsidRDefault="00642912" w:rsidP="00642912">
      <w:pPr>
        <w:spacing w:line="480" w:lineRule="auto"/>
        <w:ind w:left="720" w:hanging="720"/>
        <w:rPr>
          <w:rFonts w:eastAsia="Calibri"/>
        </w:rPr>
      </w:pPr>
      <w:r w:rsidRPr="005121EE">
        <w:rPr>
          <w:rFonts w:eastAsia="Calibri"/>
        </w:rPr>
        <w:t xml:space="preserve">Dougherty, K. J., Jones, S. M., </w:t>
      </w:r>
      <w:proofErr w:type="spellStart"/>
      <w:r w:rsidRPr="005121EE">
        <w:rPr>
          <w:rFonts w:eastAsia="Calibri"/>
        </w:rPr>
        <w:t>Natow</w:t>
      </w:r>
      <w:proofErr w:type="spellEnd"/>
      <w:r w:rsidRPr="005121EE">
        <w:rPr>
          <w:rFonts w:eastAsia="Calibri"/>
        </w:rPr>
        <w:t xml:space="preserve">, R. S., Lahr, H. E., </w:t>
      </w:r>
      <w:proofErr w:type="spellStart"/>
      <w:r w:rsidRPr="005121EE">
        <w:rPr>
          <w:rFonts w:eastAsia="Calibri"/>
        </w:rPr>
        <w:t>Pheatt</w:t>
      </w:r>
      <w:proofErr w:type="spellEnd"/>
      <w:r w:rsidRPr="005121EE">
        <w:rPr>
          <w:rFonts w:eastAsia="Calibri"/>
        </w:rPr>
        <w:t xml:space="preserve">, L. E., &amp; Reddy, V. T. (2014). Envisioning performance funding impacts: The espoused theories of action for state higher education performance funding in three states. </w:t>
      </w:r>
    </w:p>
    <w:p w14:paraId="2A49A6CB" w14:textId="77777777" w:rsidR="00642912" w:rsidRPr="005121EE" w:rsidRDefault="00642912" w:rsidP="00642912">
      <w:pPr>
        <w:spacing w:line="480" w:lineRule="auto"/>
        <w:ind w:left="720" w:hanging="720"/>
        <w:rPr>
          <w:rFonts w:eastAsia="Calibri"/>
        </w:rPr>
      </w:pPr>
      <w:r w:rsidRPr="005121EE">
        <w:rPr>
          <w:rFonts w:eastAsia="Calibri"/>
        </w:rPr>
        <w:t xml:space="preserve">Dumont, Richard G. 1980. “Performance Funding and Power Relations in Higher Education.” </w:t>
      </w:r>
      <w:r w:rsidRPr="005121EE">
        <w:rPr>
          <w:rFonts w:eastAsia="Calibri"/>
          <w:i/>
          <w:iCs/>
        </w:rPr>
        <w:t xml:space="preserve">The Journal of Higher Education </w:t>
      </w:r>
      <w:r w:rsidRPr="005121EE">
        <w:rPr>
          <w:rFonts w:eastAsia="Calibri"/>
        </w:rPr>
        <w:t>51 (4): 400-423.</w:t>
      </w:r>
      <w:r w:rsidRPr="005121EE">
        <w:rPr>
          <w:rFonts w:eastAsia="Calibri"/>
          <w:b/>
        </w:rPr>
        <w:t xml:space="preserve"> </w:t>
      </w:r>
    </w:p>
    <w:p w14:paraId="6690814D" w14:textId="77777777" w:rsidR="00642912" w:rsidRPr="005121EE" w:rsidRDefault="00642912" w:rsidP="00642912">
      <w:pPr>
        <w:spacing w:line="480" w:lineRule="auto"/>
        <w:ind w:left="720" w:hanging="720"/>
        <w:rPr>
          <w:rFonts w:eastAsia="Calibri"/>
        </w:rPr>
      </w:pPr>
      <w:r w:rsidRPr="005121EE">
        <w:rPr>
          <w:rFonts w:eastAsia="Calibri"/>
        </w:rPr>
        <w:t xml:space="preserve">Ehrenberg, R. G. (2005). Method or madness? Inside the US News &amp; World Report college rankings. </w:t>
      </w:r>
    </w:p>
    <w:p w14:paraId="50BD52B8" w14:textId="77777777" w:rsidR="00642912" w:rsidRDefault="00642912" w:rsidP="00642912">
      <w:pPr>
        <w:spacing w:line="480" w:lineRule="auto"/>
        <w:ind w:left="720" w:hanging="720"/>
        <w:rPr>
          <w:rFonts w:eastAsia="Calibri"/>
        </w:rPr>
      </w:pPr>
      <w:r w:rsidRPr="00C13741">
        <w:rPr>
          <w:rFonts w:eastAsia="Calibri"/>
        </w:rPr>
        <w:t>Ethington, C. A. (1997). A hierarchical linear modeling approach to studying college effects. </w:t>
      </w:r>
      <w:r w:rsidRPr="00C13741">
        <w:rPr>
          <w:rFonts w:eastAsia="Calibri"/>
          <w:i/>
          <w:iCs/>
        </w:rPr>
        <w:t>Higher Education-New York-</w:t>
      </w:r>
      <w:proofErr w:type="spellStart"/>
      <w:r w:rsidRPr="00C13741">
        <w:rPr>
          <w:rFonts w:eastAsia="Calibri"/>
          <w:i/>
          <w:iCs/>
        </w:rPr>
        <w:t>Agathon</w:t>
      </w:r>
      <w:proofErr w:type="spellEnd"/>
      <w:r w:rsidRPr="00C13741">
        <w:rPr>
          <w:rFonts w:eastAsia="Calibri"/>
          <w:i/>
          <w:iCs/>
        </w:rPr>
        <w:t xml:space="preserve"> Press Incorporated-</w:t>
      </w:r>
      <w:r w:rsidRPr="00C13741">
        <w:rPr>
          <w:rFonts w:eastAsia="Calibri"/>
        </w:rPr>
        <w:t>, </w:t>
      </w:r>
      <w:r w:rsidRPr="00C13741">
        <w:rPr>
          <w:rFonts w:eastAsia="Calibri"/>
          <w:i/>
          <w:iCs/>
        </w:rPr>
        <w:t>12</w:t>
      </w:r>
      <w:r w:rsidRPr="00C13741">
        <w:rPr>
          <w:rFonts w:eastAsia="Calibri"/>
        </w:rPr>
        <w:t>, 165-194.</w:t>
      </w:r>
    </w:p>
    <w:p w14:paraId="0A1B3E54" w14:textId="77777777" w:rsidR="00642912" w:rsidRPr="005121EE" w:rsidRDefault="00642912" w:rsidP="00642912">
      <w:pPr>
        <w:spacing w:line="480" w:lineRule="auto"/>
        <w:ind w:left="720" w:hanging="720"/>
        <w:rPr>
          <w:rFonts w:eastAsia="Calibri"/>
        </w:rPr>
      </w:pPr>
      <w:proofErr w:type="spellStart"/>
      <w:r w:rsidRPr="005121EE">
        <w:rPr>
          <w:rFonts w:eastAsia="Calibri"/>
        </w:rPr>
        <w:t>Ewell</w:t>
      </w:r>
      <w:proofErr w:type="spellEnd"/>
      <w:r w:rsidRPr="005121EE">
        <w:rPr>
          <w:rFonts w:eastAsia="Calibri"/>
        </w:rPr>
        <w:t>, P. T., &amp; Jones, D. P. (2006). State</w:t>
      </w:r>
      <w:r w:rsidRPr="005121EE">
        <w:rPr>
          <w:rFonts w:ascii="Cambria Math" w:eastAsia="Calibri" w:hAnsi="Cambria Math" w:cs="Cambria Math"/>
        </w:rPr>
        <w:t>‐</w:t>
      </w:r>
      <w:r w:rsidRPr="005121EE">
        <w:rPr>
          <w:rFonts w:eastAsia="Calibri"/>
        </w:rPr>
        <w:t xml:space="preserve">level accountability for higher education: On the edge of a transformation. </w:t>
      </w:r>
      <w:r w:rsidRPr="005121EE">
        <w:rPr>
          <w:rFonts w:eastAsia="Calibri"/>
          <w:i/>
          <w:iCs/>
        </w:rPr>
        <w:t>New Directions for Higher Education</w:t>
      </w:r>
      <w:r w:rsidRPr="005121EE">
        <w:rPr>
          <w:rFonts w:eastAsia="Calibri"/>
        </w:rPr>
        <w:t xml:space="preserve">, </w:t>
      </w:r>
      <w:r w:rsidRPr="005121EE">
        <w:rPr>
          <w:rFonts w:eastAsia="Calibri"/>
          <w:i/>
          <w:iCs/>
        </w:rPr>
        <w:t>2006</w:t>
      </w:r>
      <w:r w:rsidRPr="005121EE">
        <w:rPr>
          <w:rFonts w:eastAsia="Calibri"/>
        </w:rPr>
        <w:t xml:space="preserve">(135), 9-16. </w:t>
      </w:r>
    </w:p>
    <w:p w14:paraId="5232DC0E" w14:textId="77777777" w:rsidR="00642912" w:rsidRPr="005121EE" w:rsidRDefault="00642912" w:rsidP="00642912">
      <w:pPr>
        <w:spacing w:line="480" w:lineRule="auto"/>
        <w:ind w:left="720" w:hanging="720"/>
        <w:rPr>
          <w:rFonts w:eastAsia="Calibri"/>
        </w:rPr>
      </w:pPr>
      <w:proofErr w:type="spellStart"/>
      <w:r w:rsidRPr="005121EE">
        <w:rPr>
          <w:rFonts w:eastAsia="Calibri"/>
        </w:rPr>
        <w:lastRenderedPageBreak/>
        <w:t>Fombrun</w:t>
      </w:r>
      <w:proofErr w:type="spellEnd"/>
      <w:r w:rsidRPr="005121EE">
        <w:rPr>
          <w:rFonts w:eastAsia="Calibri"/>
        </w:rPr>
        <w:t xml:space="preserve">, C. J. (1996). </w:t>
      </w:r>
      <w:r w:rsidRPr="005121EE">
        <w:rPr>
          <w:rFonts w:eastAsia="Calibri"/>
          <w:i/>
        </w:rPr>
        <w:t>Reputation: Realizing Value from the Corporate Image</w:t>
      </w:r>
      <w:r w:rsidRPr="005121EE">
        <w:rPr>
          <w:rFonts w:eastAsia="Calibri"/>
        </w:rPr>
        <w:t>. Boston: Harvard Business School Press.</w:t>
      </w:r>
    </w:p>
    <w:p w14:paraId="0430E021" w14:textId="77777777" w:rsidR="00642912" w:rsidRPr="005121EE" w:rsidRDefault="00642912" w:rsidP="00642912">
      <w:pPr>
        <w:spacing w:line="480" w:lineRule="auto"/>
        <w:ind w:left="720" w:hanging="720"/>
        <w:rPr>
          <w:rFonts w:eastAsia="Calibri"/>
        </w:rPr>
      </w:pPr>
      <w:r w:rsidRPr="005121EE">
        <w:rPr>
          <w:rFonts w:eastAsia="Calibri"/>
        </w:rPr>
        <w:t xml:space="preserve">Freeman, R. (1976). The over-educated American. Orlando, FL: Academic Press. </w:t>
      </w:r>
    </w:p>
    <w:p w14:paraId="6212F9B3" w14:textId="77777777" w:rsidR="00642912" w:rsidRPr="005121EE" w:rsidRDefault="00642912" w:rsidP="00642912">
      <w:pPr>
        <w:spacing w:line="480" w:lineRule="auto"/>
        <w:ind w:left="720" w:hanging="720"/>
        <w:rPr>
          <w:rFonts w:eastAsia="Calibri"/>
        </w:rPr>
      </w:pPr>
      <w:r w:rsidRPr="005121EE">
        <w:rPr>
          <w:rFonts w:eastAsia="Calibri"/>
        </w:rPr>
        <w:t xml:space="preserve">Fuller, C. (2011). </w:t>
      </w:r>
      <w:r w:rsidRPr="005121EE">
        <w:rPr>
          <w:rFonts w:eastAsia="Calibri"/>
          <w:i/>
        </w:rPr>
        <w:t>The History and Origins of Survey Items for the Integrated Postsecondary Education Data System</w:t>
      </w:r>
      <w:r w:rsidRPr="005121EE">
        <w:rPr>
          <w:rFonts w:eastAsia="Calibri"/>
        </w:rPr>
        <w:t>, (NPEC 2012-833). U.S. Department of Education. Washington, DC: National Postsecondary Education Cooperative. Retrieved [date] from http://nces.ed.gov/pubsearch</w:t>
      </w:r>
    </w:p>
    <w:p w14:paraId="0D022C36" w14:textId="77777777" w:rsidR="00642912" w:rsidRPr="005121EE" w:rsidRDefault="00642912" w:rsidP="00642912">
      <w:pPr>
        <w:spacing w:line="480" w:lineRule="auto"/>
        <w:ind w:left="720" w:hanging="720"/>
        <w:rPr>
          <w:rFonts w:eastAsia="Calibri"/>
        </w:rPr>
      </w:pPr>
      <w:proofErr w:type="spellStart"/>
      <w:r w:rsidRPr="005121EE">
        <w:rPr>
          <w:rFonts w:eastAsia="Calibri"/>
        </w:rPr>
        <w:t>Gansemer-Topf</w:t>
      </w:r>
      <w:proofErr w:type="spellEnd"/>
      <w:r w:rsidRPr="005121EE">
        <w:rPr>
          <w:rFonts w:eastAsia="Calibri"/>
        </w:rPr>
        <w:t xml:space="preserve">, A. M., and </w:t>
      </w:r>
      <w:proofErr w:type="spellStart"/>
      <w:r w:rsidRPr="005121EE">
        <w:rPr>
          <w:rFonts w:eastAsia="Calibri"/>
        </w:rPr>
        <w:t>Schuh</w:t>
      </w:r>
      <w:proofErr w:type="spellEnd"/>
      <w:r w:rsidRPr="005121EE">
        <w:rPr>
          <w:rFonts w:eastAsia="Calibri"/>
        </w:rPr>
        <w:t xml:space="preserve">, J. H. (2006). Institutional selectivity and institutional expenditures: Examining organizational factors that contribute to retention and graduation. </w:t>
      </w:r>
      <w:r w:rsidRPr="005121EE">
        <w:rPr>
          <w:rFonts w:eastAsia="Calibri"/>
          <w:i/>
        </w:rPr>
        <w:t>Research in Higher Education, 47</w:t>
      </w:r>
      <w:r w:rsidRPr="005121EE">
        <w:rPr>
          <w:rFonts w:eastAsia="Calibri"/>
        </w:rPr>
        <w:t xml:space="preserve">, 614–641. </w:t>
      </w:r>
    </w:p>
    <w:p w14:paraId="2766C17A" w14:textId="77777777" w:rsidR="00642912" w:rsidRPr="005121EE" w:rsidRDefault="00642912" w:rsidP="00642912">
      <w:pPr>
        <w:spacing w:line="480" w:lineRule="auto"/>
        <w:ind w:left="720" w:hanging="720"/>
        <w:rPr>
          <w:rFonts w:eastAsia="Calibri"/>
        </w:rPr>
      </w:pPr>
      <w:proofErr w:type="spellStart"/>
      <w:r w:rsidRPr="005121EE">
        <w:rPr>
          <w:rFonts w:eastAsia="Calibri"/>
        </w:rPr>
        <w:t>Gnolek</w:t>
      </w:r>
      <w:proofErr w:type="spellEnd"/>
      <w:r w:rsidRPr="005121EE">
        <w:rPr>
          <w:rFonts w:eastAsia="Calibri"/>
        </w:rPr>
        <w:t xml:space="preserve">, S. L., </w:t>
      </w:r>
      <w:proofErr w:type="spellStart"/>
      <w:r w:rsidRPr="005121EE">
        <w:rPr>
          <w:rFonts w:eastAsia="Calibri"/>
        </w:rPr>
        <w:t>Falciano</w:t>
      </w:r>
      <w:proofErr w:type="spellEnd"/>
      <w:r w:rsidRPr="005121EE">
        <w:rPr>
          <w:rFonts w:eastAsia="Calibri"/>
        </w:rPr>
        <w:t xml:space="preserve">, V. T., &amp; </w:t>
      </w:r>
      <w:proofErr w:type="spellStart"/>
      <w:r w:rsidRPr="005121EE">
        <w:rPr>
          <w:rFonts w:eastAsia="Calibri"/>
        </w:rPr>
        <w:t>Kuncl</w:t>
      </w:r>
      <w:proofErr w:type="spellEnd"/>
      <w:r w:rsidRPr="005121EE">
        <w:rPr>
          <w:rFonts w:eastAsia="Calibri"/>
        </w:rPr>
        <w:t xml:space="preserve">, R. W. (2014). Modeling Change and Variation in US News &amp; World Report College Rankings: What would it really take to be in the Top </w:t>
      </w:r>
      <w:proofErr w:type="gramStart"/>
      <w:r w:rsidRPr="005121EE">
        <w:rPr>
          <w:rFonts w:eastAsia="Calibri"/>
        </w:rPr>
        <w:t>20?.</w:t>
      </w:r>
      <w:proofErr w:type="gramEnd"/>
      <w:r w:rsidRPr="005121EE">
        <w:rPr>
          <w:rFonts w:eastAsia="Calibri"/>
        </w:rPr>
        <w:t xml:space="preserve"> </w:t>
      </w:r>
      <w:r w:rsidRPr="005121EE">
        <w:rPr>
          <w:rFonts w:eastAsia="Calibri"/>
          <w:i/>
        </w:rPr>
        <w:t>Research in Higher Education, 55</w:t>
      </w:r>
      <w:r w:rsidRPr="005121EE">
        <w:rPr>
          <w:rFonts w:eastAsia="Calibri"/>
        </w:rPr>
        <w:t xml:space="preserve">(8), 761-779. </w:t>
      </w:r>
    </w:p>
    <w:p w14:paraId="2C191F17" w14:textId="77777777" w:rsidR="00642912" w:rsidRPr="005121EE" w:rsidRDefault="00642912" w:rsidP="00642912">
      <w:pPr>
        <w:spacing w:line="480" w:lineRule="auto"/>
        <w:ind w:left="720" w:hanging="720"/>
        <w:rPr>
          <w:rFonts w:eastAsia="Calibri"/>
        </w:rPr>
      </w:pPr>
      <w:r w:rsidRPr="005121EE">
        <w:rPr>
          <w:rFonts w:eastAsia="Calibri"/>
        </w:rPr>
        <w:t xml:space="preserve">Gross, J. P., </w:t>
      </w:r>
      <w:proofErr w:type="spellStart"/>
      <w:r w:rsidRPr="005121EE">
        <w:rPr>
          <w:rFonts w:eastAsia="Calibri"/>
        </w:rPr>
        <w:t>Cekic</w:t>
      </w:r>
      <w:proofErr w:type="spellEnd"/>
      <w:r w:rsidRPr="005121EE">
        <w:rPr>
          <w:rFonts w:eastAsia="Calibri"/>
        </w:rPr>
        <w:t xml:space="preserve">, O., </w:t>
      </w:r>
      <w:proofErr w:type="spellStart"/>
      <w:r w:rsidRPr="005121EE">
        <w:rPr>
          <w:rFonts w:eastAsia="Calibri"/>
        </w:rPr>
        <w:t>Hossler</w:t>
      </w:r>
      <w:proofErr w:type="spellEnd"/>
      <w:r w:rsidRPr="005121EE">
        <w:rPr>
          <w:rFonts w:eastAsia="Calibri"/>
        </w:rPr>
        <w:t xml:space="preserve">, D., and Hillman, N. (2009). What Matters in Student Loan Default: A Review of the Research </w:t>
      </w:r>
      <w:proofErr w:type="gramStart"/>
      <w:r w:rsidRPr="005121EE">
        <w:rPr>
          <w:rFonts w:eastAsia="Calibri"/>
        </w:rPr>
        <w:t>Literature.</w:t>
      </w:r>
      <w:proofErr w:type="gramEnd"/>
      <w:r w:rsidRPr="005121EE">
        <w:rPr>
          <w:rFonts w:eastAsia="Calibri"/>
        </w:rPr>
        <w:t xml:space="preserve"> </w:t>
      </w:r>
      <w:r w:rsidRPr="005121EE">
        <w:rPr>
          <w:rFonts w:eastAsia="Calibri"/>
          <w:i/>
        </w:rPr>
        <w:t>Journal of Student Financial Aid, 39(1)</w:t>
      </w:r>
      <w:r w:rsidRPr="005121EE">
        <w:rPr>
          <w:rFonts w:eastAsia="Calibri"/>
        </w:rPr>
        <w:t xml:space="preserve">, 19-29. </w:t>
      </w:r>
    </w:p>
    <w:p w14:paraId="5ACA90EB" w14:textId="77777777" w:rsidR="00642912" w:rsidRPr="005121EE" w:rsidRDefault="00642912" w:rsidP="00642912">
      <w:pPr>
        <w:spacing w:line="480" w:lineRule="auto"/>
        <w:ind w:left="720" w:hanging="720"/>
        <w:rPr>
          <w:rFonts w:eastAsia="Calibri"/>
        </w:rPr>
      </w:pPr>
      <w:proofErr w:type="spellStart"/>
      <w:r w:rsidRPr="005121EE">
        <w:rPr>
          <w:rFonts w:eastAsia="Calibri"/>
        </w:rPr>
        <w:t>Harnisch</w:t>
      </w:r>
      <w:proofErr w:type="spellEnd"/>
      <w:r w:rsidRPr="005121EE">
        <w:rPr>
          <w:rFonts w:eastAsia="Calibri"/>
        </w:rPr>
        <w:t xml:space="preserve">, T. L. (2011). Performance-based funding: A re-emerging strategy in public higher education financing. </w:t>
      </w:r>
      <w:r w:rsidRPr="005121EE">
        <w:rPr>
          <w:rFonts w:eastAsia="Calibri"/>
          <w:i/>
          <w:iCs/>
        </w:rPr>
        <w:t>Washington, DC: American Association of State Colleges and Universities</w:t>
      </w:r>
      <w:r w:rsidRPr="005121EE">
        <w:rPr>
          <w:rFonts w:eastAsia="Calibri"/>
        </w:rPr>
        <w:t xml:space="preserve">. </w:t>
      </w:r>
    </w:p>
    <w:p w14:paraId="28265FDD" w14:textId="77777777" w:rsidR="00642912" w:rsidRPr="005121EE" w:rsidRDefault="00642912" w:rsidP="00642912">
      <w:pPr>
        <w:spacing w:line="480" w:lineRule="auto"/>
        <w:ind w:left="720" w:hanging="720"/>
        <w:rPr>
          <w:rFonts w:eastAsia="Calibri"/>
        </w:rPr>
      </w:pPr>
      <w:r w:rsidRPr="005121EE">
        <w:rPr>
          <w:rFonts w:eastAsia="Calibri"/>
        </w:rPr>
        <w:t>Hayek, J. C. (2001). </w:t>
      </w:r>
      <w:r w:rsidRPr="005121EE">
        <w:rPr>
          <w:rFonts w:eastAsia="Calibri"/>
          <w:i/>
          <w:iCs/>
        </w:rPr>
        <w:t>A student-centered approach for identifying high-performance colleges and universities</w:t>
      </w:r>
      <w:r w:rsidRPr="005121EE">
        <w:rPr>
          <w:rFonts w:eastAsia="Calibri"/>
        </w:rPr>
        <w:t xml:space="preserve">. </w:t>
      </w:r>
    </w:p>
    <w:p w14:paraId="6338689D" w14:textId="77777777" w:rsidR="00642912" w:rsidRPr="005121EE" w:rsidRDefault="00642912" w:rsidP="00642912">
      <w:pPr>
        <w:spacing w:line="480" w:lineRule="auto"/>
        <w:ind w:left="720" w:hanging="720"/>
        <w:rPr>
          <w:rFonts w:eastAsia="Calibri"/>
        </w:rPr>
      </w:pPr>
      <w:r w:rsidRPr="005121EE">
        <w:rPr>
          <w:rFonts w:eastAsia="Calibri"/>
        </w:rPr>
        <w:lastRenderedPageBreak/>
        <w:t xml:space="preserve">Horn, A. S. (2014). </w:t>
      </w:r>
      <w:r w:rsidRPr="005121EE">
        <w:rPr>
          <w:rFonts w:eastAsia="Calibri"/>
          <w:i/>
        </w:rPr>
        <w:t>Measuring the Efficiency of Postsecondary Institutions: A Regression-based Approach to Adjusting for Differences in Cost Structures.</w:t>
      </w:r>
      <w:r w:rsidRPr="005121EE">
        <w:rPr>
          <w:rFonts w:eastAsia="Calibri"/>
        </w:rPr>
        <w:t xml:space="preserve"> </w:t>
      </w:r>
    </w:p>
    <w:p w14:paraId="06124C3F" w14:textId="77777777" w:rsidR="00642912" w:rsidRPr="005121EE" w:rsidRDefault="00642912" w:rsidP="00642912">
      <w:pPr>
        <w:spacing w:line="480" w:lineRule="auto"/>
        <w:ind w:left="720" w:hanging="720"/>
        <w:rPr>
          <w:rFonts w:eastAsia="Calibri"/>
        </w:rPr>
      </w:pPr>
      <w:r w:rsidRPr="005121EE">
        <w:rPr>
          <w:rFonts w:eastAsia="Calibri"/>
        </w:rPr>
        <w:t>Huck, S. W., Cormier, W. H., &amp; Bounds, W. G. (1974). </w:t>
      </w:r>
      <w:r w:rsidRPr="005121EE">
        <w:rPr>
          <w:rFonts w:eastAsia="Calibri"/>
          <w:i/>
          <w:iCs/>
        </w:rPr>
        <w:t>Reading statistics and research</w:t>
      </w:r>
      <w:r w:rsidRPr="005121EE">
        <w:rPr>
          <w:rFonts w:eastAsia="Calibri"/>
        </w:rPr>
        <w:t> (pp. 69-71). New York: Harper &amp; Row.</w:t>
      </w:r>
    </w:p>
    <w:p w14:paraId="0703AE02" w14:textId="77777777" w:rsidR="00642912" w:rsidRDefault="00642912" w:rsidP="00642912">
      <w:pPr>
        <w:spacing w:line="480" w:lineRule="auto"/>
        <w:ind w:left="720" w:hanging="720"/>
        <w:rPr>
          <w:rFonts w:eastAsia="Calibri"/>
        </w:rPr>
      </w:pPr>
      <w:r w:rsidRPr="0023360A">
        <w:rPr>
          <w:rFonts w:eastAsia="Calibri"/>
        </w:rPr>
        <w:t xml:space="preserve">Kahn, J. H., &amp; </w:t>
      </w:r>
      <w:proofErr w:type="spellStart"/>
      <w:r w:rsidRPr="0023360A">
        <w:rPr>
          <w:rFonts w:eastAsia="Calibri"/>
        </w:rPr>
        <w:t>Nauta</w:t>
      </w:r>
      <w:proofErr w:type="spellEnd"/>
      <w:r w:rsidRPr="0023360A">
        <w:rPr>
          <w:rFonts w:eastAsia="Calibri"/>
        </w:rPr>
        <w:t>, M. M. (2001). Social-cognitive predictors of first-year college persistence: The importance of proximal assessment. </w:t>
      </w:r>
      <w:r w:rsidRPr="0023360A">
        <w:rPr>
          <w:rFonts w:eastAsia="Calibri"/>
          <w:i/>
          <w:iCs/>
        </w:rPr>
        <w:t>Research in higher education</w:t>
      </w:r>
      <w:r w:rsidRPr="0023360A">
        <w:rPr>
          <w:rFonts w:eastAsia="Calibri"/>
        </w:rPr>
        <w:t>, </w:t>
      </w:r>
      <w:r w:rsidRPr="0023360A">
        <w:rPr>
          <w:rFonts w:eastAsia="Calibri"/>
          <w:i/>
          <w:iCs/>
        </w:rPr>
        <w:t>42</w:t>
      </w:r>
      <w:r w:rsidRPr="0023360A">
        <w:rPr>
          <w:rFonts w:eastAsia="Calibri"/>
        </w:rPr>
        <w:t>(6), 633-652.</w:t>
      </w:r>
    </w:p>
    <w:p w14:paraId="33374125" w14:textId="77777777" w:rsidR="00642912" w:rsidRPr="005121EE" w:rsidRDefault="00642912" w:rsidP="00642912">
      <w:pPr>
        <w:spacing w:line="480" w:lineRule="auto"/>
        <w:ind w:left="720" w:hanging="720"/>
        <w:rPr>
          <w:rFonts w:eastAsia="Calibri"/>
        </w:rPr>
      </w:pPr>
      <w:r w:rsidRPr="005121EE">
        <w:rPr>
          <w:rFonts w:eastAsia="Calibri"/>
        </w:rPr>
        <w:t>Kazin, M., Edwards, R., &amp; Rothman, A. (Eds.). (2009). </w:t>
      </w:r>
      <w:r w:rsidRPr="005121EE">
        <w:rPr>
          <w:rFonts w:eastAsia="Calibri"/>
          <w:i/>
          <w:iCs/>
        </w:rPr>
        <w:t xml:space="preserve">The Princeton Encyclopedia of American Political </w:t>
      </w:r>
      <w:proofErr w:type="gramStart"/>
      <w:r w:rsidRPr="005121EE">
        <w:rPr>
          <w:rFonts w:eastAsia="Calibri"/>
          <w:i/>
          <w:iCs/>
        </w:rPr>
        <w:t>History.(</w:t>
      </w:r>
      <w:proofErr w:type="gramEnd"/>
      <w:r w:rsidRPr="005121EE">
        <w:rPr>
          <w:rFonts w:eastAsia="Calibri"/>
          <w:i/>
          <w:iCs/>
        </w:rPr>
        <w:t>Two Volume Set)</w:t>
      </w:r>
      <w:r w:rsidRPr="005121EE">
        <w:rPr>
          <w:rFonts w:eastAsia="Calibri"/>
        </w:rPr>
        <w:t>. Princeton University Press.</w:t>
      </w:r>
    </w:p>
    <w:p w14:paraId="69CAE7AE" w14:textId="77777777" w:rsidR="00642912" w:rsidRPr="005121EE" w:rsidRDefault="00642912" w:rsidP="00642912">
      <w:pPr>
        <w:spacing w:line="480" w:lineRule="auto"/>
        <w:ind w:left="720" w:hanging="720"/>
        <w:rPr>
          <w:rFonts w:eastAsia="Calibri"/>
        </w:rPr>
      </w:pPr>
      <w:proofErr w:type="spellStart"/>
      <w:r w:rsidRPr="005121EE">
        <w:rPr>
          <w:rFonts w:eastAsia="Calibri"/>
        </w:rPr>
        <w:t>Kuh</w:t>
      </w:r>
      <w:proofErr w:type="spellEnd"/>
      <w:r w:rsidRPr="005121EE">
        <w:rPr>
          <w:rFonts w:eastAsia="Calibri"/>
        </w:rPr>
        <w:t xml:space="preserve">, G. D. (2001). The National Survey of Student Engagement: Conceptual framework and overview of psychometric properties. </w:t>
      </w:r>
      <w:r w:rsidRPr="005121EE">
        <w:rPr>
          <w:rFonts w:eastAsia="Calibri"/>
          <w:i/>
        </w:rPr>
        <w:t>Bloomington, IN: Indiana University Center for Postsecondary Research</w:t>
      </w:r>
      <w:r w:rsidRPr="005121EE">
        <w:rPr>
          <w:rFonts w:eastAsia="Calibri"/>
        </w:rPr>
        <w:t>, 1-26.</w:t>
      </w:r>
    </w:p>
    <w:p w14:paraId="2826E3BE" w14:textId="77777777" w:rsidR="00642912" w:rsidRPr="005121EE" w:rsidRDefault="00642912" w:rsidP="00642912">
      <w:pPr>
        <w:spacing w:line="480" w:lineRule="auto"/>
        <w:ind w:left="720" w:hanging="720"/>
        <w:rPr>
          <w:rFonts w:eastAsia="Calibri"/>
        </w:rPr>
      </w:pPr>
      <w:proofErr w:type="spellStart"/>
      <w:r w:rsidRPr="005121EE">
        <w:rPr>
          <w:rFonts w:eastAsia="Calibri"/>
        </w:rPr>
        <w:t>Kuh</w:t>
      </w:r>
      <w:proofErr w:type="spellEnd"/>
      <w:r w:rsidRPr="005121EE">
        <w:rPr>
          <w:rFonts w:eastAsia="Calibri"/>
        </w:rPr>
        <w:t xml:space="preserve">, G. D. (2003). What we’re learning about student engagement from NSSE. </w:t>
      </w:r>
      <w:r w:rsidRPr="005121EE">
        <w:rPr>
          <w:rFonts w:eastAsia="Calibri"/>
          <w:i/>
        </w:rPr>
        <w:t>Change, 35</w:t>
      </w:r>
      <w:r w:rsidRPr="005121EE">
        <w:rPr>
          <w:rFonts w:eastAsia="Calibri"/>
        </w:rPr>
        <w:t xml:space="preserve">(2), 4–32. </w:t>
      </w:r>
    </w:p>
    <w:p w14:paraId="76FBA837" w14:textId="77777777" w:rsidR="00642912" w:rsidRPr="005121EE" w:rsidRDefault="00642912" w:rsidP="00642912">
      <w:pPr>
        <w:spacing w:line="480" w:lineRule="auto"/>
        <w:ind w:left="720" w:hanging="720"/>
        <w:rPr>
          <w:rFonts w:eastAsia="Calibri"/>
        </w:rPr>
      </w:pPr>
      <w:proofErr w:type="spellStart"/>
      <w:r w:rsidRPr="005121EE">
        <w:rPr>
          <w:rFonts w:eastAsia="Calibri"/>
        </w:rPr>
        <w:t>Kuh</w:t>
      </w:r>
      <w:proofErr w:type="spellEnd"/>
      <w:r w:rsidRPr="005121EE">
        <w:rPr>
          <w:rFonts w:eastAsia="Calibri"/>
        </w:rPr>
        <w:t xml:space="preserve">, G. D., </w:t>
      </w:r>
      <w:proofErr w:type="spellStart"/>
      <w:r w:rsidRPr="005121EE">
        <w:rPr>
          <w:rFonts w:eastAsia="Calibri"/>
        </w:rPr>
        <w:t>Kinzie</w:t>
      </w:r>
      <w:proofErr w:type="spellEnd"/>
      <w:r w:rsidRPr="005121EE">
        <w:rPr>
          <w:rFonts w:eastAsia="Calibri"/>
        </w:rPr>
        <w:t xml:space="preserve">, J., </w:t>
      </w:r>
      <w:proofErr w:type="spellStart"/>
      <w:r w:rsidRPr="005121EE">
        <w:rPr>
          <w:rFonts w:eastAsia="Calibri"/>
        </w:rPr>
        <w:t>Cruce</w:t>
      </w:r>
      <w:proofErr w:type="spellEnd"/>
      <w:r w:rsidRPr="005121EE">
        <w:rPr>
          <w:rFonts w:eastAsia="Calibri"/>
        </w:rPr>
        <w:t xml:space="preserve">, T., </w:t>
      </w:r>
      <w:proofErr w:type="spellStart"/>
      <w:r w:rsidRPr="005121EE">
        <w:rPr>
          <w:rFonts w:eastAsia="Calibri"/>
        </w:rPr>
        <w:t>Shoup</w:t>
      </w:r>
      <w:proofErr w:type="spellEnd"/>
      <w:r w:rsidRPr="005121EE">
        <w:rPr>
          <w:rFonts w:eastAsia="Calibri"/>
        </w:rPr>
        <w:t xml:space="preserve">, R., and </w:t>
      </w:r>
      <w:proofErr w:type="spellStart"/>
      <w:r w:rsidRPr="005121EE">
        <w:rPr>
          <w:rFonts w:eastAsia="Calibri"/>
        </w:rPr>
        <w:t>Gonyea</w:t>
      </w:r>
      <w:proofErr w:type="spellEnd"/>
      <w:r w:rsidRPr="005121EE">
        <w:rPr>
          <w:rFonts w:eastAsia="Calibri"/>
        </w:rPr>
        <w:t xml:space="preserve">, R. M. (2007). </w:t>
      </w:r>
      <w:r w:rsidRPr="005121EE">
        <w:rPr>
          <w:rFonts w:eastAsia="Calibri"/>
          <w:i/>
        </w:rPr>
        <w:t xml:space="preserve">Connecting the dots: Multifaceted analyses of the relationships between student engagement results from the NSSE, and the institutional practices and conditions that foster student success. </w:t>
      </w:r>
      <w:r w:rsidRPr="005121EE">
        <w:rPr>
          <w:rFonts w:eastAsia="Calibri"/>
        </w:rPr>
        <w:t xml:space="preserve">Final report prepared for Lumina Foundation for Education. Bloomington, IN: Center for Postsecondary Research. </w:t>
      </w:r>
    </w:p>
    <w:p w14:paraId="2F714F07" w14:textId="77777777" w:rsidR="00642912" w:rsidRPr="005121EE" w:rsidRDefault="00642912" w:rsidP="00642912">
      <w:pPr>
        <w:spacing w:line="480" w:lineRule="auto"/>
        <w:ind w:left="720" w:hanging="720"/>
        <w:rPr>
          <w:rFonts w:eastAsia="Calibri"/>
        </w:rPr>
      </w:pPr>
      <w:proofErr w:type="spellStart"/>
      <w:r w:rsidRPr="005121EE">
        <w:rPr>
          <w:rFonts w:eastAsia="Calibri"/>
        </w:rPr>
        <w:t>Litten</w:t>
      </w:r>
      <w:proofErr w:type="spellEnd"/>
      <w:r w:rsidRPr="005121EE">
        <w:rPr>
          <w:rFonts w:eastAsia="Calibri"/>
        </w:rPr>
        <w:t xml:space="preserve">, L. (1986). Perspectives on pricing. In D. </w:t>
      </w:r>
      <w:proofErr w:type="spellStart"/>
      <w:r w:rsidRPr="005121EE">
        <w:rPr>
          <w:rFonts w:eastAsia="Calibri"/>
        </w:rPr>
        <w:t>Hossler</w:t>
      </w:r>
      <w:proofErr w:type="spellEnd"/>
      <w:r w:rsidRPr="005121EE">
        <w:rPr>
          <w:rFonts w:eastAsia="Calibri"/>
        </w:rPr>
        <w:t xml:space="preserve"> (ed.), </w:t>
      </w:r>
      <w:r w:rsidRPr="005121EE">
        <w:rPr>
          <w:rFonts w:eastAsia="Calibri"/>
          <w:i/>
        </w:rPr>
        <w:t>New Directions for Higher Education: No. 53. Managing College Enrollments.</w:t>
      </w:r>
      <w:r w:rsidRPr="005121EE">
        <w:rPr>
          <w:rFonts w:eastAsia="Calibri"/>
        </w:rPr>
        <w:t xml:space="preserve"> San Francisco: </w:t>
      </w:r>
      <w:proofErr w:type="spellStart"/>
      <w:r w:rsidRPr="005121EE">
        <w:rPr>
          <w:rFonts w:eastAsia="Calibri"/>
        </w:rPr>
        <w:t>Jossey</w:t>
      </w:r>
      <w:proofErr w:type="spellEnd"/>
      <w:r w:rsidRPr="005121EE">
        <w:rPr>
          <w:rFonts w:eastAsia="Calibri"/>
        </w:rPr>
        <w:t xml:space="preserve"> Bass. </w:t>
      </w:r>
    </w:p>
    <w:p w14:paraId="28F17B90" w14:textId="77777777" w:rsidR="00642912" w:rsidRPr="005121EE" w:rsidRDefault="00642912" w:rsidP="00642912">
      <w:pPr>
        <w:spacing w:line="480" w:lineRule="auto"/>
        <w:ind w:left="720" w:hanging="720"/>
        <w:rPr>
          <w:rFonts w:eastAsia="Calibri"/>
        </w:rPr>
      </w:pPr>
      <w:r w:rsidRPr="005121EE">
        <w:rPr>
          <w:rFonts w:eastAsia="Calibri"/>
        </w:rPr>
        <w:lastRenderedPageBreak/>
        <w:t xml:space="preserve">Manski, C. F., and Wise, D. A. (1983). </w:t>
      </w:r>
      <w:r w:rsidRPr="005121EE">
        <w:rPr>
          <w:rFonts w:eastAsia="Calibri"/>
          <w:i/>
        </w:rPr>
        <w:t>College choice in America.</w:t>
      </w:r>
      <w:r w:rsidRPr="005121EE">
        <w:rPr>
          <w:rFonts w:eastAsia="Calibri"/>
        </w:rPr>
        <w:t xml:space="preserve"> Cambridge, MA: Harvard University Press.</w:t>
      </w:r>
    </w:p>
    <w:p w14:paraId="531E09BF" w14:textId="77777777" w:rsidR="00642912" w:rsidRPr="005121EE" w:rsidRDefault="00642912" w:rsidP="00642912">
      <w:pPr>
        <w:spacing w:line="480" w:lineRule="auto"/>
        <w:ind w:left="720" w:hanging="720"/>
        <w:rPr>
          <w:rFonts w:eastAsia="Calibri"/>
        </w:rPr>
      </w:pPr>
      <w:r w:rsidRPr="005121EE">
        <w:rPr>
          <w:rFonts w:eastAsia="Calibri"/>
        </w:rPr>
        <w:t xml:space="preserve">McDonough, P. M., Antonio, A. L., and </w:t>
      </w:r>
      <w:proofErr w:type="spellStart"/>
      <w:r w:rsidRPr="005121EE">
        <w:rPr>
          <w:rFonts w:eastAsia="Calibri"/>
        </w:rPr>
        <w:t>Horvat</w:t>
      </w:r>
      <w:proofErr w:type="spellEnd"/>
      <w:r w:rsidRPr="005121EE">
        <w:rPr>
          <w:rFonts w:eastAsia="Calibri"/>
        </w:rPr>
        <w:t xml:space="preserve">, E. M. (1996, August). </w:t>
      </w:r>
      <w:r w:rsidRPr="005121EE">
        <w:rPr>
          <w:rFonts w:eastAsia="Calibri"/>
          <w:i/>
        </w:rPr>
        <w:t xml:space="preserve">College choice as capital conversion and investment: A new model. </w:t>
      </w:r>
      <w:r w:rsidRPr="005121EE">
        <w:rPr>
          <w:rFonts w:eastAsia="Calibri"/>
        </w:rPr>
        <w:t>Paper presented at the meeting of the American Sociological Association, New York.</w:t>
      </w:r>
    </w:p>
    <w:p w14:paraId="4268B456" w14:textId="77777777" w:rsidR="00642912" w:rsidRPr="005121EE" w:rsidRDefault="00642912" w:rsidP="00642912">
      <w:pPr>
        <w:spacing w:line="480" w:lineRule="auto"/>
        <w:ind w:left="720" w:hanging="720"/>
        <w:rPr>
          <w:rFonts w:eastAsia="Calibri"/>
        </w:rPr>
      </w:pPr>
      <w:proofErr w:type="spellStart"/>
      <w:r w:rsidRPr="005121EE">
        <w:rPr>
          <w:rFonts w:eastAsia="Calibri"/>
        </w:rPr>
        <w:t>McLendon</w:t>
      </w:r>
      <w:proofErr w:type="spellEnd"/>
      <w:r w:rsidRPr="005121EE">
        <w:rPr>
          <w:rFonts w:eastAsia="Calibri"/>
        </w:rPr>
        <w:t xml:space="preserve">, M. K., Hearn, J. C., &amp; Deaton, R. (2006). Called to account: Analyzing the origins and spread of state performance-accountability policies for higher education. </w:t>
      </w:r>
      <w:r w:rsidRPr="005121EE">
        <w:rPr>
          <w:rFonts w:eastAsia="Calibri"/>
          <w:i/>
          <w:iCs/>
        </w:rPr>
        <w:t>Educational Evaluation and Policy Analysis</w:t>
      </w:r>
      <w:r w:rsidRPr="005121EE">
        <w:rPr>
          <w:rFonts w:eastAsia="Calibri"/>
        </w:rPr>
        <w:t xml:space="preserve">, </w:t>
      </w:r>
      <w:r w:rsidRPr="005121EE">
        <w:rPr>
          <w:rFonts w:eastAsia="Calibri"/>
          <w:i/>
          <w:iCs/>
        </w:rPr>
        <w:t>28</w:t>
      </w:r>
      <w:r w:rsidRPr="005121EE">
        <w:rPr>
          <w:rFonts w:eastAsia="Calibri"/>
        </w:rPr>
        <w:t xml:space="preserve">(1), 1-24. </w:t>
      </w:r>
    </w:p>
    <w:p w14:paraId="45DB19D0" w14:textId="77777777" w:rsidR="00642912" w:rsidRPr="005121EE" w:rsidRDefault="00642912" w:rsidP="00642912">
      <w:pPr>
        <w:spacing w:line="480" w:lineRule="auto"/>
        <w:ind w:left="720" w:hanging="720"/>
        <w:rPr>
          <w:rFonts w:eastAsia="Calibri"/>
        </w:rPr>
      </w:pPr>
      <w:proofErr w:type="spellStart"/>
      <w:r w:rsidRPr="005121EE">
        <w:rPr>
          <w:rFonts w:eastAsia="Calibri"/>
        </w:rPr>
        <w:t>McMillion</w:t>
      </w:r>
      <w:proofErr w:type="spellEnd"/>
      <w:r w:rsidRPr="005121EE">
        <w:rPr>
          <w:rFonts w:eastAsia="Calibri"/>
        </w:rPr>
        <w:t>, R. (2004). Student Loan Default Literature Review. </w:t>
      </w:r>
      <w:r w:rsidRPr="005121EE">
        <w:rPr>
          <w:rFonts w:eastAsia="Calibri"/>
          <w:i/>
          <w:iCs/>
        </w:rPr>
        <w:t>TG (Texas Guaranteed Student Loan Corporation)</w:t>
      </w:r>
      <w:r w:rsidRPr="005121EE">
        <w:rPr>
          <w:rFonts w:eastAsia="Calibri"/>
        </w:rPr>
        <w:t xml:space="preserve">. </w:t>
      </w:r>
    </w:p>
    <w:p w14:paraId="017A20D9" w14:textId="77777777" w:rsidR="00642912" w:rsidRPr="005121EE" w:rsidRDefault="00642912" w:rsidP="00642912">
      <w:pPr>
        <w:spacing w:line="480" w:lineRule="auto"/>
        <w:ind w:left="720" w:hanging="720"/>
        <w:rPr>
          <w:rFonts w:eastAsia="Calibri"/>
        </w:rPr>
      </w:pPr>
      <w:r w:rsidRPr="005121EE">
        <w:rPr>
          <w:rFonts w:eastAsia="Calibri"/>
        </w:rPr>
        <w:t xml:space="preserve">Miao, K. (2012). Performance-Based Funding of Higher Education: A Detailed Look at Best Practices in 6 States. </w:t>
      </w:r>
      <w:r w:rsidRPr="005121EE">
        <w:rPr>
          <w:rFonts w:eastAsia="Calibri"/>
          <w:i/>
          <w:iCs/>
        </w:rPr>
        <w:t>Center for American Progress</w:t>
      </w:r>
      <w:r w:rsidRPr="005121EE">
        <w:rPr>
          <w:rFonts w:eastAsia="Calibri"/>
        </w:rPr>
        <w:t>.</w:t>
      </w:r>
    </w:p>
    <w:p w14:paraId="454AE7F8" w14:textId="77777777" w:rsidR="00642912" w:rsidRDefault="00642912" w:rsidP="00642912">
      <w:pPr>
        <w:spacing w:line="480" w:lineRule="auto"/>
        <w:ind w:left="720" w:hanging="720"/>
        <w:rPr>
          <w:rFonts w:eastAsia="Calibri"/>
        </w:rPr>
      </w:pPr>
      <w:r w:rsidRPr="00865F3D">
        <w:rPr>
          <w:rFonts w:eastAsia="Calibri"/>
        </w:rPr>
        <w:t>National Center for Education Statistics. (</w:t>
      </w:r>
      <w:r>
        <w:rPr>
          <w:rFonts w:eastAsia="Calibri"/>
        </w:rPr>
        <w:t>2016</w:t>
      </w:r>
      <w:r w:rsidRPr="00865F3D">
        <w:rPr>
          <w:rFonts w:eastAsia="Calibri"/>
        </w:rPr>
        <w:t xml:space="preserve">). </w:t>
      </w:r>
      <w:proofErr w:type="gramStart"/>
      <w:r w:rsidRPr="000A7EEF">
        <w:rPr>
          <w:rFonts w:eastAsia="Calibri"/>
          <w:i/>
          <w:iCs/>
        </w:rPr>
        <w:t>IPEDS :Integrated</w:t>
      </w:r>
      <w:proofErr w:type="gramEnd"/>
      <w:r w:rsidRPr="000A7EEF">
        <w:rPr>
          <w:rFonts w:eastAsia="Calibri"/>
          <w:i/>
          <w:iCs/>
        </w:rPr>
        <w:t xml:space="preserve"> Postsecondary Education Data System : four- and two-year institutions</w:t>
      </w:r>
      <w:r w:rsidRPr="000A7EEF">
        <w:rPr>
          <w:rFonts w:eastAsia="Calibri"/>
        </w:rPr>
        <w:t>[Washington, D.C.?] : [National Center for Education Statistics]</w:t>
      </w:r>
    </w:p>
    <w:p w14:paraId="65B1E557" w14:textId="77777777" w:rsidR="00642912" w:rsidRPr="005121EE" w:rsidRDefault="00642912" w:rsidP="00642912">
      <w:pPr>
        <w:spacing w:line="480" w:lineRule="auto"/>
        <w:ind w:left="720" w:hanging="720"/>
        <w:rPr>
          <w:rFonts w:eastAsia="Calibri"/>
        </w:rPr>
      </w:pPr>
      <w:proofErr w:type="spellStart"/>
      <w:r w:rsidRPr="005121EE">
        <w:rPr>
          <w:rFonts w:eastAsia="Calibri"/>
        </w:rPr>
        <w:t>Pascarella</w:t>
      </w:r>
      <w:proofErr w:type="spellEnd"/>
      <w:r w:rsidRPr="005121EE">
        <w:rPr>
          <w:rFonts w:eastAsia="Calibri"/>
        </w:rPr>
        <w:t xml:space="preserve">, E. T., and </w:t>
      </w:r>
      <w:proofErr w:type="spellStart"/>
      <w:r w:rsidRPr="005121EE">
        <w:rPr>
          <w:rFonts w:eastAsia="Calibri"/>
        </w:rPr>
        <w:t>Terenzini</w:t>
      </w:r>
      <w:proofErr w:type="spellEnd"/>
      <w:r w:rsidRPr="005121EE">
        <w:rPr>
          <w:rFonts w:eastAsia="Calibri"/>
        </w:rPr>
        <w:t xml:space="preserve">, P. T. (1991). </w:t>
      </w:r>
      <w:r w:rsidRPr="005121EE">
        <w:rPr>
          <w:rFonts w:eastAsia="Calibri"/>
          <w:i/>
        </w:rPr>
        <w:t>How college affects students: Findings and insights from twenty years of research.</w:t>
      </w:r>
      <w:r w:rsidRPr="005121EE">
        <w:rPr>
          <w:rFonts w:eastAsia="Calibri"/>
        </w:rPr>
        <w:t xml:space="preserve"> San Francisco: </w:t>
      </w:r>
      <w:proofErr w:type="spellStart"/>
      <w:r w:rsidRPr="005121EE">
        <w:rPr>
          <w:rFonts w:eastAsia="Calibri"/>
        </w:rPr>
        <w:t>Jossey</w:t>
      </w:r>
      <w:proofErr w:type="spellEnd"/>
      <w:r w:rsidRPr="005121EE">
        <w:rPr>
          <w:rFonts w:eastAsia="Calibri"/>
        </w:rPr>
        <w:t>-Bass.</w:t>
      </w:r>
    </w:p>
    <w:p w14:paraId="74B83483" w14:textId="77777777" w:rsidR="00642912" w:rsidRPr="005121EE" w:rsidRDefault="00642912" w:rsidP="00642912">
      <w:pPr>
        <w:spacing w:line="480" w:lineRule="auto"/>
        <w:ind w:left="720" w:hanging="720"/>
        <w:rPr>
          <w:rFonts w:eastAsia="Calibri"/>
        </w:rPr>
      </w:pPr>
      <w:proofErr w:type="spellStart"/>
      <w:r w:rsidRPr="005121EE">
        <w:rPr>
          <w:rFonts w:eastAsia="Calibri"/>
        </w:rPr>
        <w:t>Pascarella</w:t>
      </w:r>
      <w:proofErr w:type="spellEnd"/>
      <w:r w:rsidRPr="005121EE">
        <w:rPr>
          <w:rFonts w:eastAsia="Calibri"/>
        </w:rPr>
        <w:t xml:space="preserve">, E. T., and </w:t>
      </w:r>
      <w:proofErr w:type="spellStart"/>
      <w:r w:rsidRPr="005121EE">
        <w:rPr>
          <w:rFonts w:eastAsia="Calibri"/>
        </w:rPr>
        <w:t>Terenzini</w:t>
      </w:r>
      <w:proofErr w:type="spellEnd"/>
      <w:r w:rsidRPr="005121EE">
        <w:rPr>
          <w:rFonts w:eastAsia="Calibri"/>
        </w:rPr>
        <w:t xml:space="preserve">, P. T. (2005). </w:t>
      </w:r>
      <w:r w:rsidRPr="005121EE">
        <w:rPr>
          <w:rFonts w:eastAsia="Calibri"/>
          <w:i/>
        </w:rPr>
        <w:t>How college affects students: A third decade of research (Vol. 2).</w:t>
      </w:r>
      <w:r w:rsidRPr="005121EE">
        <w:rPr>
          <w:rFonts w:eastAsia="Calibri"/>
        </w:rPr>
        <w:t xml:space="preserve"> San Francisco: </w:t>
      </w:r>
      <w:proofErr w:type="spellStart"/>
      <w:r w:rsidRPr="005121EE">
        <w:rPr>
          <w:rFonts w:eastAsia="Calibri"/>
        </w:rPr>
        <w:t>Jossey</w:t>
      </w:r>
      <w:proofErr w:type="spellEnd"/>
      <w:r w:rsidRPr="005121EE">
        <w:rPr>
          <w:rFonts w:eastAsia="Calibri"/>
        </w:rPr>
        <w:t xml:space="preserve">-Bass. </w:t>
      </w:r>
    </w:p>
    <w:p w14:paraId="59C373BC" w14:textId="77777777" w:rsidR="00642912" w:rsidRDefault="00642912" w:rsidP="00642912">
      <w:pPr>
        <w:spacing w:line="480" w:lineRule="auto"/>
        <w:ind w:left="720" w:hanging="720"/>
        <w:rPr>
          <w:rFonts w:eastAsia="Calibri"/>
        </w:rPr>
      </w:pPr>
      <w:proofErr w:type="spellStart"/>
      <w:r w:rsidRPr="00671A0D">
        <w:rPr>
          <w:rFonts w:eastAsia="Calibri"/>
        </w:rPr>
        <w:t>Perna</w:t>
      </w:r>
      <w:proofErr w:type="spellEnd"/>
      <w:r w:rsidRPr="00671A0D">
        <w:rPr>
          <w:rFonts w:eastAsia="Calibri"/>
        </w:rPr>
        <w:t>, L. W., &amp; Titus, M. A. (2005). The relationship between parental involvement as social capital and college enrollment: An examination of racial/ethnic group differences. </w:t>
      </w:r>
      <w:r w:rsidRPr="00671A0D">
        <w:rPr>
          <w:rFonts w:eastAsia="Calibri"/>
          <w:i/>
          <w:iCs/>
        </w:rPr>
        <w:t>Journal of Higher Education</w:t>
      </w:r>
      <w:r w:rsidRPr="00671A0D">
        <w:rPr>
          <w:rFonts w:eastAsia="Calibri"/>
        </w:rPr>
        <w:t>, 485-518.</w:t>
      </w:r>
    </w:p>
    <w:p w14:paraId="3A3BCDBC" w14:textId="77777777" w:rsidR="00642912" w:rsidRPr="005121EE" w:rsidRDefault="00642912" w:rsidP="00642912">
      <w:pPr>
        <w:spacing w:line="480" w:lineRule="auto"/>
        <w:ind w:left="720" w:hanging="720"/>
        <w:rPr>
          <w:rFonts w:eastAsia="Calibri"/>
        </w:rPr>
      </w:pPr>
      <w:r w:rsidRPr="005121EE">
        <w:rPr>
          <w:rFonts w:eastAsia="Calibri"/>
        </w:rPr>
        <w:lastRenderedPageBreak/>
        <w:t>Pfeffer, J. (1982). </w:t>
      </w:r>
      <w:r w:rsidRPr="005121EE">
        <w:rPr>
          <w:rFonts w:eastAsia="Calibri"/>
          <w:i/>
          <w:iCs/>
        </w:rPr>
        <w:t>Organizations and organization theory</w:t>
      </w:r>
      <w:r w:rsidRPr="005121EE">
        <w:rPr>
          <w:rFonts w:eastAsia="Calibri"/>
        </w:rPr>
        <w:t xml:space="preserve"> (p. 9426272256). Boston, MA: Pitman. </w:t>
      </w:r>
    </w:p>
    <w:p w14:paraId="2350885B" w14:textId="77777777" w:rsidR="00642912" w:rsidRPr="005121EE" w:rsidRDefault="00642912" w:rsidP="00642912">
      <w:pPr>
        <w:spacing w:line="480" w:lineRule="auto"/>
        <w:ind w:left="720" w:hanging="720"/>
        <w:rPr>
          <w:rFonts w:eastAsia="Calibri"/>
        </w:rPr>
      </w:pPr>
      <w:r w:rsidRPr="005121EE">
        <w:rPr>
          <w:rFonts w:eastAsia="Calibri"/>
        </w:rPr>
        <w:t xml:space="preserve">Pike, G. R., </w:t>
      </w:r>
      <w:proofErr w:type="spellStart"/>
      <w:r w:rsidRPr="005121EE">
        <w:rPr>
          <w:rFonts w:eastAsia="Calibri"/>
        </w:rPr>
        <w:t>Kuh</w:t>
      </w:r>
      <w:proofErr w:type="spellEnd"/>
      <w:r w:rsidRPr="005121EE">
        <w:rPr>
          <w:rFonts w:eastAsia="Calibri"/>
        </w:rPr>
        <w:t xml:space="preserve">, G. D., McCormick, A. C., Ethington, C. A., and Smart, J. C. (2011). If and when money matters: The relationships among educational expenditures, student engagement and students’ learning outcomes. </w:t>
      </w:r>
      <w:r w:rsidRPr="005121EE">
        <w:rPr>
          <w:rFonts w:eastAsia="Calibri"/>
          <w:i/>
        </w:rPr>
        <w:t>Research in Higher Education, 52</w:t>
      </w:r>
      <w:r w:rsidRPr="005121EE">
        <w:rPr>
          <w:rFonts w:eastAsia="Calibri"/>
        </w:rPr>
        <w:t>(1), 81-106.</w:t>
      </w:r>
    </w:p>
    <w:p w14:paraId="638BC37A" w14:textId="77777777" w:rsidR="00642912" w:rsidRPr="005121EE" w:rsidRDefault="00642912" w:rsidP="00642912">
      <w:pPr>
        <w:spacing w:line="480" w:lineRule="auto"/>
        <w:ind w:left="720" w:hanging="720"/>
        <w:rPr>
          <w:rFonts w:eastAsia="Calibri"/>
        </w:rPr>
      </w:pPr>
      <w:r w:rsidRPr="005121EE">
        <w:rPr>
          <w:rFonts w:eastAsia="Calibri"/>
        </w:rPr>
        <w:t xml:space="preserve">Powell, B. A., </w:t>
      </w:r>
      <w:proofErr w:type="spellStart"/>
      <w:r w:rsidRPr="005121EE">
        <w:rPr>
          <w:rFonts w:eastAsia="Calibri"/>
        </w:rPr>
        <w:t>Gilleland</w:t>
      </w:r>
      <w:proofErr w:type="spellEnd"/>
      <w:r w:rsidRPr="005121EE">
        <w:rPr>
          <w:rFonts w:eastAsia="Calibri"/>
        </w:rPr>
        <w:t xml:space="preserve">, D. S., and Pearson, L. C. (2012). Expenditures, efficiency, and effectiveness in US undergraduate higher education: A national benchmark model. </w:t>
      </w:r>
      <w:r w:rsidRPr="005121EE">
        <w:rPr>
          <w:rFonts w:eastAsia="Calibri"/>
          <w:i/>
        </w:rPr>
        <w:t>The Journal of Higher Education, 83</w:t>
      </w:r>
      <w:r w:rsidRPr="005121EE">
        <w:rPr>
          <w:rFonts w:eastAsia="Calibri"/>
        </w:rPr>
        <w:t>(1), 102-127.</w:t>
      </w:r>
    </w:p>
    <w:p w14:paraId="03D716E9" w14:textId="77777777" w:rsidR="00642912" w:rsidRPr="005121EE" w:rsidRDefault="00642912" w:rsidP="00642912">
      <w:pPr>
        <w:spacing w:line="480" w:lineRule="auto"/>
        <w:ind w:left="720" w:hanging="720"/>
        <w:rPr>
          <w:rFonts w:eastAsia="Calibri"/>
        </w:rPr>
      </w:pPr>
      <w:proofErr w:type="spellStart"/>
      <w:r w:rsidRPr="005121EE">
        <w:rPr>
          <w:rFonts w:eastAsia="Calibri"/>
        </w:rPr>
        <w:t>Rabovsky</w:t>
      </w:r>
      <w:proofErr w:type="spellEnd"/>
      <w:r w:rsidRPr="005121EE">
        <w:rPr>
          <w:rFonts w:eastAsia="Calibri"/>
        </w:rPr>
        <w:t xml:space="preserve">, T. M. (2012). Accountability in higher education: Exploring impacts on state budgets and institutional spending patterns. </w:t>
      </w:r>
      <w:r w:rsidRPr="005121EE">
        <w:rPr>
          <w:rFonts w:eastAsia="Calibri"/>
          <w:i/>
          <w:iCs/>
        </w:rPr>
        <w:t>Journal of Public Administration Research and Theory</w:t>
      </w:r>
      <w:r w:rsidRPr="005121EE">
        <w:rPr>
          <w:rFonts w:eastAsia="Calibri"/>
        </w:rPr>
        <w:t xml:space="preserve">, </w:t>
      </w:r>
      <w:r w:rsidRPr="005121EE">
        <w:rPr>
          <w:rFonts w:eastAsia="Calibri"/>
          <w:i/>
          <w:iCs/>
        </w:rPr>
        <w:t>22</w:t>
      </w:r>
      <w:r w:rsidRPr="005121EE">
        <w:rPr>
          <w:rFonts w:eastAsia="Calibri"/>
        </w:rPr>
        <w:t xml:space="preserve">(4), 675-700.  </w:t>
      </w:r>
    </w:p>
    <w:p w14:paraId="6D969839" w14:textId="77777777" w:rsidR="00642912" w:rsidRDefault="00642912" w:rsidP="00642912">
      <w:pPr>
        <w:spacing w:line="480" w:lineRule="auto"/>
        <w:ind w:left="720" w:hanging="720"/>
        <w:rPr>
          <w:rFonts w:eastAsia="Calibri"/>
        </w:rPr>
      </w:pPr>
      <w:r w:rsidRPr="00067044">
        <w:rPr>
          <w:rFonts w:eastAsia="Calibri"/>
        </w:rPr>
        <w:t xml:space="preserve">Raudenbush, S. W., &amp; </w:t>
      </w:r>
      <w:proofErr w:type="spellStart"/>
      <w:r w:rsidRPr="00067044">
        <w:rPr>
          <w:rFonts w:eastAsia="Calibri"/>
        </w:rPr>
        <w:t>Bryk</w:t>
      </w:r>
      <w:proofErr w:type="spellEnd"/>
      <w:r w:rsidRPr="00067044">
        <w:rPr>
          <w:rFonts w:eastAsia="Calibri"/>
        </w:rPr>
        <w:t>, A. S. (2002). </w:t>
      </w:r>
      <w:r w:rsidRPr="00067044">
        <w:rPr>
          <w:rFonts w:eastAsia="Calibri"/>
          <w:i/>
          <w:iCs/>
        </w:rPr>
        <w:t>Hierarchical linear models: Applications and data analysis methods</w:t>
      </w:r>
      <w:r w:rsidRPr="00067044">
        <w:rPr>
          <w:rFonts w:eastAsia="Calibri"/>
        </w:rPr>
        <w:t> (Vol. 1). Sage.</w:t>
      </w:r>
    </w:p>
    <w:p w14:paraId="455AA9A9" w14:textId="77777777" w:rsidR="00642912" w:rsidRPr="005121EE" w:rsidRDefault="00642912" w:rsidP="00642912">
      <w:pPr>
        <w:spacing w:line="480" w:lineRule="auto"/>
        <w:ind w:left="720" w:hanging="720"/>
        <w:rPr>
          <w:rFonts w:eastAsia="Calibri"/>
        </w:rPr>
      </w:pPr>
      <w:r w:rsidRPr="005121EE">
        <w:rPr>
          <w:rFonts w:eastAsia="Calibri"/>
        </w:rPr>
        <w:t xml:space="preserve">Rock, D. A., Baird, L. L., and Linn, R. L. (1972). Interaction between college effects and students' aptitudes. </w:t>
      </w:r>
      <w:r w:rsidRPr="005121EE">
        <w:rPr>
          <w:rFonts w:eastAsia="Calibri"/>
          <w:i/>
        </w:rPr>
        <w:t>American Educational Research Journal</w:t>
      </w:r>
      <w:r w:rsidRPr="005121EE">
        <w:rPr>
          <w:rFonts w:eastAsia="Calibri"/>
        </w:rPr>
        <w:t xml:space="preserve">, 149-161. </w:t>
      </w:r>
    </w:p>
    <w:p w14:paraId="422B820D" w14:textId="77777777" w:rsidR="00642912" w:rsidRPr="005121EE" w:rsidRDefault="00642912" w:rsidP="00642912">
      <w:pPr>
        <w:spacing w:line="480" w:lineRule="auto"/>
        <w:ind w:left="720" w:hanging="720"/>
        <w:rPr>
          <w:rFonts w:eastAsia="Calibri"/>
        </w:rPr>
      </w:pPr>
      <w:r w:rsidRPr="005121EE">
        <w:rPr>
          <w:rFonts w:eastAsia="Calibri"/>
        </w:rPr>
        <w:t xml:space="preserve">Rutherford, A., &amp; </w:t>
      </w:r>
      <w:proofErr w:type="spellStart"/>
      <w:r w:rsidRPr="005121EE">
        <w:rPr>
          <w:rFonts w:eastAsia="Calibri"/>
        </w:rPr>
        <w:t>Rabovsky</w:t>
      </w:r>
      <w:proofErr w:type="spellEnd"/>
      <w:r w:rsidRPr="005121EE">
        <w:rPr>
          <w:rFonts w:eastAsia="Calibri"/>
        </w:rPr>
        <w:t xml:space="preserve">, T. (2014). Evaluating impacts of performance funding policies on student outcomes in higher education. </w:t>
      </w:r>
      <w:r w:rsidRPr="005121EE">
        <w:rPr>
          <w:rFonts w:eastAsia="Calibri"/>
          <w:i/>
        </w:rPr>
        <w:t>The ANNALS of the American Academy of Political and Social Science, 655</w:t>
      </w:r>
      <w:r w:rsidRPr="005121EE">
        <w:rPr>
          <w:rFonts w:eastAsia="Calibri"/>
        </w:rPr>
        <w:t xml:space="preserve">(1), 185-208. </w:t>
      </w:r>
    </w:p>
    <w:p w14:paraId="1A28F568" w14:textId="77777777" w:rsidR="00642912" w:rsidRPr="005121EE" w:rsidRDefault="00642912" w:rsidP="00642912">
      <w:pPr>
        <w:spacing w:line="480" w:lineRule="auto"/>
        <w:ind w:left="720" w:hanging="720"/>
        <w:rPr>
          <w:rFonts w:eastAsia="Calibri"/>
        </w:rPr>
      </w:pPr>
      <w:r w:rsidRPr="005121EE">
        <w:rPr>
          <w:rFonts w:eastAsia="Calibri"/>
        </w:rPr>
        <w:t xml:space="preserve">Ryan, J. F. (2004). The relationship between institutional expenditures and degree attainment at baccalaureate colleges. </w:t>
      </w:r>
      <w:r w:rsidRPr="005121EE">
        <w:rPr>
          <w:rFonts w:eastAsia="Calibri"/>
          <w:i/>
        </w:rPr>
        <w:t>Research in Higher Education, 45</w:t>
      </w:r>
      <w:r w:rsidRPr="005121EE">
        <w:rPr>
          <w:rFonts w:eastAsia="Calibri"/>
        </w:rPr>
        <w:t xml:space="preserve">, 97–114. </w:t>
      </w:r>
    </w:p>
    <w:p w14:paraId="305B519A" w14:textId="77777777" w:rsidR="00642912" w:rsidRPr="005121EE" w:rsidRDefault="00642912" w:rsidP="00642912">
      <w:pPr>
        <w:spacing w:line="480" w:lineRule="auto"/>
        <w:ind w:left="720" w:hanging="720"/>
        <w:rPr>
          <w:rFonts w:eastAsia="Calibri"/>
        </w:rPr>
      </w:pPr>
      <w:r w:rsidRPr="005121EE">
        <w:rPr>
          <w:rFonts w:eastAsia="Calibri"/>
        </w:rPr>
        <w:lastRenderedPageBreak/>
        <w:t xml:space="preserve">Smart, J. C., Ethington, C. A., Riggs, R. O., and Thompson, M. D. (2002). Influence of institutional expenditure patterns on the development of students’ leadership competencies. </w:t>
      </w:r>
      <w:r w:rsidRPr="005121EE">
        <w:rPr>
          <w:rFonts w:eastAsia="Calibri"/>
          <w:i/>
        </w:rPr>
        <w:t>Research in Higher Education, 43</w:t>
      </w:r>
      <w:r w:rsidRPr="005121EE">
        <w:rPr>
          <w:rFonts w:eastAsia="Calibri"/>
        </w:rPr>
        <w:t xml:space="preserve">, 115–132. </w:t>
      </w:r>
    </w:p>
    <w:p w14:paraId="3A564AFA" w14:textId="77777777" w:rsidR="00642912" w:rsidRPr="005121EE" w:rsidRDefault="00642912" w:rsidP="00642912">
      <w:pPr>
        <w:spacing w:line="480" w:lineRule="auto"/>
        <w:ind w:left="720" w:hanging="720"/>
        <w:rPr>
          <w:rFonts w:eastAsia="Calibri"/>
        </w:rPr>
      </w:pPr>
      <w:r w:rsidRPr="005121EE">
        <w:rPr>
          <w:rFonts w:eastAsia="Calibri"/>
        </w:rPr>
        <w:t xml:space="preserve">Smart, J. C., &amp; </w:t>
      </w:r>
      <w:proofErr w:type="spellStart"/>
      <w:r w:rsidRPr="005121EE">
        <w:rPr>
          <w:rFonts w:eastAsia="Calibri"/>
        </w:rPr>
        <w:t>Toutkoushian</w:t>
      </w:r>
      <w:proofErr w:type="spellEnd"/>
      <w:r w:rsidRPr="005121EE">
        <w:rPr>
          <w:rFonts w:eastAsia="Calibri"/>
        </w:rPr>
        <w:t xml:space="preserve">, R. K. (2001). Do institutional characteristics affect student gains from </w:t>
      </w:r>
      <w:proofErr w:type="gramStart"/>
      <w:r w:rsidRPr="005121EE">
        <w:rPr>
          <w:rFonts w:eastAsia="Calibri"/>
        </w:rPr>
        <w:t>college?.</w:t>
      </w:r>
      <w:proofErr w:type="gramEnd"/>
      <w:r w:rsidRPr="005121EE">
        <w:rPr>
          <w:rFonts w:eastAsia="Calibri"/>
        </w:rPr>
        <w:t> </w:t>
      </w:r>
      <w:r w:rsidRPr="005121EE">
        <w:rPr>
          <w:rFonts w:eastAsia="Calibri"/>
          <w:i/>
          <w:iCs/>
        </w:rPr>
        <w:t>The Review of Higher Education</w:t>
      </w:r>
      <w:r w:rsidRPr="005121EE">
        <w:rPr>
          <w:rFonts w:eastAsia="Calibri"/>
        </w:rPr>
        <w:t>, </w:t>
      </w:r>
      <w:r w:rsidRPr="005121EE">
        <w:rPr>
          <w:rFonts w:eastAsia="Calibri"/>
          <w:i/>
          <w:iCs/>
        </w:rPr>
        <w:t>25</w:t>
      </w:r>
      <w:r w:rsidRPr="005121EE">
        <w:rPr>
          <w:rFonts w:eastAsia="Calibri"/>
        </w:rPr>
        <w:t>(1), 39-61.</w:t>
      </w:r>
    </w:p>
    <w:p w14:paraId="1B871DFB" w14:textId="77777777" w:rsidR="00642912" w:rsidRPr="005121EE" w:rsidRDefault="00642912" w:rsidP="00642912">
      <w:pPr>
        <w:spacing w:line="480" w:lineRule="auto"/>
        <w:ind w:left="720" w:hanging="720"/>
        <w:rPr>
          <w:rFonts w:eastAsia="Calibri"/>
        </w:rPr>
      </w:pPr>
      <w:r w:rsidRPr="005121EE">
        <w:rPr>
          <w:rFonts w:eastAsia="Calibri"/>
        </w:rPr>
        <w:t xml:space="preserve">Tinto, V. (1975). Dropout from higher education: A theoretical synthesis of recent research, </w:t>
      </w:r>
      <w:r w:rsidRPr="005121EE">
        <w:rPr>
          <w:rFonts w:eastAsia="Calibri"/>
          <w:i/>
        </w:rPr>
        <w:t>Review of Educational Research, 1975</w:t>
      </w:r>
      <w:r w:rsidRPr="005121EE">
        <w:rPr>
          <w:rFonts w:eastAsia="Calibri"/>
        </w:rPr>
        <w:t>(45), 89-125.</w:t>
      </w:r>
    </w:p>
    <w:p w14:paraId="2995F2C3" w14:textId="77777777" w:rsidR="00642912" w:rsidRDefault="00642912" w:rsidP="00642912">
      <w:pPr>
        <w:spacing w:line="480" w:lineRule="auto"/>
        <w:ind w:left="720" w:hanging="720"/>
        <w:rPr>
          <w:rFonts w:eastAsia="Calibri"/>
        </w:rPr>
      </w:pPr>
      <w:r w:rsidRPr="005121EE">
        <w:rPr>
          <w:rFonts w:eastAsia="Calibri"/>
        </w:rPr>
        <w:t xml:space="preserve">Tinto, V. (1982). Defining dropout: A matter of perspective. New Directions for Institutional Research, 1982(36), 3-15. </w:t>
      </w:r>
    </w:p>
    <w:p w14:paraId="788EEEBD" w14:textId="77777777" w:rsidR="00642912" w:rsidRPr="005121EE" w:rsidRDefault="00642912" w:rsidP="00642912">
      <w:pPr>
        <w:spacing w:line="480" w:lineRule="auto"/>
        <w:ind w:left="720" w:hanging="720"/>
        <w:rPr>
          <w:rFonts w:eastAsia="Calibri"/>
        </w:rPr>
      </w:pPr>
      <w:r w:rsidRPr="00092BE3">
        <w:rPr>
          <w:rFonts w:eastAsia="Calibri"/>
        </w:rPr>
        <w:t>Tinto, V. (2012). </w:t>
      </w:r>
      <w:r w:rsidRPr="00092BE3">
        <w:rPr>
          <w:rFonts w:eastAsia="Calibri"/>
          <w:i/>
          <w:iCs/>
        </w:rPr>
        <w:t>Completing college: Rethinking institutional action</w:t>
      </w:r>
      <w:r w:rsidRPr="00092BE3">
        <w:rPr>
          <w:rFonts w:eastAsia="Calibri"/>
        </w:rPr>
        <w:t>. University of Chicago Press.</w:t>
      </w:r>
    </w:p>
    <w:p w14:paraId="1E69C8F1" w14:textId="77777777" w:rsidR="00642912" w:rsidRPr="005121EE" w:rsidRDefault="00642912" w:rsidP="00642912">
      <w:pPr>
        <w:spacing w:line="480" w:lineRule="auto"/>
        <w:ind w:left="720" w:hanging="720"/>
        <w:rPr>
          <w:rFonts w:eastAsia="Calibri"/>
        </w:rPr>
      </w:pPr>
      <w:r w:rsidRPr="005121EE">
        <w:rPr>
          <w:rFonts w:eastAsia="Calibri"/>
        </w:rPr>
        <w:t xml:space="preserve">Titus, M. A. (2006). Understanding college degree completion of students with low socioeconomic status: The influence of the institutional financial context. </w:t>
      </w:r>
      <w:r w:rsidRPr="005121EE">
        <w:rPr>
          <w:rFonts w:eastAsia="Calibri"/>
          <w:i/>
        </w:rPr>
        <w:t>Research in Higher Education</w:t>
      </w:r>
      <w:r w:rsidRPr="005121EE">
        <w:rPr>
          <w:rFonts w:eastAsia="Calibri"/>
        </w:rPr>
        <w:t xml:space="preserve">, 47(4), 371-398. </w:t>
      </w:r>
    </w:p>
    <w:p w14:paraId="5B4E77D4" w14:textId="77777777" w:rsidR="00622F52" w:rsidRPr="00622F52" w:rsidRDefault="00622F52" w:rsidP="00622F52">
      <w:pPr>
        <w:spacing w:line="480" w:lineRule="auto"/>
        <w:ind w:left="720" w:hanging="720"/>
        <w:rPr>
          <w:rFonts w:eastAsia="Calibri"/>
        </w:rPr>
      </w:pPr>
      <w:r w:rsidRPr="00622F52">
        <w:rPr>
          <w:rFonts w:eastAsia="Calibri"/>
        </w:rPr>
        <w:t xml:space="preserve">U.S. Department of Education, National Center for Education Statistics (1998). </w:t>
      </w:r>
      <w:proofErr w:type="spellStart"/>
      <w:r w:rsidRPr="00622F52">
        <w:rPr>
          <w:rFonts w:eastAsia="Calibri"/>
          <w:i/>
        </w:rPr>
        <w:t>Stopouts</w:t>
      </w:r>
      <w:proofErr w:type="spellEnd"/>
      <w:r w:rsidRPr="00622F52">
        <w:rPr>
          <w:rFonts w:eastAsia="Calibri"/>
          <w:i/>
        </w:rPr>
        <w:t xml:space="preserve"> or </w:t>
      </w:r>
      <w:proofErr w:type="spellStart"/>
      <w:r w:rsidRPr="00622F52">
        <w:rPr>
          <w:rFonts w:eastAsia="Calibri"/>
          <w:i/>
        </w:rPr>
        <w:t>stayouts</w:t>
      </w:r>
      <w:proofErr w:type="spellEnd"/>
      <w:r w:rsidRPr="00622F52">
        <w:rPr>
          <w:rFonts w:eastAsia="Calibri"/>
          <w:i/>
        </w:rPr>
        <w:t xml:space="preserve">? Undergraduates who leave college in their first year </w:t>
      </w:r>
      <w:r w:rsidRPr="00622F52">
        <w:rPr>
          <w:rFonts w:eastAsia="Calibri"/>
        </w:rPr>
        <w:t xml:space="preserve">(NCES 1999-087). Washington, DC: Author. </w:t>
      </w:r>
    </w:p>
    <w:p w14:paraId="6C57D548" w14:textId="77777777" w:rsidR="00622F52" w:rsidRPr="00622F52" w:rsidRDefault="00622F52" w:rsidP="00622F52">
      <w:pPr>
        <w:spacing w:line="480" w:lineRule="auto"/>
        <w:ind w:left="720" w:hanging="720"/>
        <w:rPr>
          <w:rFonts w:eastAsia="Calibri"/>
        </w:rPr>
      </w:pPr>
      <w:r w:rsidRPr="00622F52">
        <w:rPr>
          <w:rFonts w:eastAsia="Calibri"/>
        </w:rPr>
        <w:t xml:space="preserve">U.S. Department of Education, National Center for Education Statistics. (2000). </w:t>
      </w:r>
      <w:r w:rsidRPr="00622F52">
        <w:rPr>
          <w:rFonts w:eastAsia="Calibri"/>
          <w:i/>
        </w:rPr>
        <w:t>Descriptive summary of 1995–96 beginning postsecondary students: Three years later</w:t>
      </w:r>
      <w:r w:rsidRPr="00622F52">
        <w:rPr>
          <w:rFonts w:eastAsia="Calibri"/>
        </w:rPr>
        <w:t xml:space="preserve"> (NCES 2000-154). Washington, DC: Author.</w:t>
      </w:r>
    </w:p>
    <w:p w14:paraId="009E2020" w14:textId="77777777" w:rsidR="00642912" w:rsidRPr="005121EE" w:rsidRDefault="00642912" w:rsidP="00642912">
      <w:pPr>
        <w:spacing w:line="480" w:lineRule="auto"/>
        <w:ind w:left="720" w:hanging="720"/>
        <w:rPr>
          <w:rFonts w:eastAsia="Calibri"/>
        </w:rPr>
      </w:pPr>
      <w:r w:rsidRPr="005121EE">
        <w:rPr>
          <w:rFonts w:eastAsia="Calibri"/>
        </w:rPr>
        <w:lastRenderedPageBreak/>
        <w:t xml:space="preserve">Volkwein, J. F., </w:t>
      </w:r>
      <w:proofErr w:type="spellStart"/>
      <w:r w:rsidRPr="005121EE">
        <w:rPr>
          <w:rFonts w:eastAsia="Calibri"/>
        </w:rPr>
        <w:t>Szelest</w:t>
      </w:r>
      <w:proofErr w:type="spellEnd"/>
      <w:r w:rsidRPr="005121EE">
        <w:rPr>
          <w:rFonts w:eastAsia="Calibri"/>
        </w:rPr>
        <w:t xml:space="preserve">, B. P., Cabrera, A. F., &amp; </w:t>
      </w:r>
      <w:proofErr w:type="spellStart"/>
      <w:r w:rsidRPr="005121EE">
        <w:rPr>
          <w:rFonts w:eastAsia="Calibri"/>
        </w:rPr>
        <w:t>Napierski-Prancl</w:t>
      </w:r>
      <w:proofErr w:type="spellEnd"/>
      <w:r w:rsidRPr="005121EE">
        <w:rPr>
          <w:rFonts w:eastAsia="Calibri"/>
        </w:rPr>
        <w:t>, M. R. (1998). Factors associated with student loan default among different racial and ethnic groups. </w:t>
      </w:r>
      <w:r w:rsidRPr="005121EE">
        <w:rPr>
          <w:rFonts w:eastAsia="Calibri"/>
          <w:i/>
          <w:iCs/>
        </w:rPr>
        <w:t>Journal of Higher Education</w:t>
      </w:r>
      <w:r w:rsidRPr="005121EE">
        <w:rPr>
          <w:rFonts w:eastAsia="Calibri"/>
        </w:rPr>
        <w:t xml:space="preserve">, 206-237.  </w:t>
      </w:r>
    </w:p>
    <w:p w14:paraId="4D430D91" w14:textId="77777777" w:rsidR="00642912" w:rsidRPr="005121EE" w:rsidRDefault="00642912" w:rsidP="00642912">
      <w:pPr>
        <w:spacing w:line="480" w:lineRule="auto"/>
        <w:ind w:left="720" w:hanging="720"/>
        <w:rPr>
          <w:rFonts w:eastAsia="Calibri"/>
        </w:rPr>
      </w:pPr>
      <w:r w:rsidRPr="005121EE">
        <w:rPr>
          <w:rFonts w:eastAsia="Calibri"/>
        </w:rPr>
        <w:t xml:space="preserve">Wage and Salary. (2015). In </w:t>
      </w:r>
      <w:proofErr w:type="spellStart"/>
      <w:r w:rsidRPr="005121EE">
        <w:rPr>
          <w:rFonts w:eastAsia="Calibri"/>
          <w:i/>
          <w:iCs/>
        </w:rPr>
        <w:t>Encyclopædia</w:t>
      </w:r>
      <w:proofErr w:type="spellEnd"/>
      <w:r w:rsidRPr="005121EE">
        <w:rPr>
          <w:rFonts w:eastAsia="Calibri"/>
          <w:i/>
          <w:iCs/>
        </w:rPr>
        <w:t xml:space="preserve"> Britannica</w:t>
      </w:r>
      <w:r w:rsidRPr="005121EE">
        <w:rPr>
          <w:rFonts w:eastAsia="Calibri"/>
        </w:rPr>
        <w:t xml:space="preserve">. Retrieved from http://www.britannica.com/ </w:t>
      </w:r>
      <w:proofErr w:type="spellStart"/>
      <w:r w:rsidRPr="005121EE">
        <w:rPr>
          <w:rFonts w:eastAsia="Calibri"/>
        </w:rPr>
        <w:t>EBchecked</w:t>
      </w:r>
      <w:proofErr w:type="spellEnd"/>
      <w:r w:rsidRPr="005121EE">
        <w:rPr>
          <w:rFonts w:eastAsia="Calibri"/>
        </w:rPr>
        <w:t>/topic/633855/ wage-and-salary/259495/ Human-capital-theory</w:t>
      </w:r>
    </w:p>
    <w:p w14:paraId="206C5862" w14:textId="77777777" w:rsidR="00642912" w:rsidRPr="005121EE" w:rsidRDefault="00642912" w:rsidP="00642912">
      <w:pPr>
        <w:spacing w:line="480" w:lineRule="auto"/>
        <w:ind w:left="720" w:hanging="720"/>
        <w:rPr>
          <w:rFonts w:eastAsia="Calibri"/>
        </w:rPr>
      </w:pPr>
      <w:r w:rsidRPr="005121EE">
        <w:rPr>
          <w:rFonts w:eastAsia="Calibri"/>
        </w:rPr>
        <w:t xml:space="preserve">Walker, J. L. (1969). The diffusion of innovations among the American states. </w:t>
      </w:r>
      <w:r w:rsidRPr="005121EE">
        <w:rPr>
          <w:rFonts w:eastAsia="Calibri"/>
          <w:i/>
        </w:rPr>
        <w:t>American Political Science Review 63</w:t>
      </w:r>
      <w:r w:rsidRPr="005121EE">
        <w:rPr>
          <w:rFonts w:eastAsia="Calibri"/>
        </w:rPr>
        <w:t>(3), 880-899.</w:t>
      </w:r>
    </w:p>
    <w:p w14:paraId="77876B55" w14:textId="77777777" w:rsidR="00642912" w:rsidRPr="005121EE" w:rsidRDefault="00642912" w:rsidP="00642912">
      <w:pPr>
        <w:spacing w:line="480" w:lineRule="auto"/>
        <w:ind w:left="720" w:hanging="720"/>
        <w:rPr>
          <w:rFonts w:eastAsia="Calibri"/>
        </w:rPr>
      </w:pPr>
      <w:r w:rsidRPr="005121EE">
        <w:rPr>
          <w:rFonts w:eastAsia="Calibri"/>
        </w:rPr>
        <w:t xml:space="preserve">Webber, D. A., &amp; Ehrenberg, R. G. (2010). Do expenditures other than instructional expenditures affect graduation and persistence rates in American higher </w:t>
      </w:r>
      <w:proofErr w:type="gramStart"/>
      <w:r w:rsidRPr="005121EE">
        <w:rPr>
          <w:rFonts w:eastAsia="Calibri"/>
        </w:rPr>
        <w:t>education?.</w:t>
      </w:r>
      <w:proofErr w:type="gramEnd"/>
      <w:r w:rsidRPr="005121EE">
        <w:rPr>
          <w:rFonts w:eastAsia="Calibri"/>
        </w:rPr>
        <w:t xml:space="preserve"> </w:t>
      </w:r>
      <w:r w:rsidRPr="005121EE">
        <w:rPr>
          <w:rFonts w:eastAsia="Calibri"/>
          <w:i/>
          <w:iCs/>
        </w:rPr>
        <w:t>Economics of Education Review</w:t>
      </w:r>
      <w:r w:rsidRPr="005121EE">
        <w:rPr>
          <w:rFonts w:eastAsia="Calibri"/>
        </w:rPr>
        <w:t xml:space="preserve">, </w:t>
      </w:r>
      <w:r w:rsidRPr="005121EE">
        <w:rPr>
          <w:rFonts w:eastAsia="Calibri"/>
          <w:i/>
          <w:iCs/>
        </w:rPr>
        <w:t>29</w:t>
      </w:r>
      <w:r w:rsidRPr="005121EE">
        <w:rPr>
          <w:rFonts w:eastAsia="Calibri"/>
        </w:rPr>
        <w:t xml:space="preserve">(6), 947-958. </w:t>
      </w:r>
    </w:p>
    <w:p w14:paraId="212DA3E0" w14:textId="77777777" w:rsidR="00642912" w:rsidRPr="005121EE" w:rsidRDefault="00642912" w:rsidP="00642912">
      <w:pPr>
        <w:spacing w:line="480" w:lineRule="auto"/>
        <w:ind w:left="720" w:hanging="720"/>
        <w:rPr>
          <w:rFonts w:eastAsia="Calibri"/>
        </w:rPr>
      </w:pPr>
      <w:r w:rsidRPr="005121EE">
        <w:rPr>
          <w:rFonts w:eastAsia="Calibri"/>
        </w:rPr>
        <w:t xml:space="preserve">Webber, K. L., and Rogers, S. L. (2014). Student Loan Default: Do Characteristics of Four-Year Institutions Contribute to the </w:t>
      </w:r>
      <w:proofErr w:type="gramStart"/>
      <w:r w:rsidRPr="005121EE">
        <w:rPr>
          <w:rFonts w:eastAsia="Calibri"/>
        </w:rPr>
        <w:t>Puzzle?.</w:t>
      </w:r>
      <w:proofErr w:type="gramEnd"/>
      <w:r w:rsidRPr="005121EE">
        <w:rPr>
          <w:rFonts w:eastAsia="Calibri"/>
        </w:rPr>
        <w:t xml:space="preserve"> </w:t>
      </w:r>
      <w:r w:rsidRPr="005121EE">
        <w:rPr>
          <w:rFonts w:eastAsia="Calibri"/>
          <w:i/>
        </w:rPr>
        <w:t>Journal of Student Financial Aid, 44</w:t>
      </w:r>
      <w:r w:rsidRPr="005121EE">
        <w:rPr>
          <w:rFonts w:eastAsia="Calibri"/>
        </w:rPr>
        <w:t xml:space="preserve">(2), 2. </w:t>
      </w:r>
    </w:p>
    <w:p w14:paraId="6EF495EC" w14:textId="77777777" w:rsidR="00F93B5F" w:rsidRDefault="00F93B5F" w:rsidP="00642912">
      <w:pPr>
        <w:spacing w:line="480" w:lineRule="auto"/>
        <w:ind w:left="720" w:hanging="720"/>
        <w:rPr>
          <w:rFonts w:eastAsia="Calibri"/>
        </w:rPr>
      </w:pPr>
      <w:r>
        <w:rPr>
          <w:rFonts w:eastAsia="Calibri"/>
        </w:rPr>
        <w:t xml:space="preserve">Williams, T. (2015). </w:t>
      </w:r>
      <w:r w:rsidRPr="00F93B5F">
        <w:rPr>
          <w:rFonts w:eastAsia="Calibri"/>
          <w:i/>
        </w:rPr>
        <w:t>Freshmen Students Are the Most Likely to Drop Out of College</w:t>
      </w:r>
      <w:r>
        <w:rPr>
          <w:rFonts w:eastAsia="Calibri"/>
        </w:rPr>
        <w:t xml:space="preserve">. Retrieved from </w:t>
      </w:r>
      <w:r w:rsidRPr="00F93B5F">
        <w:rPr>
          <w:rFonts w:eastAsia="Calibri"/>
        </w:rPr>
        <w:t>https://www.goodcall.com/news/why-freshman-are-the-most-likely-to-drop-out-of-college-01421</w:t>
      </w:r>
      <w:r>
        <w:rPr>
          <w:rFonts w:eastAsia="Calibri"/>
        </w:rPr>
        <w:t xml:space="preserve"> </w:t>
      </w:r>
    </w:p>
    <w:p w14:paraId="38287EDD" w14:textId="77777777" w:rsidR="00642912" w:rsidRPr="005121EE" w:rsidRDefault="00642912" w:rsidP="00642912">
      <w:pPr>
        <w:spacing w:line="480" w:lineRule="auto"/>
        <w:ind w:left="720" w:hanging="720"/>
        <w:rPr>
          <w:rFonts w:eastAsia="Calibri"/>
        </w:rPr>
      </w:pPr>
      <w:proofErr w:type="spellStart"/>
      <w:r w:rsidRPr="005121EE">
        <w:rPr>
          <w:rFonts w:eastAsia="Calibri"/>
        </w:rPr>
        <w:t>Zumeta</w:t>
      </w:r>
      <w:proofErr w:type="spellEnd"/>
      <w:r w:rsidRPr="005121EE">
        <w:rPr>
          <w:rFonts w:eastAsia="Calibri"/>
        </w:rPr>
        <w:t xml:space="preserve">, W. M. (1998). Public university accountability to the state in the late twentieth century: Time for a rethinking? </w:t>
      </w:r>
      <w:r w:rsidRPr="005121EE">
        <w:rPr>
          <w:rFonts w:eastAsia="Calibri"/>
          <w:i/>
        </w:rPr>
        <w:t>Policy Studies Review, 15</w:t>
      </w:r>
      <w:r w:rsidRPr="005121EE">
        <w:rPr>
          <w:rFonts w:eastAsia="Calibri"/>
        </w:rPr>
        <w:t>(4), 5-22.</w:t>
      </w:r>
    </w:p>
    <w:p w14:paraId="0497AF24" w14:textId="77777777" w:rsidR="00642912" w:rsidRDefault="00642912" w:rsidP="00642912">
      <w:pPr>
        <w:spacing w:line="480" w:lineRule="auto"/>
        <w:ind w:left="720" w:hanging="720"/>
        <w:rPr>
          <w:rFonts w:eastAsia="Calibri"/>
        </w:rPr>
      </w:pPr>
      <w:proofErr w:type="spellStart"/>
      <w:r w:rsidRPr="005121EE">
        <w:rPr>
          <w:rFonts w:eastAsia="Calibri"/>
        </w:rPr>
        <w:t>Zumeta</w:t>
      </w:r>
      <w:proofErr w:type="spellEnd"/>
      <w:r w:rsidRPr="005121EE">
        <w:rPr>
          <w:rFonts w:eastAsia="Calibri"/>
        </w:rPr>
        <w:t xml:space="preserve">, W. M. (2011). What Does It Mean to Be </w:t>
      </w:r>
      <w:proofErr w:type="gramStart"/>
      <w:r w:rsidRPr="005121EE">
        <w:rPr>
          <w:rFonts w:eastAsia="Calibri"/>
        </w:rPr>
        <w:t>Accountable?:</w:t>
      </w:r>
      <w:proofErr w:type="gramEnd"/>
      <w:r w:rsidRPr="005121EE">
        <w:rPr>
          <w:rFonts w:eastAsia="Calibri"/>
        </w:rPr>
        <w:t xml:space="preserve"> Dimensions and Implications of Higher Education's Public Accountability. </w:t>
      </w:r>
      <w:r w:rsidRPr="005121EE">
        <w:rPr>
          <w:rFonts w:eastAsia="Calibri"/>
          <w:i/>
        </w:rPr>
        <w:t>The Review of Higher Education, 35</w:t>
      </w:r>
      <w:r w:rsidRPr="005121EE">
        <w:rPr>
          <w:rFonts w:eastAsia="Calibri"/>
        </w:rPr>
        <w:t>(1), 131-148.</w:t>
      </w:r>
    </w:p>
    <w:p w14:paraId="19CF8D6A" w14:textId="38C39E46" w:rsidR="00642912" w:rsidRDefault="00642912" w:rsidP="00642912">
      <w:pPr>
        <w:spacing w:line="480" w:lineRule="auto"/>
        <w:ind w:left="720" w:hanging="720"/>
        <w:jc w:val="center"/>
        <w:rPr>
          <w:rFonts w:eastAsia="Calibri"/>
          <w:b/>
        </w:rPr>
      </w:pPr>
      <w:r w:rsidRPr="00EC62AF">
        <w:rPr>
          <w:rFonts w:eastAsia="Calibri"/>
          <w:b/>
        </w:rPr>
        <w:lastRenderedPageBreak/>
        <w:t>VITA</w:t>
      </w:r>
    </w:p>
    <w:p w14:paraId="439BBAB9" w14:textId="45493BE3" w:rsidR="0052342F" w:rsidRDefault="0052342F" w:rsidP="0052342F">
      <w:pPr>
        <w:spacing w:line="480" w:lineRule="auto"/>
        <w:ind w:left="720" w:hanging="720"/>
        <w:rPr>
          <w:rFonts w:eastAsia="Calibri"/>
        </w:rPr>
      </w:pPr>
      <w:r>
        <w:rPr>
          <w:rFonts w:eastAsia="Calibri"/>
        </w:rPr>
        <w:tab/>
      </w:r>
      <w:r w:rsidR="00883467">
        <w:rPr>
          <w:rFonts w:eastAsia="Calibri"/>
        </w:rPr>
        <w:tab/>
      </w:r>
      <w:r>
        <w:rPr>
          <w:rFonts w:eastAsia="Calibri"/>
        </w:rPr>
        <w:t xml:space="preserve">Brian Todd Hester was born and raised in Knoxville, Tennessee.  He graduated from Bearden High School in 1990.  He earned a Bachelor’s of Arts degree from the University of Tennessee, Knoxville in May of 1999, and later returned to UTK to earn a Master’s of Business Administration degree in December of 2003.  After working </w:t>
      </w:r>
      <w:proofErr w:type="gramStart"/>
      <w:r>
        <w:rPr>
          <w:rFonts w:eastAsia="Calibri"/>
        </w:rPr>
        <w:t>as</w:t>
      </w:r>
      <w:proofErr w:type="gramEnd"/>
      <w:r>
        <w:rPr>
          <w:rFonts w:eastAsia="Calibri"/>
        </w:rPr>
        <w:t xml:space="preserve"> a marketing director at </w:t>
      </w:r>
      <w:r w:rsidR="002945AB">
        <w:rPr>
          <w:rFonts w:eastAsia="Calibri"/>
        </w:rPr>
        <w:t xml:space="preserve">a </w:t>
      </w:r>
      <w:r>
        <w:rPr>
          <w:rFonts w:eastAsia="Calibri"/>
        </w:rPr>
        <w:t xml:space="preserve">company in Oak Ridge, Tennessee from 2003 through 2005, Brian returned to the University of Tennessee, Knoxville and worked in the Athletic Department’s business office from 2005 through 2008.  </w:t>
      </w:r>
    </w:p>
    <w:p w14:paraId="5201512C" w14:textId="615A3291" w:rsidR="0052342F" w:rsidRPr="0052342F" w:rsidRDefault="0052342F" w:rsidP="0052342F">
      <w:pPr>
        <w:spacing w:line="480" w:lineRule="auto"/>
        <w:ind w:left="720" w:hanging="720"/>
        <w:rPr>
          <w:rFonts w:eastAsia="Calibri"/>
        </w:rPr>
      </w:pPr>
      <w:r>
        <w:rPr>
          <w:rFonts w:eastAsia="Calibri"/>
        </w:rPr>
        <w:tab/>
      </w:r>
      <w:r>
        <w:rPr>
          <w:rFonts w:eastAsia="Calibri"/>
        </w:rPr>
        <w:tab/>
      </w:r>
      <w:bookmarkStart w:id="6" w:name="_GoBack"/>
      <w:bookmarkEnd w:id="6"/>
      <w:r>
        <w:rPr>
          <w:rFonts w:eastAsia="Calibri"/>
        </w:rPr>
        <w:t>From 2008 through 201</w:t>
      </w:r>
      <w:r w:rsidR="00883467">
        <w:rPr>
          <w:rFonts w:eastAsia="Calibri"/>
        </w:rPr>
        <w:t>3</w:t>
      </w:r>
      <w:r>
        <w:rPr>
          <w:rFonts w:eastAsia="Calibri"/>
        </w:rPr>
        <w:t xml:space="preserve">, Brian established and ran an internet-based computer hardware retail business that at its peak </w:t>
      </w:r>
      <w:r w:rsidR="00883467">
        <w:rPr>
          <w:rFonts w:eastAsia="Calibri"/>
        </w:rPr>
        <w:t>employed seven and averaged over $100</w:t>
      </w:r>
      <w:r w:rsidR="00C57629">
        <w:rPr>
          <w:rFonts w:eastAsia="Calibri"/>
        </w:rPr>
        <w:t>,000</w:t>
      </w:r>
      <w:r w:rsidR="00883467">
        <w:rPr>
          <w:rFonts w:eastAsia="Calibri"/>
        </w:rPr>
        <w:t xml:space="preserve"> in monthly </w:t>
      </w:r>
      <w:r w:rsidR="00C57629">
        <w:rPr>
          <w:rFonts w:eastAsia="Calibri"/>
        </w:rPr>
        <w:t>sales</w:t>
      </w:r>
      <w:r w:rsidR="00883467">
        <w:rPr>
          <w:rFonts w:eastAsia="Calibri"/>
        </w:rPr>
        <w:t xml:space="preserve">.  In 2010 Brian stepped away from the business and returned again to the University of Tennessee, this time to the UT System office of Institutional Research as a data research analyst.  </w:t>
      </w:r>
      <w:r w:rsidR="002945AB">
        <w:rPr>
          <w:rFonts w:eastAsia="Calibri"/>
        </w:rPr>
        <w:t xml:space="preserve">While working at UT, Brian began pursuit of the doctoral degree in Higher Education Administration in May of 2012.  </w:t>
      </w:r>
      <w:r w:rsidR="00883467">
        <w:rPr>
          <w:rFonts w:eastAsia="Calibri"/>
        </w:rPr>
        <w:t xml:space="preserve">He is currently Assistant Director of Institutional Research for the University of Tennessee System.   Brian, his wife Alice, and son Nicholas </w:t>
      </w:r>
      <w:r w:rsidR="002945AB">
        <w:rPr>
          <w:rFonts w:eastAsia="Calibri"/>
        </w:rPr>
        <w:t xml:space="preserve">currently </w:t>
      </w:r>
      <w:r w:rsidR="00883467">
        <w:rPr>
          <w:rFonts w:eastAsia="Calibri"/>
        </w:rPr>
        <w:t xml:space="preserve">live in </w:t>
      </w:r>
      <w:r w:rsidR="002945AB">
        <w:rPr>
          <w:rFonts w:eastAsia="Calibri"/>
        </w:rPr>
        <w:t xml:space="preserve">West </w:t>
      </w:r>
      <w:r w:rsidR="00883467">
        <w:rPr>
          <w:rFonts w:eastAsia="Calibri"/>
        </w:rPr>
        <w:t>Knoxville</w:t>
      </w:r>
      <w:r w:rsidR="002945AB">
        <w:rPr>
          <w:rFonts w:eastAsia="Calibri"/>
        </w:rPr>
        <w:t>.  They</w:t>
      </w:r>
      <w:r w:rsidR="00883467">
        <w:rPr>
          <w:rFonts w:eastAsia="Calibri"/>
        </w:rPr>
        <w:t xml:space="preserve"> </w:t>
      </w:r>
      <w:r w:rsidR="002945AB">
        <w:rPr>
          <w:rFonts w:eastAsia="Calibri"/>
        </w:rPr>
        <w:t xml:space="preserve">spend most of their free-time together, including reading, </w:t>
      </w:r>
      <w:r w:rsidR="00C57629">
        <w:rPr>
          <w:rFonts w:eastAsia="Calibri"/>
        </w:rPr>
        <w:t xml:space="preserve">playing </w:t>
      </w:r>
      <w:r w:rsidR="002945AB">
        <w:rPr>
          <w:rFonts w:eastAsia="Calibri"/>
        </w:rPr>
        <w:t>sports, gardening, and enjoying the many parks and nature areas around Knoxville and East Tennessee</w:t>
      </w:r>
      <w:r w:rsidR="00883467">
        <w:rPr>
          <w:rFonts w:eastAsia="Calibri"/>
        </w:rPr>
        <w:t xml:space="preserve">.   </w:t>
      </w:r>
    </w:p>
    <w:p w14:paraId="4A70CEFC" w14:textId="77777777" w:rsidR="00642912" w:rsidRPr="00642912" w:rsidRDefault="00642912" w:rsidP="00642912"/>
    <w:p w14:paraId="64C16B37" w14:textId="77777777" w:rsidR="00642912" w:rsidRDefault="00642912">
      <w:pPr>
        <w:rPr>
          <w:bCs/>
        </w:rPr>
      </w:pPr>
      <w:r>
        <w:br w:type="page"/>
      </w:r>
    </w:p>
    <w:sectPr w:rsidR="00642912" w:rsidSect="00755F52">
      <w:pgSz w:w="12240" w:h="15840" w:code="1"/>
      <w:pgMar w:top="2016" w:right="1800" w:bottom="1440" w:left="1800" w:header="1440" w:footer="1440" w:gutter="0"/>
      <w:pgNumType w:start="1"/>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Ishitani, Terry" w:date="2016-03-31T15:55:00Z" w:initials="IT">
    <w:p w14:paraId="754D16A6" w14:textId="77777777" w:rsidR="006C433E" w:rsidRDefault="006C433E" w:rsidP="001347E1">
      <w:pPr>
        <w:pStyle w:val="CommentText"/>
      </w:pPr>
      <w:r>
        <w:rPr>
          <w:rStyle w:val="CommentReference"/>
        </w:rPr>
        <w:annotationRef/>
      </w:r>
      <w:r>
        <w:t xml:space="preserve">Region </w:t>
      </w:r>
      <w:proofErr w:type="spellStart"/>
      <w:r>
        <w:t>var</w:t>
      </w:r>
      <w:proofErr w:type="spellEnd"/>
      <w:r>
        <w:t xml:space="preserve"> missing</w:t>
      </w:r>
    </w:p>
  </w:comment>
  <w:comment w:id="2" w:author="Ishitani, Terry" w:date="2016-04-27T13:03:00Z" w:initials="IT">
    <w:p w14:paraId="249036F5" w14:textId="77777777" w:rsidR="006C433E" w:rsidRPr="00672E93" w:rsidRDefault="006C433E" w:rsidP="006B4781">
      <w:pPr>
        <w:keepNext/>
        <w:spacing w:after="160" w:line="480" w:lineRule="auto"/>
        <w:rPr>
          <w:rFonts w:eastAsia="Calibri"/>
        </w:rPr>
      </w:pPr>
      <w:r>
        <w:rPr>
          <w:rStyle w:val="CommentReference"/>
        </w:rPr>
        <w:annotationRef/>
      </w:r>
      <w:r>
        <w:rPr>
          <w:rFonts w:eastAsia="Calibri"/>
        </w:rPr>
        <w:t>Put this ‘</w:t>
      </w:r>
      <w:r w:rsidRPr="00672E93">
        <w:rPr>
          <w:rFonts w:eastAsia="Calibri"/>
        </w:rPr>
        <w:t>Data Integrity Procedures and Methodological Assumptions</w:t>
      </w:r>
      <w:r>
        <w:rPr>
          <w:rFonts w:eastAsia="Calibri"/>
        </w:rPr>
        <w:t>’??</w:t>
      </w:r>
      <w:r w:rsidRPr="00672E93">
        <w:rPr>
          <w:rFonts w:eastAsia="Calibri"/>
        </w:rPr>
        <w:t xml:space="preserve">  </w:t>
      </w:r>
    </w:p>
    <w:p w14:paraId="4B990E79" w14:textId="77777777" w:rsidR="006C433E" w:rsidRDefault="006C433E" w:rsidP="006B4781">
      <w:pPr>
        <w:pStyle w:val="CommentText"/>
      </w:pPr>
    </w:p>
  </w:comment>
  <w:comment w:id="3" w:author="Ishitani, Terry" w:date="2016-04-25T18:35:00Z" w:initials="IT">
    <w:p w14:paraId="49CD1E02" w14:textId="77777777" w:rsidR="006C433E" w:rsidRDefault="006C433E" w:rsidP="006B4781">
      <w:pPr>
        <w:pStyle w:val="CommentText"/>
      </w:pPr>
      <w:r>
        <w:rPr>
          <w:rStyle w:val="CommentReference"/>
        </w:rPr>
        <w:annotationRef/>
      </w:r>
      <w:r>
        <w:t>Sample, instead of population?</w:t>
      </w:r>
    </w:p>
  </w:comment>
  <w:comment w:id="4" w:author="Ishitani, Terry" w:date="2016-04-25T18:36:00Z" w:initials="IT">
    <w:p w14:paraId="5D051BB3" w14:textId="77777777" w:rsidR="006C433E" w:rsidRDefault="006C433E" w:rsidP="006B4781">
      <w:pPr>
        <w:pStyle w:val="CommentText"/>
      </w:pPr>
      <w:r>
        <w:rPr>
          <w:rStyle w:val="CommentReference"/>
        </w:rPr>
        <w:annotationRef/>
      </w:r>
      <w:r>
        <w:t>Sample, instead of population?</w:t>
      </w:r>
    </w:p>
  </w:comment>
  <w:comment w:id="5" w:author="Terry I." w:date="2016-05-14T01:08:00Z" w:initials="TI">
    <w:p w14:paraId="51D105A2" w14:textId="77777777" w:rsidR="006C433E" w:rsidRDefault="006C433E">
      <w:pPr>
        <w:pStyle w:val="CommentText"/>
      </w:pPr>
      <w:r>
        <w:rPr>
          <w:rStyle w:val="CommentReference"/>
        </w:rPr>
        <w:annotationRef/>
      </w:r>
      <w:r>
        <w:t>You already spelled out earlier.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54D16A6" w15:done="0"/>
  <w15:commentEx w15:paraId="4B990E79" w15:done="0"/>
  <w15:commentEx w15:paraId="49CD1E02" w15:done="0"/>
  <w15:commentEx w15:paraId="5D051BB3" w15:done="0"/>
  <w15:commentEx w15:paraId="51D105A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C052B" w14:textId="77777777" w:rsidR="00963AEC" w:rsidRDefault="00963AEC">
      <w:r>
        <w:separator/>
      </w:r>
    </w:p>
    <w:p w14:paraId="083F45C0" w14:textId="77777777" w:rsidR="00963AEC" w:rsidRDefault="00963AEC"/>
  </w:endnote>
  <w:endnote w:type="continuationSeparator" w:id="0">
    <w:p w14:paraId="4B02AD05" w14:textId="77777777" w:rsidR="00963AEC" w:rsidRDefault="00963AEC">
      <w:r>
        <w:continuationSeparator/>
      </w:r>
    </w:p>
    <w:p w14:paraId="40B46D90" w14:textId="77777777" w:rsidR="00963AEC" w:rsidRDefault="00963A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4B812" w14:textId="77777777" w:rsidR="00963AEC" w:rsidRDefault="00963AEC">
      <w:r>
        <w:separator/>
      </w:r>
    </w:p>
    <w:p w14:paraId="5EA654DE" w14:textId="77777777" w:rsidR="00963AEC" w:rsidRDefault="00963AEC"/>
  </w:footnote>
  <w:footnote w:type="continuationSeparator" w:id="0">
    <w:p w14:paraId="1D045AAB" w14:textId="77777777" w:rsidR="00963AEC" w:rsidRDefault="00963AEC">
      <w:r>
        <w:continuationSeparator/>
      </w:r>
    </w:p>
    <w:p w14:paraId="4B171F86" w14:textId="77777777" w:rsidR="00963AEC" w:rsidRDefault="00963AE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B1BC1" w14:textId="77777777" w:rsidR="006C433E" w:rsidRDefault="006C433E"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24B2EC" w14:textId="77777777" w:rsidR="006C433E" w:rsidRDefault="006C433E" w:rsidP="00755F52">
    <w:pPr>
      <w:spacing w:line="34" w:lineRule="auto"/>
      <w:ind w:right="36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9F8AA" w14:textId="24E7D118" w:rsidR="006C433E" w:rsidRDefault="006C433E"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57629">
      <w:rPr>
        <w:rStyle w:val="PageNumber"/>
        <w:noProof/>
      </w:rPr>
      <w:t>72</w:t>
    </w:r>
    <w:r>
      <w:rPr>
        <w:rStyle w:val="PageNumber"/>
      </w:rPr>
      <w:fldChar w:fldCharType="end"/>
    </w:r>
  </w:p>
  <w:p w14:paraId="08E55F3D" w14:textId="77777777" w:rsidR="006C433E" w:rsidRDefault="006C433E" w:rsidP="00755F52">
    <w:pPr>
      <w:spacing w:line="34" w:lineRule="auto"/>
      <w:ind w:right="36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CA" w:vendorID="64" w:dllVersion="131078" w:nlCheck="1" w:checkStyle="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B78"/>
    <w:rsid w:val="00001112"/>
    <w:rsid w:val="00012C04"/>
    <w:rsid w:val="00014A3E"/>
    <w:rsid w:val="00014BB7"/>
    <w:rsid w:val="00015063"/>
    <w:rsid w:val="000155FF"/>
    <w:rsid w:val="000166A9"/>
    <w:rsid w:val="0002243E"/>
    <w:rsid w:val="000230CD"/>
    <w:rsid w:val="00025C89"/>
    <w:rsid w:val="0004427C"/>
    <w:rsid w:val="00052024"/>
    <w:rsid w:val="00052488"/>
    <w:rsid w:val="00056A7B"/>
    <w:rsid w:val="00057004"/>
    <w:rsid w:val="00064371"/>
    <w:rsid w:val="00067044"/>
    <w:rsid w:val="0007084B"/>
    <w:rsid w:val="00071D56"/>
    <w:rsid w:val="00076A95"/>
    <w:rsid w:val="00077ECA"/>
    <w:rsid w:val="000823A1"/>
    <w:rsid w:val="000851E9"/>
    <w:rsid w:val="000855FB"/>
    <w:rsid w:val="00086019"/>
    <w:rsid w:val="0008668E"/>
    <w:rsid w:val="000866AE"/>
    <w:rsid w:val="0009256E"/>
    <w:rsid w:val="00092BE3"/>
    <w:rsid w:val="000A5B6A"/>
    <w:rsid w:val="000A6429"/>
    <w:rsid w:val="000A6447"/>
    <w:rsid w:val="000A6A2A"/>
    <w:rsid w:val="000A708A"/>
    <w:rsid w:val="000A75D3"/>
    <w:rsid w:val="000A7EEF"/>
    <w:rsid w:val="000B3244"/>
    <w:rsid w:val="000B3EBE"/>
    <w:rsid w:val="000B5C42"/>
    <w:rsid w:val="000B6E0B"/>
    <w:rsid w:val="000B7AF9"/>
    <w:rsid w:val="000B7BA4"/>
    <w:rsid w:val="000C30FE"/>
    <w:rsid w:val="000C4B3E"/>
    <w:rsid w:val="000D73C2"/>
    <w:rsid w:val="000E1A40"/>
    <w:rsid w:val="000E33B2"/>
    <w:rsid w:val="000E35FF"/>
    <w:rsid w:val="000E4221"/>
    <w:rsid w:val="000E63E1"/>
    <w:rsid w:val="000F541F"/>
    <w:rsid w:val="00100581"/>
    <w:rsid w:val="0010217F"/>
    <w:rsid w:val="001045D5"/>
    <w:rsid w:val="00117CE2"/>
    <w:rsid w:val="0012027E"/>
    <w:rsid w:val="00126EE6"/>
    <w:rsid w:val="00130B29"/>
    <w:rsid w:val="001347E1"/>
    <w:rsid w:val="00140404"/>
    <w:rsid w:val="00142847"/>
    <w:rsid w:val="00142AA1"/>
    <w:rsid w:val="00154D1C"/>
    <w:rsid w:val="00157DDC"/>
    <w:rsid w:val="00161412"/>
    <w:rsid w:val="00166FD9"/>
    <w:rsid w:val="00167521"/>
    <w:rsid w:val="00176A72"/>
    <w:rsid w:val="00180402"/>
    <w:rsid w:val="00182317"/>
    <w:rsid w:val="001824C9"/>
    <w:rsid w:val="001854FB"/>
    <w:rsid w:val="00187AF7"/>
    <w:rsid w:val="00192D24"/>
    <w:rsid w:val="00193642"/>
    <w:rsid w:val="001951D9"/>
    <w:rsid w:val="001A0CF9"/>
    <w:rsid w:val="001A213A"/>
    <w:rsid w:val="001A27A3"/>
    <w:rsid w:val="001A3218"/>
    <w:rsid w:val="001B07A0"/>
    <w:rsid w:val="001B1818"/>
    <w:rsid w:val="001B4264"/>
    <w:rsid w:val="001B5EA9"/>
    <w:rsid w:val="001B6F14"/>
    <w:rsid w:val="001C39F6"/>
    <w:rsid w:val="001C5339"/>
    <w:rsid w:val="001C66FE"/>
    <w:rsid w:val="001C72A2"/>
    <w:rsid w:val="001D5BAE"/>
    <w:rsid w:val="001D6904"/>
    <w:rsid w:val="001D7AED"/>
    <w:rsid w:val="001F4151"/>
    <w:rsid w:val="001F4751"/>
    <w:rsid w:val="00200748"/>
    <w:rsid w:val="00205698"/>
    <w:rsid w:val="002059AD"/>
    <w:rsid w:val="002060E4"/>
    <w:rsid w:val="002121FC"/>
    <w:rsid w:val="0022332C"/>
    <w:rsid w:val="002240D3"/>
    <w:rsid w:val="0022492F"/>
    <w:rsid w:val="00226EC9"/>
    <w:rsid w:val="00232FD3"/>
    <w:rsid w:val="00236E6D"/>
    <w:rsid w:val="002429E5"/>
    <w:rsid w:val="00242F4F"/>
    <w:rsid w:val="00243C89"/>
    <w:rsid w:val="0024734F"/>
    <w:rsid w:val="00252372"/>
    <w:rsid w:val="0025502A"/>
    <w:rsid w:val="00257B3B"/>
    <w:rsid w:val="0027069E"/>
    <w:rsid w:val="0027281A"/>
    <w:rsid w:val="002768A8"/>
    <w:rsid w:val="00280CEF"/>
    <w:rsid w:val="00282860"/>
    <w:rsid w:val="00282FFC"/>
    <w:rsid w:val="002863B9"/>
    <w:rsid w:val="0028757A"/>
    <w:rsid w:val="002945AB"/>
    <w:rsid w:val="002B2712"/>
    <w:rsid w:val="002B30E5"/>
    <w:rsid w:val="002B63B5"/>
    <w:rsid w:val="002C001E"/>
    <w:rsid w:val="002D2584"/>
    <w:rsid w:val="002E2492"/>
    <w:rsid w:val="002E52FA"/>
    <w:rsid w:val="002E68B4"/>
    <w:rsid w:val="002E68BA"/>
    <w:rsid w:val="002E6B84"/>
    <w:rsid w:val="002F09C1"/>
    <w:rsid w:val="002F1E12"/>
    <w:rsid w:val="00301D76"/>
    <w:rsid w:val="0030468B"/>
    <w:rsid w:val="00304BD0"/>
    <w:rsid w:val="00307D77"/>
    <w:rsid w:val="00307DE3"/>
    <w:rsid w:val="00310E16"/>
    <w:rsid w:val="0031255B"/>
    <w:rsid w:val="00313E9E"/>
    <w:rsid w:val="003150D5"/>
    <w:rsid w:val="00320F78"/>
    <w:rsid w:val="003222C0"/>
    <w:rsid w:val="0033647E"/>
    <w:rsid w:val="00341ADC"/>
    <w:rsid w:val="00346DD3"/>
    <w:rsid w:val="0035768F"/>
    <w:rsid w:val="0036017D"/>
    <w:rsid w:val="003621D5"/>
    <w:rsid w:val="00370BF4"/>
    <w:rsid w:val="00371BAE"/>
    <w:rsid w:val="00372147"/>
    <w:rsid w:val="00376C4C"/>
    <w:rsid w:val="00376F42"/>
    <w:rsid w:val="00377A12"/>
    <w:rsid w:val="00380F76"/>
    <w:rsid w:val="0038177C"/>
    <w:rsid w:val="00385805"/>
    <w:rsid w:val="00387024"/>
    <w:rsid w:val="00393A20"/>
    <w:rsid w:val="00394877"/>
    <w:rsid w:val="003A12D8"/>
    <w:rsid w:val="003A2FA1"/>
    <w:rsid w:val="003A6ED3"/>
    <w:rsid w:val="003B13BD"/>
    <w:rsid w:val="003B288B"/>
    <w:rsid w:val="003B30FE"/>
    <w:rsid w:val="003B358F"/>
    <w:rsid w:val="003B4097"/>
    <w:rsid w:val="003B4838"/>
    <w:rsid w:val="003B4D29"/>
    <w:rsid w:val="003B4DEE"/>
    <w:rsid w:val="003B511C"/>
    <w:rsid w:val="003C1575"/>
    <w:rsid w:val="003D021E"/>
    <w:rsid w:val="003D086B"/>
    <w:rsid w:val="003D0B0C"/>
    <w:rsid w:val="003D200D"/>
    <w:rsid w:val="003D25E7"/>
    <w:rsid w:val="003D3389"/>
    <w:rsid w:val="003D5275"/>
    <w:rsid w:val="003D58BA"/>
    <w:rsid w:val="003D63DF"/>
    <w:rsid w:val="003D6A00"/>
    <w:rsid w:val="003D717D"/>
    <w:rsid w:val="003D737F"/>
    <w:rsid w:val="003E0E94"/>
    <w:rsid w:val="003E1CE3"/>
    <w:rsid w:val="003E5F55"/>
    <w:rsid w:val="003E6780"/>
    <w:rsid w:val="003F5437"/>
    <w:rsid w:val="003F66FD"/>
    <w:rsid w:val="003F67EE"/>
    <w:rsid w:val="003F7422"/>
    <w:rsid w:val="003F7474"/>
    <w:rsid w:val="004029EB"/>
    <w:rsid w:val="0040342C"/>
    <w:rsid w:val="00404616"/>
    <w:rsid w:val="00407B6A"/>
    <w:rsid w:val="00412D51"/>
    <w:rsid w:val="00414400"/>
    <w:rsid w:val="0041687F"/>
    <w:rsid w:val="004171DC"/>
    <w:rsid w:val="00421437"/>
    <w:rsid w:val="004308DC"/>
    <w:rsid w:val="0044196E"/>
    <w:rsid w:val="004448DC"/>
    <w:rsid w:val="0045081D"/>
    <w:rsid w:val="00456E06"/>
    <w:rsid w:val="00461D28"/>
    <w:rsid w:val="0046406C"/>
    <w:rsid w:val="00470EA0"/>
    <w:rsid w:val="00474168"/>
    <w:rsid w:val="00474210"/>
    <w:rsid w:val="0047450D"/>
    <w:rsid w:val="00480B96"/>
    <w:rsid w:val="00481837"/>
    <w:rsid w:val="0048303E"/>
    <w:rsid w:val="0048523D"/>
    <w:rsid w:val="004920F6"/>
    <w:rsid w:val="00494312"/>
    <w:rsid w:val="00495CD8"/>
    <w:rsid w:val="004A67E8"/>
    <w:rsid w:val="004B313C"/>
    <w:rsid w:val="004B5E68"/>
    <w:rsid w:val="004C2019"/>
    <w:rsid w:val="004C2F75"/>
    <w:rsid w:val="004C3D65"/>
    <w:rsid w:val="004C4DCC"/>
    <w:rsid w:val="004C5A2A"/>
    <w:rsid w:val="004D1EC1"/>
    <w:rsid w:val="004D3C55"/>
    <w:rsid w:val="004D547A"/>
    <w:rsid w:val="004D6472"/>
    <w:rsid w:val="004D68FA"/>
    <w:rsid w:val="004D7CE8"/>
    <w:rsid w:val="004E3B55"/>
    <w:rsid w:val="004E3B94"/>
    <w:rsid w:val="004E3CE3"/>
    <w:rsid w:val="004E558C"/>
    <w:rsid w:val="004F336C"/>
    <w:rsid w:val="004F4DC3"/>
    <w:rsid w:val="004F76BA"/>
    <w:rsid w:val="00504967"/>
    <w:rsid w:val="005056DB"/>
    <w:rsid w:val="00510B96"/>
    <w:rsid w:val="005121EE"/>
    <w:rsid w:val="00512CA3"/>
    <w:rsid w:val="00512D0C"/>
    <w:rsid w:val="0051735C"/>
    <w:rsid w:val="00523019"/>
    <w:rsid w:val="0052342F"/>
    <w:rsid w:val="005257A2"/>
    <w:rsid w:val="00531643"/>
    <w:rsid w:val="005352E0"/>
    <w:rsid w:val="0053615F"/>
    <w:rsid w:val="005402B2"/>
    <w:rsid w:val="0054176C"/>
    <w:rsid w:val="00551638"/>
    <w:rsid w:val="005521ED"/>
    <w:rsid w:val="00552852"/>
    <w:rsid w:val="00554368"/>
    <w:rsid w:val="00554EF8"/>
    <w:rsid w:val="00556105"/>
    <w:rsid w:val="00556EE4"/>
    <w:rsid w:val="00557F59"/>
    <w:rsid w:val="00563036"/>
    <w:rsid w:val="00565B78"/>
    <w:rsid w:val="0056765D"/>
    <w:rsid w:val="0057019B"/>
    <w:rsid w:val="00570AB5"/>
    <w:rsid w:val="005714F9"/>
    <w:rsid w:val="005729FA"/>
    <w:rsid w:val="00575EFA"/>
    <w:rsid w:val="00575F0A"/>
    <w:rsid w:val="00576338"/>
    <w:rsid w:val="00583D75"/>
    <w:rsid w:val="005863FD"/>
    <w:rsid w:val="00593462"/>
    <w:rsid w:val="00593959"/>
    <w:rsid w:val="00597171"/>
    <w:rsid w:val="00597D3F"/>
    <w:rsid w:val="005A6A82"/>
    <w:rsid w:val="005B2014"/>
    <w:rsid w:val="005B3935"/>
    <w:rsid w:val="005B79E9"/>
    <w:rsid w:val="005B7C62"/>
    <w:rsid w:val="005C1A45"/>
    <w:rsid w:val="005C5415"/>
    <w:rsid w:val="005C58D5"/>
    <w:rsid w:val="005C7062"/>
    <w:rsid w:val="005E1256"/>
    <w:rsid w:val="005E190C"/>
    <w:rsid w:val="005E4912"/>
    <w:rsid w:val="005E4CA8"/>
    <w:rsid w:val="005E6F1F"/>
    <w:rsid w:val="005F2A38"/>
    <w:rsid w:val="005F44D1"/>
    <w:rsid w:val="005F5D5C"/>
    <w:rsid w:val="00600E10"/>
    <w:rsid w:val="00601902"/>
    <w:rsid w:val="00604A70"/>
    <w:rsid w:val="006127BA"/>
    <w:rsid w:val="00612E40"/>
    <w:rsid w:val="006133D7"/>
    <w:rsid w:val="00621129"/>
    <w:rsid w:val="00622F52"/>
    <w:rsid w:val="006236C8"/>
    <w:rsid w:val="00625923"/>
    <w:rsid w:val="00633916"/>
    <w:rsid w:val="00641D2B"/>
    <w:rsid w:val="00642912"/>
    <w:rsid w:val="00652747"/>
    <w:rsid w:val="00653018"/>
    <w:rsid w:val="00656258"/>
    <w:rsid w:val="00657EBE"/>
    <w:rsid w:val="00662D3E"/>
    <w:rsid w:val="0066342A"/>
    <w:rsid w:val="00663C6D"/>
    <w:rsid w:val="00663E6F"/>
    <w:rsid w:val="00664B35"/>
    <w:rsid w:val="00671A0D"/>
    <w:rsid w:val="00672DDD"/>
    <w:rsid w:val="00675EF3"/>
    <w:rsid w:val="00676779"/>
    <w:rsid w:val="00676C91"/>
    <w:rsid w:val="0068475C"/>
    <w:rsid w:val="006855CA"/>
    <w:rsid w:val="00687B90"/>
    <w:rsid w:val="00690B77"/>
    <w:rsid w:val="00690DD4"/>
    <w:rsid w:val="0069428C"/>
    <w:rsid w:val="0069557D"/>
    <w:rsid w:val="00697AC2"/>
    <w:rsid w:val="00697F5B"/>
    <w:rsid w:val="006A366D"/>
    <w:rsid w:val="006A4481"/>
    <w:rsid w:val="006A51AA"/>
    <w:rsid w:val="006A5722"/>
    <w:rsid w:val="006B02AE"/>
    <w:rsid w:val="006B271C"/>
    <w:rsid w:val="006B4781"/>
    <w:rsid w:val="006B68B0"/>
    <w:rsid w:val="006C0955"/>
    <w:rsid w:val="006C4000"/>
    <w:rsid w:val="006C433E"/>
    <w:rsid w:val="006C75B3"/>
    <w:rsid w:val="006D387C"/>
    <w:rsid w:val="006D3C6E"/>
    <w:rsid w:val="006D6D8C"/>
    <w:rsid w:val="006E56E8"/>
    <w:rsid w:val="006E68BC"/>
    <w:rsid w:val="006F1220"/>
    <w:rsid w:val="006F1444"/>
    <w:rsid w:val="006F3F3D"/>
    <w:rsid w:val="006F418B"/>
    <w:rsid w:val="006F5885"/>
    <w:rsid w:val="006F6893"/>
    <w:rsid w:val="006F6906"/>
    <w:rsid w:val="00702EA7"/>
    <w:rsid w:val="00703E9D"/>
    <w:rsid w:val="0070682A"/>
    <w:rsid w:val="00711200"/>
    <w:rsid w:val="007137E7"/>
    <w:rsid w:val="00714C41"/>
    <w:rsid w:val="00717183"/>
    <w:rsid w:val="0072397F"/>
    <w:rsid w:val="00731922"/>
    <w:rsid w:val="00731ACB"/>
    <w:rsid w:val="007359D8"/>
    <w:rsid w:val="007368AD"/>
    <w:rsid w:val="00737F83"/>
    <w:rsid w:val="0074106B"/>
    <w:rsid w:val="0074133D"/>
    <w:rsid w:val="00742651"/>
    <w:rsid w:val="00742F3E"/>
    <w:rsid w:val="00744D8D"/>
    <w:rsid w:val="00751476"/>
    <w:rsid w:val="0075196D"/>
    <w:rsid w:val="00754F03"/>
    <w:rsid w:val="0075558C"/>
    <w:rsid w:val="00755F52"/>
    <w:rsid w:val="00761EFA"/>
    <w:rsid w:val="00763401"/>
    <w:rsid w:val="00763636"/>
    <w:rsid w:val="00764873"/>
    <w:rsid w:val="00766C06"/>
    <w:rsid w:val="0076709D"/>
    <w:rsid w:val="007717B5"/>
    <w:rsid w:val="007778DD"/>
    <w:rsid w:val="00780C29"/>
    <w:rsid w:val="00783F26"/>
    <w:rsid w:val="007840EF"/>
    <w:rsid w:val="00793853"/>
    <w:rsid w:val="00796693"/>
    <w:rsid w:val="007A18CD"/>
    <w:rsid w:val="007A4933"/>
    <w:rsid w:val="007A6552"/>
    <w:rsid w:val="007B0932"/>
    <w:rsid w:val="007B28BC"/>
    <w:rsid w:val="007B4BC1"/>
    <w:rsid w:val="007C1517"/>
    <w:rsid w:val="007C195C"/>
    <w:rsid w:val="007C1D9B"/>
    <w:rsid w:val="007C23F4"/>
    <w:rsid w:val="007C2BF4"/>
    <w:rsid w:val="007C2CB1"/>
    <w:rsid w:val="007C3DC2"/>
    <w:rsid w:val="007C7591"/>
    <w:rsid w:val="007C7AFD"/>
    <w:rsid w:val="007D19F6"/>
    <w:rsid w:val="007D1E23"/>
    <w:rsid w:val="007D2EF2"/>
    <w:rsid w:val="007D46F2"/>
    <w:rsid w:val="007D4CB0"/>
    <w:rsid w:val="007D509E"/>
    <w:rsid w:val="007D5CD5"/>
    <w:rsid w:val="007E42AA"/>
    <w:rsid w:val="007F1748"/>
    <w:rsid w:val="007F192A"/>
    <w:rsid w:val="007F2275"/>
    <w:rsid w:val="007F3971"/>
    <w:rsid w:val="007F55B5"/>
    <w:rsid w:val="007F6AE9"/>
    <w:rsid w:val="00807145"/>
    <w:rsid w:val="008109C0"/>
    <w:rsid w:val="00811936"/>
    <w:rsid w:val="008168DE"/>
    <w:rsid w:val="00816A52"/>
    <w:rsid w:val="00822CF6"/>
    <w:rsid w:val="00827295"/>
    <w:rsid w:val="00830D97"/>
    <w:rsid w:val="00832193"/>
    <w:rsid w:val="00836F89"/>
    <w:rsid w:val="00846459"/>
    <w:rsid w:val="0084776B"/>
    <w:rsid w:val="00853B31"/>
    <w:rsid w:val="0086063E"/>
    <w:rsid w:val="00861394"/>
    <w:rsid w:val="00863435"/>
    <w:rsid w:val="00865F3D"/>
    <w:rsid w:val="00872827"/>
    <w:rsid w:val="0087349A"/>
    <w:rsid w:val="00874FC4"/>
    <w:rsid w:val="00874FEC"/>
    <w:rsid w:val="00875052"/>
    <w:rsid w:val="00882BE6"/>
    <w:rsid w:val="00883467"/>
    <w:rsid w:val="00883DD1"/>
    <w:rsid w:val="008842F9"/>
    <w:rsid w:val="00890A1F"/>
    <w:rsid w:val="00894D08"/>
    <w:rsid w:val="00894D8C"/>
    <w:rsid w:val="00895DF4"/>
    <w:rsid w:val="008A44B0"/>
    <w:rsid w:val="008B1A4D"/>
    <w:rsid w:val="008C33E1"/>
    <w:rsid w:val="008D17C4"/>
    <w:rsid w:val="008D204B"/>
    <w:rsid w:val="008D589C"/>
    <w:rsid w:val="008D7A15"/>
    <w:rsid w:val="008E4B24"/>
    <w:rsid w:val="008E7085"/>
    <w:rsid w:val="008F42E3"/>
    <w:rsid w:val="008F60C3"/>
    <w:rsid w:val="00902AD8"/>
    <w:rsid w:val="009051F2"/>
    <w:rsid w:val="009076EF"/>
    <w:rsid w:val="00910AE4"/>
    <w:rsid w:val="00916B75"/>
    <w:rsid w:val="009224EB"/>
    <w:rsid w:val="00926AC5"/>
    <w:rsid w:val="0092702B"/>
    <w:rsid w:val="00930FBE"/>
    <w:rsid w:val="009311D4"/>
    <w:rsid w:val="0093163E"/>
    <w:rsid w:val="00933C2A"/>
    <w:rsid w:val="00936436"/>
    <w:rsid w:val="00936A49"/>
    <w:rsid w:val="00943408"/>
    <w:rsid w:val="00943B61"/>
    <w:rsid w:val="00944B9D"/>
    <w:rsid w:val="009472B2"/>
    <w:rsid w:val="0095047C"/>
    <w:rsid w:val="0095059C"/>
    <w:rsid w:val="00957224"/>
    <w:rsid w:val="00962BE1"/>
    <w:rsid w:val="00963AEC"/>
    <w:rsid w:val="00966BAC"/>
    <w:rsid w:val="009725B2"/>
    <w:rsid w:val="00975E3D"/>
    <w:rsid w:val="0098627C"/>
    <w:rsid w:val="00992466"/>
    <w:rsid w:val="00992B20"/>
    <w:rsid w:val="0099475C"/>
    <w:rsid w:val="009A103F"/>
    <w:rsid w:val="009A2ABE"/>
    <w:rsid w:val="009A4601"/>
    <w:rsid w:val="009A610F"/>
    <w:rsid w:val="009A6A2F"/>
    <w:rsid w:val="009C2703"/>
    <w:rsid w:val="009C302C"/>
    <w:rsid w:val="009C305F"/>
    <w:rsid w:val="009C53F3"/>
    <w:rsid w:val="009C755C"/>
    <w:rsid w:val="009C76D8"/>
    <w:rsid w:val="009C780F"/>
    <w:rsid w:val="009D1516"/>
    <w:rsid w:val="009D2286"/>
    <w:rsid w:val="009E0034"/>
    <w:rsid w:val="009E1A69"/>
    <w:rsid w:val="009E5780"/>
    <w:rsid w:val="009E690B"/>
    <w:rsid w:val="009F0E97"/>
    <w:rsid w:val="009F40AC"/>
    <w:rsid w:val="009F5C38"/>
    <w:rsid w:val="00A00F42"/>
    <w:rsid w:val="00A02AAF"/>
    <w:rsid w:val="00A04A5D"/>
    <w:rsid w:val="00A07C64"/>
    <w:rsid w:val="00A104C4"/>
    <w:rsid w:val="00A1117D"/>
    <w:rsid w:val="00A11B70"/>
    <w:rsid w:val="00A12444"/>
    <w:rsid w:val="00A16B07"/>
    <w:rsid w:val="00A17D65"/>
    <w:rsid w:val="00A2450E"/>
    <w:rsid w:val="00A264AC"/>
    <w:rsid w:val="00A33DE6"/>
    <w:rsid w:val="00A34F5F"/>
    <w:rsid w:val="00A378CE"/>
    <w:rsid w:val="00A405C1"/>
    <w:rsid w:val="00A4323B"/>
    <w:rsid w:val="00A4673C"/>
    <w:rsid w:val="00A46A68"/>
    <w:rsid w:val="00A46B0F"/>
    <w:rsid w:val="00A50EE9"/>
    <w:rsid w:val="00A522E5"/>
    <w:rsid w:val="00A56350"/>
    <w:rsid w:val="00A6098B"/>
    <w:rsid w:val="00A634D1"/>
    <w:rsid w:val="00A7027B"/>
    <w:rsid w:val="00A75535"/>
    <w:rsid w:val="00A77CCA"/>
    <w:rsid w:val="00A817D8"/>
    <w:rsid w:val="00A84131"/>
    <w:rsid w:val="00A8693F"/>
    <w:rsid w:val="00A86969"/>
    <w:rsid w:val="00A86F48"/>
    <w:rsid w:val="00A9262A"/>
    <w:rsid w:val="00A954FC"/>
    <w:rsid w:val="00AA13F9"/>
    <w:rsid w:val="00AA3374"/>
    <w:rsid w:val="00AB1A1E"/>
    <w:rsid w:val="00AB3D66"/>
    <w:rsid w:val="00AD0A33"/>
    <w:rsid w:val="00AD0FB5"/>
    <w:rsid w:val="00AD5199"/>
    <w:rsid w:val="00AD7774"/>
    <w:rsid w:val="00AE0C4A"/>
    <w:rsid w:val="00AE27EE"/>
    <w:rsid w:val="00AF016E"/>
    <w:rsid w:val="00AF7C4A"/>
    <w:rsid w:val="00B03EC1"/>
    <w:rsid w:val="00B07524"/>
    <w:rsid w:val="00B15C15"/>
    <w:rsid w:val="00B203BC"/>
    <w:rsid w:val="00B20AFC"/>
    <w:rsid w:val="00B20BC0"/>
    <w:rsid w:val="00B25AAA"/>
    <w:rsid w:val="00B35B7C"/>
    <w:rsid w:val="00B3635F"/>
    <w:rsid w:val="00B37C1E"/>
    <w:rsid w:val="00B4334D"/>
    <w:rsid w:val="00B52EE8"/>
    <w:rsid w:val="00B52F0F"/>
    <w:rsid w:val="00B53C15"/>
    <w:rsid w:val="00B546AB"/>
    <w:rsid w:val="00B54C18"/>
    <w:rsid w:val="00B573B4"/>
    <w:rsid w:val="00B57809"/>
    <w:rsid w:val="00B61BA7"/>
    <w:rsid w:val="00B63582"/>
    <w:rsid w:val="00B70B73"/>
    <w:rsid w:val="00B720B1"/>
    <w:rsid w:val="00B7312B"/>
    <w:rsid w:val="00B741EA"/>
    <w:rsid w:val="00B76E6E"/>
    <w:rsid w:val="00B810EE"/>
    <w:rsid w:val="00B83C13"/>
    <w:rsid w:val="00B9091B"/>
    <w:rsid w:val="00B92805"/>
    <w:rsid w:val="00B951A9"/>
    <w:rsid w:val="00B96360"/>
    <w:rsid w:val="00BA16BA"/>
    <w:rsid w:val="00BA6D66"/>
    <w:rsid w:val="00BB19B2"/>
    <w:rsid w:val="00BB2C23"/>
    <w:rsid w:val="00BB2E0D"/>
    <w:rsid w:val="00BC0185"/>
    <w:rsid w:val="00BC2FF8"/>
    <w:rsid w:val="00BC5479"/>
    <w:rsid w:val="00BD12B0"/>
    <w:rsid w:val="00BD15E7"/>
    <w:rsid w:val="00BD3522"/>
    <w:rsid w:val="00BD43E6"/>
    <w:rsid w:val="00BE2A72"/>
    <w:rsid w:val="00BE79F9"/>
    <w:rsid w:val="00C03CB6"/>
    <w:rsid w:val="00C0799A"/>
    <w:rsid w:val="00C11D0D"/>
    <w:rsid w:val="00C131E5"/>
    <w:rsid w:val="00C13741"/>
    <w:rsid w:val="00C13FE0"/>
    <w:rsid w:val="00C15C42"/>
    <w:rsid w:val="00C20134"/>
    <w:rsid w:val="00C21DE4"/>
    <w:rsid w:val="00C30120"/>
    <w:rsid w:val="00C31916"/>
    <w:rsid w:val="00C34A94"/>
    <w:rsid w:val="00C3507E"/>
    <w:rsid w:val="00C36183"/>
    <w:rsid w:val="00C4012F"/>
    <w:rsid w:val="00C44071"/>
    <w:rsid w:val="00C509C3"/>
    <w:rsid w:val="00C5506D"/>
    <w:rsid w:val="00C573E1"/>
    <w:rsid w:val="00C57629"/>
    <w:rsid w:val="00C70603"/>
    <w:rsid w:val="00C70EAE"/>
    <w:rsid w:val="00C83B65"/>
    <w:rsid w:val="00C947C4"/>
    <w:rsid w:val="00C95439"/>
    <w:rsid w:val="00C970E7"/>
    <w:rsid w:val="00C97DD7"/>
    <w:rsid w:val="00CA0E6F"/>
    <w:rsid w:val="00CA11D0"/>
    <w:rsid w:val="00CA4F69"/>
    <w:rsid w:val="00CA6E51"/>
    <w:rsid w:val="00CA7AA4"/>
    <w:rsid w:val="00CB1E5D"/>
    <w:rsid w:val="00CB4C99"/>
    <w:rsid w:val="00CC18AA"/>
    <w:rsid w:val="00CC7C6B"/>
    <w:rsid w:val="00CD3398"/>
    <w:rsid w:val="00CD50B5"/>
    <w:rsid w:val="00CD583B"/>
    <w:rsid w:val="00CD5D58"/>
    <w:rsid w:val="00CD73A9"/>
    <w:rsid w:val="00CE05DE"/>
    <w:rsid w:val="00CE1E43"/>
    <w:rsid w:val="00CE4608"/>
    <w:rsid w:val="00CE7C10"/>
    <w:rsid w:val="00CE7DC2"/>
    <w:rsid w:val="00CF02BB"/>
    <w:rsid w:val="00CF484B"/>
    <w:rsid w:val="00CF68CB"/>
    <w:rsid w:val="00CF6FFA"/>
    <w:rsid w:val="00D021A0"/>
    <w:rsid w:val="00D0421C"/>
    <w:rsid w:val="00D067C3"/>
    <w:rsid w:val="00D06F12"/>
    <w:rsid w:val="00D15E22"/>
    <w:rsid w:val="00D21EF3"/>
    <w:rsid w:val="00D25263"/>
    <w:rsid w:val="00D42678"/>
    <w:rsid w:val="00D43518"/>
    <w:rsid w:val="00D46790"/>
    <w:rsid w:val="00D50066"/>
    <w:rsid w:val="00D50214"/>
    <w:rsid w:val="00D56F0C"/>
    <w:rsid w:val="00D62420"/>
    <w:rsid w:val="00D64095"/>
    <w:rsid w:val="00D6422D"/>
    <w:rsid w:val="00D6661F"/>
    <w:rsid w:val="00D6706B"/>
    <w:rsid w:val="00D67420"/>
    <w:rsid w:val="00D7706F"/>
    <w:rsid w:val="00D819EF"/>
    <w:rsid w:val="00D83081"/>
    <w:rsid w:val="00D91B8D"/>
    <w:rsid w:val="00D91C27"/>
    <w:rsid w:val="00D9286A"/>
    <w:rsid w:val="00D93A91"/>
    <w:rsid w:val="00D96866"/>
    <w:rsid w:val="00D974DF"/>
    <w:rsid w:val="00D97648"/>
    <w:rsid w:val="00DA0E99"/>
    <w:rsid w:val="00DA33ED"/>
    <w:rsid w:val="00DA6CD3"/>
    <w:rsid w:val="00DB41A1"/>
    <w:rsid w:val="00DC15E8"/>
    <w:rsid w:val="00DC5925"/>
    <w:rsid w:val="00DC60FA"/>
    <w:rsid w:val="00DE23AF"/>
    <w:rsid w:val="00DE56F8"/>
    <w:rsid w:val="00DE58EF"/>
    <w:rsid w:val="00DF02DB"/>
    <w:rsid w:val="00DF0349"/>
    <w:rsid w:val="00DF44D1"/>
    <w:rsid w:val="00DF601E"/>
    <w:rsid w:val="00DF79E5"/>
    <w:rsid w:val="00E00A8E"/>
    <w:rsid w:val="00E01965"/>
    <w:rsid w:val="00E07131"/>
    <w:rsid w:val="00E14598"/>
    <w:rsid w:val="00E146C1"/>
    <w:rsid w:val="00E17018"/>
    <w:rsid w:val="00E17598"/>
    <w:rsid w:val="00E212B3"/>
    <w:rsid w:val="00E32A50"/>
    <w:rsid w:val="00E36184"/>
    <w:rsid w:val="00E431C8"/>
    <w:rsid w:val="00E53FCB"/>
    <w:rsid w:val="00E5449A"/>
    <w:rsid w:val="00E5615B"/>
    <w:rsid w:val="00E564F5"/>
    <w:rsid w:val="00E603D9"/>
    <w:rsid w:val="00E71421"/>
    <w:rsid w:val="00E73810"/>
    <w:rsid w:val="00E77AC1"/>
    <w:rsid w:val="00E90699"/>
    <w:rsid w:val="00E929E2"/>
    <w:rsid w:val="00E970E3"/>
    <w:rsid w:val="00EA3876"/>
    <w:rsid w:val="00EA5199"/>
    <w:rsid w:val="00EA6C80"/>
    <w:rsid w:val="00EB00DD"/>
    <w:rsid w:val="00EB21EB"/>
    <w:rsid w:val="00EB33EB"/>
    <w:rsid w:val="00EC15C6"/>
    <w:rsid w:val="00EC1A21"/>
    <w:rsid w:val="00EC59D9"/>
    <w:rsid w:val="00EC62AF"/>
    <w:rsid w:val="00EC7037"/>
    <w:rsid w:val="00EC7490"/>
    <w:rsid w:val="00ED5CE8"/>
    <w:rsid w:val="00ED7A05"/>
    <w:rsid w:val="00EE08B6"/>
    <w:rsid w:val="00EE255E"/>
    <w:rsid w:val="00EE334C"/>
    <w:rsid w:val="00EF10A1"/>
    <w:rsid w:val="00EF2546"/>
    <w:rsid w:val="00F02153"/>
    <w:rsid w:val="00F02B9E"/>
    <w:rsid w:val="00F038EB"/>
    <w:rsid w:val="00F04BF5"/>
    <w:rsid w:val="00F12BF2"/>
    <w:rsid w:val="00F15675"/>
    <w:rsid w:val="00F21250"/>
    <w:rsid w:val="00F21625"/>
    <w:rsid w:val="00F22DF7"/>
    <w:rsid w:val="00F2398D"/>
    <w:rsid w:val="00F259D5"/>
    <w:rsid w:val="00F47359"/>
    <w:rsid w:val="00F54C2B"/>
    <w:rsid w:val="00F55B91"/>
    <w:rsid w:val="00F634A3"/>
    <w:rsid w:val="00F667F6"/>
    <w:rsid w:val="00F710F9"/>
    <w:rsid w:val="00F7172F"/>
    <w:rsid w:val="00F71E38"/>
    <w:rsid w:val="00F776F0"/>
    <w:rsid w:val="00F77FA5"/>
    <w:rsid w:val="00F82F3D"/>
    <w:rsid w:val="00F87F40"/>
    <w:rsid w:val="00F920F6"/>
    <w:rsid w:val="00F93B5F"/>
    <w:rsid w:val="00F963A5"/>
    <w:rsid w:val="00FA02BF"/>
    <w:rsid w:val="00FA0AE4"/>
    <w:rsid w:val="00FA23FB"/>
    <w:rsid w:val="00FB14D6"/>
    <w:rsid w:val="00FB4DBA"/>
    <w:rsid w:val="00FB667E"/>
    <w:rsid w:val="00FC0136"/>
    <w:rsid w:val="00FC1341"/>
    <w:rsid w:val="00FC5B23"/>
    <w:rsid w:val="00FC63D0"/>
    <w:rsid w:val="00FC6B53"/>
    <w:rsid w:val="00FC7E7A"/>
    <w:rsid w:val="00FD3604"/>
    <w:rsid w:val="00FE0822"/>
    <w:rsid w:val="00FE1B70"/>
    <w:rsid w:val="00FE47EC"/>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0E5BA"/>
  <w15:docId w15:val="{CC4671CF-3588-474D-BBD9-CA837710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CF9"/>
    <w:rPr>
      <w:sz w:val="24"/>
      <w:szCs w:val="24"/>
    </w:rPr>
  </w:style>
  <w:style w:type="paragraph" w:styleId="Heading1">
    <w:name w:val="heading 1"/>
    <w:basedOn w:val="Normal"/>
    <w:next w:val="Normal"/>
    <w:link w:val="Heading1Char"/>
    <w:autoRedefine/>
    <w:qFormat/>
    <w:rsid w:val="0052342F"/>
    <w:pPr>
      <w:autoSpaceDE w:val="0"/>
      <w:autoSpaceDN w:val="0"/>
      <w:adjustRightInd w:val="0"/>
      <w:spacing w:line="480" w:lineRule="auto"/>
      <w:jc w:val="center"/>
      <w:outlineLvl w:val="0"/>
    </w:pPr>
    <w:rPr>
      <w:rFonts w:eastAsia="Calibri"/>
      <w:b/>
      <w:bCs/>
    </w:rPr>
  </w:style>
  <w:style w:type="paragraph" w:styleId="Heading2">
    <w:name w:val="heading 2"/>
    <w:basedOn w:val="Normal"/>
    <w:next w:val="Normal"/>
    <w:autoRedefine/>
    <w:qFormat/>
    <w:rsid w:val="000B7AF9"/>
    <w:pPr>
      <w:keepNext/>
      <w:spacing w:line="480" w:lineRule="auto"/>
      <w:outlineLvl w:val="1"/>
    </w:pPr>
    <w:rPr>
      <w:rFonts w:cs="Arial"/>
      <w:bCs/>
      <w:i/>
      <w:iCs/>
      <w:szCs w:val="28"/>
    </w:rPr>
  </w:style>
  <w:style w:type="paragraph" w:styleId="Heading3">
    <w:name w:val="heading 3"/>
    <w:basedOn w:val="Normal"/>
    <w:next w:val="Normal"/>
    <w:autoRedefine/>
    <w:qFormat/>
    <w:rsid w:val="000B7AF9"/>
    <w:pPr>
      <w:keepNext/>
      <w:spacing w:line="480" w:lineRule="auto"/>
      <w:ind w:firstLine="72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76779"/>
    <w:pPr>
      <w:tabs>
        <w:tab w:val="center" w:pos="4320"/>
        <w:tab w:val="right" w:pos="8640"/>
      </w:tabs>
    </w:pPr>
  </w:style>
  <w:style w:type="paragraph" w:styleId="Header">
    <w:name w:val="header"/>
    <w:basedOn w:val="Normal"/>
    <w:rsid w:val="00676779"/>
    <w:pPr>
      <w:tabs>
        <w:tab w:val="center" w:pos="4320"/>
        <w:tab w:val="right" w:pos="8640"/>
      </w:tabs>
    </w:pPr>
  </w:style>
  <w:style w:type="paragraph" w:customStyle="1" w:styleId="Level1">
    <w:name w:val="Level 1"/>
    <w:rsid w:val="00676779"/>
    <w:pPr>
      <w:autoSpaceDE w:val="0"/>
      <w:autoSpaceDN w:val="0"/>
      <w:adjustRightInd w:val="0"/>
      <w:ind w:left="720"/>
    </w:pPr>
    <w:rPr>
      <w:sz w:val="24"/>
      <w:szCs w:val="24"/>
    </w:rPr>
  </w:style>
  <w:style w:type="character" w:customStyle="1" w:styleId="SYSHYPERTEXT">
    <w:name w:val="SYS_HYPERTEXT"/>
    <w:rsid w:val="00676779"/>
    <w:rPr>
      <w:noProof/>
      <w:color w:val="0000FF"/>
      <w:u w:val="single"/>
    </w:rPr>
  </w:style>
  <w:style w:type="character" w:customStyle="1" w:styleId="QuickFormat2">
    <w:name w:val="QuickFormat2"/>
    <w:rsid w:val="00676779"/>
    <w:rPr>
      <w:rFonts w:ascii="Arial" w:hAnsi="Arial" w:cs="Arial"/>
    </w:rPr>
  </w:style>
  <w:style w:type="character" w:customStyle="1" w:styleId="QuickFormat3">
    <w:name w:val="QuickFormat3"/>
    <w:rsid w:val="00676779"/>
    <w:rPr>
      <w:rFonts w:ascii="Arial" w:hAnsi="Arial" w:cs="Arial"/>
      <w:b/>
      <w:bCs/>
      <w:i/>
      <w:iCs/>
    </w:rPr>
  </w:style>
  <w:style w:type="paragraph" w:styleId="Title">
    <w:name w:val="Title"/>
    <w:basedOn w:val="Normal"/>
    <w:qFormat/>
    <w:rsid w:val="00676779"/>
    <w:pPr>
      <w:autoSpaceDE w:val="0"/>
      <w:autoSpaceDN w:val="0"/>
      <w:adjustRightInd w:val="0"/>
      <w:jc w:val="center"/>
    </w:pPr>
    <w:rPr>
      <w:sz w:val="28"/>
      <w:szCs w:val="28"/>
    </w:rPr>
  </w:style>
  <w:style w:type="paragraph" w:styleId="BodyText">
    <w:name w:val="Body Text"/>
    <w:basedOn w:val="Normal"/>
    <w:rsid w:val="00676779"/>
    <w:pPr>
      <w:autoSpaceDE w:val="0"/>
      <w:autoSpaceDN w:val="0"/>
      <w:adjustRightInd w:val="0"/>
    </w:pPr>
    <w:rPr>
      <w:sz w:val="22"/>
      <w:szCs w:val="22"/>
    </w:rPr>
  </w:style>
  <w:style w:type="paragraph" w:styleId="Subtitle">
    <w:name w:val="Subtitle"/>
    <w:basedOn w:val="Normal"/>
    <w:qFormat/>
    <w:rsid w:val="00676779"/>
    <w:pPr>
      <w:autoSpaceDE w:val="0"/>
      <w:autoSpaceDN w:val="0"/>
      <w:adjustRightInd w:val="0"/>
    </w:pPr>
    <w:rPr>
      <w:b/>
      <w:bCs/>
    </w:rPr>
  </w:style>
  <w:style w:type="paragraph" w:styleId="BodyTextIndent">
    <w:name w:val="Body Text Indent"/>
    <w:basedOn w:val="Normal"/>
    <w:rsid w:val="00676779"/>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76779"/>
    <w:pPr>
      <w:autoSpaceDE w:val="0"/>
      <w:autoSpaceDN w:val="0"/>
      <w:adjustRightInd w:val="0"/>
    </w:pPr>
    <w:rPr>
      <w:rFonts w:ascii="Arial" w:hAnsi="Arial" w:cs="Arial"/>
      <w:sz w:val="24"/>
      <w:szCs w:val="24"/>
    </w:rPr>
  </w:style>
  <w:style w:type="character" w:styleId="PageNumber">
    <w:name w:val="page number"/>
    <w:basedOn w:val="DefaultParagraphFont"/>
    <w:rsid w:val="00676779"/>
  </w:style>
  <w:style w:type="paragraph" w:styleId="BodyText2">
    <w:name w:val="Body Text 2"/>
    <w:basedOn w:val="Normal"/>
    <w:rsid w:val="00676779"/>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76779"/>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76779"/>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76779"/>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855CA"/>
    <w:pPr>
      <w:spacing w:before="120" w:after="120" w:line="480" w:lineRule="auto"/>
    </w:pPr>
    <w:rPr>
      <w:bCs/>
      <w:i/>
      <w:szCs w:val="20"/>
    </w:rPr>
  </w:style>
  <w:style w:type="paragraph" w:styleId="TableofFigures">
    <w:name w:val="table of figures"/>
    <w:basedOn w:val="Normal"/>
    <w:next w:val="Normal"/>
    <w:semiHidden/>
    <w:rsid w:val="00676779"/>
    <w:pPr>
      <w:ind w:left="480" w:hanging="480"/>
    </w:pPr>
  </w:style>
  <w:style w:type="character" w:styleId="Hyperlink">
    <w:name w:val="Hyperlink"/>
    <w:uiPriority w:val="99"/>
    <w:rsid w:val="00676779"/>
    <w:rPr>
      <w:color w:val="0000FF"/>
      <w:u w:val="single"/>
    </w:rPr>
  </w:style>
  <w:style w:type="paragraph" w:styleId="TOC1">
    <w:name w:val="toc 1"/>
    <w:basedOn w:val="Normal"/>
    <w:next w:val="Normal"/>
    <w:autoRedefine/>
    <w:uiPriority w:val="39"/>
    <w:rsid w:val="00676779"/>
  </w:style>
  <w:style w:type="paragraph" w:styleId="TOC2">
    <w:name w:val="toc 2"/>
    <w:basedOn w:val="Normal"/>
    <w:next w:val="Normal"/>
    <w:autoRedefine/>
    <w:uiPriority w:val="39"/>
    <w:rsid w:val="006A4481"/>
    <w:pPr>
      <w:tabs>
        <w:tab w:val="right" w:leader="dot" w:pos="8630"/>
      </w:tabs>
      <w:spacing w:line="480" w:lineRule="auto"/>
      <w:ind w:left="240"/>
    </w:pPr>
    <w:rPr>
      <w:noProof/>
    </w:rPr>
  </w:style>
  <w:style w:type="paragraph" w:styleId="TOC3">
    <w:name w:val="toc 3"/>
    <w:basedOn w:val="Normal"/>
    <w:next w:val="Normal"/>
    <w:autoRedefine/>
    <w:uiPriority w:val="39"/>
    <w:rsid w:val="00676779"/>
    <w:pPr>
      <w:ind w:left="480"/>
    </w:pPr>
  </w:style>
  <w:style w:type="paragraph" w:styleId="TOC4">
    <w:name w:val="toc 4"/>
    <w:basedOn w:val="Normal"/>
    <w:next w:val="Normal"/>
    <w:autoRedefine/>
    <w:semiHidden/>
    <w:rsid w:val="00676779"/>
    <w:pPr>
      <w:ind w:left="720"/>
    </w:pPr>
  </w:style>
  <w:style w:type="paragraph" w:styleId="TOC5">
    <w:name w:val="toc 5"/>
    <w:basedOn w:val="Normal"/>
    <w:next w:val="Normal"/>
    <w:autoRedefine/>
    <w:semiHidden/>
    <w:rsid w:val="00676779"/>
    <w:pPr>
      <w:ind w:left="960"/>
    </w:pPr>
  </w:style>
  <w:style w:type="paragraph" w:styleId="TOC6">
    <w:name w:val="toc 6"/>
    <w:basedOn w:val="Normal"/>
    <w:next w:val="Normal"/>
    <w:autoRedefine/>
    <w:semiHidden/>
    <w:rsid w:val="00676779"/>
    <w:pPr>
      <w:ind w:left="1200"/>
    </w:pPr>
  </w:style>
  <w:style w:type="paragraph" w:styleId="TOC7">
    <w:name w:val="toc 7"/>
    <w:basedOn w:val="Normal"/>
    <w:next w:val="Normal"/>
    <w:autoRedefine/>
    <w:semiHidden/>
    <w:rsid w:val="00676779"/>
    <w:pPr>
      <w:ind w:left="1440"/>
    </w:pPr>
  </w:style>
  <w:style w:type="paragraph" w:styleId="TOC8">
    <w:name w:val="toc 8"/>
    <w:basedOn w:val="Normal"/>
    <w:next w:val="Normal"/>
    <w:autoRedefine/>
    <w:semiHidden/>
    <w:rsid w:val="00676779"/>
    <w:pPr>
      <w:ind w:left="1680"/>
    </w:pPr>
  </w:style>
  <w:style w:type="paragraph" w:styleId="TOC9">
    <w:name w:val="toc 9"/>
    <w:basedOn w:val="Normal"/>
    <w:next w:val="Normal"/>
    <w:autoRedefine/>
    <w:semiHidden/>
    <w:rsid w:val="00676779"/>
    <w:pPr>
      <w:ind w:left="1920"/>
    </w:pPr>
  </w:style>
  <w:style w:type="paragraph" w:customStyle="1" w:styleId="thesistext">
    <w:name w:val="thesis text"/>
    <w:basedOn w:val="Normal"/>
    <w:autoRedefine/>
    <w:rsid w:val="00676779"/>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52342F"/>
    <w:rPr>
      <w:rFonts w:eastAsia="Calibri"/>
      <w:b/>
      <w:bCs/>
      <w:sz w:val="24"/>
      <w:szCs w:val="24"/>
    </w:rPr>
  </w:style>
  <w:style w:type="character" w:styleId="CommentReference">
    <w:name w:val="annotation reference"/>
    <w:basedOn w:val="DefaultParagraphFont"/>
    <w:uiPriority w:val="99"/>
    <w:semiHidden/>
    <w:unhideWhenUsed/>
    <w:rsid w:val="00370BF4"/>
    <w:rPr>
      <w:sz w:val="16"/>
      <w:szCs w:val="16"/>
    </w:rPr>
  </w:style>
  <w:style w:type="paragraph" w:customStyle="1" w:styleId="CommentText1">
    <w:name w:val="Comment Text1"/>
    <w:basedOn w:val="Normal"/>
    <w:next w:val="CommentText"/>
    <w:link w:val="CommentTextChar"/>
    <w:uiPriority w:val="99"/>
    <w:semiHidden/>
    <w:unhideWhenUsed/>
    <w:rsid w:val="00370BF4"/>
    <w:pPr>
      <w:spacing w:after="160"/>
    </w:pPr>
    <w:rPr>
      <w:sz w:val="20"/>
      <w:szCs w:val="20"/>
    </w:rPr>
  </w:style>
  <w:style w:type="character" w:customStyle="1" w:styleId="CommentTextChar">
    <w:name w:val="Comment Text Char"/>
    <w:basedOn w:val="DefaultParagraphFont"/>
    <w:link w:val="CommentText1"/>
    <w:uiPriority w:val="99"/>
    <w:semiHidden/>
    <w:rsid w:val="00370BF4"/>
    <w:rPr>
      <w:sz w:val="20"/>
      <w:szCs w:val="20"/>
    </w:rPr>
  </w:style>
  <w:style w:type="paragraph" w:styleId="CommentText">
    <w:name w:val="annotation text"/>
    <w:basedOn w:val="Normal"/>
    <w:link w:val="CommentTextChar1"/>
    <w:semiHidden/>
    <w:unhideWhenUsed/>
    <w:rsid w:val="00370BF4"/>
    <w:rPr>
      <w:sz w:val="20"/>
      <w:szCs w:val="20"/>
    </w:rPr>
  </w:style>
  <w:style w:type="character" w:customStyle="1" w:styleId="CommentTextChar1">
    <w:name w:val="Comment Text Char1"/>
    <w:basedOn w:val="DefaultParagraphFont"/>
    <w:link w:val="CommentText"/>
    <w:semiHidden/>
    <w:rsid w:val="00370BF4"/>
  </w:style>
  <w:style w:type="paragraph" w:styleId="BalloonText">
    <w:name w:val="Balloon Text"/>
    <w:basedOn w:val="Normal"/>
    <w:link w:val="BalloonTextChar"/>
    <w:semiHidden/>
    <w:unhideWhenUsed/>
    <w:rsid w:val="000B3244"/>
    <w:rPr>
      <w:rFonts w:ascii="Segoe UI" w:hAnsi="Segoe UI" w:cs="Segoe UI"/>
      <w:sz w:val="18"/>
      <w:szCs w:val="18"/>
    </w:rPr>
  </w:style>
  <w:style w:type="character" w:customStyle="1" w:styleId="BalloonTextChar">
    <w:name w:val="Balloon Text Char"/>
    <w:basedOn w:val="DefaultParagraphFont"/>
    <w:link w:val="BalloonText"/>
    <w:semiHidden/>
    <w:rsid w:val="000B3244"/>
    <w:rPr>
      <w:rFonts w:ascii="Segoe UI" w:hAnsi="Segoe UI" w:cs="Segoe UI"/>
      <w:sz w:val="18"/>
      <w:szCs w:val="18"/>
    </w:rPr>
  </w:style>
  <w:style w:type="character" w:styleId="PlaceholderText">
    <w:name w:val="Placeholder Text"/>
    <w:basedOn w:val="DefaultParagraphFont"/>
    <w:uiPriority w:val="99"/>
    <w:semiHidden/>
    <w:rsid w:val="00D25263"/>
    <w:rPr>
      <w:color w:val="808080"/>
    </w:rPr>
  </w:style>
  <w:style w:type="table" w:styleId="TableGrid">
    <w:name w:val="Table Grid"/>
    <w:basedOn w:val="TableNormal"/>
    <w:rsid w:val="006A3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7F3971"/>
    <w:rPr>
      <w:b/>
      <w:bCs/>
    </w:rPr>
  </w:style>
  <w:style w:type="character" w:customStyle="1" w:styleId="CommentSubjectChar">
    <w:name w:val="Comment Subject Char"/>
    <w:basedOn w:val="CommentTextChar1"/>
    <w:link w:val="CommentSubject"/>
    <w:semiHidden/>
    <w:rsid w:val="007F39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27905">
      <w:bodyDiv w:val="1"/>
      <w:marLeft w:val="0"/>
      <w:marRight w:val="0"/>
      <w:marTop w:val="0"/>
      <w:marBottom w:val="0"/>
      <w:divBdr>
        <w:top w:val="none" w:sz="0" w:space="0" w:color="auto"/>
        <w:left w:val="none" w:sz="0" w:space="0" w:color="auto"/>
        <w:bottom w:val="none" w:sz="0" w:space="0" w:color="auto"/>
        <w:right w:val="none" w:sz="0" w:space="0" w:color="auto"/>
      </w:divBdr>
    </w:div>
    <w:div w:id="114905824">
      <w:bodyDiv w:val="1"/>
      <w:marLeft w:val="0"/>
      <w:marRight w:val="0"/>
      <w:marTop w:val="0"/>
      <w:marBottom w:val="0"/>
      <w:divBdr>
        <w:top w:val="none" w:sz="0" w:space="0" w:color="auto"/>
        <w:left w:val="none" w:sz="0" w:space="0" w:color="auto"/>
        <w:bottom w:val="none" w:sz="0" w:space="0" w:color="auto"/>
        <w:right w:val="none" w:sz="0" w:space="0" w:color="auto"/>
      </w:divBdr>
    </w:div>
    <w:div w:id="286356992">
      <w:bodyDiv w:val="1"/>
      <w:marLeft w:val="0"/>
      <w:marRight w:val="0"/>
      <w:marTop w:val="0"/>
      <w:marBottom w:val="0"/>
      <w:divBdr>
        <w:top w:val="none" w:sz="0" w:space="0" w:color="auto"/>
        <w:left w:val="none" w:sz="0" w:space="0" w:color="auto"/>
        <w:bottom w:val="none" w:sz="0" w:space="0" w:color="auto"/>
        <w:right w:val="none" w:sz="0" w:space="0" w:color="auto"/>
      </w:divBdr>
    </w:div>
    <w:div w:id="410126617">
      <w:bodyDiv w:val="1"/>
      <w:marLeft w:val="0"/>
      <w:marRight w:val="0"/>
      <w:marTop w:val="0"/>
      <w:marBottom w:val="0"/>
      <w:divBdr>
        <w:top w:val="none" w:sz="0" w:space="0" w:color="auto"/>
        <w:left w:val="none" w:sz="0" w:space="0" w:color="auto"/>
        <w:bottom w:val="none" w:sz="0" w:space="0" w:color="auto"/>
        <w:right w:val="none" w:sz="0" w:space="0" w:color="auto"/>
      </w:divBdr>
    </w:div>
    <w:div w:id="427124105">
      <w:bodyDiv w:val="1"/>
      <w:marLeft w:val="0"/>
      <w:marRight w:val="0"/>
      <w:marTop w:val="0"/>
      <w:marBottom w:val="0"/>
      <w:divBdr>
        <w:top w:val="none" w:sz="0" w:space="0" w:color="auto"/>
        <w:left w:val="none" w:sz="0" w:space="0" w:color="auto"/>
        <w:bottom w:val="none" w:sz="0" w:space="0" w:color="auto"/>
        <w:right w:val="none" w:sz="0" w:space="0" w:color="auto"/>
      </w:divBdr>
    </w:div>
    <w:div w:id="470362799">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32702086">
      <w:bodyDiv w:val="1"/>
      <w:marLeft w:val="0"/>
      <w:marRight w:val="0"/>
      <w:marTop w:val="0"/>
      <w:marBottom w:val="0"/>
      <w:divBdr>
        <w:top w:val="none" w:sz="0" w:space="0" w:color="auto"/>
        <w:left w:val="none" w:sz="0" w:space="0" w:color="auto"/>
        <w:bottom w:val="none" w:sz="0" w:space="0" w:color="auto"/>
        <w:right w:val="none" w:sz="0" w:space="0" w:color="auto"/>
      </w:divBdr>
    </w:div>
    <w:div w:id="960379461">
      <w:bodyDiv w:val="1"/>
      <w:marLeft w:val="0"/>
      <w:marRight w:val="0"/>
      <w:marTop w:val="0"/>
      <w:marBottom w:val="0"/>
      <w:divBdr>
        <w:top w:val="none" w:sz="0" w:space="0" w:color="auto"/>
        <w:left w:val="none" w:sz="0" w:space="0" w:color="auto"/>
        <w:bottom w:val="none" w:sz="0" w:space="0" w:color="auto"/>
        <w:right w:val="none" w:sz="0" w:space="0" w:color="auto"/>
      </w:divBdr>
    </w:div>
    <w:div w:id="1034501177">
      <w:bodyDiv w:val="1"/>
      <w:marLeft w:val="0"/>
      <w:marRight w:val="0"/>
      <w:marTop w:val="0"/>
      <w:marBottom w:val="0"/>
      <w:divBdr>
        <w:top w:val="none" w:sz="0" w:space="0" w:color="auto"/>
        <w:left w:val="none" w:sz="0" w:space="0" w:color="auto"/>
        <w:bottom w:val="none" w:sz="0" w:space="0" w:color="auto"/>
        <w:right w:val="none" w:sz="0" w:space="0" w:color="auto"/>
      </w:divBdr>
    </w:div>
    <w:div w:id="1050884694">
      <w:bodyDiv w:val="1"/>
      <w:marLeft w:val="0"/>
      <w:marRight w:val="0"/>
      <w:marTop w:val="0"/>
      <w:marBottom w:val="0"/>
      <w:divBdr>
        <w:top w:val="none" w:sz="0" w:space="0" w:color="auto"/>
        <w:left w:val="none" w:sz="0" w:space="0" w:color="auto"/>
        <w:bottom w:val="none" w:sz="0" w:space="0" w:color="auto"/>
        <w:right w:val="none" w:sz="0" w:space="0" w:color="auto"/>
      </w:divBdr>
    </w:div>
    <w:div w:id="1468938768">
      <w:bodyDiv w:val="1"/>
      <w:marLeft w:val="0"/>
      <w:marRight w:val="0"/>
      <w:marTop w:val="0"/>
      <w:marBottom w:val="0"/>
      <w:divBdr>
        <w:top w:val="none" w:sz="0" w:space="0" w:color="auto"/>
        <w:left w:val="none" w:sz="0" w:space="0" w:color="auto"/>
        <w:bottom w:val="none" w:sz="0" w:space="0" w:color="auto"/>
        <w:right w:val="none" w:sz="0" w:space="0" w:color="auto"/>
      </w:divBdr>
    </w:div>
    <w:div w:id="1550452527">
      <w:bodyDiv w:val="1"/>
      <w:marLeft w:val="0"/>
      <w:marRight w:val="0"/>
      <w:marTop w:val="0"/>
      <w:marBottom w:val="0"/>
      <w:divBdr>
        <w:top w:val="none" w:sz="0" w:space="0" w:color="auto"/>
        <w:left w:val="none" w:sz="0" w:space="0" w:color="auto"/>
        <w:bottom w:val="none" w:sz="0" w:space="0" w:color="auto"/>
        <w:right w:val="none" w:sz="0" w:space="0" w:color="auto"/>
      </w:divBdr>
    </w:div>
    <w:div w:id="2007901804">
      <w:bodyDiv w:val="1"/>
      <w:marLeft w:val="0"/>
      <w:marRight w:val="0"/>
      <w:marTop w:val="0"/>
      <w:marBottom w:val="0"/>
      <w:divBdr>
        <w:top w:val="none" w:sz="0" w:space="0" w:color="auto"/>
        <w:left w:val="none" w:sz="0" w:space="0" w:color="auto"/>
        <w:bottom w:val="none" w:sz="0" w:space="0" w:color="auto"/>
        <w:right w:val="none" w:sz="0" w:space="0" w:color="auto"/>
      </w:divBdr>
    </w:div>
    <w:div w:id="2068455998">
      <w:bodyDiv w:val="1"/>
      <w:marLeft w:val="0"/>
      <w:marRight w:val="0"/>
      <w:marTop w:val="0"/>
      <w:marBottom w:val="0"/>
      <w:divBdr>
        <w:top w:val="none" w:sz="0" w:space="0" w:color="auto"/>
        <w:left w:val="none" w:sz="0" w:space="0" w:color="auto"/>
        <w:bottom w:val="none" w:sz="0" w:space="0" w:color="auto"/>
        <w:right w:val="none" w:sz="0" w:space="0" w:color="auto"/>
      </w:divBdr>
    </w:div>
    <w:div w:id="2129741162">
      <w:bodyDiv w:val="1"/>
      <w:marLeft w:val="0"/>
      <w:marRight w:val="0"/>
      <w:marTop w:val="0"/>
      <w:marBottom w:val="0"/>
      <w:divBdr>
        <w:top w:val="none" w:sz="0" w:space="0" w:color="auto"/>
        <w:left w:val="none" w:sz="0" w:space="0" w:color="auto"/>
        <w:bottom w:val="none" w:sz="0" w:space="0" w:color="auto"/>
        <w:right w:val="none" w:sz="0" w:space="0" w:color="auto"/>
      </w:divBdr>
    </w:div>
    <w:div w:id="2140025872">
      <w:bodyDiv w:val="1"/>
      <w:marLeft w:val="0"/>
      <w:marRight w:val="0"/>
      <w:marTop w:val="0"/>
      <w:marBottom w:val="0"/>
      <w:divBdr>
        <w:top w:val="none" w:sz="0" w:space="0" w:color="auto"/>
        <w:left w:val="none" w:sz="0" w:space="0" w:color="auto"/>
        <w:bottom w:val="none" w:sz="0" w:space="0" w:color="auto"/>
        <w:right w:val="none" w:sz="0" w:space="0" w:color="auto"/>
      </w:divBdr>
    </w:div>
    <w:div w:id="214245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hester\Downloads\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46ED6-79C4-4651-B147-AF12F21C0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Template>
  <TotalTime>389</TotalTime>
  <Pages>85</Pages>
  <Words>18412</Words>
  <Characters>104950</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123116</CharactersWithSpaces>
  <SharedDoc>false</SharedDoc>
  <HLinks>
    <vt:vector size="168" baseType="variant">
      <vt:variant>
        <vt:i4>6946926</vt:i4>
      </vt:variant>
      <vt:variant>
        <vt:i4>177</vt:i4>
      </vt:variant>
      <vt:variant>
        <vt:i4>0</vt:i4>
      </vt:variant>
      <vt:variant>
        <vt:i4>5</vt:i4>
      </vt:variant>
      <vt:variant>
        <vt:lpwstr>http://web.utk.edu/~thesis/Guide11.pdf</vt:lpwstr>
      </vt:variant>
      <vt:variant>
        <vt:lpwstr/>
      </vt:variant>
      <vt:variant>
        <vt:i4>3473510</vt:i4>
      </vt:variant>
      <vt:variant>
        <vt:i4>165</vt:i4>
      </vt:variant>
      <vt:variant>
        <vt:i4>0</vt:i4>
      </vt:variant>
      <vt:variant>
        <vt:i4>5</vt:i4>
      </vt:variant>
      <vt:variant>
        <vt:lpwstr>http://gradschool.utk.edu/ddategraduation.shtml</vt:lpwstr>
      </vt:variant>
      <vt:variant>
        <vt:lpwstr/>
      </vt:variant>
      <vt:variant>
        <vt:i4>1310780</vt:i4>
      </vt:variant>
      <vt:variant>
        <vt:i4>158</vt:i4>
      </vt:variant>
      <vt:variant>
        <vt:i4>0</vt:i4>
      </vt:variant>
      <vt:variant>
        <vt:i4>5</vt:i4>
      </vt:variant>
      <vt:variant>
        <vt:lpwstr/>
      </vt:variant>
      <vt:variant>
        <vt:lpwstr>_Toc202755916</vt:lpwstr>
      </vt:variant>
      <vt:variant>
        <vt:i4>1310780</vt:i4>
      </vt:variant>
      <vt:variant>
        <vt:i4>149</vt:i4>
      </vt:variant>
      <vt:variant>
        <vt:i4>0</vt:i4>
      </vt:variant>
      <vt:variant>
        <vt:i4>5</vt:i4>
      </vt:variant>
      <vt:variant>
        <vt:lpwstr/>
      </vt:variant>
      <vt:variant>
        <vt:lpwstr>_Toc202755915</vt:lpwstr>
      </vt:variant>
      <vt:variant>
        <vt:i4>1179709</vt:i4>
      </vt:variant>
      <vt:variant>
        <vt:i4>140</vt:i4>
      </vt:variant>
      <vt:variant>
        <vt:i4>0</vt:i4>
      </vt:variant>
      <vt:variant>
        <vt:i4>5</vt:i4>
      </vt:variant>
      <vt:variant>
        <vt:lpwstr/>
      </vt:variant>
      <vt:variant>
        <vt:lpwstr>_Toc420996087</vt:lpwstr>
      </vt:variant>
      <vt:variant>
        <vt:i4>1179709</vt:i4>
      </vt:variant>
      <vt:variant>
        <vt:i4>134</vt:i4>
      </vt:variant>
      <vt:variant>
        <vt:i4>0</vt:i4>
      </vt:variant>
      <vt:variant>
        <vt:i4>5</vt:i4>
      </vt:variant>
      <vt:variant>
        <vt:lpwstr/>
      </vt:variant>
      <vt:variant>
        <vt:lpwstr>_Toc420996086</vt:lpwstr>
      </vt:variant>
      <vt:variant>
        <vt:i4>1179709</vt:i4>
      </vt:variant>
      <vt:variant>
        <vt:i4>128</vt:i4>
      </vt:variant>
      <vt:variant>
        <vt:i4>0</vt:i4>
      </vt:variant>
      <vt:variant>
        <vt:i4>5</vt:i4>
      </vt:variant>
      <vt:variant>
        <vt:lpwstr/>
      </vt:variant>
      <vt:variant>
        <vt:lpwstr>_Toc420996085</vt:lpwstr>
      </vt:variant>
      <vt:variant>
        <vt:i4>1179709</vt:i4>
      </vt:variant>
      <vt:variant>
        <vt:i4>122</vt:i4>
      </vt:variant>
      <vt:variant>
        <vt:i4>0</vt:i4>
      </vt:variant>
      <vt:variant>
        <vt:i4>5</vt:i4>
      </vt:variant>
      <vt:variant>
        <vt:lpwstr/>
      </vt:variant>
      <vt:variant>
        <vt:lpwstr>_Toc420996084</vt:lpwstr>
      </vt:variant>
      <vt:variant>
        <vt:i4>1179709</vt:i4>
      </vt:variant>
      <vt:variant>
        <vt:i4>116</vt:i4>
      </vt:variant>
      <vt:variant>
        <vt:i4>0</vt:i4>
      </vt:variant>
      <vt:variant>
        <vt:i4>5</vt:i4>
      </vt:variant>
      <vt:variant>
        <vt:lpwstr/>
      </vt:variant>
      <vt:variant>
        <vt:lpwstr>_Toc420996083</vt:lpwstr>
      </vt:variant>
      <vt:variant>
        <vt:i4>1179709</vt:i4>
      </vt:variant>
      <vt:variant>
        <vt:i4>110</vt:i4>
      </vt:variant>
      <vt:variant>
        <vt:i4>0</vt:i4>
      </vt:variant>
      <vt:variant>
        <vt:i4>5</vt:i4>
      </vt:variant>
      <vt:variant>
        <vt:lpwstr/>
      </vt:variant>
      <vt:variant>
        <vt:lpwstr>_Toc420996082</vt:lpwstr>
      </vt:variant>
      <vt:variant>
        <vt:i4>1179709</vt:i4>
      </vt:variant>
      <vt:variant>
        <vt:i4>104</vt:i4>
      </vt:variant>
      <vt:variant>
        <vt:i4>0</vt:i4>
      </vt:variant>
      <vt:variant>
        <vt:i4>5</vt:i4>
      </vt:variant>
      <vt:variant>
        <vt:lpwstr/>
      </vt:variant>
      <vt:variant>
        <vt:lpwstr>_Toc420996081</vt:lpwstr>
      </vt:variant>
      <vt:variant>
        <vt:i4>1179709</vt:i4>
      </vt:variant>
      <vt:variant>
        <vt:i4>98</vt:i4>
      </vt:variant>
      <vt:variant>
        <vt:i4>0</vt:i4>
      </vt:variant>
      <vt:variant>
        <vt:i4>5</vt:i4>
      </vt:variant>
      <vt:variant>
        <vt:lpwstr/>
      </vt:variant>
      <vt:variant>
        <vt:lpwstr>_Toc420996080</vt:lpwstr>
      </vt:variant>
      <vt:variant>
        <vt:i4>1900605</vt:i4>
      </vt:variant>
      <vt:variant>
        <vt:i4>92</vt:i4>
      </vt:variant>
      <vt:variant>
        <vt:i4>0</vt:i4>
      </vt:variant>
      <vt:variant>
        <vt:i4>5</vt:i4>
      </vt:variant>
      <vt:variant>
        <vt:lpwstr/>
      </vt:variant>
      <vt:variant>
        <vt:lpwstr>_Toc420996079</vt:lpwstr>
      </vt:variant>
      <vt:variant>
        <vt:i4>1900605</vt:i4>
      </vt:variant>
      <vt:variant>
        <vt:i4>86</vt:i4>
      </vt:variant>
      <vt:variant>
        <vt:i4>0</vt:i4>
      </vt:variant>
      <vt:variant>
        <vt:i4>5</vt:i4>
      </vt:variant>
      <vt:variant>
        <vt:lpwstr/>
      </vt:variant>
      <vt:variant>
        <vt:lpwstr>_Toc420996078</vt:lpwstr>
      </vt:variant>
      <vt:variant>
        <vt:i4>1900605</vt:i4>
      </vt:variant>
      <vt:variant>
        <vt:i4>80</vt:i4>
      </vt:variant>
      <vt:variant>
        <vt:i4>0</vt:i4>
      </vt:variant>
      <vt:variant>
        <vt:i4>5</vt:i4>
      </vt:variant>
      <vt:variant>
        <vt:lpwstr/>
      </vt:variant>
      <vt:variant>
        <vt:lpwstr>_Toc420996077</vt:lpwstr>
      </vt:variant>
      <vt:variant>
        <vt:i4>1900605</vt:i4>
      </vt:variant>
      <vt:variant>
        <vt:i4>74</vt:i4>
      </vt:variant>
      <vt:variant>
        <vt:i4>0</vt:i4>
      </vt:variant>
      <vt:variant>
        <vt:i4>5</vt:i4>
      </vt:variant>
      <vt:variant>
        <vt:lpwstr/>
      </vt:variant>
      <vt:variant>
        <vt:lpwstr>_Toc420996076</vt:lpwstr>
      </vt:variant>
      <vt:variant>
        <vt:i4>1900605</vt:i4>
      </vt:variant>
      <vt:variant>
        <vt:i4>68</vt:i4>
      </vt:variant>
      <vt:variant>
        <vt:i4>0</vt:i4>
      </vt:variant>
      <vt:variant>
        <vt:i4>5</vt:i4>
      </vt:variant>
      <vt:variant>
        <vt:lpwstr/>
      </vt:variant>
      <vt:variant>
        <vt:lpwstr>_Toc420996075</vt:lpwstr>
      </vt:variant>
      <vt:variant>
        <vt:i4>1900605</vt:i4>
      </vt:variant>
      <vt:variant>
        <vt:i4>62</vt:i4>
      </vt:variant>
      <vt:variant>
        <vt:i4>0</vt:i4>
      </vt:variant>
      <vt:variant>
        <vt:i4>5</vt:i4>
      </vt:variant>
      <vt:variant>
        <vt:lpwstr/>
      </vt:variant>
      <vt:variant>
        <vt:lpwstr>_Toc420996074</vt:lpwstr>
      </vt:variant>
      <vt:variant>
        <vt:i4>1900605</vt:i4>
      </vt:variant>
      <vt:variant>
        <vt:i4>56</vt:i4>
      </vt:variant>
      <vt:variant>
        <vt:i4>0</vt:i4>
      </vt:variant>
      <vt:variant>
        <vt:i4>5</vt:i4>
      </vt:variant>
      <vt:variant>
        <vt:lpwstr/>
      </vt:variant>
      <vt:variant>
        <vt:lpwstr>_Toc420996073</vt:lpwstr>
      </vt:variant>
      <vt:variant>
        <vt:i4>1900605</vt:i4>
      </vt:variant>
      <vt:variant>
        <vt:i4>50</vt:i4>
      </vt:variant>
      <vt:variant>
        <vt:i4>0</vt:i4>
      </vt:variant>
      <vt:variant>
        <vt:i4>5</vt:i4>
      </vt:variant>
      <vt:variant>
        <vt:lpwstr/>
      </vt:variant>
      <vt:variant>
        <vt:lpwstr>_Toc420996072</vt:lpwstr>
      </vt:variant>
      <vt:variant>
        <vt:i4>1900605</vt:i4>
      </vt:variant>
      <vt:variant>
        <vt:i4>44</vt:i4>
      </vt:variant>
      <vt:variant>
        <vt:i4>0</vt:i4>
      </vt:variant>
      <vt:variant>
        <vt:i4>5</vt:i4>
      </vt:variant>
      <vt:variant>
        <vt:lpwstr/>
      </vt:variant>
      <vt:variant>
        <vt:lpwstr>_Toc420996071</vt:lpwstr>
      </vt:variant>
      <vt:variant>
        <vt:i4>1900605</vt:i4>
      </vt:variant>
      <vt:variant>
        <vt:i4>38</vt:i4>
      </vt:variant>
      <vt:variant>
        <vt:i4>0</vt:i4>
      </vt:variant>
      <vt:variant>
        <vt:i4>5</vt:i4>
      </vt:variant>
      <vt:variant>
        <vt:lpwstr/>
      </vt:variant>
      <vt:variant>
        <vt:lpwstr>_Toc420996070</vt:lpwstr>
      </vt:variant>
      <vt:variant>
        <vt:i4>1835069</vt:i4>
      </vt:variant>
      <vt:variant>
        <vt:i4>32</vt:i4>
      </vt:variant>
      <vt:variant>
        <vt:i4>0</vt:i4>
      </vt:variant>
      <vt:variant>
        <vt:i4>5</vt:i4>
      </vt:variant>
      <vt:variant>
        <vt:lpwstr/>
      </vt:variant>
      <vt:variant>
        <vt:lpwstr>_Toc420996069</vt:lpwstr>
      </vt:variant>
      <vt:variant>
        <vt:i4>1835069</vt:i4>
      </vt:variant>
      <vt:variant>
        <vt:i4>26</vt:i4>
      </vt:variant>
      <vt:variant>
        <vt:i4>0</vt:i4>
      </vt:variant>
      <vt:variant>
        <vt:i4>5</vt:i4>
      </vt:variant>
      <vt:variant>
        <vt:lpwstr/>
      </vt:variant>
      <vt:variant>
        <vt:lpwstr>_Toc420996068</vt:lpwstr>
      </vt:variant>
      <vt:variant>
        <vt:i4>1835069</vt:i4>
      </vt:variant>
      <vt:variant>
        <vt:i4>20</vt:i4>
      </vt:variant>
      <vt:variant>
        <vt:i4>0</vt:i4>
      </vt:variant>
      <vt:variant>
        <vt:i4>5</vt:i4>
      </vt:variant>
      <vt:variant>
        <vt:lpwstr/>
      </vt:variant>
      <vt:variant>
        <vt:lpwstr>_Toc420996067</vt:lpwstr>
      </vt:variant>
      <vt:variant>
        <vt:i4>1835069</vt:i4>
      </vt:variant>
      <vt:variant>
        <vt:i4>14</vt:i4>
      </vt:variant>
      <vt:variant>
        <vt:i4>0</vt:i4>
      </vt:variant>
      <vt:variant>
        <vt:i4>5</vt:i4>
      </vt:variant>
      <vt:variant>
        <vt:lpwstr/>
      </vt:variant>
      <vt:variant>
        <vt:lpwstr>_Toc420996066</vt:lpwstr>
      </vt:variant>
      <vt:variant>
        <vt:i4>1835069</vt:i4>
      </vt:variant>
      <vt:variant>
        <vt:i4>8</vt:i4>
      </vt:variant>
      <vt:variant>
        <vt:i4>0</vt:i4>
      </vt:variant>
      <vt:variant>
        <vt:i4>5</vt:i4>
      </vt:variant>
      <vt:variant>
        <vt:lpwstr/>
      </vt:variant>
      <vt:variant>
        <vt:lpwstr>_Toc420996065</vt:lpwstr>
      </vt:variant>
      <vt:variant>
        <vt:i4>1835069</vt:i4>
      </vt:variant>
      <vt:variant>
        <vt:i4>2</vt:i4>
      </vt:variant>
      <vt:variant>
        <vt:i4>0</vt:i4>
      </vt:variant>
      <vt:variant>
        <vt:i4>5</vt:i4>
      </vt:variant>
      <vt:variant>
        <vt:lpwstr/>
      </vt:variant>
      <vt:variant>
        <vt:lpwstr>_Toc420996064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Hester, Brian Todd</dc:creator>
  <cp:lastModifiedBy>Hester, Brian</cp:lastModifiedBy>
  <cp:revision>28</cp:revision>
  <cp:lastPrinted>2016-05-13T16:48:00Z</cp:lastPrinted>
  <dcterms:created xsi:type="dcterms:W3CDTF">2016-05-16T13:21:00Z</dcterms:created>
  <dcterms:modified xsi:type="dcterms:W3CDTF">2016-05-17T19:01:00Z</dcterms:modified>
</cp:coreProperties>
</file>