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055FB" w14:textId="608965EB" w:rsidR="0077446B" w:rsidRPr="003E7C59" w:rsidRDefault="0077446B" w:rsidP="006622F2">
      <w:pPr>
        <w:spacing w:line="360" w:lineRule="auto"/>
        <w:jc w:val="center"/>
        <w:rPr>
          <w:rFonts w:ascii="Arial" w:hAnsi="Arial" w:cs="Arial"/>
          <w:color w:val="000000" w:themeColor="text1"/>
          <w:sz w:val="22"/>
          <w:szCs w:val="22"/>
        </w:rPr>
      </w:pPr>
      <w:r w:rsidRPr="003E7C59">
        <w:rPr>
          <w:rFonts w:ascii="Arial" w:hAnsi="Arial" w:cs="Arial"/>
          <w:color w:val="000000" w:themeColor="text1"/>
          <w:sz w:val="22"/>
          <w:szCs w:val="22"/>
          <w:shd w:val="clear" w:color="auto" w:fill="F8F8F8"/>
        </w:rPr>
        <w:t xml:space="preserve">Transcriptomic studies of color development and powdery mildew resistance in </w:t>
      </w:r>
      <w:r w:rsidRPr="003E7C59">
        <w:rPr>
          <w:rFonts w:ascii="Arial" w:hAnsi="Arial" w:cs="Arial"/>
          <w:i/>
          <w:iCs/>
          <w:color w:val="000000" w:themeColor="text1"/>
          <w:sz w:val="22"/>
          <w:szCs w:val="22"/>
          <w:shd w:val="clear" w:color="auto" w:fill="F8F8F8"/>
        </w:rPr>
        <w:t>Cornus</w:t>
      </w:r>
      <w:r w:rsidRPr="003E7C59">
        <w:rPr>
          <w:rFonts w:ascii="Arial" w:hAnsi="Arial" w:cs="Arial"/>
          <w:color w:val="000000" w:themeColor="text1"/>
          <w:sz w:val="22"/>
          <w:szCs w:val="22"/>
          <w:shd w:val="clear" w:color="auto" w:fill="F8F8F8"/>
        </w:rPr>
        <w:t xml:space="preserve"> </w:t>
      </w:r>
      <w:r w:rsidR="00D60D49" w:rsidRPr="003E7C59">
        <w:rPr>
          <w:rFonts w:ascii="Arial" w:hAnsi="Arial" w:cs="Arial"/>
          <w:color w:val="000000" w:themeColor="text1"/>
          <w:sz w:val="22"/>
          <w:szCs w:val="22"/>
          <w:shd w:val="clear" w:color="auto" w:fill="F8F8F8"/>
        </w:rPr>
        <w:t xml:space="preserve">dogwood </w:t>
      </w:r>
      <w:r w:rsidRPr="003E7C59">
        <w:rPr>
          <w:rFonts w:ascii="Arial" w:hAnsi="Arial" w:cs="Arial"/>
          <w:color w:val="000000" w:themeColor="text1"/>
          <w:sz w:val="22"/>
          <w:szCs w:val="22"/>
          <w:shd w:val="clear" w:color="auto" w:fill="F8F8F8"/>
        </w:rPr>
        <w:t xml:space="preserve">species </w:t>
      </w:r>
    </w:p>
    <w:p w14:paraId="5DCED9CE" w14:textId="77777777" w:rsidR="00480844" w:rsidRPr="003E7C59" w:rsidRDefault="00480844" w:rsidP="006622F2">
      <w:pPr>
        <w:rPr>
          <w:rFonts w:ascii="Arial" w:hAnsi="Arial" w:cs="Arial"/>
          <w:sz w:val="22"/>
          <w:szCs w:val="22"/>
        </w:rPr>
      </w:pPr>
    </w:p>
    <w:p w14:paraId="6386922B" w14:textId="77777777" w:rsidR="00480844" w:rsidRPr="003E7C59" w:rsidRDefault="00480844" w:rsidP="006622F2">
      <w:pPr>
        <w:rPr>
          <w:rFonts w:ascii="Arial" w:hAnsi="Arial" w:cs="Arial"/>
          <w:sz w:val="22"/>
          <w:szCs w:val="22"/>
        </w:rPr>
      </w:pPr>
    </w:p>
    <w:p w14:paraId="3CA26FC3" w14:textId="77777777" w:rsidR="00480844" w:rsidRPr="003E7C59" w:rsidRDefault="00480844" w:rsidP="006622F2">
      <w:pPr>
        <w:rPr>
          <w:rFonts w:ascii="Arial" w:hAnsi="Arial" w:cs="Arial"/>
          <w:sz w:val="22"/>
          <w:szCs w:val="22"/>
        </w:rPr>
      </w:pPr>
    </w:p>
    <w:p w14:paraId="3EA65425" w14:textId="77777777" w:rsidR="00480844" w:rsidRPr="003E7C59" w:rsidRDefault="00480844" w:rsidP="006622F2">
      <w:pPr>
        <w:rPr>
          <w:rFonts w:ascii="Arial" w:hAnsi="Arial" w:cs="Arial"/>
          <w:sz w:val="22"/>
          <w:szCs w:val="22"/>
        </w:rPr>
      </w:pPr>
    </w:p>
    <w:p w14:paraId="0DF6F426" w14:textId="77777777" w:rsidR="00480844" w:rsidRPr="003E7C59" w:rsidRDefault="00480844" w:rsidP="006622F2">
      <w:pPr>
        <w:rPr>
          <w:rFonts w:ascii="Arial" w:hAnsi="Arial" w:cs="Arial"/>
          <w:sz w:val="22"/>
          <w:szCs w:val="22"/>
        </w:rPr>
      </w:pPr>
    </w:p>
    <w:p w14:paraId="56010E13" w14:textId="77777777" w:rsidR="00480844" w:rsidRPr="003E7C59" w:rsidRDefault="00480844" w:rsidP="006622F2">
      <w:pPr>
        <w:rPr>
          <w:rFonts w:ascii="Arial" w:hAnsi="Arial" w:cs="Arial"/>
          <w:sz w:val="22"/>
          <w:szCs w:val="22"/>
        </w:rPr>
      </w:pPr>
    </w:p>
    <w:p w14:paraId="0185D88E" w14:textId="77777777" w:rsidR="00480844" w:rsidRPr="003E7C59" w:rsidRDefault="00480844" w:rsidP="006622F2">
      <w:pPr>
        <w:rPr>
          <w:rFonts w:ascii="Arial" w:hAnsi="Arial" w:cs="Arial"/>
          <w:sz w:val="22"/>
          <w:szCs w:val="22"/>
        </w:rPr>
      </w:pPr>
    </w:p>
    <w:p w14:paraId="06D17769" w14:textId="77777777" w:rsidR="00480844" w:rsidRPr="003E7C59" w:rsidRDefault="00480844" w:rsidP="006622F2">
      <w:pPr>
        <w:rPr>
          <w:rFonts w:ascii="Arial" w:hAnsi="Arial" w:cs="Arial"/>
          <w:sz w:val="22"/>
          <w:szCs w:val="22"/>
        </w:rPr>
      </w:pPr>
    </w:p>
    <w:p w14:paraId="2CDEB6FC" w14:textId="77777777" w:rsidR="00480844" w:rsidRPr="003E7C59" w:rsidRDefault="00480844" w:rsidP="006622F2">
      <w:pPr>
        <w:rPr>
          <w:rFonts w:ascii="Arial" w:hAnsi="Arial" w:cs="Arial"/>
          <w:sz w:val="22"/>
          <w:szCs w:val="22"/>
        </w:rPr>
      </w:pPr>
    </w:p>
    <w:p w14:paraId="771EBD98" w14:textId="77777777" w:rsidR="00480844" w:rsidRPr="003E7C59" w:rsidRDefault="00480844" w:rsidP="006622F2">
      <w:pPr>
        <w:rPr>
          <w:rFonts w:ascii="Arial" w:hAnsi="Arial" w:cs="Arial"/>
          <w:sz w:val="22"/>
          <w:szCs w:val="22"/>
        </w:rPr>
      </w:pPr>
    </w:p>
    <w:p w14:paraId="10DCB884" w14:textId="77777777" w:rsidR="00794BA6" w:rsidRPr="003E7C59" w:rsidRDefault="00794BA6" w:rsidP="006622F2">
      <w:pPr>
        <w:spacing w:line="360" w:lineRule="auto"/>
        <w:jc w:val="center"/>
        <w:rPr>
          <w:rFonts w:ascii="Arial" w:hAnsi="Arial" w:cs="Arial"/>
          <w:color w:val="000000" w:themeColor="text1"/>
          <w:sz w:val="22"/>
          <w:szCs w:val="22"/>
        </w:rPr>
      </w:pPr>
    </w:p>
    <w:p w14:paraId="58A9EB75" w14:textId="09BABE93" w:rsidR="004C71C2" w:rsidRPr="003E7C59" w:rsidRDefault="004C71C2" w:rsidP="006622F2">
      <w:pPr>
        <w:spacing w:line="360" w:lineRule="auto"/>
        <w:jc w:val="center"/>
        <w:rPr>
          <w:rFonts w:ascii="Arial" w:hAnsi="Arial" w:cs="Arial"/>
          <w:color w:val="000000" w:themeColor="text1"/>
          <w:sz w:val="22"/>
          <w:szCs w:val="22"/>
        </w:rPr>
      </w:pPr>
    </w:p>
    <w:p w14:paraId="5C2DC36D" w14:textId="77777777" w:rsidR="004C71C2" w:rsidRPr="003E7C59" w:rsidRDefault="004C71C2" w:rsidP="006622F2">
      <w:pPr>
        <w:spacing w:line="360" w:lineRule="auto"/>
        <w:jc w:val="center"/>
        <w:rPr>
          <w:rFonts w:ascii="Arial" w:hAnsi="Arial" w:cs="Arial"/>
          <w:color w:val="000000" w:themeColor="text1"/>
          <w:sz w:val="22"/>
          <w:szCs w:val="22"/>
        </w:rPr>
      </w:pPr>
    </w:p>
    <w:p w14:paraId="598DD700" w14:textId="77777777" w:rsidR="004C71C2" w:rsidRPr="003E7C59" w:rsidRDefault="004C71C2" w:rsidP="006622F2">
      <w:pPr>
        <w:spacing w:line="360" w:lineRule="auto"/>
        <w:jc w:val="center"/>
        <w:rPr>
          <w:rFonts w:ascii="Arial" w:hAnsi="Arial" w:cs="Arial"/>
          <w:color w:val="000000" w:themeColor="text1"/>
          <w:sz w:val="22"/>
          <w:szCs w:val="22"/>
        </w:rPr>
      </w:pPr>
    </w:p>
    <w:p w14:paraId="4B0F2C48" w14:textId="57576EE3" w:rsidR="004C71C2" w:rsidRPr="003E7C59" w:rsidRDefault="004C71C2" w:rsidP="006622F2">
      <w:pPr>
        <w:spacing w:line="360" w:lineRule="auto"/>
        <w:jc w:val="center"/>
        <w:rPr>
          <w:rFonts w:ascii="Arial" w:hAnsi="Arial" w:cs="Arial"/>
          <w:color w:val="000000" w:themeColor="text1"/>
          <w:sz w:val="22"/>
          <w:szCs w:val="22"/>
        </w:rPr>
      </w:pPr>
    </w:p>
    <w:p w14:paraId="0F350741" w14:textId="006406A8" w:rsidR="004C71C2" w:rsidRPr="003E7C59" w:rsidRDefault="004C71C2" w:rsidP="006622F2">
      <w:pPr>
        <w:spacing w:line="360" w:lineRule="auto"/>
        <w:rPr>
          <w:rFonts w:ascii="Arial" w:hAnsi="Arial" w:cs="Arial"/>
          <w:color w:val="000000" w:themeColor="text1"/>
          <w:sz w:val="22"/>
          <w:szCs w:val="22"/>
        </w:rPr>
      </w:pPr>
    </w:p>
    <w:p w14:paraId="18601DCC" w14:textId="77777777" w:rsidR="004C71C2" w:rsidRPr="003E7C59" w:rsidRDefault="004C71C2" w:rsidP="006622F2">
      <w:pPr>
        <w:spacing w:line="360" w:lineRule="auto"/>
        <w:jc w:val="center"/>
        <w:rPr>
          <w:rFonts w:ascii="Arial" w:hAnsi="Arial" w:cs="Arial"/>
          <w:color w:val="000000" w:themeColor="text1"/>
          <w:sz w:val="22"/>
          <w:szCs w:val="22"/>
        </w:rPr>
      </w:pPr>
    </w:p>
    <w:p w14:paraId="0E90C87C" w14:textId="77777777" w:rsidR="004C71C2" w:rsidRPr="003E7C59" w:rsidRDefault="004C71C2" w:rsidP="006622F2">
      <w:pPr>
        <w:spacing w:line="360" w:lineRule="auto"/>
        <w:jc w:val="center"/>
        <w:rPr>
          <w:rFonts w:ascii="Arial" w:hAnsi="Arial" w:cs="Arial"/>
          <w:color w:val="000000" w:themeColor="text1"/>
          <w:sz w:val="22"/>
          <w:szCs w:val="22"/>
        </w:rPr>
      </w:pPr>
    </w:p>
    <w:p w14:paraId="715C62D2" w14:textId="15927DC2" w:rsidR="00480844" w:rsidRPr="003E7C59" w:rsidRDefault="00480844" w:rsidP="006622F2">
      <w:pPr>
        <w:spacing w:line="360" w:lineRule="auto"/>
        <w:jc w:val="center"/>
        <w:rPr>
          <w:rFonts w:ascii="Arial" w:hAnsi="Arial" w:cs="Arial"/>
          <w:color w:val="000000" w:themeColor="text1"/>
          <w:sz w:val="22"/>
          <w:szCs w:val="22"/>
        </w:rPr>
      </w:pPr>
      <w:r w:rsidRPr="003E7C59">
        <w:rPr>
          <w:rFonts w:ascii="Arial" w:hAnsi="Arial" w:cs="Arial"/>
          <w:color w:val="000000" w:themeColor="text1"/>
          <w:sz w:val="22"/>
          <w:szCs w:val="22"/>
        </w:rPr>
        <w:t>A</w:t>
      </w:r>
      <w:r w:rsidR="00CD50D0">
        <w:rPr>
          <w:rFonts w:ascii="Arial" w:hAnsi="Arial" w:cs="Arial"/>
          <w:color w:val="000000" w:themeColor="text1"/>
          <w:sz w:val="22"/>
          <w:szCs w:val="22"/>
        </w:rPr>
        <w:t xml:space="preserve"> </w:t>
      </w:r>
      <w:r w:rsidR="00C84BE7">
        <w:rPr>
          <w:rFonts w:ascii="Arial" w:hAnsi="Arial" w:cs="Arial"/>
          <w:color w:val="000000" w:themeColor="text1"/>
          <w:sz w:val="22"/>
          <w:szCs w:val="22"/>
        </w:rPr>
        <w:t>Dissertation</w:t>
      </w:r>
      <w:r w:rsidRPr="003E7C59">
        <w:rPr>
          <w:rFonts w:ascii="Arial" w:hAnsi="Arial" w:cs="Arial"/>
          <w:color w:val="000000" w:themeColor="text1"/>
          <w:sz w:val="22"/>
          <w:szCs w:val="22"/>
        </w:rPr>
        <w:t xml:space="preserve"> Presented for the</w:t>
      </w:r>
    </w:p>
    <w:p w14:paraId="0047F86C" w14:textId="13A82032" w:rsidR="00480844" w:rsidRPr="003E7C59" w:rsidRDefault="00480844" w:rsidP="006622F2">
      <w:pPr>
        <w:spacing w:before="120" w:after="160"/>
        <w:jc w:val="center"/>
        <w:rPr>
          <w:rFonts w:ascii="Arial" w:hAnsi="Arial" w:cs="Arial"/>
          <w:color w:val="000000" w:themeColor="text1"/>
          <w:sz w:val="22"/>
          <w:szCs w:val="22"/>
        </w:rPr>
      </w:pPr>
      <w:r w:rsidRPr="003E7C59">
        <w:rPr>
          <w:rFonts w:ascii="Arial" w:hAnsi="Arial" w:cs="Arial"/>
          <w:color w:val="000000" w:themeColor="text1"/>
          <w:sz w:val="22"/>
          <w:szCs w:val="22"/>
        </w:rPr>
        <w:t xml:space="preserve">Doctor of Philosophy </w:t>
      </w:r>
    </w:p>
    <w:p w14:paraId="33E7DA8F" w14:textId="386038CB" w:rsidR="004C71C2" w:rsidRPr="003E7C59" w:rsidRDefault="004C71C2" w:rsidP="006622F2">
      <w:pPr>
        <w:spacing w:before="120" w:after="160"/>
        <w:jc w:val="center"/>
        <w:rPr>
          <w:rFonts w:ascii="Arial" w:hAnsi="Arial" w:cs="Arial"/>
          <w:color w:val="000000" w:themeColor="text1"/>
          <w:sz w:val="22"/>
          <w:szCs w:val="22"/>
        </w:rPr>
      </w:pPr>
      <w:r w:rsidRPr="003E7C59">
        <w:rPr>
          <w:rFonts w:ascii="Arial" w:hAnsi="Arial" w:cs="Arial"/>
          <w:color w:val="000000" w:themeColor="text1"/>
          <w:sz w:val="22"/>
          <w:szCs w:val="22"/>
        </w:rPr>
        <w:t>Degree</w:t>
      </w:r>
    </w:p>
    <w:p w14:paraId="6411EA86" w14:textId="77777777" w:rsidR="00480844" w:rsidRPr="003E7C59" w:rsidRDefault="00480844" w:rsidP="006622F2">
      <w:pPr>
        <w:jc w:val="center"/>
        <w:rPr>
          <w:rFonts w:ascii="Arial" w:hAnsi="Arial" w:cs="Arial"/>
          <w:sz w:val="22"/>
          <w:szCs w:val="22"/>
        </w:rPr>
      </w:pPr>
      <w:r w:rsidRPr="003E7C59">
        <w:rPr>
          <w:rFonts w:ascii="Arial" w:hAnsi="Arial" w:cs="Arial"/>
          <w:sz w:val="22"/>
          <w:szCs w:val="22"/>
        </w:rPr>
        <w:t>The University of Tennessee, Knoxville</w:t>
      </w:r>
    </w:p>
    <w:p w14:paraId="1E5F05BA" w14:textId="77777777" w:rsidR="00480844" w:rsidRPr="003E7C59" w:rsidRDefault="00480844" w:rsidP="006622F2">
      <w:pPr>
        <w:jc w:val="center"/>
        <w:rPr>
          <w:rFonts w:ascii="Arial" w:hAnsi="Arial" w:cs="Arial"/>
          <w:sz w:val="22"/>
          <w:szCs w:val="22"/>
        </w:rPr>
      </w:pPr>
    </w:p>
    <w:p w14:paraId="6FBC630E" w14:textId="77777777" w:rsidR="004C71C2" w:rsidRPr="003E7C59" w:rsidRDefault="004C71C2" w:rsidP="006622F2">
      <w:pPr>
        <w:jc w:val="center"/>
        <w:rPr>
          <w:rFonts w:ascii="Arial" w:hAnsi="Arial" w:cs="Arial"/>
          <w:sz w:val="22"/>
          <w:szCs w:val="22"/>
        </w:rPr>
      </w:pPr>
    </w:p>
    <w:p w14:paraId="3C2B8C87" w14:textId="77777777" w:rsidR="00480844" w:rsidRPr="003E7C59" w:rsidRDefault="00480844" w:rsidP="006622F2">
      <w:pPr>
        <w:jc w:val="center"/>
        <w:rPr>
          <w:rFonts w:ascii="Arial" w:hAnsi="Arial" w:cs="Arial"/>
          <w:sz w:val="22"/>
          <w:szCs w:val="22"/>
        </w:rPr>
      </w:pPr>
    </w:p>
    <w:p w14:paraId="6DBAEA96" w14:textId="77777777" w:rsidR="00480844" w:rsidRPr="003E7C59" w:rsidRDefault="00480844" w:rsidP="006622F2">
      <w:pPr>
        <w:rPr>
          <w:rFonts w:ascii="Arial" w:hAnsi="Arial" w:cs="Arial"/>
          <w:sz w:val="22"/>
          <w:szCs w:val="22"/>
        </w:rPr>
      </w:pPr>
    </w:p>
    <w:p w14:paraId="36C66AA3" w14:textId="77777777" w:rsidR="00480844" w:rsidRPr="003E7C59" w:rsidRDefault="00480844" w:rsidP="006622F2">
      <w:pPr>
        <w:jc w:val="center"/>
        <w:rPr>
          <w:rFonts w:ascii="Arial" w:hAnsi="Arial" w:cs="Arial"/>
          <w:sz w:val="22"/>
          <w:szCs w:val="22"/>
        </w:rPr>
      </w:pPr>
    </w:p>
    <w:p w14:paraId="74F5C9A6" w14:textId="77777777" w:rsidR="00480844" w:rsidRPr="003E7C59" w:rsidRDefault="00480844" w:rsidP="006622F2">
      <w:pPr>
        <w:jc w:val="center"/>
        <w:rPr>
          <w:rFonts w:ascii="Arial" w:hAnsi="Arial" w:cs="Arial"/>
          <w:sz w:val="22"/>
          <w:szCs w:val="22"/>
        </w:rPr>
      </w:pPr>
    </w:p>
    <w:p w14:paraId="1445EEBA" w14:textId="77777777" w:rsidR="00480844" w:rsidRPr="003E7C59" w:rsidRDefault="00480844" w:rsidP="006622F2">
      <w:pPr>
        <w:jc w:val="center"/>
        <w:rPr>
          <w:rFonts w:ascii="Arial" w:hAnsi="Arial" w:cs="Arial"/>
          <w:sz w:val="22"/>
          <w:szCs w:val="22"/>
        </w:rPr>
      </w:pPr>
    </w:p>
    <w:p w14:paraId="59E40E24" w14:textId="265FB368" w:rsidR="00480844" w:rsidRPr="003E7C59" w:rsidRDefault="00480844" w:rsidP="006622F2">
      <w:pPr>
        <w:jc w:val="center"/>
        <w:rPr>
          <w:rFonts w:ascii="Arial" w:hAnsi="Arial" w:cs="Arial"/>
          <w:sz w:val="22"/>
          <w:szCs w:val="22"/>
        </w:rPr>
      </w:pPr>
    </w:p>
    <w:p w14:paraId="40725341" w14:textId="7CF0C079" w:rsidR="00480844" w:rsidRPr="003E7C59" w:rsidRDefault="00480844" w:rsidP="006622F2">
      <w:pPr>
        <w:jc w:val="center"/>
        <w:rPr>
          <w:rFonts w:ascii="Arial" w:hAnsi="Arial" w:cs="Arial"/>
          <w:sz w:val="22"/>
          <w:szCs w:val="22"/>
        </w:rPr>
      </w:pPr>
    </w:p>
    <w:p w14:paraId="3B14D652" w14:textId="3A63C885" w:rsidR="00480844" w:rsidRPr="003E7C59" w:rsidRDefault="00480844" w:rsidP="006622F2">
      <w:pPr>
        <w:jc w:val="center"/>
        <w:rPr>
          <w:rFonts w:ascii="Arial" w:hAnsi="Arial" w:cs="Arial"/>
          <w:sz w:val="22"/>
          <w:szCs w:val="22"/>
        </w:rPr>
      </w:pPr>
    </w:p>
    <w:p w14:paraId="21105B02" w14:textId="0B802CBA" w:rsidR="004C71C2" w:rsidRPr="003E7C59" w:rsidRDefault="004C71C2" w:rsidP="006622F2">
      <w:pPr>
        <w:jc w:val="center"/>
        <w:rPr>
          <w:rFonts w:ascii="Arial" w:hAnsi="Arial" w:cs="Arial"/>
          <w:sz w:val="22"/>
          <w:szCs w:val="22"/>
        </w:rPr>
      </w:pPr>
    </w:p>
    <w:p w14:paraId="26DD9782" w14:textId="77777777" w:rsidR="004C71C2" w:rsidRPr="003E7C59" w:rsidRDefault="004C71C2" w:rsidP="006622F2">
      <w:pPr>
        <w:jc w:val="center"/>
        <w:rPr>
          <w:rFonts w:ascii="Arial" w:hAnsi="Arial" w:cs="Arial"/>
          <w:sz w:val="22"/>
          <w:szCs w:val="22"/>
        </w:rPr>
      </w:pPr>
    </w:p>
    <w:p w14:paraId="1E56E937" w14:textId="073D9842" w:rsidR="00480844" w:rsidRPr="003E7C59" w:rsidRDefault="00480844" w:rsidP="006622F2">
      <w:pPr>
        <w:jc w:val="center"/>
        <w:rPr>
          <w:rFonts w:ascii="Arial" w:hAnsi="Arial" w:cs="Arial"/>
          <w:sz w:val="22"/>
          <w:szCs w:val="22"/>
        </w:rPr>
      </w:pPr>
    </w:p>
    <w:p w14:paraId="4FF43989" w14:textId="77777777" w:rsidR="00480844" w:rsidRPr="003E7C59" w:rsidRDefault="00480844" w:rsidP="006622F2">
      <w:pPr>
        <w:rPr>
          <w:rFonts w:ascii="Arial" w:hAnsi="Arial" w:cs="Arial"/>
          <w:sz w:val="22"/>
          <w:szCs w:val="22"/>
        </w:rPr>
      </w:pPr>
    </w:p>
    <w:p w14:paraId="1E169A4B" w14:textId="77777777" w:rsidR="00253D14" w:rsidRDefault="00253D14" w:rsidP="006622F2">
      <w:pPr>
        <w:spacing w:line="360" w:lineRule="auto"/>
        <w:jc w:val="center"/>
        <w:rPr>
          <w:rFonts w:ascii="Arial" w:hAnsi="Arial" w:cs="Arial"/>
          <w:color w:val="000000" w:themeColor="text1"/>
          <w:sz w:val="22"/>
          <w:szCs w:val="22"/>
        </w:rPr>
      </w:pPr>
    </w:p>
    <w:p w14:paraId="39EDD6B6" w14:textId="77777777" w:rsidR="00253D14" w:rsidRDefault="00253D14" w:rsidP="006622F2">
      <w:pPr>
        <w:spacing w:line="360" w:lineRule="auto"/>
        <w:jc w:val="center"/>
        <w:rPr>
          <w:rFonts w:ascii="Arial" w:hAnsi="Arial" w:cs="Arial"/>
          <w:color w:val="000000" w:themeColor="text1"/>
          <w:sz w:val="22"/>
          <w:szCs w:val="22"/>
        </w:rPr>
      </w:pPr>
    </w:p>
    <w:p w14:paraId="740431A6" w14:textId="6429FD78" w:rsidR="0077446B" w:rsidRPr="003E7C59" w:rsidRDefault="00480844" w:rsidP="006622F2">
      <w:pPr>
        <w:spacing w:line="360" w:lineRule="auto"/>
        <w:jc w:val="center"/>
        <w:rPr>
          <w:rFonts w:ascii="Arial" w:hAnsi="Arial" w:cs="Arial"/>
          <w:color w:val="000000" w:themeColor="text1"/>
          <w:sz w:val="22"/>
          <w:szCs w:val="22"/>
        </w:rPr>
      </w:pPr>
      <w:r w:rsidRPr="003E7C59">
        <w:rPr>
          <w:rFonts w:ascii="Arial" w:hAnsi="Arial" w:cs="Arial"/>
          <w:color w:val="000000" w:themeColor="text1"/>
          <w:sz w:val="22"/>
          <w:szCs w:val="22"/>
        </w:rPr>
        <w:t>Zaklina Pavlovic</w:t>
      </w:r>
    </w:p>
    <w:p w14:paraId="368EC310" w14:textId="77777777" w:rsidR="00253D14" w:rsidRDefault="00480844" w:rsidP="006622F2">
      <w:pPr>
        <w:spacing w:line="360" w:lineRule="auto"/>
        <w:jc w:val="center"/>
        <w:rPr>
          <w:rFonts w:ascii="Arial" w:hAnsi="Arial" w:cs="Arial"/>
          <w:color w:val="000000" w:themeColor="text1"/>
          <w:sz w:val="22"/>
          <w:szCs w:val="22"/>
        </w:rPr>
      </w:pPr>
      <w:r w:rsidRPr="003E7C59">
        <w:rPr>
          <w:rFonts w:ascii="Arial" w:hAnsi="Arial" w:cs="Arial"/>
          <w:color w:val="000000" w:themeColor="text1"/>
          <w:sz w:val="22"/>
          <w:szCs w:val="22"/>
        </w:rPr>
        <w:t>May 202</w:t>
      </w:r>
      <w:r w:rsidR="004C71C2" w:rsidRPr="003E7C59">
        <w:rPr>
          <w:rFonts w:ascii="Arial" w:hAnsi="Arial" w:cs="Arial"/>
          <w:color w:val="000000" w:themeColor="text1"/>
          <w:sz w:val="22"/>
          <w:szCs w:val="22"/>
        </w:rPr>
        <w:t>3</w:t>
      </w:r>
    </w:p>
    <w:p w14:paraId="5A4886CE" w14:textId="38CD49A3" w:rsidR="00E21F9F" w:rsidRPr="003E7C59" w:rsidRDefault="00E21F9F" w:rsidP="006622F2">
      <w:pPr>
        <w:spacing w:line="360" w:lineRule="auto"/>
        <w:jc w:val="center"/>
        <w:rPr>
          <w:rFonts w:ascii="Arial" w:hAnsi="Arial" w:cs="Arial"/>
          <w:color w:val="000000" w:themeColor="text1"/>
          <w:sz w:val="22"/>
          <w:szCs w:val="22"/>
        </w:rPr>
      </w:pPr>
      <w:r w:rsidRPr="003E7C59">
        <w:rPr>
          <w:rFonts w:ascii="Arial" w:hAnsi="Arial" w:cs="Arial"/>
          <w:b/>
          <w:color w:val="000000" w:themeColor="text1"/>
          <w:sz w:val="22"/>
          <w:szCs w:val="22"/>
        </w:rPr>
        <w:lastRenderedPageBreak/>
        <w:t>Acknowledgments</w:t>
      </w:r>
    </w:p>
    <w:p w14:paraId="2B6871FE" w14:textId="77777777" w:rsidR="00E21F9F" w:rsidRPr="003E7C59" w:rsidRDefault="00E21F9F" w:rsidP="006622F2">
      <w:pPr>
        <w:spacing w:line="360" w:lineRule="auto"/>
        <w:jc w:val="center"/>
        <w:rPr>
          <w:rFonts w:ascii="Arial" w:hAnsi="Arial" w:cs="Arial"/>
          <w:color w:val="000000" w:themeColor="text1"/>
          <w:sz w:val="22"/>
          <w:szCs w:val="22"/>
        </w:rPr>
      </w:pPr>
    </w:p>
    <w:p w14:paraId="5FF1A005" w14:textId="63B8F89B" w:rsidR="0077446B" w:rsidRPr="003E7C59" w:rsidRDefault="0077446B"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I would like to thank Dr. Robert N. Trigiano for his unconditional support and encouragement throughout my doctoral program. I thank my committee members (Drs. Denita Hadziabdic</w:t>
      </w:r>
      <w:r w:rsidR="00FE0D41" w:rsidRPr="003E7C59">
        <w:rPr>
          <w:rFonts w:ascii="Arial" w:hAnsi="Arial" w:cs="Arial"/>
          <w:color w:val="000000" w:themeColor="text1"/>
          <w:sz w:val="22"/>
          <w:szCs w:val="22"/>
        </w:rPr>
        <w:t>-Guerry</w:t>
      </w:r>
      <w:r w:rsidRPr="003E7C59">
        <w:rPr>
          <w:rFonts w:ascii="Arial" w:hAnsi="Arial" w:cs="Arial"/>
          <w:color w:val="000000" w:themeColor="text1"/>
          <w:sz w:val="22"/>
          <w:szCs w:val="22"/>
        </w:rPr>
        <w:t xml:space="preserve">, Margaret E. Staton, Bonney Ownley, and Andreas </w:t>
      </w:r>
      <w:proofErr w:type="gramStart"/>
      <w:r w:rsidRPr="003E7C59">
        <w:rPr>
          <w:rFonts w:ascii="Arial" w:hAnsi="Arial" w:cs="Arial"/>
          <w:color w:val="000000" w:themeColor="text1"/>
          <w:sz w:val="22"/>
          <w:szCs w:val="22"/>
        </w:rPr>
        <w:t>Nebenfuehr) and Drs. Marzena Nowakowska</w:t>
      </w:r>
      <w:proofErr w:type="gramEnd"/>
      <w:r w:rsidRPr="003E7C59">
        <w:rPr>
          <w:rFonts w:ascii="Arial" w:hAnsi="Arial" w:cs="Arial"/>
          <w:color w:val="000000" w:themeColor="text1"/>
          <w:sz w:val="22"/>
          <w:szCs w:val="22"/>
        </w:rPr>
        <w:t xml:space="preserve"> and Marcin Nowicki for their expertise and support in completing this dissertation. I am also thankful to all my lab members, especially Sarah Boggess and friends in the Department of Entomology and Plant Pathology. </w:t>
      </w:r>
      <w:proofErr w:type="gramStart"/>
      <w:r w:rsidRPr="003E7C59">
        <w:rPr>
          <w:rFonts w:ascii="Arial" w:hAnsi="Arial" w:cs="Arial"/>
          <w:color w:val="000000" w:themeColor="text1"/>
          <w:sz w:val="22"/>
          <w:szCs w:val="22"/>
        </w:rPr>
        <w:t>This work was supported by the USDA</w:t>
      </w:r>
      <w:r w:rsidR="00FE0D41"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ARS (NACA 58-6062-006)</w:t>
      </w:r>
      <w:proofErr w:type="gramEnd"/>
      <w:r w:rsidRPr="003E7C59">
        <w:rPr>
          <w:rFonts w:ascii="Arial" w:hAnsi="Arial" w:cs="Arial"/>
          <w:color w:val="000000" w:themeColor="text1"/>
          <w:sz w:val="22"/>
          <w:szCs w:val="22"/>
        </w:rPr>
        <w:t xml:space="preserve">.  The mention of trade names or commercial products in this </w:t>
      </w:r>
      <w:r w:rsidR="005C72D2" w:rsidRPr="003E7C59">
        <w:rPr>
          <w:rFonts w:ascii="Arial" w:hAnsi="Arial" w:cs="Arial"/>
          <w:color w:val="000000" w:themeColor="text1"/>
          <w:sz w:val="22"/>
          <w:szCs w:val="22"/>
        </w:rPr>
        <w:t xml:space="preserve">dissertation </w:t>
      </w:r>
      <w:r w:rsidRPr="003E7C59">
        <w:rPr>
          <w:rFonts w:ascii="Arial" w:hAnsi="Arial" w:cs="Arial"/>
          <w:color w:val="000000" w:themeColor="text1"/>
          <w:sz w:val="22"/>
          <w:szCs w:val="22"/>
        </w:rPr>
        <w:t>is solely to provide specific information, and it does not imply recommendation or endorsement by the University of Tennessee or the U.S. Department of Agriculture.</w:t>
      </w:r>
    </w:p>
    <w:p w14:paraId="06365933" w14:textId="77777777" w:rsidR="00E21F9F" w:rsidRPr="003E7C59" w:rsidRDefault="00E21F9F" w:rsidP="006622F2">
      <w:pPr>
        <w:spacing w:line="360" w:lineRule="auto"/>
        <w:ind w:firstLine="720"/>
        <w:rPr>
          <w:rFonts w:ascii="Arial" w:hAnsi="Arial" w:cs="Arial"/>
          <w:color w:val="000000" w:themeColor="text1"/>
          <w:sz w:val="22"/>
          <w:szCs w:val="22"/>
        </w:rPr>
      </w:pPr>
    </w:p>
    <w:p w14:paraId="6E08B398" w14:textId="77777777" w:rsidR="00E21F9F" w:rsidRPr="003E7C59" w:rsidRDefault="00E21F9F" w:rsidP="006622F2">
      <w:pPr>
        <w:spacing w:line="360" w:lineRule="auto"/>
        <w:ind w:firstLine="720"/>
        <w:rPr>
          <w:rFonts w:ascii="Arial" w:hAnsi="Arial" w:cs="Arial"/>
          <w:color w:val="000000" w:themeColor="text1"/>
          <w:sz w:val="22"/>
          <w:szCs w:val="22"/>
        </w:rPr>
      </w:pPr>
    </w:p>
    <w:p w14:paraId="5EDEC5A7" w14:textId="77777777" w:rsidR="00E21F9F" w:rsidRPr="003E7C59" w:rsidRDefault="00E21F9F" w:rsidP="006622F2">
      <w:pPr>
        <w:spacing w:line="360" w:lineRule="auto"/>
        <w:ind w:firstLine="720"/>
        <w:rPr>
          <w:rFonts w:ascii="Arial" w:hAnsi="Arial" w:cs="Arial"/>
          <w:color w:val="000000" w:themeColor="text1"/>
          <w:sz w:val="22"/>
          <w:szCs w:val="22"/>
        </w:rPr>
      </w:pPr>
    </w:p>
    <w:p w14:paraId="23518630" w14:textId="77777777" w:rsidR="00E21F9F" w:rsidRPr="003E7C59" w:rsidRDefault="00E21F9F" w:rsidP="006622F2">
      <w:pPr>
        <w:spacing w:line="360" w:lineRule="auto"/>
        <w:ind w:firstLine="720"/>
        <w:rPr>
          <w:rFonts w:ascii="Arial" w:hAnsi="Arial" w:cs="Arial"/>
          <w:color w:val="000000" w:themeColor="text1"/>
          <w:sz w:val="22"/>
          <w:szCs w:val="22"/>
        </w:rPr>
      </w:pPr>
    </w:p>
    <w:p w14:paraId="0995B635" w14:textId="77777777" w:rsidR="00E21F9F" w:rsidRPr="003E7C59" w:rsidRDefault="00E21F9F" w:rsidP="006622F2">
      <w:pPr>
        <w:spacing w:line="360" w:lineRule="auto"/>
        <w:ind w:firstLine="720"/>
        <w:rPr>
          <w:rFonts w:ascii="Arial" w:hAnsi="Arial" w:cs="Arial"/>
          <w:color w:val="000000" w:themeColor="text1"/>
          <w:sz w:val="22"/>
          <w:szCs w:val="22"/>
        </w:rPr>
      </w:pPr>
    </w:p>
    <w:p w14:paraId="4F7BCFC4" w14:textId="77777777" w:rsidR="00E21F9F" w:rsidRPr="003E7C59" w:rsidRDefault="00E21F9F" w:rsidP="006622F2">
      <w:pPr>
        <w:spacing w:line="360" w:lineRule="auto"/>
        <w:ind w:firstLine="720"/>
        <w:rPr>
          <w:rFonts w:ascii="Arial" w:hAnsi="Arial" w:cs="Arial"/>
          <w:color w:val="000000" w:themeColor="text1"/>
          <w:sz w:val="22"/>
          <w:szCs w:val="22"/>
        </w:rPr>
      </w:pPr>
    </w:p>
    <w:p w14:paraId="5BDE7B1A" w14:textId="77777777" w:rsidR="00E21F9F" w:rsidRPr="003E7C59" w:rsidRDefault="00E21F9F" w:rsidP="006622F2">
      <w:pPr>
        <w:spacing w:line="360" w:lineRule="auto"/>
        <w:ind w:firstLine="720"/>
        <w:rPr>
          <w:rFonts w:ascii="Arial" w:hAnsi="Arial" w:cs="Arial"/>
          <w:color w:val="000000" w:themeColor="text1"/>
          <w:sz w:val="22"/>
          <w:szCs w:val="22"/>
        </w:rPr>
      </w:pPr>
    </w:p>
    <w:p w14:paraId="012579AD" w14:textId="77777777" w:rsidR="00E21F9F" w:rsidRPr="003E7C59" w:rsidRDefault="00E21F9F" w:rsidP="006622F2">
      <w:pPr>
        <w:spacing w:line="360" w:lineRule="auto"/>
        <w:ind w:firstLine="720"/>
        <w:rPr>
          <w:rFonts w:ascii="Arial" w:hAnsi="Arial" w:cs="Arial"/>
          <w:color w:val="000000" w:themeColor="text1"/>
          <w:sz w:val="22"/>
          <w:szCs w:val="22"/>
        </w:rPr>
      </w:pPr>
    </w:p>
    <w:p w14:paraId="15B9A489" w14:textId="77777777" w:rsidR="00E21F9F" w:rsidRPr="003E7C59" w:rsidRDefault="00E21F9F" w:rsidP="006622F2">
      <w:pPr>
        <w:spacing w:line="360" w:lineRule="auto"/>
        <w:ind w:firstLine="720"/>
        <w:rPr>
          <w:rFonts w:ascii="Arial" w:hAnsi="Arial" w:cs="Arial"/>
          <w:color w:val="000000" w:themeColor="text1"/>
          <w:sz w:val="22"/>
          <w:szCs w:val="22"/>
        </w:rPr>
      </w:pPr>
    </w:p>
    <w:p w14:paraId="0DE9E893" w14:textId="77777777" w:rsidR="00E21F9F" w:rsidRPr="003E7C59" w:rsidRDefault="00E21F9F" w:rsidP="006622F2">
      <w:pPr>
        <w:spacing w:line="360" w:lineRule="auto"/>
        <w:ind w:firstLine="720"/>
        <w:rPr>
          <w:rFonts w:ascii="Arial" w:hAnsi="Arial" w:cs="Arial"/>
          <w:color w:val="000000" w:themeColor="text1"/>
          <w:sz w:val="22"/>
          <w:szCs w:val="22"/>
        </w:rPr>
      </w:pPr>
    </w:p>
    <w:p w14:paraId="618C1559" w14:textId="77777777" w:rsidR="00E21F9F" w:rsidRPr="003E7C59" w:rsidRDefault="00E21F9F" w:rsidP="006622F2">
      <w:pPr>
        <w:spacing w:line="360" w:lineRule="auto"/>
        <w:ind w:firstLine="720"/>
        <w:rPr>
          <w:rFonts w:ascii="Arial" w:hAnsi="Arial" w:cs="Arial"/>
          <w:color w:val="000000" w:themeColor="text1"/>
          <w:sz w:val="22"/>
          <w:szCs w:val="22"/>
        </w:rPr>
      </w:pPr>
    </w:p>
    <w:p w14:paraId="561BD388" w14:textId="77777777" w:rsidR="00E21F9F" w:rsidRPr="003E7C59" w:rsidRDefault="00E21F9F" w:rsidP="006622F2">
      <w:pPr>
        <w:spacing w:line="360" w:lineRule="auto"/>
        <w:ind w:firstLine="720"/>
        <w:rPr>
          <w:rFonts w:ascii="Arial" w:hAnsi="Arial" w:cs="Arial"/>
          <w:color w:val="000000" w:themeColor="text1"/>
          <w:sz w:val="22"/>
          <w:szCs w:val="22"/>
        </w:rPr>
      </w:pPr>
    </w:p>
    <w:p w14:paraId="048EE2A0" w14:textId="77777777" w:rsidR="00E21F9F" w:rsidRPr="003E7C59" w:rsidRDefault="00E21F9F" w:rsidP="006622F2">
      <w:pPr>
        <w:spacing w:line="360" w:lineRule="auto"/>
        <w:ind w:firstLine="720"/>
        <w:rPr>
          <w:rFonts w:ascii="Arial" w:hAnsi="Arial" w:cs="Arial"/>
          <w:color w:val="000000" w:themeColor="text1"/>
          <w:sz w:val="22"/>
          <w:szCs w:val="22"/>
        </w:rPr>
      </w:pPr>
    </w:p>
    <w:p w14:paraId="7898BBE9" w14:textId="77777777" w:rsidR="00E21F9F" w:rsidRPr="003E7C59" w:rsidRDefault="00E21F9F" w:rsidP="006622F2">
      <w:pPr>
        <w:spacing w:line="360" w:lineRule="auto"/>
        <w:ind w:firstLine="720"/>
        <w:rPr>
          <w:rFonts w:ascii="Arial" w:hAnsi="Arial" w:cs="Arial"/>
          <w:color w:val="000000" w:themeColor="text1"/>
          <w:sz w:val="22"/>
          <w:szCs w:val="22"/>
        </w:rPr>
      </w:pPr>
    </w:p>
    <w:p w14:paraId="166DC4CB" w14:textId="77777777" w:rsidR="00E21F9F" w:rsidRPr="003E7C59" w:rsidRDefault="00E21F9F" w:rsidP="006622F2">
      <w:pPr>
        <w:spacing w:line="360" w:lineRule="auto"/>
        <w:ind w:firstLine="720"/>
        <w:rPr>
          <w:rFonts w:ascii="Arial" w:hAnsi="Arial" w:cs="Arial"/>
          <w:color w:val="000000" w:themeColor="text1"/>
          <w:sz w:val="22"/>
          <w:szCs w:val="22"/>
        </w:rPr>
      </w:pPr>
    </w:p>
    <w:p w14:paraId="0C236FFF" w14:textId="77777777" w:rsidR="00E21F9F" w:rsidRPr="003E7C59" w:rsidRDefault="00E21F9F" w:rsidP="006622F2">
      <w:pPr>
        <w:spacing w:line="360" w:lineRule="auto"/>
        <w:ind w:firstLine="720"/>
        <w:rPr>
          <w:rFonts w:ascii="Arial" w:hAnsi="Arial" w:cs="Arial"/>
          <w:color w:val="000000" w:themeColor="text1"/>
          <w:sz w:val="22"/>
          <w:szCs w:val="22"/>
        </w:rPr>
      </w:pPr>
    </w:p>
    <w:p w14:paraId="468C51B8" w14:textId="77777777" w:rsidR="00E21F9F" w:rsidRPr="003E7C59" w:rsidRDefault="00E21F9F" w:rsidP="006622F2">
      <w:pPr>
        <w:spacing w:line="360" w:lineRule="auto"/>
        <w:ind w:firstLine="720"/>
        <w:rPr>
          <w:rFonts w:ascii="Arial" w:hAnsi="Arial" w:cs="Arial"/>
          <w:color w:val="000000" w:themeColor="text1"/>
          <w:sz w:val="22"/>
          <w:szCs w:val="22"/>
        </w:rPr>
      </w:pPr>
    </w:p>
    <w:p w14:paraId="1027CFA5" w14:textId="77777777" w:rsidR="00E21F9F" w:rsidRPr="003E7C59" w:rsidRDefault="00E21F9F" w:rsidP="006622F2">
      <w:pPr>
        <w:spacing w:line="360" w:lineRule="auto"/>
        <w:ind w:firstLine="720"/>
        <w:rPr>
          <w:rFonts w:ascii="Arial" w:hAnsi="Arial" w:cs="Arial"/>
          <w:color w:val="000000" w:themeColor="text1"/>
          <w:sz w:val="22"/>
          <w:szCs w:val="22"/>
        </w:rPr>
      </w:pPr>
    </w:p>
    <w:p w14:paraId="6255B193" w14:textId="77777777" w:rsidR="00E21F9F" w:rsidRPr="003E7C59" w:rsidRDefault="00E21F9F" w:rsidP="006622F2">
      <w:pPr>
        <w:spacing w:line="360" w:lineRule="auto"/>
        <w:ind w:firstLine="720"/>
        <w:rPr>
          <w:rFonts w:ascii="Arial" w:hAnsi="Arial" w:cs="Arial"/>
          <w:color w:val="000000" w:themeColor="text1"/>
          <w:sz w:val="22"/>
          <w:szCs w:val="22"/>
        </w:rPr>
      </w:pPr>
    </w:p>
    <w:p w14:paraId="0C8A3CEE" w14:textId="77777777" w:rsidR="00E21F9F" w:rsidRPr="003E7C59" w:rsidRDefault="00E21F9F" w:rsidP="006622F2">
      <w:pPr>
        <w:spacing w:line="360" w:lineRule="auto"/>
        <w:ind w:firstLine="720"/>
        <w:rPr>
          <w:rFonts w:ascii="Arial" w:hAnsi="Arial" w:cs="Arial"/>
          <w:color w:val="000000" w:themeColor="text1"/>
          <w:sz w:val="22"/>
          <w:szCs w:val="22"/>
        </w:rPr>
      </w:pPr>
    </w:p>
    <w:p w14:paraId="64BFF79C" w14:textId="46A43929" w:rsidR="002421B1" w:rsidRPr="003E7C59" w:rsidRDefault="002421B1" w:rsidP="006622F2">
      <w:pPr>
        <w:spacing w:line="360" w:lineRule="auto"/>
        <w:jc w:val="center"/>
        <w:rPr>
          <w:rFonts w:ascii="Arial" w:hAnsi="Arial" w:cs="Arial"/>
          <w:color w:val="000000" w:themeColor="text1"/>
          <w:sz w:val="22"/>
          <w:szCs w:val="22"/>
        </w:rPr>
      </w:pPr>
    </w:p>
    <w:p w14:paraId="2531AE0A" w14:textId="77777777" w:rsidR="009449D3" w:rsidRPr="003E7C59" w:rsidRDefault="009449D3" w:rsidP="006622F2">
      <w:pPr>
        <w:spacing w:line="360" w:lineRule="auto"/>
        <w:jc w:val="center"/>
        <w:rPr>
          <w:rFonts w:ascii="Arial" w:hAnsi="Arial" w:cs="Arial"/>
          <w:b/>
          <w:color w:val="000000" w:themeColor="text1"/>
          <w:sz w:val="22"/>
          <w:szCs w:val="22"/>
        </w:rPr>
      </w:pPr>
    </w:p>
    <w:p w14:paraId="753E7128" w14:textId="77777777" w:rsidR="002421B1" w:rsidRPr="003E7C59" w:rsidRDefault="002421B1" w:rsidP="006622F2">
      <w:pPr>
        <w:spacing w:line="360" w:lineRule="auto"/>
        <w:jc w:val="center"/>
        <w:rPr>
          <w:rFonts w:ascii="Arial" w:hAnsi="Arial" w:cs="Arial"/>
          <w:b/>
          <w:color w:val="000000" w:themeColor="text1"/>
          <w:sz w:val="22"/>
          <w:szCs w:val="22"/>
        </w:rPr>
      </w:pPr>
    </w:p>
    <w:p w14:paraId="54FD0A93" w14:textId="338AF74F" w:rsidR="00E21F9F" w:rsidRPr="003E7C59" w:rsidRDefault="00E21F9F" w:rsidP="006622F2">
      <w:pPr>
        <w:spacing w:line="360" w:lineRule="auto"/>
        <w:jc w:val="center"/>
        <w:rPr>
          <w:rFonts w:ascii="Arial" w:hAnsi="Arial" w:cs="Arial"/>
          <w:color w:val="000000" w:themeColor="text1"/>
          <w:sz w:val="22"/>
          <w:szCs w:val="22"/>
        </w:rPr>
      </w:pPr>
      <w:r w:rsidRPr="003E7C59">
        <w:rPr>
          <w:rFonts w:ascii="Arial" w:hAnsi="Arial" w:cs="Arial"/>
          <w:b/>
          <w:color w:val="000000" w:themeColor="text1"/>
          <w:sz w:val="22"/>
          <w:szCs w:val="22"/>
        </w:rPr>
        <w:lastRenderedPageBreak/>
        <w:t>Abstract</w:t>
      </w:r>
    </w:p>
    <w:p w14:paraId="68DDD106" w14:textId="77777777" w:rsidR="00CD2680" w:rsidRPr="003E7C59" w:rsidRDefault="00CD2680" w:rsidP="006622F2">
      <w:pPr>
        <w:spacing w:line="360" w:lineRule="auto"/>
        <w:jc w:val="center"/>
        <w:rPr>
          <w:rFonts w:ascii="Arial" w:hAnsi="Arial" w:cs="Arial"/>
          <w:color w:val="000000" w:themeColor="text1"/>
          <w:sz w:val="22"/>
          <w:szCs w:val="22"/>
        </w:rPr>
      </w:pPr>
    </w:p>
    <w:p w14:paraId="0728EA40" w14:textId="01841FE3" w:rsidR="00CD2680" w:rsidRPr="003E7C59" w:rsidRDefault="0077446B" w:rsidP="006622F2">
      <w:pPr>
        <w:spacing w:line="360" w:lineRule="auto"/>
        <w:ind w:firstLine="720"/>
        <w:rPr>
          <w:rFonts w:ascii="Arial" w:hAnsi="Arial" w:cs="Arial"/>
          <w:color w:val="000000" w:themeColor="text1"/>
          <w:sz w:val="22"/>
          <w:szCs w:val="22"/>
          <w:shd w:val="clear" w:color="auto" w:fill="FFFFFF"/>
        </w:rPr>
      </w:pPr>
      <w:r w:rsidRPr="003E7C59">
        <w:rPr>
          <w:rFonts w:ascii="Arial" w:hAnsi="Arial" w:cs="Arial"/>
          <w:color w:val="000000" w:themeColor="text1"/>
          <w:sz w:val="22"/>
          <w:szCs w:val="22"/>
        </w:rPr>
        <w:t xml:space="preserve">Flowering </w:t>
      </w:r>
      <w:r w:rsidRPr="003E7C59">
        <w:rPr>
          <w:rFonts w:ascii="Arial" w:hAnsi="Arial" w:cs="Arial"/>
          <w:color w:val="000000" w:themeColor="text1"/>
          <w:sz w:val="22"/>
          <w:szCs w:val="22"/>
          <w:shd w:val="clear" w:color="auto" w:fill="FCFCFC"/>
        </w:rPr>
        <w:t>dogwood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shd w:val="clear" w:color="auto" w:fill="FCFCFC"/>
        </w:rPr>
        <w:t> L.) and Asian dogwood (</w:t>
      </w:r>
      <w:r w:rsidRPr="003E7C59">
        <w:rPr>
          <w:rFonts w:ascii="Arial" w:hAnsi="Arial" w:cs="Arial"/>
          <w:i/>
          <w:iCs/>
          <w:color w:val="000000" w:themeColor="text1"/>
          <w:sz w:val="22"/>
          <w:szCs w:val="22"/>
          <w:shd w:val="clear" w:color="auto" w:fill="FCFCFC"/>
        </w:rPr>
        <w:t>C</w:t>
      </w:r>
      <w:r w:rsidRPr="003E7C59">
        <w:rPr>
          <w:rFonts w:ascii="Arial" w:hAnsi="Arial" w:cs="Arial"/>
          <w:color w:val="000000" w:themeColor="text1"/>
          <w:sz w:val="22"/>
          <w:szCs w:val="22"/>
          <w:shd w:val="clear" w:color="auto" w:fill="FCFCFC"/>
        </w:rPr>
        <w:t xml:space="preserve">. </w:t>
      </w:r>
      <w:r w:rsidRPr="003E7C59">
        <w:rPr>
          <w:rFonts w:ascii="Arial" w:hAnsi="Arial" w:cs="Arial"/>
          <w:i/>
          <w:iCs/>
          <w:color w:val="000000" w:themeColor="text1"/>
          <w:sz w:val="22"/>
          <w:szCs w:val="22"/>
          <w:shd w:val="clear" w:color="auto" w:fill="FCFCFC"/>
        </w:rPr>
        <w:t xml:space="preserve">kousa </w:t>
      </w:r>
      <w:r w:rsidRPr="003E7C59">
        <w:rPr>
          <w:rFonts w:ascii="Arial" w:hAnsi="Arial" w:cs="Arial"/>
          <w:color w:val="000000" w:themeColor="text1"/>
          <w:sz w:val="22"/>
          <w:szCs w:val="22"/>
        </w:rPr>
        <w:t>F. Buerger ex Hance</w:t>
      </w:r>
      <w:r w:rsidRPr="003E7C59">
        <w:rPr>
          <w:rFonts w:ascii="Arial" w:hAnsi="Arial" w:cs="Arial"/>
          <w:color w:val="000000" w:themeColor="text1"/>
          <w:sz w:val="22"/>
          <w:szCs w:val="22"/>
          <w:shd w:val="clear" w:color="auto" w:fill="FCFCFC"/>
        </w:rPr>
        <w:t>) are popular understory and deciduous ornamental trees</w:t>
      </w:r>
      <w:r w:rsidR="000B7D95" w:rsidRPr="003E7C59">
        <w:rPr>
          <w:rFonts w:ascii="Arial" w:hAnsi="Arial" w:cs="Arial"/>
          <w:color w:val="000000" w:themeColor="text1"/>
          <w:sz w:val="22"/>
          <w:szCs w:val="22"/>
          <w:shd w:val="clear" w:color="auto" w:fill="FCFCFC"/>
        </w:rPr>
        <w:t xml:space="preserve"> t</w:t>
      </w:r>
      <w:r w:rsidRPr="003E7C59">
        <w:rPr>
          <w:rFonts w:ascii="Arial" w:hAnsi="Arial" w:cs="Arial"/>
          <w:color w:val="000000" w:themeColor="text1"/>
          <w:sz w:val="22"/>
          <w:szCs w:val="22"/>
        </w:rPr>
        <w:t>hat are mostly found throughout the temperate regions of North America, Europe, and Asia</w:t>
      </w:r>
      <w:r w:rsidR="000B7D95" w:rsidRPr="003E7C59">
        <w:rPr>
          <w:rFonts w:ascii="Arial" w:hAnsi="Arial" w:cs="Arial"/>
          <w:color w:val="000000" w:themeColor="text1"/>
          <w:sz w:val="22"/>
          <w:szCs w:val="22"/>
        </w:rPr>
        <w:t>.</w:t>
      </w:r>
      <w:r w:rsidRPr="003E7C59">
        <w:rPr>
          <w:rFonts w:ascii="Arial" w:hAnsi="Arial" w:cs="Arial"/>
          <w:color w:val="000000" w:themeColor="text1"/>
          <w:sz w:val="22"/>
          <w:szCs w:val="22"/>
          <w:shd w:val="clear" w:color="auto" w:fill="FCFCFC"/>
        </w:rPr>
        <w:t xml:space="preserve"> They</w:t>
      </w:r>
      <w:r w:rsidRPr="003E7C59">
        <w:rPr>
          <w:rFonts w:ascii="Arial" w:hAnsi="Arial" w:cs="Arial"/>
          <w:color w:val="000000" w:themeColor="text1"/>
          <w:sz w:val="22"/>
          <w:szCs w:val="22"/>
        </w:rPr>
        <w:t xml:space="preserve"> are valued for their showy snow-white, pink, and red bracts, red fall foliage, and colorful fruit. Ornamental dogwoods are </w:t>
      </w:r>
      <w:r w:rsidRPr="003E7C59">
        <w:rPr>
          <w:rFonts w:ascii="Arial" w:hAnsi="Arial" w:cs="Arial"/>
          <w:color w:val="000000" w:themeColor="text1"/>
          <w:sz w:val="22"/>
          <w:szCs w:val="22"/>
          <w:shd w:val="clear" w:color="auto" w:fill="FCFCFC"/>
        </w:rPr>
        <w:t xml:space="preserve">essential horticultural crops for the economy of Tennessee, Oregon, North Carolina, and Ohio. Tennessee-based growers led the trade and accounted for 24% of US sales of flowering dogwood in 2019, whereas total dogwood sales exceeded USD31 </w:t>
      </w:r>
      <w:proofErr w:type="gramStart"/>
      <w:r w:rsidRPr="003E7C59">
        <w:rPr>
          <w:rFonts w:ascii="Arial" w:hAnsi="Arial" w:cs="Arial"/>
          <w:color w:val="000000" w:themeColor="text1"/>
          <w:sz w:val="22"/>
          <w:szCs w:val="22"/>
          <w:shd w:val="clear" w:color="auto" w:fill="FCFCFC"/>
        </w:rPr>
        <w:t>million</w:t>
      </w:r>
      <w:proofErr w:type="gramEnd"/>
      <w:r w:rsidRPr="003E7C59">
        <w:rPr>
          <w:rFonts w:ascii="Arial" w:hAnsi="Arial" w:cs="Arial"/>
          <w:color w:val="000000" w:themeColor="text1"/>
          <w:sz w:val="22"/>
          <w:szCs w:val="22"/>
          <w:shd w:val="clear" w:color="auto" w:fill="FCFCFC"/>
        </w:rPr>
        <w:t xml:space="preserve"> annually. Although more than </w:t>
      </w:r>
      <w:r w:rsidRPr="003E7C59">
        <w:rPr>
          <w:rFonts w:ascii="Arial" w:hAnsi="Arial" w:cs="Arial"/>
          <w:color w:val="000000" w:themeColor="text1"/>
          <w:sz w:val="22"/>
          <w:szCs w:val="22"/>
        </w:rPr>
        <w:t>150 cultivars are commercially available for both species, consumer demands for specific traits of interest, such as dark red bract or foliage display, resistance to pathogens, variegated foliage, and dwarf or weeping habit, have not been satisfied. However, time-demanding</w:t>
      </w:r>
      <w:sdt>
        <w:sdtPr>
          <w:rPr>
            <w:rFonts w:ascii="Arial" w:hAnsi="Arial" w:cs="Arial"/>
            <w:color w:val="000000" w:themeColor="text1"/>
            <w:sz w:val="22"/>
            <w:szCs w:val="22"/>
          </w:rPr>
          <w:tag w:val="goog_rdk_18"/>
          <w:id w:val="995226683"/>
          <w:placeholder>
            <w:docPart w:val="794CCA0AF1EC874AB8E6235CDDF7C225"/>
          </w:placeholder>
        </w:sdtPr>
        <w:sdtEndPr/>
        <w:sdtContent>
          <w:r w:rsidRPr="003E7C59">
            <w:rPr>
              <w:rFonts w:ascii="Arial" w:hAnsi="Arial" w:cs="Arial"/>
              <w:color w:val="000000" w:themeColor="text1"/>
              <w:sz w:val="22"/>
              <w:szCs w:val="22"/>
            </w:rPr>
            <w:t xml:space="preserve"> </w:t>
          </w:r>
        </w:sdtContent>
      </w:sdt>
      <w:sdt>
        <w:sdtPr>
          <w:rPr>
            <w:rFonts w:ascii="Arial" w:hAnsi="Arial" w:cs="Arial"/>
            <w:color w:val="000000" w:themeColor="text1"/>
            <w:sz w:val="22"/>
            <w:szCs w:val="22"/>
          </w:rPr>
          <w:tag w:val="goog_rdk_19"/>
          <w:id w:val="-166866456"/>
          <w:placeholder>
            <w:docPart w:val="794CCA0AF1EC874AB8E6235CDDF7C225"/>
          </w:placeholder>
        </w:sdtPr>
        <w:sdtEndPr/>
        <w:sdtContent/>
      </w:sdt>
      <w:r w:rsidRPr="003E7C59">
        <w:rPr>
          <w:rFonts w:ascii="Arial" w:hAnsi="Arial" w:cs="Arial"/>
          <w:color w:val="000000" w:themeColor="text1"/>
          <w:sz w:val="22"/>
          <w:szCs w:val="22"/>
        </w:rPr>
        <w:t xml:space="preserve">dogwood cultivar development typically depends on repeated selection for desirable traits. Hence, the following challenges </w:t>
      </w:r>
      <w:proofErr w:type="gramStart"/>
      <w:r w:rsidRPr="003E7C59">
        <w:rPr>
          <w:rFonts w:ascii="Arial" w:hAnsi="Arial" w:cs="Arial"/>
          <w:color w:val="000000" w:themeColor="text1"/>
          <w:sz w:val="22"/>
          <w:szCs w:val="22"/>
        </w:rPr>
        <w:t>must be overcome</w:t>
      </w:r>
      <w:proofErr w:type="gramEnd"/>
      <w:r w:rsidRPr="003E7C59">
        <w:rPr>
          <w:rFonts w:ascii="Arial" w:hAnsi="Arial" w:cs="Arial"/>
          <w:color w:val="000000" w:themeColor="text1"/>
          <w:sz w:val="22"/>
          <w:szCs w:val="22"/>
        </w:rPr>
        <w:t>: long juvenile period (</w:t>
      </w:r>
      <w:r w:rsidRPr="003E7C59">
        <w:rPr>
          <w:rFonts w:ascii="Arial" w:hAnsi="Arial" w:cs="Arial"/>
          <w:color w:val="000000" w:themeColor="text1"/>
          <w:sz w:val="22"/>
          <w:szCs w:val="22"/>
          <w:shd w:val="clear" w:color="auto" w:fill="FCFCFC"/>
        </w:rPr>
        <w:t>3 to 5 years</w:t>
      </w:r>
      <w:r w:rsidRPr="003E7C59">
        <w:rPr>
          <w:rFonts w:ascii="Arial" w:hAnsi="Arial" w:cs="Arial"/>
          <w:color w:val="000000" w:themeColor="text1"/>
          <w:sz w:val="22"/>
          <w:szCs w:val="22"/>
        </w:rPr>
        <w:t>), self-incompatibility, inbreeding depression, and high susceptibility of flowering dogwood to two fungal foliar pathogens, dogwood anthracnose</w:t>
      </w:r>
      <w:r w:rsidR="00C50F4A"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shd w:val="clear" w:color="auto" w:fill="FCFCFC"/>
        </w:rPr>
        <w:t xml:space="preserve">and powdery mildew. </w:t>
      </w:r>
      <w:r w:rsidRPr="003E7C59">
        <w:rPr>
          <w:rFonts w:ascii="Arial" w:hAnsi="Arial" w:cs="Arial"/>
          <w:color w:val="000000" w:themeColor="text1"/>
          <w:sz w:val="22"/>
          <w:szCs w:val="22"/>
        </w:rPr>
        <w:t xml:space="preserve">Therefore, this work </w:t>
      </w:r>
      <w:proofErr w:type="gramStart"/>
      <w:r w:rsidRPr="003E7C59">
        <w:rPr>
          <w:rFonts w:ascii="Arial" w:hAnsi="Arial" w:cs="Arial"/>
          <w:color w:val="000000" w:themeColor="text1"/>
          <w:sz w:val="22"/>
          <w:szCs w:val="22"/>
        </w:rPr>
        <w:t>was initiated</w:t>
      </w:r>
      <w:proofErr w:type="gramEnd"/>
      <w:r w:rsidRPr="003E7C59">
        <w:rPr>
          <w:rFonts w:ascii="Arial" w:hAnsi="Arial" w:cs="Arial"/>
          <w:color w:val="000000" w:themeColor="text1"/>
          <w:sz w:val="22"/>
          <w:szCs w:val="22"/>
        </w:rPr>
        <w:t xml:space="preserve"> to study the molecular mechanisms underlying anthocyanin</w:t>
      </w:r>
      <w:r w:rsidR="00871B43" w:rsidRPr="003E7C59">
        <w:rPr>
          <w:rFonts w:ascii="Arial" w:hAnsi="Arial" w:cs="Arial"/>
          <w:color w:val="000000" w:themeColor="text1"/>
          <w:sz w:val="22"/>
          <w:szCs w:val="22"/>
        </w:rPr>
        <w:t xml:space="preserve"> and proanthocyanidin</w:t>
      </w:r>
      <w:r w:rsidRPr="003E7C59">
        <w:rPr>
          <w:rFonts w:ascii="Arial" w:hAnsi="Arial" w:cs="Arial"/>
          <w:color w:val="000000" w:themeColor="text1"/>
          <w:sz w:val="22"/>
          <w:szCs w:val="22"/>
        </w:rPr>
        <w:t xml:space="preserve"> pigment biosynthesis; to enhance bract and foliage's desirable red and pink colors by using the RNA-Seq approach to enable the development of functional markers or the application of marker-assisted selection. </w:t>
      </w:r>
      <w:r w:rsidR="00E152A1" w:rsidRPr="003E7C59">
        <w:rPr>
          <w:rFonts w:ascii="Arial" w:hAnsi="Arial" w:cs="Arial"/>
          <w:color w:val="000000" w:themeColor="text1"/>
          <w:sz w:val="22"/>
          <w:szCs w:val="22"/>
        </w:rPr>
        <w:t>Fully developed</w:t>
      </w:r>
      <w:r w:rsidRPr="003E7C59">
        <w:rPr>
          <w:rFonts w:ascii="Arial" w:hAnsi="Arial" w:cs="Arial"/>
          <w:color w:val="000000" w:themeColor="text1"/>
          <w:sz w:val="22"/>
          <w:szCs w:val="22"/>
        </w:rPr>
        <w:t xml:space="preserve"> bracts of three cultivars of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two cultivars of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kousa</w:t>
      </w:r>
      <w:r w:rsidRPr="003E7C59">
        <w:rPr>
          <w:rFonts w:ascii="Arial" w:hAnsi="Arial" w:cs="Arial"/>
          <w:color w:val="000000" w:themeColor="text1"/>
          <w:sz w:val="22"/>
          <w:szCs w:val="22"/>
        </w:rPr>
        <w:t xml:space="preserve"> were sampled when color was maximally visible</w:t>
      </w:r>
      <w:r w:rsidR="00C2795C" w:rsidRPr="003E7C59">
        <w:rPr>
          <w:rFonts w:ascii="Arial" w:hAnsi="Arial" w:cs="Arial"/>
          <w:color w:val="000000" w:themeColor="text1"/>
          <w:sz w:val="22"/>
          <w:szCs w:val="22"/>
        </w:rPr>
        <w:t xml:space="preserve"> and subjected to RNA sequencing</w:t>
      </w:r>
      <w:r w:rsidRPr="003E7C59">
        <w:rPr>
          <w:rFonts w:ascii="Arial" w:hAnsi="Arial" w:cs="Arial"/>
          <w:color w:val="000000" w:themeColor="text1"/>
          <w:sz w:val="22"/>
          <w:szCs w:val="22"/>
        </w:rPr>
        <w:t xml:space="preserve">. Candidate genes </w:t>
      </w:r>
      <w:r w:rsidRPr="003E7C59">
        <w:rPr>
          <w:rFonts w:ascii="Arial" w:hAnsi="Arial" w:cs="Arial"/>
          <w:i/>
          <w:iCs/>
          <w:color w:val="000000" w:themeColor="text1"/>
          <w:sz w:val="22"/>
          <w:szCs w:val="22"/>
        </w:rPr>
        <w:t>CfMYB2</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CfMYB3</w:t>
      </w:r>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CkMYB2,</w:t>
      </w:r>
      <w:r w:rsidRPr="003E7C59">
        <w:rPr>
          <w:rFonts w:ascii="Arial" w:hAnsi="Arial" w:cs="Arial"/>
          <w:color w:val="000000" w:themeColor="text1"/>
          <w:sz w:val="22"/>
          <w:szCs w:val="22"/>
        </w:rPr>
        <w:t xml:space="preserve"> </w:t>
      </w:r>
      <w:proofErr w:type="gramStart"/>
      <w:r w:rsidRPr="003E7C59">
        <w:rPr>
          <w:rFonts w:ascii="Arial" w:hAnsi="Arial" w:cs="Arial"/>
          <w:color w:val="000000" w:themeColor="text1"/>
          <w:sz w:val="22"/>
          <w:szCs w:val="22"/>
        </w:rPr>
        <w:t>were found</w:t>
      </w:r>
      <w:proofErr w:type="gramEnd"/>
      <w:r w:rsidRPr="003E7C59">
        <w:rPr>
          <w:rFonts w:ascii="Arial" w:hAnsi="Arial" w:cs="Arial"/>
          <w:color w:val="000000" w:themeColor="text1"/>
          <w:sz w:val="22"/>
          <w:szCs w:val="22"/>
        </w:rPr>
        <w:t xml:space="preserve"> to repress anthocyanin and proanthocyanidin synthesis in flowering and Asian dogwood, whereas </w:t>
      </w:r>
      <w:r w:rsidRPr="003E7C59">
        <w:rPr>
          <w:rFonts w:ascii="Arial" w:hAnsi="Arial" w:cs="Arial"/>
          <w:i/>
          <w:iCs/>
          <w:color w:val="000000" w:themeColor="text1"/>
          <w:sz w:val="22"/>
          <w:szCs w:val="22"/>
        </w:rPr>
        <w:t>CfMYB1</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80</w:t>
      </w:r>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CkMYB1</w:t>
      </w:r>
      <w:r w:rsidRPr="003E7C59">
        <w:rPr>
          <w:rFonts w:ascii="Arial" w:hAnsi="Arial" w:cs="Arial"/>
          <w:color w:val="000000" w:themeColor="text1"/>
          <w:sz w:val="22"/>
          <w:szCs w:val="22"/>
        </w:rPr>
        <w:t xml:space="preserve"> increased it. </w:t>
      </w:r>
      <w:r w:rsidR="0068364D" w:rsidRPr="003E7C59">
        <w:rPr>
          <w:rFonts w:ascii="Arial" w:hAnsi="Arial" w:cs="Arial"/>
          <w:color w:val="000000" w:themeColor="text1"/>
          <w:sz w:val="22"/>
          <w:szCs w:val="22"/>
        </w:rPr>
        <w:t>Two quantitative trait loci, QTLPM-7 and QTLPM-8, associated with powdery mildew</w:t>
      </w:r>
      <w:r w:rsidR="006A4A3F" w:rsidRPr="003E7C59">
        <w:rPr>
          <w:rFonts w:ascii="Arial" w:hAnsi="Arial" w:cs="Arial"/>
          <w:color w:val="000000" w:themeColor="text1"/>
          <w:sz w:val="22"/>
          <w:szCs w:val="22"/>
        </w:rPr>
        <w:t xml:space="preserve"> resistance</w:t>
      </w:r>
      <w:r w:rsidR="0068364D" w:rsidRPr="003E7C59">
        <w:rPr>
          <w:rFonts w:ascii="Arial" w:hAnsi="Arial" w:cs="Arial"/>
          <w:color w:val="000000" w:themeColor="text1"/>
          <w:sz w:val="22"/>
          <w:szCs w:val="22"/>
        </w:rPr>
        <w:t xml:space="preserve"> were</w:t>
      </w:r>
      <w:r w:rsidR="0068364D" w:rsidRPr="003E7C59">
        <w:rPr>
          <w:rFonts w:ascii="Arial" w:hAnsi="Arial" w:cs="Arial"/>
          <w:color w:val="000000" w:themeColor="text1"/>
          <w:sz w:val="22"/>
          <w:szCs w:val="22"/>
          <w:shd w:val="clear" w:color="auto" w:fill="FFFFFF"/>
        </w:rPr>
        <w:t xml:space="preserve"> identified for two consecutive years in </w:t>
      </w:r>
      <w:r w:rsidR="0068364D" w:rsidRPr="003E7C59">
        <w:rPr>
          <w:rFonts w:ascii="Arial" w:hAnsi="Arial" w:cs="Arial"/>
          <w:i/>
          <w:iCs/>
          <w:color w:val="000000" w:themeColor="text1"/>
          <w:sz w:val="22"/>
          <w:szCs w:val="22"/>
        </w:rPr>
        <w:t>C</w:t>
      </w:r>
      <w:r w:rsidR="0068364D" w:rsidRPr="003E7C59">
        <w:rPr>
          <w:rFonts w:ascii="Arial" w:hAnsi="Arial" w:cs="Arial"/>
          <w:color w:val="000000" w:themeColor="text1"/>
          <w:sz w:val="22"/>
          <w:szCs w:val="22"/>
        </w:rPr>
        <w:t xml:space="preserve">. </w:t>
      </w:r>
      <w:proofErr w:type="gramStart"/>
      <w:r w:rsidR="0068364D" w:rsidRPr="003E7C59">
        <w:rPr>
          <w:rFonts w:ascii="Arial" w:hAnsi="Arial" w:cs="Arial"/>
          <w:i/>
          <w:iCs/>
          <w:color w:val="000000" w:themeColor="text1"/>
          <w:sz w:val="22"/>
          <w:szCs w:val="22"/>
        </w:rPr>
        <w:t>florida</w:t>
      </w:r>
      <w:proofErr w:type="gramEnd"/>
      <w:r w:rsidR="0068364D" w:rsidRPr="003E7C59">
        <w:rPr>
          <w:rFonts w:ascii="Arial" w:hAnsi="Arial" w:cs="Arial"/>
          <w:color w:val="000000" w:themeColor="text1"/>
          <w:sz w:val="22"/>
          <w:szCs w:val="22"/>
          <w:shd w:val="clear" w:color="auto" w:fill="FFFFFF"/>
        </w:rPr>
        <w:t xml:space="preserve"> pseudo-F2 population. Finally, </w:t>
      </w:r>
      <w:r w:rsidR="0068364D" w:rsidRPr="003E7C59">
        <w:rPr>
          <w:rFonts w:ascii="Arial" w:hAnsi="Arial" w:cs="Arial"/>
          <w:color w:val="000000" w:themeColor="text1"/>
          <w:sz w:val="22"/>
          <w:szCs w:val="22"/>
        </w:rPr>
        <w:t>r</w:t>
      </w:r>
      <w:r w:rsidRPr="003E7C59">
        <w:rPr>
          <w:rFonts w:ascii="Arial" w:hAnsi="Arial" w:cs="Arial"/>
          <w:color w:val="000000" w:themeColor="text1"/>
          <w:sz w:val="22"/>
          <w:szCs w:val="22"/>
        </w:rPr>
        <w:t xml:space="preserve">ecessively inherited </w:t>
      </w:r>
      <w:r w:rsidRPr="003E7C59">
        <w:rPr>
          <w:rFonts w:ascii="Arial" w:hAnsi="Arial" w:cs="Arial"/>
          <w:i/>
          <w:iCs/>
          <w:color w:val="000000" w:themeColor="text1"/>
          <w:sz w:val="22"/>
          <w:szCs w:val="22"/>
        </w:rPr>
        <w:t>Mildew resistance locus o</w:t>
      </w:r>
      <w:r w:rsidRPr="003E7C59">
        <w:rPr>
          <w:rFonts w:ascii="Arial" w:hAnsi="Arial" w:cs="Arial"/>
          <w:color w:val="000000" w:themeColor="text1"/>
          <w:sz w:val="22"/>
          <w:szCs w:val="22"/>
          <w:shd w:val="clear" w:color="auto" w:fill="FFFFFF"/>
        </w:rPr>
        <w:t> (</w:t>
      </w:r>
      <w:r w:rsidRPr="003E7C59">
        <w:rPr>
          <w:rFonts w:ascii="Arial" w:hAnsi="Arial" w:cs="Arial"/>
          <w:i/>
          <w:iCs/>
          <w:color w:val="000000" w:themeColor="text1"/>
          <w:sz w:val="22"/>
          <w:szCs w:val="22"/>
        </w:rPr>
        <w:t>Mlo</w:t>
      </w:r>
      <w:r w:rsidRPr="003E7C59">
        <w:rPr>
          <w:rFonts w:ascii="Arial" w:hAnsi="Arial" w:cs="Arial"/>
          <w:color w:val="000000" w:themeColor="text1"/>
          <w:sz w:val="22"/>
          <w:szCs w:val="22"/>
          <w:shd w:val="clear" w:color="auto" w:fill="FFFFFF"/>
        </w:rPr>
        <w:t>) genes, which prevent effective host cell penetration by powdery mildew, were investigated in a time-tuned transcriptome study</w:t>
      </w:r>
      <w:r w:rsidR="00374271" w:rsidRPr="003E7C59">
        <w:rPr>
          <w:rFonts w:ascii="Arial" w:hAnsi="Arial" w:cs="Arial"/>
          <w:color w:val="000000" w:themeColor="text1"/>
          <w:sz w:val="22"/>
          <w:szCs w:val="22"/>
          <w:shd w:val="clear" w:color="auto" w:fill="FFFFFF"/>
        </w:rPr>
        <w:t xml:space="preserve"> including four </w:t>
      </w:r>
      <w:r w:rsidR="00374271" w:rsidRPr="003E7C59">
        <w:rPr>
          <w:rFonts w:ascii="Arial" w:hAnsi="Arial" w:cs="Arial"/>
          <w:i/>
          <w:iCs/>
          <w:color w:val="000000" w:themeColor="text1"/>
          <w:sz w:val="22"/>
          <w:szCs w:val="22"/>
        </w:rPr>
        <w:t>C</w:t>
      </w:r>
      <w:r w:rsidR="00374271" w:rsidRPr="003E7C59">
        <w:rPr>
          <w:rFonts w:ascii="Arial" w:hAnsi="Arial" w:cs="Arial"/>
          <w:color w:val="000000" w:themeColor="text1"/>
          <w:sz w:val="22"/>
          <w:szCs w:val="22"/>
        </w:rPr>
        <w:t xml:space="preserve">. </w:t>
      </w:r>
      <w:r w:rsidR="00374271" w:rsidRPr="003E7C59">
        <w:rPr>
          <w:rFonts w:ascii="Arial" w:hAnsi="Arial" w:cs="Arial"/>
          <w:i/>
          <w:iCs/>
          <w:color w:val="000000" w:themeColor="text1"/>
          <w:sz w:val="22"/>
          <w:szCs w:val="22"/>
        </w:rPr>
        <w:t xml:space="preserve">florida </w:t>
      </w:r>
      <w:r w:rsidR="00374271" w:rsidRPr="003E7C59">
        <w:rPr>
          <w:rFonts w:ascii="Arial" w:hAnsi="Arial" w:cs="Arial"/>
          <w:color w:val="000000" w:themeColor="text1"/>
          <w:sz w:val="22"/>
          <w:szCs w:val="22"/>
        </w:rPr>
        <w:t xml:space="preserve">cultivars of </w:t>
      </w:r>
      <w:r w:rsidR="00D96982" w:rsidRPr="003E7C59">
        <w:rPr>
          <w:rFonts w:ascii="Arial" w:hAnsi="Arial" w:cs="Arial"/>
          <w:color w:val="000000" w:themeColor="text1"/>
          <w:sz w:val="22"/>
          <w:szCs w:val="22"/>
        </w:rPr>
        <w:t>varying resistance to powdery mildew</w:t>
      </w:r>
      <w:r w:rsidRPr="003E7C59">
        <w:rPr>
          <w:rFonts w:ascii="Arial" w:hAnsi="Arial" w:cs="Arial"/>
          <w:color w:val="000000" w:themeColor="text1"/>
          <w:sz w:val="22"/>
          <w:szCs w:val="22"/>
          <w:shd w:val="clear" w:color="auto" w:fill="FFFFFF"/>
        </w:rPr>
        <w:t xml:space="preserve">. </w:t>
      </w:r>
    </w:p>
    <w:p w14:paraId="24A419CB" w14:textId="31353215" w:rsidR="00E21F9F" w:rsidRPr="003E7C59" w:rsidRDefault="00E21F9F" w:rsidP="006622F2">
      <w:pPr>
        <w:spacing w:line="360" w:lineRule="auto"/>
        <w:rPr>
          <w:rFonts w:ascii="Arial" w:hAnsi="Arial" w:cs="Arial"/>
          <w:color w:val="000000" w:themeColor="text1"/>
          <w:sz w:val="22"/>
          <w:szCs w:val="22"/>
        </w:rPr>
      </w:pPr>
      <w:r w:rsidRPr="003E7C59">
        <w:rPr>
          <w:rFonts w:ascii="Arial" w:hAnsi="Arial" w:cs="Arial"/>
          <w:color w:val="000000" w:themeColor="text1"/>
          <w:sz w:val="22"/>
          <w:szCs w:val="22"/>
        </w:rPr>
        <w:t xml:space="preserve">  </w:t>
      </w:r>
    </w:p>
    <w:p w14:paraId="467E4621" w14:textId="77777777" w:rsidR="00E21F9F" w:rsidRPr="003E7C59" w:rsidRDefault="00E21F9F" w:rsidP="006622F2">
      <w:pPr>
        <w:spacing w:line="360" w:lineRule="auto"/>
        <w:rPr>
          <w:rFonts w:ascii="Arial" w:hAnsi="Arial" w:cs="Arial"/>
          <w:color w:val="000000" w:themeColor="text1"/>
          <w:sz w:val="22"/>
          <w:szCs w:val="22"/>
        </w:rPr>
      </w:pPr>
    </w:p>
    <w:p w14:paraId="226ED9C0" w14:textId="57D758F5" w:rsidR="007B3784" w:rsidRPr="003E7C59" w:rsidRDefault="007B3784" w:rsidP="006622F2">
      <w:pPr>
        <w:tabs>
          <w:tab w:val="left" w:pos="2944"/>
        </w:tabs>
        <w:spacing w:after="30" w:line="360" w:lineRule="auto"/>
        <w:ind w:right="1500"/>
        <w:rPr>
          <w:rFonts w:ascii="Arial" w:hAnsi="Arial" w:cs="Arial"/>
          <w:color w:val="000000" w:themeColor="text1"/>
          <w:sz w:val="22"/>
          <w:szCs w:val="22"/>
        </w:rPr>
      </w:pPr>
    </w:p>
    <w:p w14:paraId="76F75ABC" w14:textId="757750E9" w:rsidR="006112FD" w:rsidRPr="003E7C59" w:rsidRDefault="006112FD" w:rsidP="006622F2">
      <w:pPr>
        <w:tabs>
          <w:tab w:val="left" w:pos="2944"/>
        </w:tabs>
        <w:spacing w:line="360" w:lineRule="auto"/>
        <w:jc w:val="center"/>
        <w:rPr>
          <w:rFonts w:ascii="Arial" w:hAnsi="Arial" w:cs="Arial"/>
          <w:b/>
          <w:color w:val="000000" w:themeColor="text1"/>
          <w:sz w:val="22"/>
          <w:szCs w:val="22"/>
        </w:rPr>
      </w:pPr>
    </w:p>
    <w:p w14:paraId="7D67E1D1" w14:textId="77777777" w:rsidR="009449D3" w:rsidRPr="003E7C59" w:rsidRDefault="009449D3" w:rsidP="006622F2">
      <w:pPr>
        <w:tabs>
          <w:tab w:val="left" w:pos="2944"/>
        </w:tabs>
        <w:spacing w:line="360" w:lineRule="auto"/>
        <w:jc w:val="center"/>
        <w:rPr>
          <w:rFonts w:ascii="Arial" w:hAnsi="Arial" w:cs="Arial"/>
          <w:bCs/>
          <w:color w:val="000000" w:themeColor="text1"/>
          <w:sz w:val="22"/>
          <w:szCs w:val="22"/>
        </w:rPr>
      </w:pPr>
    </w:p>
    <w:p w14:paraId="4280D805" w14:textId="77777777" w:rsidR="006112FD" w:rsidRPr="003E7C59" w:rsidRDefault="006112FD" w:rsidP="006622F2">
      <w:pPr>
        <w:tabs>
          <w:tab w:val="left" w:pos="2944"/>
        </w:tabs>
        <w:spacing w:line="360" w:lineRule="auto"/>
        <w:jc w:val="center"/>
        <w:rPr>
          <w:rFonts w:ascii="Arial" w:hAnsi="Arial" w:cs="Arial"/>
          <w:bCs/>
          <w:color w:val="000000" w:themeColor="text1"/>
          <w:sz w:val="22"/>
          <w:szCs w:val="22"/>
        </w:rPr>
      </w:pPr>
    </w:p>
    <w:p w14:paraId="2D525CE1" w14:textId="43452ED7" w:rsidR="002755E0" w:rsidRPr="00DB1EC4" w:rsidRDefault="009A2A4F" w:rsidP="00DB1EC4">
      <w:pPr>
        <w:tabs>
          <w:tab w:val="left" w:pos="2944"/>
        </w:tabs>
        <w:spacing w:line="360" w:lineRule="auto"/>
        <w:jc w:val="center"/>
        <w:rPr>
          <w:rFonts w:ascii="Arial" w:hAnsi="Arial" w:cs="Arial"/>
          <w:b/>
          <w:color w:val="000000" w:themeColor="text1"/>
          <w:sz w:val="22"/>
          <w:szCs w:val="22"/>
        </w:rPr>
      </w:pPr>
      <w:r w:rsidRPr="00DB1EC4">
        <w:rPr>
          <w:rFonts w:ascii="Arial" w:hAnsi="Arial" w:cs="Arial"/>
          <w:b/>
          <w:color w:val="000000" w:themeColor="text1"/>
          <w:sz w:val="22"/>
          <w:szCs w:val="22"/>
        </w:rPr>
        <w:lastRenderedPageBreak/>
        <w:t>Table o</w:t>
      </w:r>
      <w:r w:rsidR="007B3784" w:rsidRPr="00DB1EC4">
        <w:rPr>
          <w:rFonts w:ascii="Arial" w:hAnsi="Arial" w:cs="Arial"/>
          <w:b/>
          <w:color w:val="000000" w:themeColor="text1"/>
          <w:sz w:val="22"/>
          <w:szCs w:val="22"/>
        </w:rPr>
        <w:t>f Content</w:t>
      </w:r>
      <w:r w:rsidR="00164F40" w:rsidRPr="00DB1EC4">
        <w:rPr>
          <w:rFonts w:ascii="Arial" w:hAnsi="Arial" w:cs="Arial"/>
          <w:b/>
          <w:color w:val="000000" w:themeColor="text1"/>
          <w:sz w:val="22"/>
          <w:szCs w:val="22"/>
        </w:rPr>
        <w:t>s</w:t>
      </w:r>
    </w:p>
    <w:p w14:paraId="782B6B92" w14:textId="3CE0ADFA" w:rsidR="00DB1EC4" w:rsidRPr="00DB1EC4" w:rsidRDefault="002755E0" w:rsidP="00DB1EC4">
      <w:pPr>
        <w:pStyle w:val="TOC1"/>
        <w:rPr>
          <w:rFonts w:eastAsiaTheme="minorEastAsia"/>
          <w:bCs w:val="0"/>
        </w:rPr>
      </w:pPr>
      <w:r w:rsidRPr="00DB1EC4">
        <w:rPr>
          <w:color w:val="000000" w:themeColor="text1"/>
        </w:rPr>
        <w:fldChar w:fldCharType="begin"/>
      </w:r>
      <w:r w:rsidRPr="00DB1EC4">
        <w:rPr>
          <w:color w:val="000000" w:themeColor="text1"/>
        </w:rPr>
        <w:instrText xml:space="preserve"> TOC \o "1-5" \h \z \u </w:instrText>
      </w:r>
      <w:r w:rsidRPr="00DB1EC4">
        <w:rPr>
          <w:color w:val="000000" w:themeColor="text1"/>
        </w:rPr>
        <w:fldChar w:fldCharType="separate"/>
      </w:r>
      <w:hyperlink w:anchor="_Toc121821916" w:history="1">
        <w:r w:rsidR="00DB1EC4" w:rsidRPr="00DB1EC4">
          <w:rPr>
            <w:rStyle w:val="Hyperlink"/>
          </w:rPr>
          <w:t>Introduction</w:t>
        </w:r>
        <w:r w:rsidR="00DB1EC4" w:rsidRPr="00DB1EC4">
          <w:rPr>
            <w:webHidden/>
          </w:rPr>
          <w:tab/>
        </w:r>
        <w:r w:rsidR="00DB1EC4" w:rsidRPr="00DB1EC4">
          <w:rPr>
            <w:webHidden/>
          </w:rPr>
          <w:fldChar w:fldCharType="begin"/>
        </w:r>
        <w:r w:rsidR="00DB1EC4" w:rsidRPr="00DB1EC4">
          <w:rPr>
            <w:webHidden/>
          </w:rPr>
          <w:instrText xml:space="preserve"> PAGEREF _Toc121821916 \h </w:instrText>
        </w:r>
        <w:r w:rsidR="00DB1EC4" w:rsidRPr="00DB1EC4">
          <w:rPr>
            <w:webHidden/>
          </w:rPr>
        </w:r>
        <w:r w:rsidR="00DB1EC4" w:rsidRPr="00DB1EC4">
          <w:rPr>
            <w:webHidden/>
          </w:rPr>
          <w:fldChar w:fldCharType="separate"/>
        </w:r>
        <w:r w:rsidR="00DB1EC4" w:rsidRPr="00DB1EC4">
          <w:rPr>
            <w:webHidden/>
          </w:rPr>
          <w:t>1</w:t>
        </w:r>
        <w:r w:rsidR="00DB1EC4" w:rsidRPr="00DB1EC4">
          <w:rPr>
            <w:webHidden/>
          </w:rPr>
          <w:fldChar w:fldCharType="end"/>
        </w:r>
      </w:hyperlink>
    </w:p>
    <w:p w14:paraId="34CAAB0A" w14:textId="3588DA3B" w:rsidR="00DB1EC4" w:rsidRPr="00DB1EC4" w:rsidRDefault="00E817AE" w:rsidP="00DB1EC4">
      <w:pPr>
        <w:pStyle w:val="TOC1"/>
        <w:rPr>
          <w:rFonts w:eastAsiaTheme="minorEastAsia"/>
          <w:bCs w:val="0"/>
        </w:rPr>
      </w:pPr>
      <w:hyperlink w:anchor="_Toc121821917" w:history="1">
        <w:r w:rsidR="00DB1EC4" w:rsidRPr="00DB1EC4">
          <w:rPr>
            <w:rStyle w:val="Hyperlink"/>
          </w:rPr>
          <w:t xml:space="preserve">Chapter 1. Identification of R2R3-MYB Transcription Factors Involved in Flavonoid Biosynthesis Regulation in </w:t>
        </w:r>
        <w:r w:rsidR="00DB1EC4" w:rsidRPr="00DB1EC4">
          <w:rPr>
            <w:rStyle w:val="Hyperlink"/>
            <w:i/>
            <w:iCs/>
          </w:rPr>
          <w:t xml:space="preserve">Cornus florida </w:t>
        </w:r>
        <w:r w:rsidR="00DB1EC4" w:rsidRPr="00DB1EC4">
          <w:rPr>
            <w:rStyle w:val="Hyperlink"/>
          </w:rPr>
          <w:t xml:space="preserve">and </w:t>
        </w:r>
        <w:r w:rsidR="00DB1EC4" w:rsidRPr="00DB1EC4">
          <w:rPr>
            <w:rStyle w:val="Hyperlink"/>
            <w:i/>
            <w:iCs/>
          </w:rPr>
          <w:t>C. kousa</w:t>
        </w:r>
        <w:r w:rsidR="00DB1EC4" w:rsidRPr="00DB1EC4">
          <w:rPr>
            <w:webHidden/>
          </w:rPr>
          <w:tab/>
        </w:r>
        <w:r w:rsidR="00DB1EC4" w:rsidRPr="00DB1EC4">
          <w:rPr>
            <w:webHidden/>
          </w:rPr>
          <w:fldChar w:fldCharType="begin"/>
        </w:r>
        <w:r w:rsidR="00DB1EC4" w:rsidRPr="00DB1EC4">
          <w:rPr>
            <w:webHidden/>
          </w:rPr>
          <w:instrText xml:space="preserve"> PAGEREF _Toc121821917 \h </w:instrText>
        </w:r>
        <w:r w:rsidR="00DB1EC4" w:rsidRPr="00DB1EC4">
          <w:rPr>
            <w:webHidden/>
          </w:rPr>
        </w:r>
        <w:r w:rsidR="00DB1EC4" w:rsidRPr="00DB1EC4">
          <w:rPr>
            <w:webHidden/>
          </w:rPr>
          <w:fldChar w:fldCharType="separate"/>
        </w:r>
        <w:r w:rsidR="00DB1EC4" w:rsidRPr="00DB1EC4">
          <w:rPr>
            <w:webHidden/>
          </w:rPr>
          <w:t>7</w:t>
        </w:r>
        <w:r w:rsidR="00DB1EC4" w:rsidRPr="00DB1EC4">
          <w:rPr>
            <w:webHidden/>
          </w:rPr>
          <w:fldChar w:fldCharType="end"/>
        </w:r>
      </w:hyperlink>
    </w:p>
    <w:p w14:paraId="5E1060CB" w14:textId="260C3D25"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18" w:history="1">
        <w:r w:rsidR="00DB1EC4" w:rsidRPr="00DB1EC4">
          <w:rPr>
            <w:rStyle w:val="Hyperlink"/>
            <w:rFonts w:ascii="Arial" w:hAnsi="Arial" w:cs="Arial"/>
            <w:noProof/>
            <w:sz w:val="22"/>
            <w:szCs w:val="22"/>
          </w:rPr>
          <w:t>Abstract</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_Toc121821918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9</w:t>
        </w:r>
        <w:r w:rsidR="00DB1EC4" w:rsidRPr="00DB1EC4">
          <w:rPr>
            <w:rFonts w:ascii="Arial" w:hAnsi="Arial" w:cs="Arial"/>
            <w:noProof/>
            <w:webHidden/>
            <w:sz w:val="22"/>
            <w:szCs w:val="22"/>
          </w:rPr>
          <w:fldChar w:fldCharType="end"/>
        </w:r>
      </w:hyperlink>
    </w:p>
    <w:p w14:paraId="355E347F" w14:textId="5155E7EB"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19" w:history="1">
        <w:r w:rsidR="00DB1EC4" w:rsidRPr="00DB1EC4">
          <w:rPr>
            <w:rStyle w:val="Hyperlink"/>
            <w:rFonts w:ascii="Arial" w:hAnsi="Arial" w:cs="Arial"/>
            <w:noProof/>
            <w:sz w:val="22"/>
            <w:szCs w:val="22"/>
          </w:rPr>
          <w:t>Introduction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_Toc121821919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9</w:t>
        </w:r>
        <w:r w:rsidR="00DB1EC4" w:rsidRPr="00DB1EC4">
          <w:rPr>
            <w:rFonts w:ascii="Arial" w:hAnsi="Arial" w:cs="Arial"/>
            <w:noProof/>
            <w:webHidden/>
            <w:sz w:val="22"/>
            <w:szCs w:val="22"/>
          </w:rPr>
          <w:fldChar w:fldCharType="end"/>
        </w:r>
      </w:hyperlink>
    </w:p>
    <w:p w14:paraId="7A10C36D" w14:textId="67468AD0"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20" w:history="1">
        <w:r w:rsidR="00DB1EC4" w:rsidRPr="00DB1EC4">
          <w:rPr>
            <w:rStyle w:val="Hyperlink"/>
            <w:rFonts w:ascii="Arial" w:hAnsi="Arial" w:cs="Arial"/>
            <w:noProof/>
            <w:sz w:val="22"/>
            <w:szCs w:val="22"/>
          </w:rPr>
          <w:t>Material and Methods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_Toc121821920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13</w:t>
        </w:r>
        <w:r w:rsidR="00DB1EC4" w:rsidRPr="00DB1EC4">
          <w:rPr>
            <w:rFonts w:ascii="Arial" w:hAnsi="Arial" w:cs="Arial"/>
            <w:noProof/>
            <w:webHidden/>
            <w:sz w:val="22"/>
            <w:szCs w:val="22"/>
          </w:rPr>
          <w:fldChar w:fldCharType="end"/>
        </w:r>
      </w:hyperlink>
    </w:p>
    <w:p w14:paraId="70261DE3" w14:textId="6EF25A5A"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1" w:history="1">
        <w:r w:rsidR="00DB1EC4" w:rsidRPr="00DB1EC4">
          <w:rPr>
            <w:rStyle w:val="Hyperlink"/>
            <w:rFonts w:ascii="Arial" w:hAnsi="Arial" w:cs="Arial"/>
            <w:noProof/>
            <w:sz w:val="22"/>
            <w:szCs w:val="22"/>
          </w:rPr>
          <w:t>Plant Materials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_Toc121821921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13</w:t>
        </w:r>
        <w:r w:rsidR="00DB1EC4" w:rsidRPr="00DB1EC4">
          <w:rPr>
            <w:rFonts w:ascii="Arial" w:hAnsi="Arial" w:cs="Arial"/>
            <w:noProof/>
            <w:webHidden/>
            <w:sz w:val="22"/>
            <w:szCs w:val="22"/>
          </w:rPr>
          <w:fldChar w:fldCharType="end"/>
        </w:r>
      </w:hyperlink>
    </w:p>
    <w:p w14:paraId="01557FE2" w14:textId="087F0D56"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2" w:history="1">
        <w:r w:rsidR="00DB1EC4" w:rsidRPr="00DB1EC4">
          <w:rPr>
            <w:rStyle w:val="Hyperlink"/>
            <w:rFonts w:ascii="Arial" w:hAnsi="Arial" w:cs="Arial"/>
            <w:noProof/>
            <w:sz w:val="22"/>
            <w:szCs w:val="22"/>
          </w:rPr>
          <w:t>RNA Extraction and Sequencing</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_Toc121821922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13</w:t>
        </w:r>
        <w:r w:rsidR="00DB1EC4" w:rsidRPr="00DB1EC4">
          <w:rPr>
            <w:rFonts w:ascii="Arial" w:hAnsi="Arial" w:cs="Arial"/>
            <w:noProof/>
            <w:webHidden/>
            <w:sz w:val="22"/>
            <w:szCs w:val="22"/>
          </w:rPr>
          <w:fldChar w:fldCharType="end"/>
        </w:r>
      </w:hyperlink>
    </w:p>
    <w:p w14:paraId="4817C2AA" w14:textId="3A5A1F4E"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3" w:history="1">
        <w:r w:rsidR="00DB1EC4" w:rsidRPr="00DB1EC4">
          <w:rPr>
            <w:rStyle w:val="Hyperlink"/>
            <w:rFonts w:ascii="Arial" w:hAnsi="Arial" w:cs="Arial"/>
            <w:noProof/>
            <w:sz w:val="22"/>
            <w:szCs w:val="22"/>
          </w:rPr>
          <w:t>Quality Control</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_Toc121821923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14</w:t>
        </w:r>
        <w:r w:rsidR="00DB1EC4" w:rsidRPr="00DB1EC4">
          <w:rPr>
            <w:rFonts w:ascii="Arial" w:hAnsi="Arial" w:cs="Arial"/>
            <w:noProof/>
            <w:webHidden/>
            <w:sz w:val="22"/>
            <w:szCs w:val="22"/>
          </w:rPr>
          <w:fldChar w:fldCharType="end"/>
        </w:r>
      </w:hyperlink>
    </w:p>
    <w:p w14:paraId="5293CB20" w14:textId="53E0FFFF"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4" w:history="1">
        <w:r w:rsidR="00DB1EC4" w:rsidRPr="00DB1EC4">
          <w:rPr>
            <w:rStyle w:val="Hyperlink"/>
            <w:rFonts w:ascii="Arial" w:hAnsi="Arial" w:cs="Arial"/>
            <w:noProof/>
            <w:sz w:val="22"/>
            <w:szCs w:val="22"/>
          </w:rPr>
          <w:t>Read Alignment and Gene Quantification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_Toc121821924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14</w:t>
        </w:r>
        <w:r w:rsidR="00DB1EC4" w:rsidRPr="00DB1EC4">
          <w:rPr>
            <w:rFonts w:ascii="Arial" w:hAnsi="Arial" w:cs="Arial"/>
            <w:noProof/>
            <w:webHidden/>
            <w:sz w:val="22"/>
            <w:szCs w:val="22"/>
          </w:rPr>
          <w:fldChar w:fldCharType="end"/>
        </w:r>
      </w:hyperlink>
    </w:p>
    <w:p w14:paraId="0AE467FD" w14:textId="26D2A5C0"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5" w:history="1">
        <w:r w:rsidR="00DB1EC4" w:rsidRPr="00DB1EC4">
          <w:rPr>
            <w:rStyle w:val="Hyperlink"/>
            <w:rFonts w:ascii="Arial" w:hAnsi="Arial" w:cs="Arial"/>
            <w:noProof/>
            <w:sz w:val="22"/>
            <w:szCs w:val="22"/>
          </w:rPr>
          <w:t>Differential Expression Analysis and Functional Enrichment</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_Toc121821925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14</w:t>
        </w:r>
        <w:r w:rsidR="00DB1EC4" w:rsidRPr="00DB1EC4">
          <w:rPr>
            <w:rFonts w:ascii="Arial" w:hAnsi="Arial" w:cs="Arial"/>
            <w:noProof/>
            <w:webHidden/>
            <w:sz w:val="22"/>
            <w:szCs w:val="22"/>
          </w:rPr>
          <w:fldChar w:fldCharType="end"/>
        </w:r>
      </w:hyperlink>
    </w:p>
    <w:p w14:paraId="777614D2" w14:textId="0C07ECCD"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6" w:history="1">
        <w:r w:rsidR="00DB1EC4" w:rsidRPr="00DB1EC4">
          <w:rPr>
            <w:rStyle w:val="Hyperlink"/>
            <w:rFonts w:ascii="Arial" w:hAnsi="Arial" w:cs="Arial"/>
            <w:noProof/>
            <w:sz w:val="22"/>
            <w:szCs w:val="22"/>
          </w:rPr>
          <w:t>Gene Ontology enrichment analysis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_Toc121821926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15</w:t>
        </w:r>
        <w:r w:rsidR="00DB1EC4" w:rsidRPr="00DB1EC4">
          <w:rPr>
            <w:rFonts w:ascii="Arial" w:hAnsi="Arial" w:cs="Arial"/>
            <w:noProof/>
            <w:webHidden/>
            <w:sz w:val="22"/>
            <w:szCs w:val="22"/>
          </w:rPr>
          <w:fldChar w:fldCharType="end"/>
        </w:r>
      </w:hyperlink>
    </w:p>
    <w:p w14:paraId="0809BA2C" w14:textId="6D2313F0"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7" w:history="1">
        <w:r w:rsidR="00DB1EC4" w:rsidRPr="00DB1EC4">
          <w:rPr>
            <w:rStyle w:val="Hyperlink"/>
            <w:rFonts w:ascii="Arial" w:hAnsi="Arial" w:cs="Arial"/>
            <w:noProof/>
            <w:sz w:val="22"/>
            <w:szCs w:val="22"/>
          </w:rPr>
          <w:t>Phylogenetic analysis and conserved motif identification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_Toc121821927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16</w:t>
        </w:r>
        <w:r w:rsidR="00DB1EC4" w:rsidRPr="00DB1EC4">
          <w:rPr>
            <w:rFonts w:ascii="Arial" w:hAnsi="Arial" w:cs="Arial"/>
            <w:noProof/>
            <w:webHidden/>
            <w:sz w:val="22"/>
            <w:szCs w:val="22"/>
          </w:rPr>
          <w:fldChar w:fldCharType="end"/>
        </w:r>
      </w:hyperlink>
    </w:p>
    <w:p w14:paraId="7837E374" w14:textId="1136FB9E"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28" w:history="1">
        <w:r w:rsidR="00DB1EC4" w:rsidRPr="00DB1EC4">
          <w:rPr>
            <w:rStyle w:val="Hyperlink"/>
            <w:rFonts w:ascii="Arial" w:hAnsi="Arial" w:cs="Arial"/>
            <w:noProof/>
            <w:sz w:val="22"/>
            <w:szCs w:val="22"/>
          </w:rPr>
          <w:t>Reverse Transcription Quantitative PCR (RT-qPCR)</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_Toc121821928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16</w:t>
        </w:r>
        <w:r w:rsidR="00DB1EC4" w:rsidRPr="00DB1EC4">
          <w:rPr>
            <w:rFonts w:ascii="Arial" w:hAnsi="Arial" w:cs="Arial"/>
            <w:noProof/>
            <w:webHidden/>
            <w:sz w:val="22"/>
            <w:szCs w:val="22"/>
          </w:rPr>
          <w:fldChar w:fldCharType="end"/>
        </w:r>
      </w:hyperlink>
    </w:p>
    <w:p w14:paraId="131DBF32" w14:textId="08065640"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29" w:history="1">
        <w:r w:rsidR="00DB1EC4" w:rsidRPr="00DB1EC4">
          <w:rPr>
            <w:rStyle w:val="Hyperlink"/>
            <w:rFonts w:ascii="Arial" w:hAnsi="Arial" w:cs="Arial"/>
            <w:noProof/>
            <w:sz w:val="22"/>
            <w:szCs w:val="22"/>
          </w:rPr>
          <w:t>Results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_Toc121821929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17</w:t>
        </w:r>
        <w:r w:rsidR="00DB1EC4" w:rsidRPr="00DB1EC4">
          <w:rPr>
            <w:rFonts w:ascii="Arial" w:hAnsi="Arial" w:cs="Arial"/>
            <w:noProof/>
            <w:webHidden/>
            <w:sz w:val="22"/>
            <w:szCs w:val="22"/>
          </w:rPr>
          <w:fldChar w:fldCharType="end"/>
        </w:r>
      </w:hyperlink>
    </w:p>
    <w:p w14:paraId="773CA3EC" w14:textId="6BA953C0"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30" w:history="1">
        <w:r w:rsidR="00DB1EC4" w:rsidRPr="00DB1EC4">
          <w:rPr>
            <w:rStyle w:val="Hyperlink"/>
            <w:rFonts w:ascii="Arial" w:hAnsi="Arial" w:cs="Arial"/>
            <w:noProof/>
            <w:sz w:val="22"/>
            <w:szCs w:val="22"/>
          </w:rPr>
          <w:t>Plant Materials Bract Color Variation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_Toc121821930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17</w:t>
        </w:r>
        <w:r w:rsidR="00DB1EC4" w:rsidRPr="00DB1EC4">
          <w:rPr>
            <w:rFonts w:ascii="Arial" w:hAnsi="Arial" w:cs="Arial"/>
            <w:noProof/>
            <w:webHidden/>
            <w:sz w:val="22"/>
            <w:szCs w:val="22"/>
          </w:rPr>
          <w:fldChar w:fldCharType="end"/>
        </w:r>
      </w:hyperlink>
    </w:p>
    <w:p w14:paraId="6C698EDD" w14:textId="79505CCC"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31" w:history="1">
        <w:r w:rsidR="00DB1EC4" w:rsidRPr="00DB1EC4">
          <w:rPr>
            <w:rStyle w:val="Hyperlink"/>
            <w:rFonts w:ascii="Arial" w:hAnsi="Arial" w:cs="Arial"/>
            <w:noProof/>
            <w:sz w:val="22"/>
            <w:szCs w:val="22"/>
          </w:rPr>
          <w:t>RNA sequencing and alignment</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_Toc121821931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17</w:t>
        </w:r>
        <w:r w:rsidR="00DB1EC4" w:rsidRPr="00DB1EC4">
          <w:rPr>
            <w:rFonts w:ascii="Arial" w:hAnsi="Arial" w:cs="Arial"/>
            <w:noProof/>
            <w:webHidden/>
            <w:sz w:val="22"/>
            <w:szCs w:val="22"/>
          </w:rPr>
          <w:fldChar w:fldCharType="end"/>
        </w:r>
      </w:hyperlink>
    </w:p>
    <w:p w14:paraId="289AB77D" w14:textId="04BDB795"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32" w:history="1">
        <w:r w:rsidR="00DB1EC4" w:rsidRPr="00DB1EC4">
          <w:rPr>
            <w:rStyle w:val="Hyperlink"/>
            <w:rFonts w:ascii="Arial" w:hAnsi="Arial" w:cs="Arial"/>
            <w:noProof/>
            <w:sz w:val="22"/>
            <w:szCs w:val="22"/>
          </w:rPr>
          <w:t>DEGs Involved in Anthocyanin Biosynthesis Pathway</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_Toc121821932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17</w:t>
        </w:r>
        <w:r w:rsidR="00DB1EC4" w:rsidRPr="00DB1EC4">
          <w:rPr>
            <w:rFonts w:ascii="Arial" w:hAnsi="Arial" w:cs="Arial"/>
            <w:noProof/>
            <w:webHidden/>
            <w:sz w:val="22"/>
            <w:szCs w:val="22"/>
          </w:rPr>
          <w:fldChar w:fldCharType="end"/>
        </w:r>
      </w:hyperlink>
    </w:p>
    <w:p w14:paraId="527DEBFC" w14:textId="6DACC8DA"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33" w:history="1">
        <w:r w:rsidR="00DB1EC4" w:rsidRPr="00DB1EC4">
          <w:rPr>
            <w:rStyle w:val="Hyperlink"/>
            <w:rFonts w:ascii="Arial" w:hAnsi="Arial" w:cs="Arial"/>
            <w:noProof/>
            <w:sz w:val="22"/>
            <w:szCs w:val="22"/>
          </w:rPr>
          <w:t>Protein function prediction and phylogenetic analysis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_Toc121821933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18</w:t>
        </w:r>
        <w:r w:rsidR="00DB1EC4" w:rsidRPr="00DB1EC4">
          <w:rPr>
            <w:rFonts w:ascii="Arial" w:hAnsi="Arial" w:cs="Arial"/>
            <w:noProof/>
            <w:webHidden/>
            <w:sz w:val="22"/>
            <w:szCs w:val="22"/>
          </w:rPr>
          <w:fldChar w:fldCharType="end"/>
        </w:r>
      </w:hyperlink>
    </w:p>
    <w:p w14:paraId="43D2F784" w14:textId="562627F1"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34" w:history="1">
        <w:r w:rsidR="00DB1EC4" w:rsidRPr="00DB1EC4">
          <w:rPr>
            <w:rStyle w:val="Hyperlink"/>
            <w:rFonts w:ascii="Arial" w:hAnsi="Arial" w:cs="Arial"/>
            <w:noProof/>
            <w:sz w:val="22"/>
            <w:szCs w:val="22"/>
          </w:rPr>
          <w:t>Validation of RNA-Seq by RT-qPCR</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_Toc121821934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19</w:t>
        </w:r>
        <w:r w:rsidR="00DB1EC4" w:rsidRPr="00DB1EC4">
          <w:rPr>
            <w:rFonts w:ascii="Arial" w:hAnsi="Arial" w:cs="Arial"/>
            <w:noProof/>
            <w:webHidden/>
            <w:sz w:val="22"/>
            <w:szCs w:val="22"/>
          </w:rPr>
          <w:fldChar w:fldCharType="end"/>
        </w:r>
      </w:hyperlink>
    </w:p>
    <w:p w14:paraId="0F6E5C0C" w14:textId="40355EFE"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35" w:history="1">
        <w:r w:rsidR="00DB1EC4" w:rsidRPr="00DB1EC4">
          <w:rPr>
            <w:rStyle w:val="Hyperlink"/>
            <w:rFonts w:ascii="Arial" w:hAnsi="Arial" w:cs="Arial"/>
            <w:noProof/>
            <w:sz w:val="22"/>
            <w:szCs w:val="22"/>
          </w:rPr>
          <w:t>Discussion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_Toc121821935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19</w:t>
        </w:r>
        <w:r w:rsidR="00DB1EC4" w:rsidRPr="00DB1EC4">
          <w:rPr>
            <w:rFonts w:ascii="Arial" w:hAnsi="Arial" w:cs="Arial"/>
            <w:noProof/>
            <w:webHidden/>
            <w:sz w:val="22"/>
            <w:szCs w:val="22"/>
          </w:rPr>
          <w:fldChar w:fldCharType="end"/>
        </w:r>
      </w:hyperlink>
    </w:p>
    <w:p w14:paraId="17CDEAB7" w14:textId="54CCE393"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36" w:history="1">
        <w:r w:rsidR="00DB1EC4" w:rsidRPr="00DB1EC4">
          <w:rPr>
            <w:rStyle w:val="Hyperlink"/>
            <w:rFonts w:ascii="Arial" w:hAnsi="Arial" w:cs="Arial"/>
            <w:noProof/>
            <w:sz w:val="22"/>
            <w:szCs w:val="22"/>
          </w:rPr>
          <w:t>Conclusions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_Toc121821936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22</w:t>
        </w:r>
        <w:r w:rsidR="00DB1EC4" w:rsidRPr="00DB1EC4">
          <w:rPr>
            <w:rFonts w:ascii="Arial" w:hAnsi="Arial" w:cs="Arial"/>
            <w:noProof/>
            <w:webHidden/>
            <w:sz w:val="22"/>
            <w:szCs w:val="22"/>
          </w:rPr>
          <w:fldChar w:fldCharType="end"/>
        </w:r>
      </w:hyperlink>
    </w:p>
    <w:p w14:paraId="51B2245A" w14:textId="1001511D"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37" w:history="1">
        <w:r w:rsidR="00DB1EC4" w:rsidRPr="00DB1EC4">
          <w:rPr>
            <w:rStyle w:val="Hyperlink"/>
            <w:rFonts w:ascii="Arial" w:hAnsi="Arial" w:cs="Arial"/>
            <w:noProof/>
            <w:sz w:val="22"/>
            <w:szCs w:val="22"/>
            <w:lang w:bidi="en-US"/>
          </w:rPr>
          <w:t>Appendix: Tables and Figures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_Toc121821937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23</w:t>
        </w:r>
        <w:r w:rsidR="00DB1EC4" w:rsidRPr="00DB1EC4">
          <w:rPr>
            <w:rFonts w:ascii="Arial" w:hAnsi="Arial" w:cs="Arial"/>
            <w:noProof/>
            <w:webHidden/>
            <w:sz w:val="22"/>
            <w:szCs w:val="22"/>
          </w:rPr>
          <w:fldChar w:fldCharType="end"/>
        </w:r>
      </w:hyperlink>
    </w:p>
    <w:p w14:paraId="3A29818A" w14:textId="0E1DC602" w:rsidR="00DB1EC4" w:rsidRPr="00DB1EC4" w:rsidRDefault="00E817AE" w:rsidP="00DB1EC4">
      <w:pPr>
        <w:pStyle w:val="TOC1"/>
        <w:rPr>
          <w:rFonts w:eastAsiaTheme="minorEastAsia"/>
          <w:bCs w:val="0"/>
        </w:rPr>
      </w:pPr>
      <w:hyperlink w:anchor="_Toc121821938" w:history="1">
        <w:r w:rsidR="00DB1EC4" w:rsidRPr="00DB1EC4">
          <w:rPr>
            <w:rStyle w:val="Hyperlink"/>
          </w:rPr>
          <w:t xml:space="preserve">Chapter 2. Detection of Quantitative Trait Loci associated with </w:t>
        </w:r>
        <w:r w:rsidR="00DB1EC4" w:rsidRPr="00DB1EC4">
          <w:rPr>
            <w:rStyle w:val="Hyperlink"/>
            <w:i/>
            <w:iCs/>
          </w:rPr>
          <w:t>Erysiphe pulchra</w:t>
        </w:r>
        <w:r w:rsidR="00DB1EC4" w:rsidRPr="00DB1EC4">
          <w:rPr>
            <w:rStyle w:val="Hyperlink"/>
          </w:rPr>
          <w:t xml:space="preserve"> in pseudo-F2 </w:t>
        </w:r>
        <w:r w:rsidR="00DB1EC4" w:rsidRPr="00DB1EC4">
          <w:rPr>
            <w:rStyle w:val="Hyperlink"/>
            <w:i/>
            <w:iCs/>
          </w:rPr>
          <w:t>Cornus florida</w:t>
        </w:r>
        <w:r w:rsidR="00DB1EC4" w:rsidRPr="00DB1EC4">
          <w:rPr>
            <w:rStyle w:val="Hyperlink"/>
          </w:rPr>
          <w:t xml:space="preserve"> population</w:t>
        </w:r>
        <w:r w:rsidR="00DB1EC4" w:rsidRPr="00DB1EC4">
          <w:rPr>
            <w:webHidden/>
          </w:rPr>
          <w:tab/>
        </w:r>
        <w:r w:rsidR="00DB1EC4" w:rsidRPr="00DB1EC4">
          <w:rPr>
            <w:webHidden/>
          </w:rPr>
          <w:fldChar w:fldCharType="begin"/>
        </w:r>
        <w:r w:rsidR="00DB1EC4" w:rsidRPr="00DB1EC4">
          <w:rPr>
            <w:webHidden/>
          </w:rPr>
          <w:instrText xml:space="preserve"> PAGEREF _Toc121821938 \h </w:instrText>
        </w:r>
        <w:r w:rsidR="00DB1EC4" w:rsidRPr="00DB1EC4">
          <w:rPr>
            <w:webHidden/>
          </w:rPr>
        </w:r>
        <w:r w:rsidR="00DB1EC4" w:rsidRPr="00DB1EC4">
          <w:rPr>
            <w:webHidden/>
          </w:rPr>
          <w:fldChar w:fldCharType="separate"/>
        </w:r>
        <w:r w:rsidR="00DB1EC4" w:rsidRPr="00DB1EC4">
          <w:rPr>
            <w:webHidden/>
          </w:rPr>
          <w:t>41</w:t>
        </w:r>
        <w:r w:rsidR="00DB1EC4" w:rsidRPr="00DB1EC4">
          <w:rPr>
            <w:webHidden/>
          </w:rPr>
          <w:fldChar w:fldCharType="end"/>
        </w:r>
      </w:hyperlink>
    </w:p>
    <w:p w14:paraId="655B53BD" w14:textId="5CF51844"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39" w:history="1">
        <w:r w:rsidR="00DB1EC4" w:rsidRPr="00DB1EC4">
          <w:rPr>
            <w:rStyle w:val="Hyperlink"/>
            <w:rFonts w:ascii="Arial" w:hAnsi="Arial" w:cs="Arial"/>
            <w:noProof/>
            <w:sz w:val="22"/>
            <w:szCs w:val="22"/>
          </w:rPr>
          <w:t>Abstract</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_Toc121821939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42</w:t>
        </w:r>
        <w:r w:rsidR="00DB1EC4" w:rsidRPr="00DB1EC4">
          <w:rPr>
            <w:rFonts w:ascii="Arial" w:hAnsi="Arial" w:cs="Arial"/>
            <w:noProof/>
            <w:webHidden/>
            <w:sz w:val="22"/>
            <w:szCs w:val="22"/>
          </w:rPr>
          <w:fldChar w:fldCharType="end"/>
        </w:r>
      </w:hyperlink>
    </w:p>
    <w:p w14:paraId="7BA853DF" w14:textId="76D570C8"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40" w:history="1">
        <w:r w:rsidR="00DB1EC4" w:rsidRPr="00DB1EC4">
          <w:rPr>
            <w:rStyle w:val="Hyperlink"/>
            <w:rFonts w:ascii="Arial" w:hAnsi="Arial" w:cs="Arial"/>
            <w:noProof/>
            <w:sz w:val="22"/>
            <w:szCs w:val="22"/>
          </w:rPr>
          <w:t>Introduction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_Toc121821940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42</w:t>
        </w:r>
        <w:r w:rsidR="00DB1EC4" w:rsidRPr="00DB1EC4">
          <w:rPr>
            <w:rFonts w:ascii="Arial" w:hAnsi="Arial" w:cs="Arial"/>
            <w:noProof/>
            <w:webHidden/>
            <w:sz w:val="22"/>
            <w:szCs w:val="22"/>
          </w:rPr>
          <w:fldChar w:fldCharType="end"/>
        </w:r>
      </w:hyperlink>
    </w:p>
    <w:p w14:paraId="03A68687" w14:textId="54415D53"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41" w:history="1">
        <w:r w:rsidR="00DB1EC4" w:rsidRPr="00DB1EC4">
          <w:rPr>
            <w:rStyle w:val="Hyperlink"/>
            <w:rFonts w:ascii="Arial" w:hAnsi="Arial" w:cs="Arial"/>
            <w:noProof/>
            <w:sz w:val="22"/>
            <w:szCs w:val="22"/>
          </w:rPr>
          <w:t>Material and Methods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_Toc121821941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45</w:t>
        </w:r>
        <w:r w:rsidR="00DB1EC4" w:rsidRPr="00DB1EC4">
          <w:rPr>
            <w:rFonts w:ascii="Arial" w:hAnsi="Arial" w:cs="Arial"/>
            <w:noProof/>
            <w:webHidden/>
            <w:sz w:val="22"/>
            <w:szCs w:val="22"/>
          </w:rPr>
          <w:fldChar w:fldCharType="end"/>
        </w:r>
      </w:hyperlink>
    </w:p>
    <w:p w14:paraId="2683ADE7" w14:textId="7EBC9E02"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42" w:history="1">
        <w:r w:rsidR="00DB1EC4" w:rsidRPr="00DB1EC4">
          <w:rPr>
            <w:rStyle w:val="Hyperlink"/>
            <w:rFonts w:ascii="Arial" w:hAnsi="Arial" w:cs="Arial"/>
            <w:noProof/>
            <w:sz w:val="22"/>
            <w:szCs w:val="22"/>
          </w:rPr>
          <w:t>Population development and assessment of PM resistance to determine the mode of inheritance and QTL associated with PM</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_Toc121821942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45</w:t>
        </w:r>
        <w:r w:rsidR="00DB1EC4" w:rsidRPr="00DB1EC4">
          <w:rPr>
            <w:rFonts w:ascii="Arial" w:hAnsi="Arial" w:cs="Arial"/>
            <w:noProof/>
            <w:webHidden/>
            <w:sz w:val="22"/>
            <w:szCs w:val="22"/>
          </w:rPr>
          <w:fldChar w:fldCharType="end"/>
        </w:r>
      </w:hyperlink>
    </w:p>
    <w:p w14:paraId="24B34DFD" w14:textId="1CA97B83"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43" w:history="1">
        <w:r w:rsidR="00DB1EC4" w:rsidRPr="00DB1EC4">
          <w:rPr>
            <w:rStyle w:val="Hyperlink"/>
            <w:rFonts w:ascii="Arial" w:hAnsi="Arial" w:cs="Arial"/>
            <w:noProof/>
            <w:sz w:val="22"/>
            <w:szCs w:val="22"/>
          </w:rPr>
          <w:t>Genetic map improvement and QTL analysis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_Toc121821943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46</w:t>
        </w:r>
        <w:r w:rsidR="00DB1EC4" w:rsidRPr="00DB1EC4">
          <w:rPr>
            <w:rFonts w:ascii="Arial" w:hAnsi="Arial" w:cs="Arial"/>
            <w:noProof/>
            <w:webHidden/>
            <w:sz w:val="22"/>
            <w:szCs w:val="22"/>
          </w:rPr>
          <w:fldChar w:fldCharType="end"/>
        </w:r>
      </w:hyperlink>
    </w:p>
    <w:p w14:paraId="0DC398F0" w14:textId="1DC50C54"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44" w:history="1">
        <w:r w:rsidR="00DB1EC4" w:rsidRPr="00DB1EC4">
          <w:rPr>
            <w:rStyle w:val="Hyperlink"/>
            <w:rFonts w:ascii="Arial" w:hAnsi="Arial" w:cs="Arial"/>
            <w:noProof/>
            <w:sz w:val="22"/>
            <w:szCs w:val="22"/>
          </w:rPr>
          <w:t>Results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_Toc121821944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46</w:t>
        </w:r>
        <w:r w:rsidR="00DB1EC4" w:rsidRPr="00DB1EC4">
          <w:rPr>
            <w:rFonts w:ascii="Arial" w:hAnsi="Arial" w:cs="Arial"/>
            <w:noProof/>
            <w:webHidden/>
            <w:sz w:val="22"/>
            <w:szCs w:val="22"/>
          </w:rPr>
          <w:fldChar w:fldCharType="end"/>
        </w:r>
      </w:hyperlink>
    </w:p>
    <w:p w14:paraId="23CEE13E" w14:textId="55127FBA"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45" w:history="1">
        <w:r w:rsidR="00DB1EC4" w:rsidRPr="00DB1EC4">
          <w:rPr>
            <w:rStyle w:val="Hyperlink"/>
            <w:rFonts w:ascii="Arial" w:hAnsi="Arial" w:cs="Arial"/>
            <w:noProof/>
            <w:sz w:val="22"/>
            <w:szCs w:val="22"/>
          </w:rPr>
          <w:t>Inheritance of PM Resistance</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_Toc121821945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46</w:t>
        </w:r>
        <w:r w:rsidR="00DB1EC4" w:rsidRPr="00DB1EC4">
          <w:rPr>
            <w:rFonts w:ascii="Arial" w:hAnsi="Arial" w:cs="Arial"/>
            <w:noProof/>
            <w:webHidden/>
            <w:sz w:val="22"/>
            <w:szCs w:val="22"/>
          </w:rPr>
          <w:fldChar w:fldCharType="end"/>
        </w:r>
      </w:hyperlink>
    </w:p>
    <w:p w14:paraId="52A3C7E3" w14:textId="7C8FF5AD"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46" w:history="1">
        <w:r w:rsidR="00DB1EC4" w:rsidRPr="00DB1EC4">
          <w:rPr>
            <w:rStyle w:val="Hyperlink"/>
            <w:rFonts w:ascii="Arial" w:hAnsi="Arial" w:cs="Arial"/>
            <w:noProof/>
            <w:sz w:val="22"/>
            <w:szCs w:val="22"/>
          </w:rPr>
          <w:t>QTL mapping</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_Toc121821946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47</w:t>
        </w:r>
        <w:r w:rsidR="00DB1EC4" w:rsidRPr="00DB1EC4">
          <w:rPr>
            <w:rFonts w:ascii="Arial" w:hAnsi="Arial" w:cs="Arial"/>
            <w:noProof/>
            <w:webHidden/>
            <w:sz w:val="22"/>
            <w:szCs w:val="22"/>
          </w:rPr>
          <w:fldChar w:fldCharType="end"/>
        </w:r>
      </w:hyperlink>
    </w:p>
    <w:p w14:paraId="70382A6D" w14:textId="246C6703"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47" w:history="1">
        <w:r w:rsidR="00DB1EC4" w:rsidRPr="00DB1EC4">
          <w:rPr>
            <w:rStyle w:val="Hyperlink"/>
            <w:rFonts w:ascii="Arial" w:hAnsi="Arial" w:cs="Arial"/>
            <w:noProof/>
            <w:sz w:val="22"/>
            <w:szCs w:val="22"/>
          </w:rPr>
          <w:t>Discussion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_Toc121821947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47</w:t>
        </w:r>
        <w:r w:rsidR="00DB1EC4" w:rsidRPr="00DB1EC4">
          <w:rPr>
            <w:rFonts w:ascii="Arial" w:hAnsi="Arial" w:cs="Arial"/>
            <w:noProof/>
            <w:webHidden/>
            <w:sz w:val="22"/>
            <w:szCs w:val="22"/>
          </w:rPr>
          <w:fldChar w:fldCharType="end"/>
        </w:r>
      </w:hyperlink>
    </w:p>
    <w:p w14:paraId="35C08512" w14:textId="54BFF501"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49" w:history="1">
        <w:r w:rsidR="00DB1EC4" w:rsidRPr="00DB1EC4">
          <w:rPr>
            <w:rStyle w:val="Hyperlink"/>
            <w:rFonts w:ascii="Arial" w:hAnsi="Arial" w:cs="Arial"/>
            <w:noProof/>
            <w:sz w:val="22"/>
            <w:szCs w:val="22"/>
            <w:lang w:bidi="en-US"/>
          </w:rPr>
          <w:t>Appendix: Tables and Figure</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_Toc121821949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53</w:t>
        </w:r>
        <w:r w:rsidR="00DB1EC4" w:rsidRPr="00DB1EC4">
          <w:rPr>
            <w:rFonts w:ascii="Arial" w:hAnsi="Arial" w:cs="Arial"/>
            <w:noProof/>
            <w:webHidden/>
            <w:sz w:val="22"/>
            <w:szCs w:val="22"/>
          </w:rPr>
          <w:fldChar w:fldCharType="end"/>
        </w:r>
      </w:hyperlink>
    </w:p>
    <w:p w14:paraId="35BDC58D" w14:textId="5B441710" w:rsidR="00DB1EC4" w:rsidRPr="00DB1EC4" w:rsidRDefault="00E817AE" w:rsidP="00DB1EC4">
      <w:pPr>
        <w:pStyle w:val="TOC1"/>
        <w:rPr>
          <w:rFonts w:eastAsiaTheme="minorEastAsia"/>
          <w:bCs w:val="0"/>
        </w:rPr>
      </w:pPr>
      <w:hyperlink w:anchor="_Toc121821950" w:history="1">
        <w:r w:rsidR="00DB1EC4" w:rsidRPr="00DB1EC4">
          <w:rPr>
            <w:rStyle w:val="Hyperlink"/>
          </w:rPr>
          <w:t>Chapter 3. Are Mlo Genes a Vital Source of Powdery Mildew Resistance in Flowering Dogwood (</w:t>
        </w:r>
        <w:r w:rsidR="00DB1EC4" w:rsidRPr="00DB1EC4">
          <w:rPr>
            <w:rStyle w:val="Hyperlink"/>
            <w:i/>
            <w:iCs/>
          </w:rPr>
          <w:t>Cornus florida</w:t>
        </w:r>
        <w:r w:rsidR="00DB1EC4" w:rsidRPr="00DB1EC4">
          <w:rPr>
            <w:rStyle w:val="Hyperlink"/>
          </w:rPr>
          <w:t>)?</w:t>
        </w:r>
        <w:r w:rsidR="00DB1EC4" w:rsidRPr="00DB1EC4">
          <w:rPr>
            <w:webHidden/>
          </w:rPr>
          <w:tab/>
        </w:r>
        <w:r w:rsidR="00DB1EC4" w:rsidRPr="00DB1EC4">
          <w:rPr>
            <w:webHidden/>
          </w:rPr>
          <w:fldChar w:fldCharType="begin"/>
        </w:r>
        <w:r w:rsidR="00DB1EC4" w:rsidRPr="00DB1EC4">
          <w:rPr>
            <w:webHidden/>
          </w:rPr>
          <w:instrText xml:space="preserve"> PAGEREF _Toc121821950 \h </w:instrText>
        </w:r>
        <w:r w:rsidR="00DB1EC4" w:rsidRPr="00DB1EC4">
          <w:rPr>
            <w:webHidden/>
          </w:rPr>
        </w:r>
        <w:r w:rsidR="00DB1EC4" w:rsidRPr="00DB1EC4">
          <w:rPr>
            <w:webHidden/>
          </w:rPr>
          <w:fldChar w:fldCharType="separate"/>
        </w:r>
        <w:r w:rsidR="00DB1EC4" w:rsidRPr="00DB1EC4">
          <w:rPr>
            <w:webHidden/>
          </w:rPr>
          <w:t>58</w:t>
        </w:r>
        <w:r w:rsidR="00DB1EC4" w:rsidRPr="00DB1EC4">
          <w:rPr>
            <w:webHidden/>
          </w:rPr>
          <w:fldChar w:fldCharType="end"/>
        </w:r>
      </w:hyperlink>
    </w:p>
    <w:p w14:paraId="4C508D09" w14:textId="10B02DBF"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51" w:history="1">
        <w:r w:rsidR="00DB1EC4" w:rsidRPr="00DB1EC4">
          <w:rPr>
            <w:rStyle w:val="Hyperlink"/>
            <w:rFonts w:ascii="Arial" w:hAnsi="Arial" w:cs="Arial"/>
            <w:noProof/>
            <w:sz w:val="22"/>
            <w:szCs w:val="22"/>
          </w:rPr>
          <w:t>Abstract</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_Toc121821951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59</w:t>
        </w:r>
        <w:r w:rsidR="00DB1EC4" w:rsidRPr="00DB1EC4">
          <w:rPr>
            <w:rFonts w:ascii="Arial" w:hAnsi="Arial" w:cs="Arial"/>
            <w:noProof/>
            <w:webHidden/>
            <w:sz w:val="22"/>
            <w:szCs w:val="22"/>
          </w:rPr>
          <w:fldChar w:fldCharType="end"/>
        </w:r>
      </w:hyperlink>
    </w:p>
    <w:p w14:paraId="493F71CE" w14:textId="571BDD18"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52" w:history="1">
        <w:r w:rsidR="00DB1EC4" w:rsidRPr="00DB1EC4">
          <w:rPr>
            <w:rStyle w:val="Hyperlink"/>
            <w:rFonts w:ascii="Arial" w:hAnsi="Arial" w:cs="Arial"/>
            <w:noProof/>
            <w:sz w:val="22"/>
            <w:szCs w:val="22"/>
          </w:rPr>
          <w:t>Introduction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_Toc121821952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59</w:t>
        </w:r>
        <w:r w:rsidR="00DB1EC4" w:rsidRPr="00DB1EC4">
          <w:rPr>
            <w:rFonts w:ascii="Arial" w:hAnsi="Arial" w:cs="Arial"/>
            <w:noProof/>
            <w:webHidden/>
            <w:sz w:val="22"/>
            <w:szCs w:val="22"/>
          </w:rPr>
          <w:fldChar w:fldCharType="end"/>
        </w:r>
      </w:hyperlink>
    </w:p>
    <w:p w14:paraId="21FDB604" w14:textId="48451FA0"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53" w:history="1">
        <w:r w:rsidR="00DB1EC4" w:rsidRPr="00DB1EC4">
          <w:rPr>
            <w:rStyle w:val="Hyperlink"/>
            <w:rFonts w:ascii="Arial" w:hAnsi="Arial" w:cs="Arial"/>
            <w:noProof/>
            <w:sz w:val="22"/>
            <w:szCs w:val="22"/>
          </w:rPr>
          <w:t>Material and Methods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_Toc121821953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63</w:t>
        </w:r>
        <w:r w:rsidR="00DB1EC4" w:rsidRPr="00DB1EC4">
          <w:rPr>
            <w:rFonts w:ascii="Arial" w:hAnsi="Arial" w:cs="Arial"/>
            <w:noProof/>
            <w:webHidden/>
            <w:sz w:val="22"/>
            <w:szCs w:val="22"/>
          </w:rPr>
          <w:fldChar w:fldCharType="end"/>
        </w:r>
      </w:hyperlink>
    </w:p>
    <w:p w14:paraId="1D3C8A8D" w14:textId="4AEAB91B"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54" w:history="1">
        <w:r w:rsidR="00DB1EC4" w:rsidRPr="00DB1EC4">
          <w:rPr>
            <w:rStyle w:val="Hyperlink"/>
            <w:rFonts w:ascii="Arial" w:hAnsi="Arial" w:cs="Arial"/>
            <w:noProof/>
            <w:sz w:val="22"/>
            <w:szCs w:val="22"/>
          </w:rPr>
          <w:t>Plant Materials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_Toc121821954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63</w:t>
        </w:r>
        <w:r w:rsidR="00DB1EC4" w:rsidRPr="00DB1EC4">
          <w:rPr>
            <w:rFonts w:ascii="Arial" w:hAnsi="Arial" w:cs="Arial"/>
            <w:noProof/>
            <w:webHidden/>
            <w:sz w:val="22"/>
            <w:szCs w:val="22"/>
          </w:rPr>
          <w:fldChar w:fldCharType="end"/>
        </w:r>
      </w:hyperlink>
    </w:p>
    <w:p w14:paraId="369C078F" w14:textId="4F1CD8A6"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55" w:history="1">
        <w:r w:rsidR="00DB1EC4" w:rsidRPr="00DB1EC4">
          <w:rPr>
            <w:rStyle w:val="Hyperlink"/>
            <w:rFonts w:ascii="Arial" w:hAnsi="Arial" w:cs="Arial"/>
            <w:noProof/>
            <w:sz w:val="22"/>
            <w:szCs w:val="22"/>
          </w:rPr>
          <w:t>RNA Extraction and Sequencing</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_Toc121821955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64</w:t>
        </w:r>
        <w:r w:rsidR="00DB1EC4" w:rsidRPr="00DB1EC4">
          <w:rPr>
            <w:rFonts w:ascii="Arial" w:hAnsi="Arial" w:cs="Arial"/>
            <w:noProof/>
            <w:webHidden/>
            <w:sz w:val="22"/>
            <w:szCs w:val="22"/>
          </w:rPr>
          <w:fldChar w:fldCharType="end"/>
        </w:r>
      </w:hyperlink>
    </w:p>
    <w:p w14:paraId="1ADAC59A" w14:textId="2DAE3712"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56" w:history="1">
        <w:r w:rsidR="00DB1EC4" w:rsidRPr="00DB1EC4">
          <w:rPr>
            <w:rStyle w:val="Hyperlink"/>
            <w:rFonts w:ascii="Arial" w:hAnsi="Arial" w:cs="Arial"/>
            <w:noProof/>
            <w:sz w:val="22"/>
            <w:szCs w:val="22"/>
          </w:rPr>
          <w:t>Quality Control</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_Toc121821956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64</w:t>
        </w:r>
        <w:r w:rsidR="00DB1EC4" w:rsidRPr="00DB1EC4">
          <w:rPr>
            <w:rFonts w:ascii="Arial" w:hAnsi="Arial" w:cs="Arial"/>
            <w:noProof/>
            <w:webHidden/>
            <w:sz w:val="22"/>
            <w:szCs w:val="22"/>
          </w:rPr>
          <w:fldChar w:fldCharType="end"/>
        </w:r>
      </w:hyperlink>
    </w:p>
    <w:p w14:paraId="55DB77D1" w14:textId="015F72B2"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57" w:history="1">
        <w:r w:rsidR="00DB1EC4" w:rsidRPr="00DB1EC4">
          <w:rPr>
            <w:rStyle w:val="Hyperlink"/>
            <w:rFonts w:ascii="Arial" w:hAnsi="Arial" w:cs="Arial"/>
            <w:noProof/>
            <w:sz w:val="22"/>
            <w:szCs w:val="22"/>
          </w:rPr>
          <w:t>Read Alignment and Gene Quantification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_Toc121821957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64</w:t>
        </w:r>
        <w:r w:rsidR="00DB1EC4" w:rsidRPr="00DB1EC4">
          <w:rPr>
            <w:rFonts w:ascii="Arial" w:hAnsi="Arial" w:cs="Arial"/>
            <w:noProof/>
            <w:webHidden/>
            <w:sz w:val="22"/>
            <w:szCs w:val="22"/>
          </w:rPr>
          <w:fldChar w:fldCharType="end"/>
        </w:r>
      </w:hyperlink>
    </w:p>
    <w:p w14:paraId="5F9062B8" w14:textId="5DA4B9D7"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58" w:history="1">
        <w:r w:rsidR="00DB1EC4" w:rsidRPr="00DB1EC4">
          <w:rPr>
            <w:rStyle w:val="Hyperlink"/>
            <w:rFonts w:ascii="Arial" w:hAnsi="Arial" w:cs="Arial"/>
            <w:noProof/>
            <w:sz w:val="22"/>
            <w:szCs w:val="22"/>
          </w:rPr>
          <w:t>Differential Expression Analysis and Functional Enrichment</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_Toc121821958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64</w:t>
        </w:r>
        <w:r w:rsidR="00DB1EC4" w:rsidRPr="00DB1EC4">
          <w:rPr>
            <w:rFonts w:ascii="Arial" w:hAnsi="Arial" w:cs="Arial"/>
            <w:noProof/>
            <w:webHidden/>
            <w:sz w:val="22"/>
            <w:szCs w:val="22"/>
          </w:rPr>
          <w:fldChar w:fldCharType="end"/>
        </w:r>
      </w:hyperlink>
    </w:p>
    <w:p w14:paraId="412805DC" w14:textId="65A4299D"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59" w:history="1">
        <w:r w:rsidR="00DB1EC4" w:rsidRPr="00DB1EC4">
          <w:rPr>
            <w:rStyle w:val="Hyperlink"/>
            <w:rFonts w:ascii="Arial" w:hAnsi="Arial" w:cs="Arial"/>
            <w:noProof/>
            <w:sz w:val="22"/>
            <w:szCs w:val="22"/>
          </w:rPr>
          <w:t>Reverse Transcription Quantitative PCR (RT-qPCR)</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_Toc121821959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65</w:t>
        </w:r>
        <w:r w:rsidR="00DB1EC4" w:rsidRPr="00DB1EC4">
          <w:rPr>
            <w:rFonts w:ascii="Arial" w:hAnsi="Arial" w:cs="Arial"/>
            <w:noProof/>
            <w:webHidden/>
            <w:sz w:val="22"/>
            <w:szCs w:val="22"/>
          </w:rPr>
          <w:fldChar w:fldCharType="end"/>
        </w:r>
      </w:hyperlink>
    </w:p>
    <w:p w14:paraId="37759AAB" w14:textId="71858E4F" w:rsidR="00DB1EC4" w:rsidRPr="00DB1EC4" w:rsidRDefault="00E817AE" w:rsidP="00DB1EC4">
      <w:pPr>
        <w:pStyle w:val="TOC3"/>
        <w:tabs>
          <w:tab w:val="right" w:leader="dot" w:pos="9350"/>
        </w:tabs>
        <w:spacing w:line="360" w:lineRule="auto"/>
        <w:rPr>
          <w:rFonts w:ascii="Arial" w:eastAsiaTheme="minorEastAsia" w:hAnsi="Arial" w:cs="Arial"/>
          <w:noProof/>
          <w:sz w:val="22"/>
          <w:szCs w:val="22"/>
        </w:rPr>
      </w:pPr>
      <w:hyperlink w:anchor="_Toc121821960" w:history="1">
        <w:r w:rsidR="00DB1EC4" w:rsidRPr="00DB1EC4">
          <w:rPr>
            <w:rStyle w:val="Hyperlink"/>
            <w:rFonts w:ascii="Arial" w:hAnsi="Arial" w:cs="Arial"/>
            <w:noProof/>
            <w:sz w:val="22"/>
            <w:szCs w:val="22"/>
          </w:rPr>
          <w:t>Results and Discussion</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_Toc121821960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65</w:t>
        </w:r>
        <w:r w:rsidR="00DB1EC4" w:rsidRPr="00DB1EC4">
          <w:rPr>
            <w:rFonts w:ascii="Arial" w:hAnsi="Arial" w:cs="Arial"/>
            <w:noProof/>
            <w:webHidden/>
            <w:sz w:val="22"/>
            <w:szCs w:val="22"/>
          </w:rPr>
          <w:fldChar w:fldCharType="end"/>
        </w:r>
      </w:hyperlink>
    </w:p>
    <w:p w14:paraId="35BB727B" w14:textId="382E12CB"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61" w:history="1">
        <w:r w:rsidR="00DB1EC4" w:rsidRPr="00DB1EC4">
          <w:rPr>
            <w:rStyle w:val="Hyperlink"/>
            <w:rFonts w:ascii="Arial" w:hAnsi="Arial" w:cs="Arial"/>
            <w:noProof/>
            <w:sz w:val="22"/>
            <w:szCs w:val="22"/>
          </w:rPr>
          <w:t>Plant Materials and their resistance to PM</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_Toc121821961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65</w:t>
        </w:r>
        <w:r w:rsidR="00DB1EC4" w:rsidRPr="00DB1EC4">
          <w:rPr>
            <w:rFonts w:ascii="Arial" w:hAnsi="Arial" w:cs="Arial"/>
            <w:noProof/>
            <w:webHidden/>
            <w:sz w:val="22"/>
            <w:szCs w:val="22"/>
          </w:rPr>
          <w:fldChar w:fldCharType="end"/>
        </w:r>
      </w:hyperlink>
    </w:p>
    <w:p w14:paraId="7323A2C9" w14:textId="3431C30C"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62" w:history="1">
        <w:r w:rsidR="00DB1EC4" w:rsidRPr="00DB1EC4">
          <w:rPr>
            <w:rStyle w:val="Hyperlink"/>
            <w:rFonts w:ascii="Arial" w:hAnsi="Arial" w:cs="Arial"/>
            <w:noProof/>
            <w:sz w:val="22"/>
            <w:szCs w:val="22"/>
          </w:rPr>
          <w:t>RNA-Seq data analysis</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_Toc121821962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66</w:t>
        </w:r>
        <w:r w:rsidR="00DB1EC4" w:rsidRPr="00DB1EC4">
          <w:rPr>
            <w:rFonts w:ascii="Arial" w:hAnsi="Arial" w:cs="Arial"/>
            <w:noProof/>
            <w:webHidden/>
            <w:sz w:val="22"/>
            <w:szCs w:val="22"/>
          </w:rPr>
          <w:fldChar w:fldCharType="end"/>
        </w:r>
      </w:hyperlink>
    </w:p>
    <w:p w14:paraId="3928EB83" w14:textId="5B63C6EF" w:rsidR="00DB1EC4" w:rsidRPr="00DB1EC4" w:rsidRDefault="00E817AE" w:rsidP="00DB1EC4">
      <w:pPr>
        <w:pStyle w:val="TOC4"/>
        <w:tabs>
          <w:tab w:val="right" w:leader="dot" w:pos="9350"/>
        </w:tabs>
        <w:spacing w:line="360" w:lineRule="auto"/>
        <w:rPr>
          <w:rFonts w:ascii="Arial" w:eastAsiaTheme="minorEastAsia" w:hAnsi="Arial" w:cs="Arial"/>
          <w:noProof/>
          <w:sz w:val="22"/>
          <w:szCs w:val="22"/>
        </w:rPr>
      </w:pPr>
      <w:hyperlink w:anchor="_Toc121821963" w:history="1">
        <w:r w:rsidR="00DB1EC4" w:rsidRPr="00DB1EC4">
          <w:rPr>
            <w:rStyle w:val="Hyperlink"/>
            <w:rFonts w:ascii="Arial" w:hAnsi="Arial" w:cs="Arial"/>
            <w:noProof/>
            <w:sz w:val="22"/>
            <w:szCs w:val="22"/>
          </w:rPr>
          <w:t>Validation of RNAseq by RT-qPCR</w:t>
        </w:r>
        <w:r w:rsidR="00DB1EC4" w:rsidRPr="00DB1EC4">
          <w:rPr>
            <w:rFonts w:ascii="Arial" w:hAnsi="Arial" w:cs="Arial"/>
            <w:noProof/>
            <w:webHidden/>
            <w:sz w:val="22"/>
            <w:szCs w:val="22"/>
          </w:rPr>
          <w:tab/>
        </w:r>
        <w:r w:rsidR="00DB1EC4" w:rsidRPr="00DB1EC4">
          <w:rPr>
            <w:rFonts w:ascii="Arial" w:hAnsi="Arial" w:cs="Arial"/>
            <w:noProof/>
            <w:webHidden/>
            <w:sz w:val="22"/>
            <w:szCs w:val="22"/>
          </w:rPr>
          <w:fldChar w:fldCharType="begin"/>
        </w:r>
        <w:r w:rsidR="00DB1EC4" w:rsidRPr="00DB1EC4">
          <w:rPr>
            <w:rFonts w:ascii="Arial" w:hAnsi="Arial" w:cs="Arial"/>
            <w:noProof/>
            <w:webHidden/>
            <w:sz w:val="22"/>
            <w:szCs w:val="22"/>
          </w:rPr>
          <w:instrText xml:space="preserve"> PAGEREF _Toc121821963 \h </w:instrText>
        </w:r>
        <w:r w:rsidR="00DB1EC4" w:rsidRPr="00DB1EC4">
          <w:rPr>
            <w:rFonts w:ascii="Arial" w:hAnsi="Arial" w:cs="Arial"/>
            <w:noProof/>
            <w:webHidden/>
            <w:sz w:val="22"/>
            <w:szCs w:val="22"/>
          </w:rPr>
        </w:r>
        <w:r w:rsidR="00DB1EC4" w:rsidRPr="00DB1EC4">
          <w:rPr>
            <w:rFonts w:ascii="Arial" w:hAnsi="Arial" w:cs="Arial"/>
            <w:noProof/>
            <w:webHidden/>
            <w:sz w:val="22"/>
            <w:szCs w:val="22"/>
          </w:rPr>
          <w:fldChar w:fldCharType="separate"/>
        </w:r>
        <w:r w:rsidR="00DB1EC4" w:rsidRPr="00DB1EC4">
          <w:rPr>
            <w:rFonts w:ascii="Arial" w:hAnsi="Arial" w:cs="Arial"/>
            <w:noProof/>
            <w:webHidden/>
            <w:sz w:val="22"/>
            <w:szCs w:val="22"/>
          </w:rPr>
          <w:t>67</w:t>
        </w:r>
        <w:r w:rsidR="00DB1EC4" w:rsidRPr="00DB1EC4">
          <w:rPr>
            <w:rFonts w:ascii="Arial" w:hAnsi="Arial" w:cs="Arial"/>
            <w:noProof/>
            <w:webHidden/>
            <w:sz w:val="22"/>
            <w:szCs w:val="22"/>
          </w:rPr>
          <w:fldChar w:fldCharType="end"/>
        </w:r>
      </w:hyperlink>
    </w:p>
    <w:p w14:paraId="71DFC90B" w14:textId="62A3AC56" w:rsidR="00DB1EC4" w:rsidRPr="00DB1EC4" w:rsidRDefault="00E817AE" w:rsidP="00DB1EC4">
      <w:pPr>
        <w:pStyle w:val="TOC1"/>
        <w:rPr>
          <w:rFonts w:eastAsiaTheme="minorEastAsia"/>
          <w:bCs w:val="0"/>
        </w:rPr>
      </w:pPr>
      <w:hyperlink w:anchor="_Toc121821964" w:history="1">
        <w:r w:rsidR="00DB1EC4" w:rsidRPr="00DB1EC4">
          <w:rPr>
            <w:rStyle w:val="Hyperlink"/>
          </w:rPr>
          <w:t>Conclusion</w:t>
        </w:r>
        <w:r w:rsidR="00DB1EC4" w:rsidRPr="00DB1EC4">
          <w:rPr>
            <w:webHidden/>
          </w:rPr>
          <w:tab/>
        </w:r>
        <w:r w:rsidR="00DB1EC4" w:rsidRPr="00DB1EC4">
          <w:rPr>
            <w:webHidden/>
          </w:rPr>
          <w:fldChar w:fldCharType="begin"/>
        </w:r>
        <w:r w:rsidR="00DB1EC4" w:rsidRPr="00DB1EC4">
          <w:rPr>
            <w:webHidden/>
          </w:rPr>
          <w:instrText xml:space="preserve"> PAGEREF _Toc121821964 \h </w:instrText>
        </w:r>
        <w:r w:rsidR="00DB1EC4" w:rsidRPr="00DB1EC4">
          <w:rPr>
            <w:webHidden/>
          </w:rPr>
        </w:r>
        <w:r w:rsidR="00DB1EC4" w:rsidRPr="00DB1EC4">
          <w:rPr>
            <w:webHidden/>
          </w:rPr>
          <w:fldChar w:fldCharType="separate"/>
        </w:r>
        <w:r w:rsidR="00DB1EC4" w:rsidRPr="00DB1EC4">
          <w:rPr>
            <w:webHidden/>
          </w:rPr>
          <w:t>68</w:t>
        </w:r>
        <w:r w:rsidR="00DB1EC4" w:rsidRPr="00DB1EC4">
          <w:rPr>
            <w:webHidden/>
          </w:rPr>
          <w:fldChar w:fldCharType="end"/>
        </w:r>
      </w:hyperlink>
    </w:p>
    <w:p w14:paraId="31309DA3" w14:textId="59E1823E" w:rsidR="00DB1EC4" w:rsidRPr="00DB1EC4" w:rsidRDefault="00E817AE" w:rsidP="00DB1EC4">
      <w:pPr>
        <w:pStyle w:val="TOC1"/>
        <w:rPr>
          <w:rFonts w:eastAsiaTheme="minorEastAsia"/>
          <w:bCs w:val="0"/>
        </w:rPr>
      </w:pPr>
      <w:hyperlink w:anchor="_Toc121821965" w:history="1">
        <w:r w:rsidR="00DB1EC4" w:rsidRPr="00DB1EC4">
          <w:rPr>
            <w:rStyle w:val="Hyperlink"/>
          </w:rPr>
          <w:t>References</w:t>
        </w:r>
        <w:r w:rsidR="00DB1EC4" w:rsidRPr="00DB1EC4">
          <w:rPr>
            <w:webHidden/>
          </w:rPr>
          <w:tab/>
        </w:r>
        <w:r w:rsidR="00DB1EC4" w:rsidRPr="00DB1EC4">
          <w:rPr>
            <w:webHidden/>
          </w:rPr>
          <w:fldChar w:fldCharType="begin"/>
        </w:r>
        <w:r w:rsidR="00DB1EC4" w:rsidRPr="00DB1EC4">
          <w:rPr>
            <w:webHidden/>
          </w:rPr>
          <w:instrText xml:space="preserve"> PAGEREF _Toc121821965 \h </w:instrText>
        </w:r>
        <w:r w:rsidR="00DB1EC4" w:rsidRPr="00DB1EC4">
          <w:rPr>
            <w:webHidden/>
          </w:rPr>
        </w:r>
        <w:r w:rsidR="00DB1EC4" w:rsidRPr="00DB1EC4">
          <w:rPr>
            <w:webHidden/>
          </w:rPr>
          <w:fldChar w:fldCharType="separate"/>
        </w:r>
        <w:r w:rsidR="00DB1EC4" w:rsidRPr="00DB1EC4">
          <w:rPr>
            <w:webHidden/>
          </w:rPr>
          <w:t>71</w:t>
        </w:r>
        <w:r w:rsidR="00DB1EC4" w:rsidRPr="00DB1EC4">
          <w:rPr>
            <w:webHidden/>
          </w:rPr>
          <w:fldChar w:fldCharType="end"/>
        </w:r>
      </w:hyperlink>
    </w:p>
    <w:p w14:paraId="311C4CC2" w14:textId="1DFC9639" w:rsidR="00DB1EC4" w:rsidRPr="00DB1EC4" w:rsidRDefault="00E817AE" w:rsidP="00DB1EC4">
      <w:pPr>
        <w:pStyle w:val="TOC1"/>
        <w:rPr>
          <w:rFonts w:eastAsiaTheme="minorEastAsia"/>
          <w:bCs w:val="0"/>
        </w:rPr>
      </w:pPr>
      <w:hyperlink w:anchor="_Toc121821966" w:history="1">
        <w:r w:rsidR="00DB1EC4" w:rsidRPr="00DB1EC4">
          <w:rPr>
            <w:rStyle w:val="Hyperlink"/>
          </w:rPr>
          <w:t>Vita</w:t>
        </w:r>
        <w:r w:rsidR="00DB1EC4" w:rsidRPr="00DB1EC4">
          <w:rPr>
            <w:webHidden/>
          </w:rPr>
          <w:tab/>
        </w:r>
        <w:r w:rsidR="00DB1EC4" w:rsidRPr="00DB1EC4">
          <w:rPr>
            <w:webHidden/>
          </w:rPr>
          <w:fldChar w:fldCharType="begin"/>
        </w:r>
        <w:r w:rsidR="00DB1EC4" w:rsidRPr="00DB1EC4">
          <w:rPr>
            <w:webHidden/>
          </w:rPr>
          <w:instrText xml:space="preserve"> PAGEREF _Toc121821966 \h </w:instrText>
        </w:r>
        <w:r w:rsidR="00DB1EC4" w:rsidRPr="00DB1EC4">
          <w:rPr>
            <w:webHidden/>
          </w:rPr>
        </w:r>
        <w:r w:rsidR="00DB1EC4" w:rsidRPr="00DB1EC4">
          <w:rPr>
            <w:webHidden/>
          </w:rPr>
          <w:fldChar w:fldCharType="separate"/>
        </w:r>
        <w:r w:rsidR="00DB1EC4" w:rsidRPr="00DB1EC4">
          <w:rPr>
            <w:webHidden/>
          </w:rPr>
          <w:t>105</w:t>
        </w:r>
        <w:r w:rsidR="00DB1EC4" w:rsidRPr="00DB1EC4">
          <w:rPr>
            <w:webHidden/>
          </w:rPr>
          <w:fldChar w:fldCharType="end"/>
        </w:r>
      </w:hyperlink>
    </w:p>
    <w:p w14:paraId="4FD3F826" w14:textId="25B98073" w:rsidR="0077446B" w:rsidRPr="00DB1EC4" w:rsidRDefault="002755E0" w:rsidP="00DB1EC4">
      <w:pPr>
        <w:spacing w:line="360" w:lineRule="auto"/>
        <w:jc w:val="center"/>
        <w:rPr>
          <w:rFonts w:ascii="Arial" w:hAnsi="Arial" w:cs="Arial"/>
          <w:bCs/>
          <w:color w:val="000000" w:themeColor="text1"/>
          <w:sz w:val="22"/>
          <w:szCs w:val="22"/>
        </w:rPr>
      </w:pPr>
      <w:r w:rsidRPr="00DB1EC4">
        <w:rPr>
          <w:rFonts w:ascii="Arial" w:hAnsi="Arial" w:cs="Arial"/>
          <w:bCs/>
          <w:noProof/>
          <w:color w:val="000000" w:themeColor="text1"/>
          <w:sz w:val="22"/>
          <w:szCs w:val="22"/>
        </w:rPr>
        <w:fldChar w:fldCharType="end"/>
      </w:r>
    </w:p>
    <w:p w14:paraId="62D1B56A" w14:textId="77777777" w:rsidR="00E21F9F" w:rsidRPr="00DB1EC4" w:rsidRDefault="00E21F9F" w:rsidP="00DB1EC4">
      <w:pPr>
        <w:spacing w:line="360" w:lineRule="auto"/>
        <w:rPr>
          <w:rFonts w:ascii="Arial" w:hAnsi="Arial" w:cs="Arial"/>
          <w:color w:val="000000" w:themeColor="text1"/>
          <w:sz w:val="22"/>
          <w:szCs w:val="22"/>
          <w:lang w:bidi="en-US"/>
        </w:rPr>
      </w:pPr>
    </w:p>
    <w:p w14:paraId="2229916E" w14:textId="77777777" w:rsidR="00E21F9F" w:rsidRPr="00DB1EC4" w:rsidRDefault="00E21F9F" w:rsidP="00DB1EC4">
      <w:pPr>
        <w:spacing w:line="360" w:lineRule="auto"/>
        <w:rPr>
          <w:rFonts w:ascii="Arial" w:hAnsi="Arial" w:cs="Arial"/>
          <w:bCs/>
          <w:color w:val="000000" w:themeColor="text1"/>
          <w:sz w:val="22"/>
          <w:szCs w:val="22"/>
        </w:rPr>
      </w:pPr>
    </w:p>
    <w:p w14:paraId="2FBCEE59" w14:textId="77777777" w:rsidR="00E21F9F" w:rsidRPr="00DB1EC4" w:rsidRDefault="00E21F9F" w:rsidP="00DB1EC4">
      <w:pPr>
        <w:spacing w:line="360" w:lineRule="auto"/>
        <w:jc w:val="center"/>
        <w:rPr>
          <w:rFonts w:ascii="Arial" w:hAnsi="Arial" w:cs="Arial"/>
          <w:b/>
          <w:color w:val="000000" w:themeColor="text1"/>
          <w:sz w:val="22"/>
          <w:szCs w:val="22"/>
        </w:rPr>
      </w:pPr>
    </w:p>
    <w:p w14:paraId="7E108772" w14:textId="77777777" w:rsidR="00E21F9F" w:rsidRPr="00DB1EC4" w:rsidRDefault="00E21F9F" w:rsidP="00DB1EC4">
      <w:pPr>
        <w:spacing w:after="30" w:line="360" w:lineRule="auto"/>
        <w:ind w:right="1500"/>
        <w:jc w:val="center"/>
        <w:rPr>
          <w:rFonts w:ascii="Arial" w:hAnsi="Arial" w:cs="Arial"/>
          <w:b/>
          <w:color w:val="000000" w:themeColor="text1"/>
          <w:sz w:val="22"/>
          <w:szCs w:val="22"/>
        </w:rPr>
      </w:pPr>
    </w:p>
    <w:p w14:paraId="5B292CAE" w14:textId="77777777" w:rsidR="00E21F9F" w:rsidRPr="00DB1EC4" w:rsidRDefault="00E21F9F" w:rsidP="00DB1EC4">
      <w:pPr>
        <w:spacing w:after="30" w:line="360" w:lineRule="auto"/>
        <w:ind w:right="1500"/>
        <w:jc w:val="center"/>
        <w:rPr>
          <w:rFonts w:ascii="Arial" w:hAnsi="Arial" w:cs="Arial"/>
          <w:b/>
          <w:color w:val="000000" w:themeColor="text1"/>
          <w:sz w:val="22"/>
          <w:szCs w:val="22"/>
        </w:rPr>
      </w:pPr>
    </w:p>
    <w:p w14:paraId="55A3EA3F" w14:textId="77777777" w:rsidR="00E21F9F" w:rsidRPr="00DB1EC4" w:rsidRDefault="00E21F9F" w:rsidP="00DB1EC4">
      <w:pPr>
        <w:spacing w:after="30" w:line="360" w:lineRule="auto"/>
        <w:ind w:right="1500"/>
        <w:jc w:val="center"/>
        <w:rPr>
          <w:rFonts w:ascii="Arial" w:hAnsi="Arial" w:cs="Arial"/>
          <w:b/>
          <w:color w:val="000000" w:themeColor="text1"/>
          <w:sz w:val="22"/>
          <w:szCs w:val="22"/>
        </w:rPr>
      </w:pPr>
    </w:p>
    <w:p w14:paraId="2D2EF433" w14:textId="7EA627CF" w:rsidR="005D4860" w:rsidRPr="00DB1EC4" w:rsidRDefault="005D4860" w:rsidP="00DB1EC4">
      <w:pPr>
        <w:spacing w:line="360" w:lineRule="auto"/>
        <w:rPr>
          <w:rFonts w:ascii="Arial" w:hAnsi="Arial" w:cs="Arial"/>
          <w:b/>
          <w:color w:val="000000" w:themeColor="text1"/>
          <w:sz w:val="22"/>
          <w:szCs w:val="22"/>
        </w:rPr>
      </w:pPr>
    </w:p>
    <w:p w14:paraId="47522AA2" w14:textId="77777777" w:rsidR="002755E0" w:rsidRPr="00DB1EC4" w:rsidRDefault="002755E0" w:rsidP="00DB1EC4">
      <w:pPr>
        <w:spacing w:line="360" w:lineRule="auto"/>
        <w:rPr>
          <w:rFonts w:ascii="Arial" w:hAnsi="Arial" w:cs="Arial"/>
          <w:bCs/>
          <w:color w:val="000000" w:themeColor="text1"/>
          <w:sz w:val="22"/>
          <w:szCs w:val="22"/>
        </w:rPr>
      </w:pPr>
    </w:p>
    <w:p w14:paraId="4179BAA2" w14:textId="5A0163FE" w:rsidR="002755E0" w:rsidRDefault="002755E0" w:rsidP="006622F2">
      <w:pPr>
        <w:spacing w:line="360" w:lineRule="auto"/>
        <w:jc w:val="center"/>
        <w:rPr>
          <w:rFonts w:ascii="Arial" w:hAnsi="Arial" w:cs="Arial"/>
          <w:b/>
          <w:color w:val="000000" w:themeColor="text1"/>
          <w:sz w:val="22"/>
          <w:szCs w:val="22"/>
        </w:rPr>
      </w:pPr>
    </w:p>
    <w:p w14:paraId="0265F007" w14:textId="5828FD3F" w:rsidR="00D86CE7" w:rsidRDefault="00D86CE7" w:rsidP="006622F2">
      <w:pPr>
        <w:spacing w:line="360" w:lineRule="auto"/>
        <w:jc w:val="center"/>
        <w:rPr>
          <w:rFonts w:ascii="Arial" w:hAnsi="Arial" w:cs="Arial"/>
          <w:b/>
          <w:color w:val="000000" w:themeColor="text1"/>
          <w:sz w:val="22"/>
          <w:szCs w:val="22"/>
        </w:rPr>
      </w:pPr>
      <w:r>
        <w:rPr>
          <w:rFonts w:ascii="Arial" w:hAnsi="Arial" w:cs="Arial"/>
          <w:b/>
          <w:color w:val="000000" w:themeColor="text1"/>
          <w:sz w:val="22"/>
          <w:szCs w:val="22"/>
        </w:rPr>
        <w:lastRenderedPageBreak/>
        <w:t>List of Tables</w:t>
      </w:r>
    </w:p>
    <w:p w14:paraId="37883740" w14:textId="77777777" w:rsidR="00D86CE7" w:rsidRDefault="00D86CE7" w:rsidP="006622F2">
      <w:pPr>
        <w:spacing w:line="360" w:lineRule="auto"/>
        <w:jc w:val="center"/>
        <w:rPr>
          <w:rFonts w:ascii="Arial" w:hAnsi="Arial" w:cs="Arial"/>
          <w:b/>
          <w:color w:val="000000" w:themeColor="text1"/>
          <w:sz w:val="22"/>
          <w:szCs w:val="22"/>
        </w:rPr>
      </w:pPr>
    </w:p>
    <w:p w14:paraId="5EE47154" w14:textId="0F0884FB" w:rsidR="00D86CE7" w:rsidRDefault="00D86CE7" w:rsidP="00A6483C">
      <w:pPr>
        <w:pStyle w:val="TableofFigures"/>
        <w:tabs>
          <w:tab w:val="right" w:leader="dot" w:pos="9350"/>
        </w:tabs>
        <w:ind w:left="0" w:firstLine="0"/>
        <w:rPr>
          <w:rFonts w:asciiTheme="minorHAnsi" w:eastAsiaTheme="minorEastAsia" w:hAnsiTheme="minorHAnsi" w:cstheme="minorBidi"/>
          <w:bCs w:val="0"/>
          <w:noProof/>
          <w:sz w:val="24"/>
          <w:szCs w:val="24"/>
        </w:rPr>
      </w:pPr>
      <w:r>
        <w:rPr>
          <w:rFonts w:cs="Arial"/>
          <w:b/>
          <w:color w:val="000000" w:themeColor="text1"/>
          <w:szCs w:val="22"/>
        </w:rPr>
        <w:fldChar w:fldCharType="begin"/>
      </w:r>
      <w:r>
        <w:rPr>
          <w:rFonts w:cs="Arial"/>
          <w:b/>
          <w:color w:val="000000" w:themeColor="text1"/>
          <w:szCs w:val="22"/>
        </w:rPr>
        <w:instrText xml:space="preserve"> TOC \h \z \t "Table of Authorities" \c </w:instrText>
      </w:r>
      <w:r>
        <w:rPr>
          <w:rFonts w:cs="Arial"/>
          <w:b/>
          <w:color w:val="000000" w:themeColor="text1"/>
          <w:szCs w:val="22"/>
        </w:rPr>
        <w:fldChar w:fldCharType="separate"/>
      </w:r>
      <w:hyperlink w:anchor="_Toc121479900" w:history="1">
        <w:bookmarkStart w:id="0" w:name="_Toc121479972"/>
        <w:bookmarkStart w:id="1" w:name="_Toc121480264"/>
        <w:bookmarkStart w:id="2" w:name="_Toc121480895"/>
        <w:bookmarkStart w:id="3" w:name="_Toc121481003"/>
        <w:bookmarkStart w:id="4" w:name="_Toc121481289"/>
        <w:bookmarkStart w:id="5" w:name="_Toc121481826"/>
        <w:bookmarkStart w:id="6" w:name="_Toc121514005"/>
        <w:r w:rsidRPr="005D42CC">
          <w:rPr>
            <w:rStyle w:val="Hyperlink"/>
            <w:rFonts w:eastAsiaTheme="majorEastAsia" w:cs="Arial"/>
            <w:noProof/>
            <w:lang w:bidi="en-US"/>
          </w:rPr>
          <w:t xml:space="preserve">Table 1.1. </w:t>
        </w:r>
        <w:r w:rsidRPr="005D42CC">
          <w:rPr>
            <w:rStyle w:val="Hyperlink"/>
            <w:rFonts w:eastAsiaTheme="majorEastAsia" w:cs="Arial"/>
            <w:noProof/>
          </w:rPr>
          <w:t xml:space="preserve">Primers for the five consistently up-or downregulated candidate regulatory and structural genes were designed based on </w:t>
        </w:r>
        <w:r w:rsidRPr="005D42CC">
          <w:rPr>
            <w:rStyle w:val="Hyperlink"/>
            <w:rFonts w:eastAsiaTheme="majorEastAsia" w:cs="Arial"/>
            <w:i/>
            <w:iCs/>
            <w:noProof/>
          </w:rPr>
          <w:t>Cornus florida</w:t>
        </w:r>
        <w:r w:rsidRPr="005D42CC">
          <w:rPr>
            <w:rStyle w:val="Hyperlink"/>
            <w:rFonts w:eastAsiaTheme="majorEastAsia" w:cs="Arial"/>
            <w:noProof/>
          </w:rPr>
          <w:t xml:space="preserve"> and </w:t>
        </w:r>
        <w:r w:rsidRPr="005D42CC">
          <w:rPr>
            <w:rStyle w:val="Hyperlink"/>
            <w:rFonts w:eastAsiaTheme="majorEastAsia" w:cs="Arial"/>
            <w:i/>
            <w:iCs/>
            <w:noProof/>
          </w:rPr>
          <w:t>C. kousa</w:t>
        </w:r>
        <w:r w:rsidRPr="005D42CC">
          <w:rPr>
            <w:rStyle w:val="Hyperlink"/>
            <w:rFonts w:eastAsiaTheme="majorEastAsia" w:cs="Arial"/>
            <w:noProof/>
          </w:rPr>
          <w:t xml:space="preserve"> sequences.</w:t>
        </w:r>
        <w:r>
          <w:rPr>
            <w:noProof/>
            <w:webHidden/>
          </w:rPr>
          <w:tab/>
        </w:r>
        <w:r>
          <w:rPr>
            <w:noProof/>
            <w:webHidden/>
          </w:rPr>
          <w:fldChar w:fldCharType="begin"/>
        </w:r>
        <w:r>
          <w:rPr>
            <w:noProof/>
            <w:webHidden/>
          </w:rPr>
          <w:instrText xml:space="preserve"> PAGEREF _Toc121479900 \h </w:instrText>
        </w:r>
        <w:r>
          <w:rPr>
            <w:noProof/>
            <w:webHidden/>
          </w:rPr>
        </w:r>
        <w:r>
          <w:rPr>
            <w:noProof/>
            <w:webHidden/>
          </w:rPr>
          <w:fldChar w:fldCharType="separate"/>
        </w:r>
        <w:r w:rsidR="00DB1EC4">
          <w:rPr>
            <w:noProof/>
            <w:webHidden/>
          </w:rPr>
          <w:t>23</w:t>
        </w:r>
        <w:bookmarkEnd w:id="0"/>
        <w:bookmarkEnd w:id="1"/>
        <w:bookmarkEnd w:id="2"/>
        <w:bookmarkEnd w:id="3"/>
        <w:bookmarkEnd w:id="4"/>
        <w:bookmarkEnd w:id="5"/>
        <w:bookmarkEnd w:id="6"/>
        <w:r>
          <w:rPr>
            <w:noProof/>
            <w:webHidden/>
          </w:rPr>
          <w:fldChar w:fldCharType="end"/>
        </w:r>
      </w:hyperlink>
    </w:p>
    <w:p w14:paraId="7CDC7D6D" w14:textId="5321FA92" w:rsidR="00D86CE7" w:rsidRDefault="00E817AE" w:rsidP="00A6483C">
      <w:pPr>
        <w:pStyle w:val="TableofFigures"/>
        <w:tabs>
          <w:tab w:val="right" w:leader="dot" w:pos="9350"/>
        </w:tabs>
        <w:ind w:left="0" w:firstLine="0"/>
        <w:rPr>
          <w:rFonts w:asciiTheme="minorHAnsi" w:eastAsiaTheme="minorEastAsia" w:hAnsiTheme="minorHAnsi" w:cstheme="minorBidi"/>
          <w:bCs w:val="0"/>
          <w:noProof/>
          <w:sz w:val="24"/>
          <w:szCs w:val="24"/>
        </w:rPr>
      </w:pPr>
      <w:hyperlink w:anchor="_Toc121479901" w:history="1">
        <w:bookmarkStart w:id="7" w:name="_Toc121479973"/>
        <w:bookmarkStart w:id="8" w:name="_Toc121480265"/>
        <w:bookmarkStart w:id="9" w:name="_Toc121480896"/>
        <w:bookmarkStart w:id="10" w:name="_Toc121481004"/>
        <w:bookmarkStart w:id="11" w:name="_Toc121481290"/>
        <w:bookmarkStart w:id="12" w:name="_Toc121481827"/>
        <w:bookmarkStart w:id="13" w:name="_Toc121514006"/>
        <w:r w:rsidR="00D86CE7" w:rsidRPr="005D42CC">
          <w:rPr>
            <w:rStyle w:val="Hyperlink"/>
            <w:rFonts w:eastAsiaTheme="majorEastAsia" w:cs="Arial"/>
            <w:noProof/>
          </w:rPr>
          <w:t xml:space="preserve">Table 1.2. Species and accession numbers of MYB proteins used to construct the phylogenetic tree of </w:t>
        </w:r>
        <w:r w:rsidR="00D86CE7" w:rsidRPr="005D42CC">
          <w:rPr>
            <w:rStyle w:val="Hyperlink"/>
            <w:rFonts w:eastAsiaTheme="majorEastAsia" w:cs="Arial"/>
            <w:i/>
            <w:iCs/>
            <w:noProof/>
          </w:rPr>
          <w:t>Cornus florida</w:t>
        </w:r>
        <w:r w:rsidR="00D86CE7" w:rsidRPr="005D42CC">
          <w:rPr>
            <w:rStyle w:val="Hyperlink"/>
            <w:rFonts w:eastAsiaTheme="majorEastAsia" w:cs="Arial"/>
            <w:noProof/>
          </w:rPr>
          <w:t xml:space="preserve"> and </w:t>
        </w:r>
        <w:r w:rsidR="00D86CE7" w:rsidRPr="005D42CC">
          <w:rPr>
            <w:rStyle w:val="Hyperlink"/>
            <w:rFonts w:eastAsiaTheme="majorEastAsia" w:cs="Arial"/>
            <w:i/>
            <w:iCs/>
            <w:noProof/>
          </w:rPr>
          <w:t>C</w:t>
        </w:r>
        <w:r w:rsidR="00D86CE7" w:rsidRPr="005D42CC">
          <w:rPr>
            <w:rStyle w:val="Hyperlink"/>
            <w:rFonts w:eastAsiaTheme="majorEastAsia" w:cs="Arial"/>
            <w:noProof/>
          </w:rPr>
          <w:t xml:space="preserve">. </w:t>
        </w:r>
        <w:r w:rsidR="00D86CE7" w:rsidRPr="005D42CC">
          <w:rPr>
            <w:rStyle w:val="Hyperlink"/>
            <w:rFonts w:eastAsiaTheme="majorEastAsia" w:cs="Arial"/>
            <w:i/>
            <w:iCs/>
            <w:noProof/>
          </w:rPr>
          <w:t>kousa</w:t>
        </w:r>
        <w:r w:rsidR="00D86CE7" w:rsidRPr="005D42CC">
          <w:rPr>
            <w:rStyle w:val="Hyperlink"/>
            <w:rFonts w:eastAsiaTheme="majorEastAsia" w:cs="Arial"/>
            <w:noProof/>
          </w:rPr>
          <w:t>.</w:t>
        </w:r>
        <w:r w:rsidR="00D86CE7">
          <w:rPr>
            <w:noProof/>
            <w:webHidden/>
          </w:rPr>
          <w:tab/>
        </w:r>
        <w:r w:rsidR="00D86CE7">
          <w:rPr>
            <w:noProof/>
            <w:webHidden/>
          </w:rPr>
          <w:fldChar w:fldCharType="begin"/>
        </w:r>
        <w:r w:rsidR="00D86CE7">
          <w:rPr>
            <w:noProof/>
            <w:webHidden/>
          </w:rPr>
          <w:instrText xml:space="preserve"> PAGEREF _Toc121479901 \h </w:instrText>
        </w:r>
        <w:r w:rsidR="00D86CE7">
          <w:rPr>
            <w:noProof/>
            <w:webHidden/>
          </w:rPr>
        </w:r>
        <w:r w:rsidR="00D86CE7">
          <w:rPr>
            <w:noProof/>
            <w:webHidden/>
          </w:rPr>
          <w:fldChar w:fldCharType="separate"/>
        </w:r>
        <w:r w:rsidR="00DB1EC4">
          <w:rPr>
            <w:noProof/>
            <w:webHidden/>
          </w:rPr>
          <w:t>24</w:t>
        </w:r>
        <w:bookmarkEnd w:id="7"/>
        <w:bookmarkEnd w:id="8"/>
        <w:bookmarkEnd w:id="9"/>
        <w:bookmarkEnd w:id="10"/>
        <w:bookmarkEnd w:id="11"/>
        <w:bookmarkEnd w:id="12"/>
        <w:bookmarkEnd w:id="13"/>
        <w:r w:rsidR="00D86CE7">
          <w:rPr>
            <w:noProof/>
            <w:webHidden/>
          </w:rPr>
          <w:fldChar w:fldCharType="end"/>
        </w:r>
      </w:hyperlink>
    </w:p>
    <w:p w14:paraId="31C4BD9A" w14:textId="1A6A1033" w:rsidR="00D86CE7" w:rsidRDefault="00E817AE" w:rsidP="00A6483C">
      <w:pPr>
        <w:pStyle w:val="TableofFigures"/>
        <w:tabs>
          <w:tab w:val="right" w:leader="dot" w:pos="9350"/>
        </w:tabs>
        <w:ind w:left="0" w:firstLine="0"/>
        <w:rPr>
          <w:rFonts w:asciiTheme="minorHAnsi" w:eastAsiaTheme="minorEastAsia" w:hAnsiTheme="minorHAnsi" w:cstheme="minorBidi"/>
          <w:bCs w:val="0"/>
          <w:noProof/>
          <w:sz w:val="24"/>
          <w:szCs w:val="24"/>
        </w:rPr>
      </w:pPr>
      <w:hyperlink w:anchor="_Toc121479902" w:history="1">
        <w:bookmarkStart w:id="14" w:name="_Toc121479974"/>
        <w:bookmarkStart w:id="15" w:name="_Toc121480266"/>
        <w:bookmarkStart w:id="16" w:name="_Toc121480897"/>
        <w:bookmarkStart w:id="17" w:name="_Toc121481005"/>
        <w:bookmarkStart w:id="18" w:name="_Toc121481291"/>
        <w:bookmarkStart w:id="19" w:name="_Toc121481828"/>
        <w:bookmarkStart w:id="20" w:name="_Toc121514007"/>
        <w:r w:rsidR="00D86CE7" w:rsidRPr="005D42CC">
          <w:rPr>
            <w:rStyle w:val="Hyperlink"/>
            <w:rFonts w:eastAsiaTheme="majorEastAsia" w:cs="Arial"/>
            <w:noProof/>
          </w:rPr>
          <w:t>Table 1.3. The species and accession numbers of R2R3-MYB repressor proteins used to search for characterized distinctive motifs in MYB repressors, such as EAR with conserved sequence LxLxL.</w:t>
        </w:r>
        <w:r w:rsidR="00D86CE7">
          <w:rPr>
            <w:noProof/>
            <w:webHidden/>
          </w:rPr>
          <w:tab/>
        </w:r>
        <w:r w:rsidR="00D86CE7">
          <w:rPr>
            <w:noProof/>
            <w:webHidden/>
          </w:rPr>
          <w:fldChar w:fldCharType="begin"/>
        </w:r>
        <w:r w:rsidR="00D86CE7">
          <w:rPr>
            <w:noProof/>
            <w:webHidden/>
          </w:rPr>
          <w:instrText xml:space="preserve"> PAGEREF _Toc121479902 \h </w:instrText>
        </w:r>
        <w:r w:rsidR="00D86CE7">
          <w:rPr>
            <w:noProof/>
            <w:webHidden/>
          </w:rPr>
        </w:r>
        <w:r w:rsidR="00D86CE7">
          <w:rPr>
            <w:noProof/>
            <w:webHidden/>
          </w:rPr>
          <w:fldChar w:fldCharType="separate"/>
        </w:r>
        <w:r w:rsidR="00DB1EC4">
          <w:rPr>
            <w:noProof/>
            <w:webHidden/>
          </w:rPr>
          <w:t>27</w:t>
        </w:r>
        <w:bookmarkEnd w:id="14"/>
        <w:bookmarkEnd w:id="15"/>
        <w:bookmarkEnd w:id="16"/>
        <w:bookmarkEnd w:id="17"/>
        <w:bookmarkEnd w:id="18"/>
        <w:bookmarkEnd w:id="19"/>
        <w:bookmarkEnd w:id="20"/>
        <w:r w:rsidR="00D86CE7">
          <w:rPr>
            <w:noProof/>
            <w:webHidden/>
          </w:rPr>
          <w:fldChar w:fldCharType="end"/>
        </w:r>
      </w:hyperlink>
    </w:p>
    <w:p w14:paraId="63AA9249" w14:textId="6CE6AFB6" w:rsidR="00D86CE7" w:rsidRDefault="00E817AE" w:rsidP="00A6483C">
      <w:pPr>
        <w:pStyle w:val="TableofFigures"/>
        <w:tabs>
          <w:tab w:val="right" w:leader="dot" w:pos="9350"/>
        </w:tabs>
        <w:ind w:left="0" w:hanging="90"/>
        <w:rPr>
          <w:rFonts w:asciiTheme="minorHAnsi" w:eastAsiaTheme="minorEastAsia" w:hAnsiTheme="minorHAnsi" w:cstheme="minorBidi"/>
          <w:bCs w:val="0"/>
          <w:noProof/>
          <w:sz w:val="24"/>
          <w:szCs w:val="24"/>
        </w:rPr>
      </w:pPr>
      <w:hyperlink w:anchor="_Toc121479903" w:history="1">
        <w:bookmarkStart w:id="21" w:name="_Toc121479975"/>
        <w:bookmarkStart w:id="22" w:name="_Toc121480267"/>
        <w:bookmarkStart w:id="23" w:name="_Toc121480898"/>
        <w:bookmarkStart w:id="24" w:name="_Toc121481006"/>
        <w:bookmarkStart w:id="25" w:name="_Toc121481292"/>
        <w:bookmarkStart w:id="26" w:name="_Toc121481829"/>
        <w:bookmarkStart w:id="27" w:name="_Toc121514008"/>
        <w:r w:rsidR="00D86CE7" w:rsidRPr="005D42CC">
          <w:rPr>
            <w:rStyle w:val="Hyperlink"/>
            <w:rFonts w:eastAsiaTheme="majorEastAsia" w:cs="Arial"/>
            <w:noProof/>
          </w:rPr>
          <w:t>Table 2.1. Segregation data and proposed gene action for powdery mildew resistance in pseudo-F2 Cornus florida population over five years.</w:t>
        </w:r>
        <w:r w:rsidR="00D86CE7">
          <w:rPr>
            <w:noProof/>
            <w:webHidden/>
          </w:rPr>
          <w:tab/>
        </w:r>
        <w:r w:rsidR="00D86CE7">
          <w:rPr>
            <w:noProof/>
            <w:webHidden/>
          </w:rPr>
          <w:fldChar w:fldCharType="begin"/>
        </w:r>
        <w:r w:rsidR="00D86CE7">
          <w:rPr>
            <w:noProof/>
            <w:webHidden/>
          </w:rPr>
          <w:instrText xml:space="preserve"> PAGEREF _Toc121479903 \h </w:instrText>
        </w:r>
        <w:r w:rsidR="00D86CE7">
          <w:rPr>
            <w:noProof/>
            <w:webHidden/>
          </w:rPr>
        </w:r>
        <w:r w:rsidR="00D86CE7">
          <w:rPr>
            <w:noProof/>
            <w:webHidden/>
          </w:rPr>
          <w:fldChar w:fldCharType="separate"/>
        </w:r>
        <w:r w:rsidR="00DB1EC4">
          <w:rPr>
            <w:noProof/>
            <w:webHidden/>
          </w:rPr>
          <w:t>53</w:t>
        </w:r>
        <w:bookmarkEnd w:id="21"/>
        <w:bookmarkEnd w:id="22"/>
        <w:bookmarkEnd w:id="23"/>
        <w:bookmarkEnd w:id="24"/>
        <w:bookmarkEnd w:id="25"/>
        <w:bookmarkEnd w:id="26"/>
        <w:bookmarkEnd w:id="27"/>
        <w:r w:rsidR="00D86CE7">
          <w:rPr>
            <w:noProof/>
            <w:webHidden/>
          </w:rPr>
          <w:fldChar w:fldCharType="end"/>
        </w:r>
      </w:hyperlink>
    </w:p>
    <w:p w14:paraId="21BAF674" w14:textId="2AE831DA" w:rsidR="00D86CE7" w:rsidRDefault="00E817AE" w:rsidP="00A6483C">
      <w:pPr>
        <w:pStyle w:val="TableofFigures"/>
        <w:tabs>
          <w:tab w:val="right" w:leader="dot" w:pos="9350"/>
        </w:tabs>
        <w:ind w:left="0" w:firstLine="0"/>
        <w:rPr>
          <w:rFonts w:asciiTheme="minorHAnsi" w:eastAsiaTheme="minorEastAsia" w:hAnsiTheme="minorHAnsi" w:cstheme="minorBidi"/>
          <w:bCs w:val="0"/>
          <w:noProof/>
          <w:sz w:val="24"/>
          <w:szCs w:val="24"/>
        </w:rPr>
      </w:pPr>
      <w:hyperlink w:anchor="_Toc121479904" w:history="1">
        <w:bookmarkStart w:id="28" w:name="_Toc121479976"/>
        <w:bookmarkStart w:id="29" w:name="_Toc121480268"/>
        <w:bookmarkStart w:id="30" w:name="_Toc121480899"/>
        <w:bookmarkStart w:id="31" w:name="_Toc121481007"/>
        <w:bookmarkStart w:id="32" w:name="_Toc121481293"/>
        <w:bookmarkStart w:id="33" w:name="_Toc121481830"/>
        <w:bookmarkStart w:id="34" w:name="_Toc121514009"/>
        <w:r w:rsidR="00D86CE7" w:rsidRPr="005D42CC">
          <w:rPr>
            <w:rStyle w:val="Hyperlink"/>
            <w:rFonts w:eastAsiaTheme="majorEastAsia" w:cs="Arial"/>
            <w:noProof/>
          </w:rPr>
          <w:t xml:space="preserve">Table 2.2. QTL statistics for two QTL detected in two consecutive years in </w:t>
        </w:r>
        <w:r w:rsidR="00D86CE7" w:rsidRPr="005D42CC">
          <w:rPr>
            <w:rStyle w:val="Hyperlink"/>
            <w:rFonts w:eastAsiaTheme="majorEastAsia" w:cs="Arial"/>
            <w:i/>
            <w:iCs/>
            <w:noProof/>
          </w:rPr>
          <w:t xml:space="preserve">Cornus florida, </w:t>
        </w:r>
        <w:r w:rsidR="00D86CE7" w:rsidRPr="005D42CC">
          <w:rPr>
            <w:rStyle w:val="Hyperlink"/>
            <w:rFonts w:eastAsiaTheme="majorEastAsia" w:cs="Arial"/>
            <w:noProof/>
          </w:rPr>
          <w:t>pseudo-F2 population mapping populations segregating for powdery mildew resistance.</w:t>
        </w:r>
        <w:r w:rsidR="00D86CE7">
          <w:rPr>
            <w:noProof/>
            <w:webHidden/>
          </w:rPr>
          <w:tab/>
        </w:r>
        <w:r w:rsidR="00D86CE7">
          <w:rPr>
            <w:noProof/>
            <w:webHidden/>
          </w:rPr>
          <w:fldChar w:fldCharType="begin"/>
        </w:r>
        <w:r w:rsidR="00D86CE7">
          <w:rPr>
            <w:noProof/>
            <w:webHidden/>
          </w:rPr>
          <w:instrText xml:space="preserve"> PAGEREF _Toc121479904 \h </w:instrText>
        </w:r>
        <w:r w:rsidR="00D86CE7">
          <w:rPr>
            <w:noProof/>
            <w:webHidden/>
          </w:rPr>
        </w:r>
        <w:r w:rsidR="00D86CE7">
          <w:rPr>
            <w:noProof/>
            <w:webHidden/>
          </w:rPr>
          <w:fldChar w:fldCharType="separate"/>
        </w:r>
        <w:r w:rsidR="00DB1EC4">
          <w:rPr>
            <w:noProof/>
            <w:webHidden/>
          </w:rPr>
          <w:t>54</w:t>
        </w:r>
        <w:bookmarkEnd w:id="28"/>
        <w:bookmarkEnd w:id="29"/>
        <w:bookmarkEnd w:id="30"/>
        <w:bookmarkEnd w:id="31"/>
        <w:bookmarkEnd w:id="32"/>
        <w:bookmarkEnd w:id="33"/>
        <w:bookmarkEnd w:id="34"/>
        <w:r w:rsidR="00D86CE7">
          <w:rPr>
            <w:noProof/>
            <w:webHidden/>
          </w:rPr>
          <w:fldChar w:fldCharType="end"/>
        </w:r>
      </w:hyperlink>
    </w:p>
    <w:p w14:paraId="7C2CC6A0" w14:textId="1C8D8441" w:rsidR="00493E25" w:rsidRDefault="00D86CE7" w:rsidP="006622F2">
      <w:pPr>
        <w:spacing w:line="360" w:lineRule="auto"/>
        <w:jc w:val="center"/>
        <w:rPr>
          <w:rFonts w:ascii="Arial" w:hAnsi="Arial" w:cs="Arial"/>
          <w:b/>
          <w:color w:val="000000" w:themeColor="text1"/>
          <w:sz w:val="22"/>
          <w:szCs w:val="22"/>
        </w:rPr>
      </w:pPr>
      <w:r>
        <w:rPr>
          <w:rFonts w:ascii="Arial" w:hAnsi="Arial" w:cs="Arial"/>
          <w:b/>
          <w:color w:val="000000" w:themeColor="text1"/>
          <w:sz w:val="22"/>
          <w:szCs w:val="22"/>
        </w:rPr>
        <w:fldChar w:fldCharType="end"/>
      </w:r>
    </w:p>
    <w:p w14:paraId="21BD832A" w14:textId="7E5DB127" w:rsidR="00D86CE7" w:rsidRDefault="00D86CE7" w:rsidP="006622F2">
      <w:pPr>
        <w:spacing w:line="360" w:lineRule="auto"/>
        <w:jc w:val="center"/>
        <w:rPr>
          <w:rFonts w:ascii="Arial" w:hAnsi="Arial" w:cs="Arial"/>
          <w:b/>
          <w:color w:val="000000" w:themeColor="text1"/>
          <w:sz w:val="22"/>
          <w:szCs w:val="22"/>
        </w:rPr>
      </w:pPr>
    </w:p>
    <w:p w14:paraId="6B622FA2" w14:textId="30CA4D78" w:rsidR="00D86CE7" w:rsidRDefault="00D86CE7" w:rsidP="006622F2">
      <w:pPr>
        <w:spacing w:line="360" w:lineRule="auto"/>
        <w:jc w:val="center"/>
        <w:rPr>
          <w:rFonts w:ascii="Arial" w:hAnsi="Arial" w:cs="Arial"/>
          <w:b/>
          <w:color w:val="000000" w:themeColor="text1"/>
          <w:sz w:val="22"/>
          <w:szCs w:val="22"/>
        </w:rPr>
      </w:pPr>
    </w:p>
    <w:p w14:paraId="5C0AB28F" w14:textId="2170FA1C" w:rsidR="00D86CE7" w:rsidRDefault="00D86CE7" w:rsidP="006622F2">
      <w:pPr>
        <w:spacing w:line="360" w:lineRule="auto"/>
        <w:jc w:val="center"/>
        <w:rPr>
          <w:rFonts w:ascii="Arial" w:hAnsi="Arial" w:cs="Arial"/>
          <w:b/>
          <w:color w:val="000000" w:themeColor="text1"/>
          <w:sz w:val="22"/>
          <w:szCs w:val="22"/>
        </w:rPr>
      </w:pPr>
    </w:p>
    <w:p w14:paraId="0637B5B4" w14:textId="22427057" w:rsidR="00D86CE7" w:rsidRDefault="00D86CE7" w:rsidP="006622F2">
      <w:pPr>
        <w:spacing w:line="360" w:lineRule="auto"/>
        <w:jc w:val="center"/>
        <w:rPr>
          <w:rFonts w:ascii="Arial" w:hAnsi="Arial" w:cs="Arial"/>
          <w:b/>
          <w:color w:val="000000" w:themeColor="text1"/>
          <w:sz w:val="22"/>
          <w:szCs w:val="22"/>
        </w:rPr>
      </w:pPr>
    </w:p>
    <w:p w14:paraId="69DC8B0D" w14:textId="4CCF5C92" w:rsidR="00D86CE7" w:rsidRDefault="00D86CE7" w:rsidP="006622F2">
      <w:pPr>
        <w:spacing w:line="360" w:lineRule="auto"/>
        <w:jc w:val="center"/>
        <w:rPr>
          <w:rFonts w:ascii="Arial" w:hAnsi="Arial" w:cs="Arial"/>
          <w:b/>
          <w:color w:val="000000" w:themeColor="text1"/>
          <w:sz w:val="22"/>
          <w:szCs w:val="22"/>
        </w:rPr>
      </w:pPr>
    </w:p>
    <w:p w14:paraId="4A1F27A1" w14:textId="2840161E" w:rsidR="00D86CE7" w:rsidRDefault="00D86CE7" w:rsidP="006622F2">
      <w:pPr>
        <w:spacing w:line="360" w:lineRule="auto"/>
        <w:jc w:val="center"/>
        <w:rPr>
          <w:rFonts w:ascii="Arial" w:hAnsi="Arial" w:cs="Arial"/>
          <w:b/>
          <w:color w:val="000000" w:themeColor="text1"/>
          <w:sz w:val="22"/>
          <w:szCs w:val="22"/>
        </w:rPr>
      </w:pPr>
    </w:p>
    <w:p w14:paraId="3D9D5371" w14:textId="5796E805" w:rsidR="00D86CE7" w:rsidRDefault="00D86CE7" w:rsidP="006622F2">
      <w:pPr>
        <w:spacing w:line="360" w:lineRule="auto"/>
        <w:jc w:val="center"/>
        <w:rPr>
          <w:rFonts w:ascii="Arial" w:hAnsi="Arial" w:cs="Arial"/>
          <w:b/>
          <w:color w:val="000000" w:themeColor="text1"/>
          <w:sz w:val="22"/>
          <w:szCs w:val="22"/>
        </w:rPr>
      </w:pPr>
    </w:p>
    <w:p w14:paraId="534FFD14" w14:textId="3EACCC5F" w:rsidR="00D86CE7" w:rsidRDefault="00D86CE7" w:rsidP="006622F2">
      <w:pPr>
        <w:spacing w:line="360" w:lineRule="auto"/>
        <w:jc w:val="center"/>
        <w:rPr>
          <w:rFonts w:ascii="Arial" w:hAnsi="Arial" w:cs="Arial"/>
          <w:b/>
          <w:color w:val="000000" w:themeColor="text1"/>
          <w:sz w:val="22"/>
          <w:szCs w:val="22"/>
        </w:rPr>
      </w:pPr>
    </w:p>
    <w:p w14:paraId="062925C4" w14:textId="739A8E17" w:rsidR="00D86CE7" w:rsidRDefault="00D86CE7" w:rsidP="006622F2">
      <w:pPr>
        <w:spacing w:line="360" w:lineRule="auto"/>
        <w:jc w:val="center"/>
        <w:rPr>
          <w:rFonts w:ascii="Arial" w:hAnsi="Arial" w:cs="Arial"/>
          <w:b/>
          <w:color w:val="000000" w:themeColor="text1"/>
          <w:sz w:val="22"/>
          <w:szCs w:val="22"/>
        </w:rPr>
      </w:pPr>
    </w:p>
    <w:p w14:paraId="0B4A09E9" w14:textId="326AE55F" w:rsidR="00D86CE7" w:rsidRDefault="00D86CE7" w:rsidP="006622F2">
      <w:pPr>
        <w:spacing w:line="360" w:lineRule="auto"/>
        <w:jc w:val="center"/>
        <w:rPr>
          <w:rFonts w:ascii="Arial" w:hAnsi="Arial" w:cs="Arial"/>
          <w:b/>
          <w:color w:val="000000" w:themeColor="text1"/>
          <w:sz w:val="22"/>
          <w:szCs w:val="22"/>
        </w:rPr>
      </w:pPr>
    </w:p>
    <w:p w14:paraId="49EE2A0E" w14:textId="50D02BEF" w:rsidR="00D86CE7" w:rsidRDefault="00D86CE7" w:rsidP="006622F2">
      <w:pPr>
        <w:spacing w:line="360" w:lineRule="auto"/>
        <w:jc w:val="center"/>
        <w:rPr>
          <w:rFonts w:ascii="Arial" w:hAnsi="Arial" w:cs="Arial"/>
          <w:b/>
          <w:color w:val="000000" w:themeColor="text1"/>
          <w:sz w:val="22"/>
          <w:szCs w:val="22"/>
        </w:rPr>
      </w:pPr>
    </w:p>
    <w:p w14:paraId="5D32494A" w14:textId="6D327113" w:rsidR="00D86CE7" w:rsidRDefault="00D86CE7" w:rsidP="006622F2">
      <w:pPr>
        <w:spacing w:line="360" w:lineRule="auto"/>
        <w:jc w:val="center"/>
        <w:rPr>
          <w:rFonts w:ascii="Arial" w:hAnsi="Arial" w:cs="Arial"/>
          <w:b/>
          <w:color w:val="000000" w:themeColor="text1"/>
          <w:sz w:val="22"/>
          <w:szCs w:val="22"/>
        </w:rPr>
      </w:pPr>
    </w:p>
    <w:p w14:paraId="4328D3E6" w14:textId="1055EAE9" w:rsidR="00D86CE7" w:rsidRDefault="00D86CE7" w:rsidP="006622F2">
      <w:pPr>
        <w:spacing w:line="360" w:lineRule="auto"/>
        <w:jc w:val="center"/>
        <w:rPr>
          <w:rFonts w:ascii="Arial" w:hAnsi="Arial" w:cs="Arial"/>
          <w:b/>
          <w:color w:val="000000" w:themeColor="text1"/>
          <w:sz w:val="22"/>
          <w:szCs w:val="22"/>
        </w:rPr>
      </w:pPr>
    </w:p>
    <w:p w14:paraId="4B21A3A4" w14:textId="648FB0DA" w:rsidR="00D86CE7" w:rsidRDefault="00D86CE7" w:rsidP="006622F2">
      <w:pPr>
        <w:spacing w:line="360" w:lineRule="auto"/>
        <w:jc w:val="center"/>
        <w:rPr>
          <w:rFonts w:ascii="Arial" w:hAnsi="Arial" w:cs="Arial"/>
          <w:b/>
          <w:color w:val="000000" w:themeColor="text1"/>
          <w:sz w:val="22"/>
          <w:szCs w:val="22"/>
        </w:rPr>
      </w:pPr>
    </w:p>
    <w:p w14:paraId="77809912" w14:textId="1B7D4DBD" w:rsidR="00D86CE7" w:rsidRDefault="00D86CE7" w:rsidP="006622F2">
      <w:pPr>
        <w:spacing w:line="360" w:lineRule="auto"/>
        <w:jc w:val="center"/>
        <w:rPr>
          <w:rFonts w:ascii="Arial" w:hAnsi="Arial" w:cs="Arial"/>
          <w:b/>
          <w:color w:val="000000" w:themeColor="text1"/>
          <w:sz w:val="22"/>
          <w:szCs w:val="22"/>
        </w:rPr>
      </w:pPr>
    </w:p>
    <w:p w14:paraId="311C0B6D" w14:textId="1BEF1E2E" w:rsidR="00D86CE7" w:rsidRDefault="00D86CE7" w:rsidP="006622F2">
      <w:pPr>
        <w:spacing w:line="360" w:lineRule="auto"/>
        <w:jc w:val="center"/>
        <w:rPr>
          <w:rFonts w:ascii="Arial" w:hAnsi="Arial" w:cs="Arial"/>
          <w:b/>
          <w:color w:val="000000" w:themeColor="text1"/>
          <w:sz w:val="22"/>
          <w:szCs w:val="22"/>
        </w:rPr>
      </w:pPr>
    </w:p>
    <w:p w14:paraId="3F658C6C" w14:textId="35C8F08A" w:rsidR="00D86CE7" w:rsidRDefault="00D86CE7" w:rsidP="006622F2">
      <w:pPr>
        <w:spacing w:line="360" w:lineRule="auto"/>
        <w:jc w:val="center"/>
        <w:rPr>
          <w:rFonts w:ascii="Arial" w:hAnsi="Arial" w:cs="Arial"/>
          <w:b/>
          <w:color w:val="000000" w:themeColor="text1"/>
          <w:sz w:val="22"/>
          <w:szCs w:val="22"/>
        </w:rPr>
      </w:pPr>
    </w:p>
    <w:p w14:paraId="78C0A7C9" w14:textId="11F1B911" w:rsidR="00D86CE7" w:rsidRDefault="00D86CE7" w:rsidP="006622F2">
      <w:pPr>
        <w:spacing w:line="360" w:lineRule="auto"/>
        <w:jc w:val="center"/>
        <w:rPr>
          <w:rFonts w:ascii="Arial" w:hAnsi="Arial" w:cs="Arial"/>
          <w:b/>
          <w:color w:val="000000" w:themeColor="text1"/>
          <w:sz w:val="22"/>
          <w:szCs w:val="22"/>
        </w:rPr>
      </w:pPr>
    </w:p>
    <w:p w14:paraId="01557C26" w14:textId="47886F68" w:rsidR="00D86CE7" w:rsidRDefault="00D86CE7" w:rsidP="006622F2">
      <w:pPr>
        <w:spacing w:line="360" w:lineRule="auto"/>
        <w:jc w:val="center"/>
        <w:rPr>
          <w:rFonts w:ascii="Arial" w:hAnsi="Arial" w:cs="Arial"/>
          <w:b/>
          <w:color w:val="000000" w:themeColor="text1"/>
          <w:sz w:val="22"/>
          <w:szCs w:val="22"/>
        </w:rPr>
      </w:pPr>
    </w:p>
    <w:p w14:paraId="5826CC10" w14:textId="636F5A9A" w:rsidR="00D86CE7" w:rsidRDefault="00D86CE7" w:rsidP="006622F2">
      <w:pPr>
        <w:spacing w:line="360" w:lineRule="auto"/>
        <w:jc w:val="center"/>
        <w:rPr>
          <w:rFonts w:ascii="Arial" w:hAnsi="Arial" w:cs="Arial"/>
          <w:b/>
          <w:color w:val="000000" w:themeColor="text1"/>
          <w:sz w:val="22"/>
          <w:szCs w:val="22"/>
        </w:rPr>
      </w:pPr>
    </w:p>
    <w:p w14:paraId="5B206F6B" w14:textId="4998CC3B" w:rsidR="00576359" w:rsidRDefault="00F96EF4" w:rsidP="006622F2">
      <w:pPr>
        <w:spacing w:line="360" w:lineRule="auto"/>
        <w:jc w:val="center"/>
        <w:rPr>
          <w:rFonts w:ascii="Arial" w:hAnsi="Arial" w:cs="Arial"/>
          <w:b/>
          <w:color w:val="000000" w:themeColor="text1"/>
          <w:sz w:val="22"/>
          <w:szCs w:val="22"/>
        </w:rPr>
      </w:pPr>
      <w:r>
        <w:rPr>
          <w:rFonts w:ascii="Arial" w:hAnsi="Arial" w:cs="Arial"/>
          <w:b/>
          <w:color w:val="000000" w:themeColor="text1"/>
          <w:sz w:val="22"/>
          <w:szCs w:val="22"/>
        </w:rPr>
        <w:lastRenderedPageBreak/>
        <w:t>List</w:t>
      </w:r>
      <w:r w:rsidR="005E7DCF">
        <w:rPr>
          <w:rFonts w:ascii="Arial" w:hAnsi="Arial" w:cs="Arial"/>
          <w:b/>
          <w:color w:val="000000" w:themeColor="text1"/>
          <w:sz w:val="22"/>
          <w:szCs w:val="22"/>
        </w:rPr>
        <w:t xml:space="preserve"> of Figures</w:t>
      </w:r>
    </w:p>
    <w:p w14:paraId="42B07323" w14:textId="188E366A" w:rsidR="00980DE3" w:rsidRDefault="005E7DCF" w:rsidP="00980DE3">
      <w:pPr>
        <w:pStyle w:val="TableofFigures"/>
        <w:tabs>
          <w:tab w:val="left" w:pos="8959"/>
          <w:tab w:val="right" w:leader="dot" w:pos="9350"/>
        </w:tabs>
        <w:rPr>
          <w:rFonts w:asciiTheme="minorHAnsi" w:eastAsiaTheme="minorEastAsia" w:hAnsiTheme="minorHAnsi" w:cstheme="minorBidi"/>
          <w:bCs w:val="0"/>
          <w:noProof/>
          <w:sz w:val="24"/>
          <w:szCs w:val="24"/>
        </w:rPr>
      </w:pPr>
      <w:r>
        <w:rPr>
          <w:rFonts w:cs="Arial"/>
          <w:b/>
          <w:color w:val="000000" w:themeColor="text1"/>
          <w:szCs w:val="22"/>
        </w:rPr>
        <w:fldChar w:fldCharType="begin"/>
      </w:r>
      <w:r>
        <w:rPr>
          <w:rFonts w:cs="Arial"/>
          <w:b/>
          <w:color w:val="000000" w:themeColor="text1"/>
          <w:szCs w:val="22"/>
        </w:rPr>
        <w:instrText xml:space="preserve"> TOC \h \z \t "Table of Figures" \c </w:instrText>
      </w:r>
      <w:r>
        <w:rPr>
          <w:rFonts w:cs="Arial"/>
          <w:b/>
          <w:color w:val="000000" w:themeColor="text1"/>
          <w:szCs w:val="22"/>
        </w:rPr>
        <w:fldChar w:fldCharType="separate"/>
      </w:r>
    </w:p>
    <w:p w14:paraId="063DD61E" w14:textId="6B7DE36F"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0" w:history="1">
        <w:r w:rsidR="00980DE3" w:rsidRPr="006D26EB">
          <w:rPr>
            <w:rStyle w:val="Hyperlink"/>
            <w:rFonts w:eastAsiaTheme="majorEastAsia"/>
            <w:noProof/>
          </w:rPr>
          <w:t xml:space="preserve">Figure 1.1. Phenotypes of </w:t>
        </w:r>
        <w:r w:rsidR="00980DE3" w:rsidRPr="006D26EB">
          <w:rPr>
            <w:rStyle w:val="Hyperlink"/>
            <w:rFonts w:eastAsiaTheme="majorEastAsia"/>
            <w:i/>
            <w:iCs/>
            <w:noProof/>
          </w:rPr>
          <w:t>Cornus</w:t>
        </w:r>
        <w:r w:rsidR="00980DE3" w:rsidRPr="006D26EB">
          <w:rPr>
            <w:rStyle w:val="Hyperlink"/>
            <w:rFonts w:eastAsiaTheme="majorEastAsia"/>
            <w:noProof/>
          </w:rPr>
          <w:t xml:space="preserve"> </w:t>
        </w:r>
        <w:r w:rsidR="00980DE3" w:rsidRPr="006D26EB">
          <w:rPr>
            <w:rStyle w:val="Hyperlink"/>
            <w:rFonts w:eastAsiaTheme="majorEastAsia"/>
            <w:i/>
            <w:iCs/>
            <w:noProof/>
          </w:rPr>
          <w:t>florida</w:t>
        </w:r>
        <w:r w:rsidR="00980DE3" w:rsidRPr="006D26EB">
          <w:rPr>
            <w:rStyle w:val="Hyperlink"/>
            <w:rFonts w:eastAsiaTheme="majorEastAsia"/>
            <w:noProof/>
          </w:rPr>
          <w:t xml:space="preserve"> and </w:t>
        </w:r>
        <w:r w:rsidR="00980DE3" w:rsidRPr="006D26EB">
          <w:rPr>
            <w:rStyle w:val="Hyperlink"/>
            <w:rFonts w:eastAsiaTheme="majorEastAsia"/>
            <w:i/>
            <w:iCs/>
            <w:noProof/>
          </w:rPr>
          <w:t>C</w:t>
        </w:r>
        <w:r w:rsidR="00980DE3" w:rsidRPr="006D26EB">
          <w:rPr>
            <w:rStyle w:val="Hyperlink"/>
            <w:rFonts w:eastAsiaTheme="majorEastAsia"/>
            <w:noProof/>
          </w:rPr>
          <w:t xml:space="preserve">. </w:t>
        </w:r>
        <w:r w:rsidR="00980DE3" w:rsidRPr="006D26EB">
          <w:rPr>
            <w:rStyle w:val="Hyperlink"/>
            <w:rFonts w:eastAsiaTheme="majorEastAsia"/>
            <w:i/>
            <w:iCs/>
            <w:noProof/>
          </w:rPr>
          <w:t xml:space="preserve">kousa </w:t>
        </w:r>
        <w:r w:rsidR="00980DE3" w:rsidRPr="006D26EB">
          <w:rPr>
            <w:rStyle w:val="Hyperlink"/>
            <w:rFonts w:eastAsiaTheme="majorEastAsia"/>
            <w:noProof/>
          </w:rPr>
          <w:t>bracts were used in this study after bract emergence when one (1WK), two (2WK), and four-week-old (4WK) from (A) 'Cloud Nine' (B) 'Cherokee Chief' (C) 'Cherokee Brave' (D) 'Greensleeves' (E) 'Rosy Teacups'.</w:t>
        </w:r>
        <w:r w:rsidR="00980DE3">
          <w:rPr>
            <w:noProof/>
            <w:webHidden/>
          </w:rPr>
          <w:tab/>
        </w:r>
        <w:r w:rsidR="00980DE3">
          <w:rPr>
            <w:noProof/>
            <w:webHidden/>
          </w:rPr>
          <w:fldChar w:fldCharType="begin"/>
        </w:r>
        <w:r w:rsidR="00980DE3">
          <w:rPr>
            <w:noProof/>
            <w:webHidden/>
          </w:rPr>
          <w:instrText xml:space="preserve"> PAGEREF _Toc121514010 \h </w:instrText>
        </w:r>
        <w:r w:rsidR="00980DE3">
          <w:rPr>
            <w:noProof/>
            <w:webHidden/>
          </w:rPr>
        </w:r>
        <w:r w:rsidR="00980DE3">
          <w:rPr>
            <w:noProof/>
            <w:webHidden/>
          </w:rPr>
          <w:fldChar w:fldCharType="separate"/>
        </w:r>
        <w:r w:rsidR="00DB1EC4">
          <w:rPr>
            <w:noProof/>
            <w:webHidden/>
          </w:rPr>
          <w:t>29</w:t>
        </w:r>
        <w:r w:rsidR="00980DE3">
          <w:rPr>
            <w:noProof/>
            <w:webHidden/>
          </w:rPr>
          <w:fldChar w:fldCharType="end"/>
        </w:r>
      </w:hyperlink>
    </w:p>
    <w:p w14:paraId="0D4BEC8E" w14:textId="10793C12"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1" w:history="1">
        <w:r w:rsidR="00980DE3" w:rsidRPr="006D26EB">
          <w:rPr>
            <w:rStyle w:val="Hyperlink"/>
            <w:rFonts w:eastAsiaTheme="majorEastAsia" w:cs="Arial"/>
            <w:noProof/>
          </w:rPr>
          <w:t xml:space="preserve">Figure 1.2. </w:t>
        </w:r>
        <w:r w:rsidR="00980DE3" w:rsidRPr="006D26EB">
          <w:rPr>
            <w:rStyle w:val="Hyperlink"/>
            <w:rFonts w:eastAsia="Gungsuh" w:cs="Arial"/>
            <w:noProof/>
            <w:highlight w:val="white"/>
          </w:rPr>
          <w:t>Sample clustering of reads from both cultivars mapped to either the transcriptomes</w:t>
        </w:r>
        <w:r w:rsidR="00980DE3">
          <w:rPr>
            <w:rStyle w:val="Hyperlink"/>
            <w:rFonts w:eastAsia="Gungsuh" w:cs="Arial"/>
            <w:noProof/>
            <w:highlight w:val="white"/>
          </w:rPr>
          <w:t xml:space="preserve"> </w:t>
        </w:r>
        <w:r w:rsidR="00980DE3" w:rsidRPr="006D26EB">
          <w:rPr>
            <w:rStyle w:val="Hyperlink"/>
            <w:rFonts w:eastAsia="Gungsuh" w:cs="Arial"/>
            <w:noProof/>
            <w:highlight w:val="white"/>
          </w:rPr>
          <w:t xml:space="preserve">of </w:t>
        </w:r>
        <w:r w:rsidR="00980DE3" w:rsidRPr="006D26EB">
          <w:rPr>
            <w:rStyle w:val="Hyperlink"/>
            <w:rFonts w:eastAsia="Gungsuh" w:cs="Arial"/>
            <w:i/>
            <w:iCs/>
            <w:noProof/>
            <w:highlight w:val="white"/>
          </w:rPr>
          <w:t>Cornus florida</w:t>
        </w:r>
        <w:r w:rsidR="00980DE3" w:rsidRPr="006D26EB">
          <w:rPr>
            <w:rStyle w:val="Hyperlink"/>
            <w:rFonts w:eastAsia="Gungsuh" w:cs="Arial"/>
            <w:noProof/>
            <w:highlight w:val="white"/>
          </w:rPr>
          <w:t xml:space="preserve"> (A, B) or </w:t>
        </w:r>
        <w:r w:rsidR="00980DE3" w:rsidRPr="006D26EB">
          <w:rPr>
            <w:rStyle w:val="Hyperlink"/>
            <w:rFonts w:eastAsia="Gungsuh" w:cs="Arial"/>
            <w:i/>
            <w:iCs/>
            <w:noProof/>
            <w:highlight w:val="white"/>
          </w:rPr>
          <w:t>C</w:t>
        </w:r>
        <w:r w:rsidR="00980DE3" w:rsidRPr="006D26EB">
          <w:rPr>
            <w:rStyle w:val="Hyperlink"/>
            <w:rFonts w:eastAsia="Gungsuh" w:cs="Arial"/>
            <w:noProof/>
            <w:highlight w:val="white"/>
          </w:rPr>
          <w:t xml:space="preserve">. </w:t>
        </w:r>
        <w:r w:rsidR="00980DE3" w:rsidRPr="006D26EB">
          <w:rPr>
            <w:rStyle w:val="Hyperlink"/>
            <w:rFonts w:eastAsia="Gungsuh" w:cs="Arial"/>
            <w:i/>
            <w:iCs/>
            <w:noProof/>
            <w:highlight w:val="white"/>
          </w:rPr>
          <w:t>kousa</w:t>
        </w:r>
        <w:r w:rsidR="00980DE3" w:rsidRPr="006D26EB">
          <w:rPr>
            <w:rStyle w:val="Hyperlink"/>
            <w:rFonts w:eastAsia="Gungsuh" w:cs="Arial"/>
            <w:noProof/>
            <w:highlight w:val="white"/>
          </w:rPr>
          <w:t xml:space="preserve"> (C, D). The 13 transcriptome profiles were separated into five groups </w:t>
        </w:r>
        <w:r w:rsidR="00980DE3" w:rsidRPr="006D26EB">
          <w:rPr>
            <w:rStyle w:val="Hyperlink"/>
            <w:rFonts w:eastAsiaTheme="majorEastAsia" w:cs="Arial"/>
            <w:noProof/>
            <w:highlight w:val="white"/>
          </w:rPr>
          <w:t xml:space="preserve">of high similarity by bract color and cultivar when mapping reads to either </w:t>
        </w:r>
        <w:r w:rsidR="00980DE3" w:rsidRPr="006D26EB">
          <w:rPr>
            <w:rStyle w:val="Hyperlink"/>
            <w:rFonts w:eastAsiaTheme="majorEastAsia" w:cs="Arial"/>
            <w:i/>
            <w:iCs/>
            <w:noProof/>
            <w:highlight w:val="white"/>
          </w:rPr>
          <w:t>C</w:t>
        </w:r>
        <w:r w:rsidR="00980DE3" w:rsidRPr="006D26EB">
          <w:rPr>
            <w:rStyle w:val="Hyperlink"/>
            <w:rFonts w:eastAsiaTheme="majorEastAsia" w:cs="Arial"/>
            <w:noProof/>
            <w:highlight w:val="white"/>
          </w:rPr>
          <w:t xml:space="preserve">. </w:t>
        </w:r>
        <w:r w:rsidR="00980DE3" w:rsidRPr="006D26EB">
          <w:rPr>
            <w:rStyle w:val="Hyperlink"/>
            <w:rFonts w:eastAsiaTheme="majorEastAsia" w:cs="Arial"/>
            <w:i/>
            <w:iCs/>
            <w:noProof/>
            <w:highlight w:val="white"/>
          </w:rPr>
          <w:t>florida</w:t>
        </w:r>
        <w:r w:rsidR="00980DE3" w:rsidRPr="006D26EB">
          <w:rPr>
            <w:rStyle w:val="Hyperlink"/>
            <w:rFonts w:eastAsiaTheme="majorEastAsia" w:cs="Arial"/>
            <w:noProof/>
            <w:highlight w:val="white"/>
          </w:rPr>
          <w:t xml:space="preserve"> (A) or</w:t>
        </w:r>
        <w:r w:rsidR="00980DE3" w:rsidRPr="006D26EB">
          <w:rPr>
            <w:rStyle w:val="Hyperlink"/>
            <w:rFonts w:eastAsiaTheme="majorEastAsia" w:cs="Arial"/>
            <w:i/>
            <w:iCs/>
            <w:noProof/>
            <w:highlight w:val="white"/>
          </w:rPr>
          <w:t xml:space="preserve"> C</w:t>
        </w:r>
        <w:r w:rsidR="00980DE3" w:rsidRPr="006D26EB">
          <w:rPr>
            <w:rStyle w:val="Hyperlink"/>
            <w:rFonts w:eastAsiaTheme="majorEastAsia" w:cs="Arial"/>
            <w:noProof/>
            <w:highlight w:val="white"/>
          </w:rPr>
          <w:t xml:space="preserve">. </w:t>
        </w:r>
        <w:r w:rsidR="00980DE3" w:rsidRPr="006D26EB">
          <w:rPr>
            <w:rStyle w:val="Hyperlink"/>
            <w:rFonts w:eastAsiaTheme="majorEastAsia" w:cs="Arial"/>
            <w:i/>
            <w:iCs/>
            <w:noProof/>
            <w:highlight w:val="white"/>
          </w:rPr>
          <w:t>kousa</w:t>
        </w:r>
        <w:r w:rsidR="00980DE3" w:rsidRPr="006D26EB">
          <w:rPr>
            <w:rStyle w:val="Hyperlink"/>
            <w:rFonts w:eastAsiaTheme="majorEastAsia" w:cs="Arial"/>
            <w:noProof/>
            <w:highlight w:val="white"/>
          </w:rPr>
          <w:t xml:space="preserve"> (C) transcriptome</w:t>
        </w:r>
        <w:r w:rsidR="00980DE3" w:rsidRPr="006D26EB">
          <w:rPr>
            <w:rStyle w:val="Hyperlink"/>
            <w:rFonts w:eastAsiaTheme="majorEastAsia" w:cs="Arial"/>
            <w:noProof/>
          </w:rPr>
          <w:t>. The samples clustered into five groups '</w:t>
        </w:r>
        <w:r w:rsidR="00980DE3" w:rsidRPr="006D26EB">
          <w:rPr>
            <w:rStyle w:val="Hyperlink"/>
            <w:rFonts w:eastAsiaTheme="majorEastAsia" w:cs="Arial"/>
            <w:noProof/>
            <w:highlight w:val="white"/>
          </w:rPr>
          <w:t>Cherokee Chief</w:t>
        </w:r>
        <w:r w:rsidR="00980DE3" w:rsidRPr="006D26EB">
          <w:rPr>
            <w:rStyle w:val="Hyperlink"/>
            <w:rFonts w:eastAsiaTheme="majorEastAsia" w:cs="Arial"/>
            <w:noProof/>
          </w:rPr>
          <w:t>' (red bracts), '</w:t>
        </w:r>
        <w:r w:rsidR="00980DE3" w:rsidRPr="006D26EB">
          <w:rPr>
            <w:rStyle w:val="Hyperlink"/>
            <w:rFonts w:eastAsiaTheme="majorEastAsia" w:cs="Arial"/>
            <w:noProof/>
            <w:highlight w:val="white"/>
          </w:rPr>
          <w:t>Cherokee Brave</w:t>
        </w:r>
        <w:r w:rsidR="00980DE3" w:rsidRPr="006D26EB">
          <w:rPr>
            <w:rStyle w:val="Hyperlink"/>
            <w:rFonts w:eastAsiaTheme="majorEastAsia" w:cs="Arial"/>
            <w:noProof/>
          </w:rPr>
          <w:t xml:space="preserve">' (red bracts), 'Cloud Nine' (white bracts), 'Greensleeves' (light- to- medium green bracts), and 'Rosy Teacups' (light- to- medium pink bracts). The heatmaps of normalized count values across bract color-related differentially expressed genes across the 13 samples suggested higher similarity by species when mapping to </w:t>
        </w:r>
        <w:r w:rsidR="00980DE3" w:rsidRPr="006D26EB">
          <w:rPr>
            <w:rStyle w:val="Hyperlink"/>
            <w:rFonts w:eastAsiaTheme="majorEastAsia" w:cs="Arial"/>
            <w:i/>
            <w:iCs/>
            <w:noProof/>
          </w:rPr>
          <w:t xml:space="preserve">C. florida </w:t>
        </w:r>
        <w:r w:rsidR="00980DE3" w:rsidRPr="006D26EB">
          <w:rPr>
            <w:rStyle w:val="Hyperlink"/>
            <w:rFonts w:eastAsiaTheme="majorEastAsia" w:cs="Arial"/>
            <w:noProof/>
          </w:rPr>
          <w:t xml:space="preserve">(B) and by color on </w:t>
        </w:r>
        <w:r w:rsidR="00980DE3" w:rsidRPr="006D26EB">
          <w:rPr>
            <w:rStyle w:val="Hyperlink"/>
            <w:rFonts w:eastAsiaTheme="majorEastAsia" w:cs="Arial"/>
            <w:i/>
            <w:iCs/>
            <w:noProof/>
          </w:rPr>
          <w:t xml:space="preserve">C. kousa </w:t>
        </w:r>
        <w:r w:rsidR="00980DE3" w:rsidRPr="006D26EB">
          <w:rPr>
            <w:rStyle w:val="Hyperlink"/>
            <w:rFonts w:eastAsiaTheme="majorEastAsia" w:cs="Arial"/>
            <w:noProof/>
          </w:rPr>
          <w:t>(D).</w:t>
        </w:r>
        <w:r w:rsidR="00980DE3">
          <w:rPr>
            <w:noProof/>
            <w:webHidden/>
          </w:rPr>
          <w:tab/>
        </w:r>
        <w:r w:rsidR="00980DE3">
          <w:rPr>
            <w:noProof/>
            <w:webHidden/>
          </w:rPr>
          <w:fldChar w:fldCharType="begin"/>
        </w:r>
        <w:r w:rsidR="00980DE3">
          <w:rPr>
            <w:noProof/>
            <w:webHidden/>
          </w:rPr>
          <w:instrText xml:space="preserve"> PAGEREF _Toc121514011 \h </w:instrText>
        </w:r>
        <w:r w:rsidR="00980DE3">
          <w:rPr>
            <w:noProof/>
            <w:webHidden/>
          </w:rPr>
        </w:r>
        <w:r w:rsidR="00980DE3">
          <w:rPr>
            <w:noProof/>
            <w:webHidden/>
          </w:rPr>
          <w:fldChar w:fldCharType="separate"/>
        </w:r>
        <w:r w:rsidR="00DB1EC4">
          <w:rPr>
            <w:noProof/>
            <w:webHidden/>
          </w:rPr>
          <w:t>30</w:t>
        </w:r>
        <w:r w:rsidR="00980DE3">
          <w:rPr>
            <w:noProof/>
            <w:webHidden/>
          </w:rPr>
          <w:fldChar w:fldCharType="end"/>
        </w:r>
      </w:hyperlink>
    </w:p>
    <w:p w14:paraId="34BECB25" w14:textId="6D3BD69E"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2" w:history="1">
        <w:r w:rsidR="00980DE3" w:rsidRPr="006D26EB">
          <w:rPr>
            <w:rStyle w:val="Hyperlink"/>
            <w:rFonts w:eastAsiaTheme="majorEastAsia" w:cs="Arial"/>
            <w:noProof/>
          </w:rPr>
          <w:t xml:space="preserve">Figure 1.3. Classification of protein families of </w:t>
        </w:r>
        <w:r w:rsidR="00980DE3" w:rsidRPr="006D26EB">
          <w:rPr>
            <w:rStyle w:val="Hyperlink"/>
            <w:rFonts w:eastAsiaTheme="majorEastAsia" w:cs="Arial"/>
            <w:i/>
            <w:iCs/>
            <w:noProof/>
          </w:rPr>
          <w:t>Cornus</w:t>
        </w:r>
        <w:r w:rsidR="00980DE3" w:rsidRPr="006D26EB">
          <w:rPr>
            <w:rStyle w:val="Hyperlink"/>
            <w:rFonts w:eastAsiaTheme="majorEastAsia" w:cs="Arial"/>
            <w:noProof/>
          </w:rPr>
          <w:t xml:space="preserve"> </w:t>
        </w:r>
        <w:r w:rsidR="00980DE3" w:rsidRPr="006D26EB">
          <w:rPr>
            <w:rStyle w:val="Hyperlink"/>
            <w:rFonts w:eastAsiaTheme="majorEastAsia" w:cs="Arial"/>
            <w:i/>
            <w:iCs/>
            <w:noProof/>
          </w:rPr>
          <w:t>florida</w:t>
        </w:r>
        <w:r w:rsidR="00980DE3" w:rsidRPr="006D26EB">
          <w:rPr>
            <w:rStyle w:val="Hyperlink"/>
            <w:rFonts w:eastAsiaTheme="majorEastAsia" w:cs="Arial"/>
            <w:noProof/>
          </w:rPr>
          <w:t xml:space="preserve"> and </w:t>
        </w:r>
        <w:r w:rsidR="00980DE3" w:rsidRPr="006D26EB">
          <w:rPr>
            <w:rStyle w:val="Hyperlink"/>
            <w:rFonts w:eastAsiaTheme="majorEastAsia" w:cs="Arial"/>
            <w:i/>
            <w:iCs/>
            <w:noProof/>
          </w:rPr>
          <w:t>C</w:t>
        </w:r>
        <w:r w:rsidR="00980DE3" w:rsidRPr="006D26EB">
          <w:rPr>
            <w:rStyle w:val="Hyperlink"/>
            <w:rFonts w:eastAsiaTheme="majorEastAsia" w:cs="Arial"/>
            <w:noProof/>
          </w:rPr>
          <w:t xml:space="preserve">. </w:t>
        </w:r>
        <w:r w:rsidR="00980DE3" w:rsidRPr="006D26EB">
          <w:rPr>
            <w:rStyle w:val="Hyperlink"/>
            <w:rFonts w:eastAsiaTheme="majorEastAsia" w:cs="Arial"/>
            <w:i/>
            <w:iCs/>
            <w:noProof/>
          </w:rPr>
          <w:t xml:space="preserve">kousa </w:t>
        </w:r>
        <w:r w:rsidR="00980DE3" w:rsidRPr="006D26EB">
          <w:rPr>
            <w:rStyle w:val="Hyperlink"/>
            <w:rFonts w:eastAsiaTheme="majorEastAsia" w:cs="Arial"/>
            <w:noProof/>
          </w:rPr>
          <w:t>MYB translated protein sequences (A) CfMYB1 (B) CfMYB2 (C) CfMYB3 (D) CfMYB5 (E) CkMYB1 (F) CkMYB2.</w:t>
        </w:r>
        <w:r w:rsidR="00980DE3">
          <w:rPr>
            <w:noProof/>
            <w:webHidden/>
          </w:rPr>
          <w:tab/>
        </w:r>
        <w:r w:rsidR="00980DE3">
          <w:rPr>
            <w:noProof/>
            <w:webHidden/>
          </w:rPr>
          <w:fldChar w:fldCharType="begin"/>
        </w:r>
        <w:r w:rsidR="00980DE3">
          <w:rPr>
            <w:noProof/>
            <w:webHidden/>
          </w:rPr>
          <w:instrText xml:space="preserve"> PAGEREF _Toc121514012 \h </w:instrText>
        </w:r>
        <w:r w:rsidR="00980DE3">
          <w:rPr>
            <w:noProof/>
            <w:webHidden/>
          </w:rPr>
        </w:r>
        <w:r w:rsidR="00980DE3">
          <w:rPr>
            <w:noProof/>
            <w:webHidden/>
          </w:rPr>
          <w:fldChar w:fldCharType="separate"/>
        </w:r>
        <w:r w:rsidR="00DB1EC4">
          <w:rPr>
            <w:noProof/>
            <w:webHidden/>
          </w:rPr>
          <w:t>34</w:t>
        </w:r>
        <w:r w:rsidR="00980DE3">
          <w:rPr>
            <w:noProof/>
            <w:webHidden/>
          </w:rPr>
          <w:fldChar w:fldCharType="end"/>
        </w:r>
      </w:hyperlink>
    </w:p>
    <w:p w14:paraId="16840FD4" w14:textId="67C45D05"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3" w:history="1">
        <w:r w:rsidR="00980DE3" w:rsidRPr="006D26EB">
          <w:rPr>
            <w:rStyle w:val="Hyperlink"/>
            <w:rFonts w:eastAsiaTheme="majorEastAsia"/>
            <w:noProof/>
          </w:rPr>
          <w:t xml:space="preserve">Figure 1.4. Phylogeny of </w:t>
        </w:r>
        <w:r w:rsidR="00980DE3" w:rsidRPr="006D26EB">
          <w:rPr>
            <w:rStyle w:val="Hyperlink"/>
            <w:rFonts w:eastAsiaTheme="majorEastAsia"/>
            <w:i/>
            <w:iCs/>
            <w:noProof/>
          </w:rPr>
          <w:t xml:space="preserve">Cornus florida </w:t>
        </w:r>
        <w:r w:rsidR="00980DE3" w:rsidRPr="006D26EB">
          <w:rPr>
            <w:rStyle w:val="Hyperlink"/>
            <w:rFonts w:eastAsiaTheme="majorEastAsia"/>
            <w:noProof/>
          </w:rPr>
          <w:t xml:space="preserve">and </w:t>
        </w:r>
        <w:r w:rsidR="00980DE3" w:rsidRPr="006D26EB">
          <w:rPr>
            <w:rStyle w:val="Hyperlink"/>
            <w:rFonts w:eastAsiaTheme="majorEastAsia"/>
            <w:i/>
            <w:iCs/>
            <w:noProof/>
          </w:rPr>
          <w:t>C</w:t>
        </w:r>
        <w:r w:rsidR="00980DE3" w:rsidRPr="006D26EB">
          <w:rPr>
            <w:rStyle w:val="Hyperlink"/>
            <w:rFonts w:eastAsiaTheme="majorEastAsia"/>
            <w:noProof/>
          </w:rPr>
          <w:t xml:space="preserve">. </w:t>
        </w:r>
        <w:r w:rsidR="00980DE3" w:rsidRPr="006D26EB">
          <w:rPr>
            <w:rStyle w:val="Hyperlink"/>
            <w:rFonts w:eastAsiaTheme="majorEastAsia"/>
            <w:i/>
            <w:iCs/>
            <w:noProof/>
          </w:rPr>
          <w:t xml:space="preserve">kousa </w:t>
        </w:r>
        <w:r w:rsidR="00980DE3" w:rsidRPr="006D26EB">
          <w:rPr>
            <w:rStyle w:val="Hyperlink"/>
            <w:rFonts w:eastAsiaTheme="majorEastAsia"/>
            <w:noProof/>
          </w:rPr>
          <w:t>MYB Transcription Factors Associated with the Phenylpropanoid Pathway. The tree was constructed using the maximum likelihood method with putative translated amino acid full-length MYB sequences with PhyML (Guindon et al., 2009). Bootstrap values are shown as a percentages (1000 replicates). Candidate R2R3-MYB protein sequences regulating anthocyanin and proanthocyanidin synthesis identified in the study are labeled in red and belong to subgroup 4 (CfMYB2, CfMYB3, and CkMYB2) and 5 (CfMYB1 and CkMYB1), respectively (Stracke et al., 2001; Dubios et al., 2010; Shelton et al., 2012).</w:t>
        </w:r>
        <w:r w:rsidR="00980DE3">
          <w:rPr>
            <w:noProof/>
            <w:webHidden/>
          </w:rPr>
          <w:tab/>
        </w:r>
        <w:r w:rsidR="00980DE3">
          <w:rPr>
            <w:noProof/>
            <w:webHidden/>
          </w:rPr>
          <w:fldChar w:fldCharType="begin"/>
        </w:r>
        <w:r w:rsidR="00980DE3">
          <w:rPr>
            <w:noProof/>
            <w:webHidden/>
          </w:rPr>
          <w:instrText xml:space="preserve"> PAGEREF _Toc121514013 \h </w:instrText>
        </w:r>
        <w:r w:rsidR="00980DE3">
          <w:rPr>
            <w:noProof/>
            <w:webHidden/>
          </w:rPr>
        </w:r>
        <w:r w:rsidR="00980DE3">
          <w:rPr>
            <w:noProof/>
            <w:webHidden/>
          </w:rPr>
          <w:fldChar w:fldCharType="separate"/>
        </w:r>
        <w:r w:rsidR="00DB1EC4">
          <w:rPr>
            <w:noProof/>
            <w:webHidden/>
          </w:rPr>
          <w:t>37</w:t>
        </w:r>
        <w:r w:rsidR="00980DE3">
          <w:rPr>
            <w:noProof/>
            <w:webHidden/>
          </w:rPr>
          <w:fldChar w:fldCharType="end"/>
        </w:r>
      </w:hyperlink>
    </w:p>
    <w:p w14:paraId="635FF322" w14:textId="0526B2EA"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4" w:history="1">
        <w:r w:rsidR="00980DE3" w:rsidRPr="006D26EB">
          <w:rPr>
            <w:rStyle w:val="Hyperlink"/>
            <w:rFonts w:eastAsiaTheme="majorEastAsia" w:cs="Arial"/>
            <w:noProof/>
          </w:rPr>
          <w:t xml:space="preserve">Figure 1.5. Positional enrichment of Ethylene-responsive element binding factor-associated Amphiphilic Repression (EAR) motif in R2R3-MYB transcription factors of </w:t>
        </w:r>
        <w:r w:rsidR="00980DE3" w:rsidRPr="006D26EB">
          <w:rPr>
            <w:rStyle w:val="Hyperlink"/>
            <w:rFonts w:eastAsiaTheme="majorEastAsia" w:cs="Arial"/>
            <w:i/>
            <w:iCs/>
            <w:noProof/>
          </w:rPr>
          <w:t>Cornus florida</w:t>
        </w:r>
        <w:r w:rsidR="00980DE3" w:rsidRPr="006D26EB">
          <w:rPr>
            <w:rStyle w:val="Hyperlink"/>
            <w:rFonts w:eastAsiaTheme="majorEastAsia" w:cs="Arial"/>
            <w:noProof/>
          </w:rPr>
          <w:t xml:space="preserve"> and </w:t>
        </w:r>
        <w:r w:rsidR="00980DE3" w:rsidRPr="006D26EB">
          <w:rPr>
            <w:rStyle w:val="Hyperlink"/>
            <w:rFonts w:eastAsiaTheme="majorEastAsia" w:cs="Arial"/>
            <w:i/>
            <w:iCs/>
            <w:noProof/>
          </w:rPr>
          <w:t>C</w:t>
        </w:r>
        <w:r w:rsidR="00980DE3" w:rsidRPr="006D26EB">
          <w:rPr>
            <w:rStyle w:val="Hyperlink"/>
            <w:rFonts w:eastAsiaTheme="majorEastAsia" w:cs="Arial"/>
            <w:noProof/>
          </w:rPr>
          <w:t xml:space="preserve">. </w:t>
        </w:r>
        <w:r w:rsidR="00980DE3" w:rsidRPr="006D26EB">
          <w:rPr>
            <w:rStyle w:val="Hyperlink"/>
            <w:rFonts w:eastAsiaTheme="majorEastAsia" w:cs="Arial"/>
            <w:i/>
            <w:iCs/>
            <w:noProof/>
          </w:rPr>
          <w:t>kousa</w:t>
        </w:r>
        <w:r w:rsidR="00980DE3" w:rsidRPr="006D26EB">
          <w:rPr>
            <w:rStyle w:val="Hyperlink"/>
            <w:rFonts w:eastAsiaTheme="majorEastAsia" w:cs="Arial"/>
            <w:noProof/>
          </w:rPr>
          <w:t xml:space="preserve"> (A) EAR motif in 26 R2R3-MYB sequences. (B) The protein sequence alignment of 26 R2R3-MYB sequences was aligned in Mega11 with the default setting integrated with Muscle program (Stecher et al., 2020; Tamura et al., 2021). Positional enrichment showed EAR motif located at the C-terminal behind MYB R repeat in CfMYB2, CfMYB3, and CkMYB2 protein sequences.</w:t>
        </w:r>
        <w:r w:rsidR="00980DE3">
          <w:rPr>
            <w:noProof/>
            <w:webHidden/>
          </w:rPr>
          <w:tab/>
        </w:r>
        <w:r w:rsidR="00980DE3">
          <w:rPr>
            <w:noProof/>
            <w:webHidden/>
          </w:rPr>
          <w:fldChar w:fldCharType="begin"/>
        </w:r>
        <w:r w:rsidR="00980DE3">
          <w:rPr>
            <w:noProof/>
            <w:webHidden/>
          </w:rPr>
          <w:instrText xml:space="preserve"> PAGEREF _Toc121514014 \h </w:instrText>
        </w:r>
        <w:r w:rsidR="00980DE3">
          <w:rPr>
            <w:noProof/>
            <w:webHidden/>
          </w:rPr>
        </w:r>
        <w:r w:rsidR="00980DE3">
          <w:rPr>
            <w:noProof/>
            <w:webHidden/>
          </w:rPr>
          <w:fldChar w:fldCharType="separate"/>
        </w:r>
        <w:r w:rsidR="00DB1EC4">
          <w:rPr>
            <w:noProof/>
            <w:webHidden/>
          </w:rPr>
          <w:t>38</w:t>
        </w:r>
        <w:r w:rsidR="00980DE3">
          <w:rPr>
            <w:noProof/>
            <w:webHidden/>
          </w:rPr>
          <w:fldChar w:fldCharType="end"/>
        </w:r>
      </w:hyperlink>
    </w:p>
    <w:p w14:paraId="72FF4540" w14:textId="61BB833F"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5" w:history="1">
        <w:r w:rsidR="00980DE3" w:rsidRPr="006D26EB">
          <w:rPr>
            <w:rStyle w:val="Hyperlink"/>
            <w:rFonts w:eastAsiaTheme="majorEastAsia" w:cs="Arial"/>
            <w:noProof/>
          </w:rPr>
          <w:t xml:space="preserve">Figure 1.6. Validation of differentially expressed genes and expression levels of candidate </w:t>
        </w:r>
        <w:r w:rsidR="00980DE3" w:rsidRPr="006D26EB">
          <w:rPr>
            <w:rStyle w:val="Hyperlink"/>
            <w:rFonts w:eastAsiaTheme="majorEastAsia" w:cs="Arial"/>
            <w:i/>
            <w:iCs/>
            <w:noProof/>
          </w:rPr>
          <w:t>R2R3-MYB</w:t>
        </w:r>
        <w:r w:rsidR="00980DE3" w:rsidRPr="006D26EB">
          <w:rPr>
            <w:rStyle w:val="Hyperlink"/>
            <w:rFonts w:eastAsiaTheme="majorEastAsia" w:cs="Arial"/>
            <w:noProof/>
          </w:rPr>
          <w:t xml:space="preserve"> genes designated as </w:t>
        </w:r>
        <w:r w:rsidR="00980DE3" w:rsidRPr="006D26EB">
          <w:rPr>
            <w:rStyle w:val="Hyperlink"/>
            <w:rFonts w:eastAsiaTheme="majorEastAsia" w:cs="Arial"/>
            <w:i/>
            <w:iCs/>
            <w:noProof/>
          </w:rPr>
          <w:t>CfMYB</w:t>
        </w:r>
        <w:r w:rsidR="00980DE3" w:rsidRPr="006D26EB">
          <w:rPr>
            <w:rStyle w:val="Hyperlink"/>
            <w:rFonts w:eastAsiaTheme="majorEastAsia" w:cs="Arial"/>
            <w:i/>
            <w:iCs/>
            <w:noProof/>
            <w:highlight w:val="white"/>
          </w:rPr>
          <w:t>1 80</w:t>
        </w:r>
        <w:r w:rsidR="00980DE3" w:rsidRPr="006D26EB">
          <w:rPr>
            <w:rStyle w:val="Hyperlink"/>
            <w:rFonts w:eastAsiaTheme="majorEastAsia" w:cs="Arial"/>
            <w:noProof/>
            <w:highlight w:val="white"/>
          </w:rPr>
          <w:t xml:space="preserve">, </w:t>
        </w:r>
        <w:r w:rsidR="00980DE3" w:rsidRPr="006D26EB">
          <w:rPr>
            <w:rStyle w:val="Hyperlink"/>
            <w:rFonts w:eastAsiaTheme="majorEastAsia" w:cs="Arial"/>
            <w:i/>
            <w:iCs/>
            <w:noProof/>
            <w:highlight w:val="white"/>
          </w:rPr>
          <w:t>CfMYB2</w:t>
        </w:r>
        <w:r w:rsidR="00980DE3" w:rsidRPr="006D26EB">
          <w:rPr>
            <w:rStyle w:val="Hyperlink"/>
            <w:rFonts w:eastAsiaTheme="majorEastAsia" w:cs="Arial"/>
            <w:noProof/>
            <w:highlight w:val="white"/>
          </w:rPr>
          <w:t xml:space="preserve">, </w:t>
        </w:r>
        <w:r w:rsidR="00980DE3" w:rsidRPr="006D26EB">
          <w:rPr>
            <w:rStyle w:val="Hyperlink"/>
            <w:rFonts w:eastAsiaTheme="majorEastAsia" w:cs="Arial"/>
            <w:i/>
            <w:iCs/>
            <w:noProof/>
            <w:highlight w:val="white"/>
          </w:rPr>
          <w:t>CfMYB3,</w:t>
        </w:r>
        <w:r w:rsidR="00980DE3" w:rsidRPr="006D26EB">
          <w:rPr>
            <w:rStyle w:val="Hyperlink"/>
            <w:rFonts w:eastAsiaTheme="majorEastAsia" w:cs="Arial"/>
            <w:noProof/>
            <w:highlight w:val="white"/>
          </w:rPr>
          <w:t xml:space="preserve"> </w:t>
        </w:r>
        <w:r w:rsidR="00980DE3" w:rsidRPr="006D26EB">
          <w:rPr>
            <w:rStyle w:val="Hyperlink"/>
            <w:rFonts w:eastAsiaTheme="majorEastAsia" w:cs="Arial"/>
            <w:i/>
            <w:iCs/>
            <w:noProof/>
            <w:highlight w:val="white"/>
          </w:rPr>
          <w:t>CkMYB</w:t>
        </w:r>
        <w:r w:rsidR="00980DE3" w:rsidRPr="006D26EB">
          <w:rPr>
            <w:rStyle w:val="Hyperlink"/>
            <w:rFonts w:eastAsiaTheme="majorEastAsia" w:cs="Arial"/>
            <w:noProof/>
            <w:highlight w:val="white"/>
          </w:rPr>
          <w:t>1 and</w:t>
        </w:r>
        <w:r w:rsidR="00980DE3" w:rsidRPr="006D26EB">
          <w:rPr>
            <w:rStyle w:val="Hyperlink"/>
            <w:rFonts w:eastAsiaTheme="majorEastAsia" w:cs="Arial"/>
            <w:i/>
            <w:iCs/>
            <w:noProof/>
            <w:highlight w:val="white"/>
          </w:rPr>
          <w:t xml:space="preserve"> CkMYB</w:t>
        </w:r>
        <w:r w:rsidR="00980DE3" w:rsidRPr="006D26EB">
          <w:rPr>
            <w:rStyle w:val="Hyperlink"/>
            <w:rFonts w:eastAsiaTheme="majorEastAsia" w:cs="Arial"/>
            <w:i/>
            <w:iCs/>
            <w:noProof/>
          </w:rPr>
          <w:t xml:space="preserve">2 </w:t>
        </w:r>
        <w:r w:rsidR="00980DE3" w:rsidRPr="006D26EB">
          <w:rPr>
            <w:rStyle w:val="Hyperlink"/>
            <w:rFonts w:eastAsiaTheme="majorEastAsia" w:cs="Arial"/>
            <w:noProof/>
            <w:highlight w:val="white"/>
          </w:rPr>
          <w:t xml:space="preserve">in the </w:t>
        </w:r>
        <w:r w:rsidR="00980DE3" w:rsidRPr="006D26EB">
          <w:rPr>
            <w:rStyle w:val="Hyperlink"/>
            <w:rFonts w:eastAsiaTheme="majorEastAsia" w:cs="Arial"/>
            <w:noProof/>
          </w:rPr>
          <w:t xml:space="preserve">phenylpropanoid metabolism with RT-qPCR in </w:t>
        </w:r>
        <w:r w:rsidR="00980DE3" w:rsidRPr="006D26EB">
          <w:rPr>
            <w:rStyle w:val="Hyperlink"/>
            <w:rFonts w:eastAsiaTheme="majorEastAsia" w:cs="Arial"/>
            <w:i/>
            <w:iCs/>
            <w:noProof/>
          </w:rPr>
          <w:t>Cornus florida</w:t>
        </w:r>
        <w:r w:rsidR="00980DE3" w:rsidRPr="006D26EB">
          <w:rPr>
            <w:rStyle w:val="Hyperlink"/>
            <w:rFonts w:eastAsiaTheme="majorEastAsia" w:cs="Arial"/>
            <w:noProof/>
          </w:rPr>
          <w:t xml:space="preserve"> and </w:t>
        </w:r>
        <w:r w:rsidR="00980DE3" w:rsidRPr="006D26EB">
          <w:rPr>
            <w:rStyle w:val="Hyperlink"/>
            <w:rFonts w:eastAsiaTheme="majorEastAsia" w:cs="Arial"/>
            <w:i/>
            <w:iCs/>
            <w:noProof/>
          </w:rPr>
          <w:t>C</w:t>
        </w:r>
        <w:r w:rsidR="00980DE3" w:rsidRPr="006D26EB">
          <w:rPr>
            <w:rStyle w:val="Hyperlink"/>
            <w:rFonts w:eastAsiaTheme="majorEastAsia" w:cs="Arial"/>
            <w:noProof/>
          </w:rPr>
          <w:t xml:space="preserve">. </w:t>
        </w:r>
        <w:r w:rsidR="00980DE3" w:rsidRPr="006D26EB">
          <w:rPr>
            <w:rStyle w:val="Hyperlink"/>
            <w:rFonts w:eastAsiaTheme="majorEastAsia" w:cs="Arial"/>
            <w:i/>
            <w:iCs/>
            <w:noProof/>
          </w:rPr>
          <w:t>kousa</w:t>
        </w:r>
        <w:r w:rsidR="00980DE3" w:rsidRPr="006D26EB">
          <w:rPr>
            <w:rStyle w:val="Hyperlink"/>
            <w:rFonts w:eastAsiaTheme="majorEastAsia" w:cs="Arial"/>
            <w:noProof/>
          </w:rPr>
          <w:t>.</w:t>
        </w:r>
        <w:r w:rsidR="00980DE3">
          <w:rPr>
            <w:noProof/>
            <w:webHidden/>
          </w:rPr>
          <w:tab/>
        </w:r>
        <w:r w:rsidR="00980DE3">
          <w:rPr>
            <w:noProof/>
            <w:webHidden/>
          </w:rPr>
          <w:fldChar w:fldCharType="begin"/>
        </w:r>
        <w:r w:rsidR="00980DE3">
          <w:rPr>
            <w:noProof/>
            <w:webHidden/>
          </w:rPr>
          <w:instrText xml:space="preserve"> PAGEREF _Toc121514015 \h </w:instrText>
        </w:r>
        <w:r w:rsidR="00980DE3">
          <w:rPr>
            <w:noProof/>
            <w:webHidden/>
          </w:rPr>
        </w:r>
        <w:r w:rsidR="00980DE3">
          <w:rPr>
            <w:noProof/>
            <w:webHidden/>
          </w:rPr>
          <w:fldChar w:fldCharType="separate"/>
        </w:r>
        <w:r w:rsidR="00DB1EC4">
          <w:rPr>
            <w:noProof/>
            <w:webHidden/>
          </w:rPr>
          <w:t>39</w:t>
        </w:r>
        <w:r w:rsidR="00980DE3">
          <w:rPr>
            <w:noProof/>
            <w:webHidden/>
          </w:rPr>
          <w:fldChar w:fldCharType="end"/>
        </w:r>
      </w:hyperlink>
    </w:p>
    <w:p w14:paraId="4610A9A7" w14:textId="38BBCB47"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6" w:history="1">
        <w:r w:rsidR="00980DE3" w:rsidRPr="006D26EB">
          <w:rPr>
            <w:rStyle w:val="Hyperlink"/>
            <w:rFonts w:eastAsiaTheme="majorEastAsia"/>
            <w:noProof/>
          </w:rPr>
          <w:t xml:space="preserve">Figure 1.7. Validation of differentially expressed genes and expression levels of structural genes </w:t>
        </w:r>
        <w:r w:rsidR="00980DE3" w:rsidRPr="006D26EB">
          <w:rPr>
            <w:rStyle w:val="Hyperlink"/>
            <w:rFonts w:eastAsiaTheme="majorEastAsia"/>
            <w:i/>
            <w:iCs/>
            <w:noProof/>
          </w:rPr>
          <w:t>CHI</w:t>
        </w:r>
        <w:r w:rsidR="00980DE3" w:rsidRPr="006D26EB">
          <w:rPr>
            <w:rStyle w:val="Hyperlink"/>
            <w:rFonts w:eastAsiaTheme="majorEastAsia"/>
            <w:noProof/>
          </w:rPr>
          <w:t xml:space="preserve">, </w:t>
        </w:r>
        <w:r w:rsidR="00980DE3" w:rsidRPr="006D26EB">
          <w:rPr>
            <w:rStyle w:val="Hyperlink"/>
            <w:rFonts w:eastAsiaTheme="majorEastAsia"/>
            <w:i/>
            <w:iCs/>
            <w:noProof/>
          </w:rPr>
          <w:t>CHS</w:t>
        </w:r>
        <w:r w:rsidR="00980DE3" w:rsidRPr="006D26EB">
          <w:rPr>
            <w:rStyle w:val="Hyperlink"/>
            <w:rFonts w:eastAsiaTheme="majorEastAsia"/>
            <w:noProof/>
          </w:rPr>
          <w:t xml:space="preserve">, and </w:t>
        </w:r>
        <w:r w:rsidR="00980DE3" w:rsidRPr="006D26EB">
          <w:rPr>
            <w:rStyle w:val="Hyperlink"/>
            <w:rFonts w:eastAsiaTheme="majorEastAsia"/>
            <w:i/>
            <w:iCs/>
            <w:noProof/>
          </w:rPr>
          <w:t>F3H</w:t>
        </w:r>
        <w:r w:rsidR="00980DE3" w:rsidRPr="006D26EB">
          <w:rPr>
            <w:rStyle w:val="Hyperlink"/>
            <w:rFonts w:eastAsiaTheme="majorEastAsia"/>
            <w:noProof/>
          </w:rPr>
          <w:t xml:space="preserve"> in Cornus florida (top) and </w:t>
        </w:r>
        <w:r w:rsidR="00980DE3" w:rsidRPr="006D26EB">
          <w:rPr>
            <w:rStyle w:val="Hyperlink"/>
            <w:rFonts w:eastAsiaTheme="majorEastAsia"/>
            <w:i/>
            <w:iCs/>
            <w:noProof/>
          </w:rPr>
          <w:t>CHI</w:t>
        </w:r>
        <w:r w:rsidR="00980DE3" w:rsidRPr="006D26EB">
          <w:rPr>
            <w:rStyle w:val="Hyperlink"/>
            <w:rFonts w:eastAsiaTheme="majorEastAsia"/>
            <w:noProof/>
          </w:rPr>
          <w:t xml:space="preserve"> and </w:t>
        </w:r>
        <w:r w:rsidR="00980DE3" w:rsidRPr="006D26EB">
          <w:rPr>
            <w:rStyle w:val="Hyperlink"/>
            <w:rFonts w:eastAsiaTheme="majorEastAsia"/>
            <w:i/>
            <w:iCs/>
            <w:noProof/>
          </w:rPr>
          <w:t xml:space="preserve">CHS </w:t>
        </w:r>
        <w:r w:rsidR="00980DE3" w:rsidRPr="006D26EB">
          <w:rPr>
            <w:rStyle w:val="Hyperlink"/>
            <w:rFonts w:eastAsiaTheme="majorEastAsia"/>
            <w:noProof/>
          </w:rPr>
          <w:t xml:space="preserve">in </w:t>
        </w:r>
        <w:r w:rsidR="00980DE3" w:rsidRPr="006D26EB">
          <w:rPr>
            <w:rStyle w:val="Hyperlink"/>
            <w:rFonts w:eastAsiaTheme="majorEastAsia"/>
            <w:i/>
            <w:iCs/>
            <w:noProof/>
          </w:rPr>
          <w:t>C</w:t>
        </w:r>
        <w:r w:rsidR="00980DE3" w:rsidRPr="006D26EB">
          <w:rPr>
            <w:rStyle w:val="Hyperlink"/>
            <w:rFonts w:eastAsiaTheme="majorEastAsia"/>
            <w:noProof/>
          </w:rPr>
          <w:t xml:space="preserve">. </w:t>
        </w:r>
        <w:r w:rsidR="00980DE3" w:rsidRPr="006D26EB">
          <w:rPr>
            <w:rStyle w:val="Hyperlink"/>
            <w:rFonts w:eastAsiaTheme="majorEastAsia"/>
            <w:i/>
            <w:iCs/>
            <w:noProof/>
          </w:rPr>
          <w:t xml:space="preserve">kousa </w:t>
        </w:r>
        <w:r w:rsidR="00980DE3" w:rsidRPr="006D26EB">
          <w:rPr>
            <w:rStyle w:val="Hyperlink"/>
            <w:rFonts w:eastAsiaTheme="majorEastAsia"/>
            <w:noProof/>
          </w:rPr>
          <w:t>(bottom) with RT-qPCR.</w:t>
        </w:r>
        <w:r w:rsidR="00980DE3">
          <w:rPr>
            <w:noProof/>
            <w:webHidden/>
          </w:rPr>
          <w:tab/>
        </w:r>
        <w:r w:rsidR="00980DE3">
          <w:rPr>
            <w:noProof/>
            <w:webHidden/>
          </w:rPr>
          <w:fldChar w:fldCharType="begin"/>
        </w:r>
        <w:r w:rsidR="00980DE3">
          <w:rPr>
            <w:noProof/>
            <w:webHidden/>
          </w:rPr>
          <w:instrText xml:space="preserve"> PAGEREF _Toc121514016 \h </w:instrText>
        </w:r>
        <w:r w:rsidR="00980DE3">
          <w:rPr>
            <w:noProof/>
            <w:webHidden/>
          </w:rPr>
        </w:r>
        <w:r w:rsidR="00980DE3">
          <w:rPr>
            <w:noProof/>
            <w:webHidden/>
          </w:rPr>
          <w:fldChar w:fldCharType="separate"/>
        </w:r>
        <w:r w:rsidR="00DB1EC4">
          <w:rPr>
            <w:noProof/>
            <w:webHidden/>
          </w:rPr>
          <w:t>40</w:t>
        </w:r>
        <w:r w:rsidR="00980DE3">
          <w:rPr>
            <w:noProof/>
            <w:webHidden/>
          </w:rPr>
          <w:fldChar w:fldCharType="end"/>
        </w:r>
      </w:hyperlink>
    </w:p>
    <w:p w14:paraId="084939D2" w14:textId="062D7295"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7" w:history="1">
        <w:r w:rsidR="00980DE3" w:rsidRPr="006D26EB">
          <w:rPr>
            <w:rStyle w:val="Hyperlink"/>
            <w:rFonts w:eastAsiaTheme="majorEastAsia" w:cs="Arial"/>
            <w:noProof/>
          </w:rPr>
          <w:t xml:space="preserve">Figure 2.1. Symptoms of powdery mildew on </w:t>
        </w:r>
        <w:r w:rsidR="00980DE3" w:rsidRPr="006D26EB">
          <w:rPr>
            <w:rStyle w:val="Hyperlink"/>
            <w:rFonts w:eastAsiaTheme="majorEastAsia" w:cs="Arial"/>
            <w:i/>
            <w:iCs/>
            <w:noProof/>
          </w:rPr>
          <w:t>Cornus</w:t>
        </w:r>
        <w:r w:rsidR="00980DE3" w:rsidRPr="006D26EB">
          <w:rPr>
            <w:rStyle w:val="Hyperlink"/>
            <w:rFonts w:eastAsiaTheme="majorEastAsia" w:cs="Arial"/>
            <w:noProof/>
          </w:rPr>
          <w:t xml:space="preserve"> </w:t>
        </w:r>
        <w:r w:rsidR="00980DE3" w:rsidRPr="006D26EB">
          <w:rPr>
            <w:rStyle w:val="Hyperlink"/>
            <w:rFonts w:eastAsiaTheme="majorEastAsia" w:cs="Arial"/>
            <w:i/>
            <w:iCs/>
            <w:noProof/>
          </w:rPr>
          <w:t xml:space="preserve">florida </w:t>
        </w:r>
        <w:r w:rsidR="00980DE3" w:rsidRPr="006D26EB">
          <w:rPr>
            <w:rStyle w:val="Hyperlink"/>
            <w:rFonts w:eastAsiaTheme="majorEastAsia" w:cs="Arial"/>
            <w:noProof/>
          </w:rPr>
          <w:t>pseudo-F2 individual tree originating from reciprocal crosses between breeding lines 96-6 and 96-7 (A) Merged white patches of mycelia and conidia on the adaxial leaf surface (B) Curled young and mature leaves in late summer.</w:t>
        </w:r>
        <w:r w:rsidR="00980DE3">
          <w:rPr>
            <w:noProof/>
            <w:webHidden/>
          </w:rPr>
          <w:tab/>
        </w:r>
        <w:r w:rsidR="00980DE3">
          <w:rPr>
            <w:noProof/>
            <w:webHidden/>
          </w:rPr>
          <w:fldChar w:fldCharType="begin"/>
        </w:r>
        <w:r w:rsidR="00980DE3">
          <w:rPr>
            <w:noProof/>
            <w:webHidden/>
          </w:rPr>
          <w:instrText xml:space="preserve"> PAGEREF _Toc121514017 \h </w:instrText>
        </w:r>
        <w:r w:rsidR="00980DE3">
          <w:rPr>
            <w:noProof/>
            <w:webHidden/>
          </w:rPr>
        </w:r>
        <w:r w:rsidR="00980DE3">
          <w:rPr>
            <w:noProof/>
            <w:webHidden/>
          </w:rPr>
          <w:fldChar w:fldCharType="separate"/>
        </w:r>
        <w:r w:rsidR="00DB1EC4">
          <w:rPr>
            <w:noProof/>
            <w:webHidden/>
          </w:rPr>
          <w:t>55</w:t>
        </w:r>
        <w:r w:rsidR="00980DE3">
          <w:rPr>
            <w:noProof/>
            <w:webHidden/>
          </w:rPr>
          <w:fldChar w:fldCharType="end"/>
        </w:r>
      </w:hyperlink>
    </w:p>
    <w:p w14:paraId="7C3BF212" w14:textId="6838AC11"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8" w:history="1">
        <w:r w:rsidR="00980DE3" w:rsidRPr="006D26EB">
          <w:rPr>
            <w:rStyle w:val="Hyperlink"/>
            <w:rFonts w:eastAsiaTheme="majorEastAsia" w:cs="Arial"/>
            <w:noProof/>
          </w:rPr>
          <w:t xml:space="preserve">Figure 2.2. Charts for powdery mildew (PM) incidence over six years (2017-2022) in the </w:t>
        </w:r>
        <w:r w:rsidR="00980DE3" w:rsidRPr="006D26EB">
          <w:rPr>
            <w:rStyle w:val="Hyperlink"/>
            <w:rFonts w:eastAsiaTheme="majorEastAsia" w:cs="Arial"/>
            <w:i/>
            <w:noProof/>
          </w:rPr>
          <w:t>Cornus florida</w:t>
        </w:r>
        <w:r w:rsidR="00980DE3" w:rsidRPr="006D26EB">
          <w:rPr>
            <w:rStyle w:val="Hyperlink"/>
            <w:rFonts w:eastAsiaTheme="majorEastAsia" w:cs="Arial"/>
            <w:noProof/>
          </w:rPr>
          <w:t xml:space="preserve"> pseudo-F2 population. 0 represented trees with no apparent disease symptoms and no colonies of PM detected on any leaves, 1 designated plants displaying up to 30 % symptomatic leaf area as light sporulation present on some leaves, 2 represented 30 to 60 % of colonies with moderate sporulation coalescing into large regions, and 3 represented 60 to100 % of abundant sporulation merged into large areas.</w:t>
        </w:r>
        <w:r w:rsidR="00980DE3">
          <w:rPr>
            <w:noProof/>
            <w:webHidden/>
          </w:rPr>
          <w:tab/>
        </w:r>
        <w:r w:rsidR="00980DE3">
          <w:rPr>
            <w:noProof/>
            <w:webHidden/>
          </w:rPr>
          <w:fldChar w:fldCharType="begin"/>
        </w:r>
        <w:r w:rsidR="00980DE3">
          <w:rPr>
            <w:noProof/>
            <w:webHidden/>
          </w:rPr>
          <w:instrText xml:space="preserve"> PAGEREF _Toc121514018 \h </w:instrText>
        </w:r>
        <w:r w:rsidR="00980DE3">
          <w:rPr>
            <w:noProof/>
            <w:webHidden/>
          </w:rPr>
        </w:r>
        <w:r w:rsidR="00980DE3">
          <w:rPr>
            <w:noProof/>
            <w:webHidden/>
          </w:rPr>
          <w:fldChar w:fldCharType="separate"/>
        </w:r>
        <w:r w:rsidR="00DB1EC4">
          <w:rPr>
            <w:noProof/>
            <w:webHidden/>
          </w:rPr>
          <w:t>56</w:t>
        </w:r>
        <w:r w:rsidR="00980DE3">
          <w:rPr>
            <w:noProof/>
            <w:webHidden/>
          </w:rPr>
          <w:fldChar w:fldCharType="end"/>
        </w:r>
      </w:hyperlink>
    </w:p>
    <w:p w14:paraId="22C29301" w14:textId="4A3967D1" w:rsidR="00980DE3" w:rsidRDefault="00E817AE">
      <w:pPr>
        <w:pStyle w:val="TableofFigures"/>
        <w:tabs>
          <w:tab w:val="right" w:leader="dot" w:pos="9350"/>
        </w:tabs>
        <w:rPr>
          <w:rFonts w:asciiTheme="minorHAnsi" w:eastAsiaTheme="minorEastAsia" w:hAnsiTheme="minorHAnsi" w:cstheme="minorBidi"/>
          <w:bCs w:val="0"/>
          <w:noProof/>
          <w:sz w:val="24"/>
          <w:szCs w:val="24"/>
        </w:rPr>
      </w:pPr>
      <w:hyperlink w:anchor="_Toc121514019" w:history="1">
        <w:r w:rsidR="00980DE3" w:rsidRPr="006D26EB">
          <w:rPr>
            <w:rStyle w:val="Hyperlink"/>
            <w:rFonts w:eastAsiaTheme="majorEastAsia" w:cs="Arial"/>
            <w:noProof/>
          </w:rPr>
          <w:t xml:space="preserve">Figure 2.3. </w:t>
        </w:r>
        <w:r w:rsidR="00980DE3" w:rsidRPr="006D26EB">
          <w:rPr>
            <w:rStyle w:val="Hyperlink"/>
            <w:rFonts w:eastAsiaTheme="majorEastAsia" w:cs="Arial"/>
            <w:i/>
            <w:noProof/>
          </w:rPr>
          <w:t>Cornus florida</w:t>
        </w:r>
        <w:r w:rsidR="00980DE3" w:rsidRPr="006D26EB">
          <w:rPr>
            <w:rStyle w:val="Hyperlink"/>
            <w:rFonts w:eastAsiaTheme="majorEastAsia" w:cs="Arial"/>
            <w:noProof/>
          </w:rPr>
          <w:t xml:space="preserve"> QTL with the largest effect were detected in LG 8 and 9 in two consecutive years, 2017 and 2018 (A) QTL on LG 8 associated with marker CF696C and further designated as QTLPM-7 (B) QTL on LG 9 associated with marker CF290C and further designated as QTLPM-8.</w:t>
        </w:r>
        <w:r w:rsidR="00980DE3">
          <w:rPr>
            <w:noProof/>
            <w:webHidden/>
          </w:rPr>
          <w:tab/>
        </w:r>
        <w:r w:rsidR="00980DE3">
          <w:rPr>
            <w:noProof/>
            <w:webHidden/>
          </w:rPr>
          <w:fldChar w:fldCharType="begin"/>
        </w:r>
        <w:r w:rsidR="00980DE3">
          <w:rPr>
            <w:noProof/>
            <w:webHidden/>
          </w:rPr>
          <w:instrText xml:space="preserve"> PAGEREF _Toc121514019 \h </w:instrText>
        </w:r>
        <w:r w:rsidR="00980DE3">
          <w:rPr>
            <w:noProof/>
            <w:webHidden/>
          </w:rPr>
        </w:r>
        <w:r w:rsidR="00980DE3">
          <w:rPr>
            <w:noProof/>
            <w:webHidden/>
          </w:rPr>
          <w:fldChar w:fldCharType="separate"/>
        </w:r>
        <w:r w:rsidR="00DB1EC4">
          <w:rPr>
            <w:noProof/>
            <w:webHidden/>
          </w:rPr>
          <w:t>57</w:t>
        </w:r>
        <w:r w:rsidR="00980DE3">
          <w:rPr>
            <w:noProof/>
            <w:webHidden/>
          </w:rPr>
          <w:fldChar w:fldCharType="end"/>
        </w:r>
      </w:hyperlink>
    </w:p>
    <w:p w14:paraId="36EF7067" w14:textId="1D8E4796" w:rsidR="005E7DCF" w:rsidRDefault="005E7DCF" w:rsidP="006622F2">
      <w:pPr>
        <w:spacing w:line="360" w:lineRule="auto"/>
        <w:jc w:val="center"/>
        <w:rPr>
          <w:rFonts w:ascii="Arial" w:hAnsi="Arial" w:cs="Arial"/>
          <w:b/>
          <w:color w:val="000000" w:themeColor="text1"/>
          <w:sz w:val="22"/>
          <w:szCs w:val="22"/>
        </w:rPr>
      </w:pPr>
      <w:r>
        <w:rPr>
          <w:rFonts w:ascii="Arial" w:hAnsi="Arial" w:cs="Arial"/>
          <w:b/>
          <w:color w:val="000000" w:themeColor="text1"/>
          <w:sz w:val="22"/>
          <w:szCs w:val="22"/>
        </w:rPr>
        <w:fldChar w:fldCharType="end"/>
      </w:r>
    </w:p>
    <w:p w14:paraId="613703FA" w14:textId="1DEBA731" w:rsidR="00D86CE7" w:rsidRDefault="00D86CE7" w:rsidP="006622F2">
      <w:pPr>
        <w:spacing w:line="360" w:lineRule="auto"/>
        <w:jc w:val="center"/>
        <w:rPr>
          <w:rFonts w:ascii="Arial" w:hAnsi="Arial" w:cs="Arial"/>
          <w:b/>
          <w:color w:val="000000" w:themeColor="text1"/>
          <w:sz w:val="22"/>
          <w:szCs w:val="22"/>
        </w:rPr>
      </w:pPr>
    </w:p>
    <w:p w14:paraId="71C61C1A" w14:textId="77777777" w:rsidR="00D86CE7" w:rsidRDefault="00D86CE7" w:rsidP="006622F2">
      <w:pPr>
        <w:spacing w:line="360" w:lineRule="auto"/>
        <w:jc w:val="center"/>
        <w:rPr>
          <w:rFonts w:ascii="Arial" w:hAnsi="Arial" w:cs="Arial"/>
          <w:b/>
          <w:color w:val="000000" w:themeColor="text1"/>
          <w:sz w:val="22"/>
          <w:szCs w:val="22"/>
        </w:rPr>
      </w:pPr>
    </w:p>
    <w:p w14:paraId="69E7086F" w14:textId="77777777" w:rsidR="00D86CE7" w:rsidRDefault="00D86CE7" w:rsidP="006622F2">
      <w:pPr>
        <w:spacing w:line="360" w:lineRule="auto"/>
        <w:jc w:val="center"/>
        <w:rPr>
          <w:rFonts w:ascii="Arial" w:hAnsi="Arial" w:cs="Arial"/>
          <w:b/>
          <w:color w:val="000000" w:themeColor="text1"/>
          <w:sz w:val="22"/>
          <w:szCs w:val="22"/>
        </w:rPr>
      </w:pPr>
    </w:p>
    <w:p w14:paraId="07A06CDA" w14:textId="77777777" w:rsidR="00D86CE7" w:rsidRDefault="00D86CE7" w:rsidP="006622F2">
      <w:pPr>
        <w:spacing w:line="360" w:lineRule="auto"/>
        <w:jc w:val="center"/>
        <w:rPr>
          <w:rFonts w:ascii="Arial" w:hAnsi="Arial" w:cs="Arial"/>
          <w:b/>
          <w:color w:val="000000" w:themeColor="text1"/>
          <w:sz w:val="22"/>
          <w:szCs w:val="22"/>
        </w:rPr>
      </w:pPr>
    </w:p>
    <w:p w14:paraId="376068FE" w14:textId="77777777" w:rsidR="00D86CE7" w:rsidRDefault="00D86CE7" w:rsidP="006622F2">
      <w:pPr>
        <w:spacing w:line="360" w:lineRule="auto"/>
        <w:jc w:val="center"/>
        <w:rPr>
          <w:rFonts w:ascii="Arial" w:hAnsi="Arial" w:cs="Arial"/>
          <w:b/>
          <w:color w:val="000000" w:themeColor="text1"/>
          <w:sz w:val="22"/>
          <w:szCs w:val="22"/>
        </w:rPr>
      </w:pPr>
    </w:p>
    <w:p w14:paraId="4AE572C9" w14:textId="77777777" w:rsidR="00D86CE7" w:rsidRDefault="00D86CE7" w:rsidP="006622F2">
      <w:pPr>
        <w:spacing w:line="360" w:lineRule="auto"/>
        <w:jc w:val="center"/>
        <w:rPr>
          <w:rFonts w:ascii="Arial" w:hAnsi="Arial" w:cs="Arial"/>
          <w:b/>
          <w:color w:val="000000" w:themeColor="text1"/>
          <w:sz w:val="22"/>
          <w:szCs w:val="22"/>
        </w:rPr>
      </w:pPr>
    </w:p>
    <w:p w14:paraId="1ACDD066" w14:textId="77777777" w:rsidR="00D86CE7" w:rsidRDefault="00D86CE7" w:rsidP="006622F2">
      <w:pPr>
        <w:spacing w:line="360" w:lineRule="auto"/>
        <w:jc w:val="center"/>
        <w:rPr>
          <w:rFonts w:ascii="Arial" w:hAnsi="Arial" w:cs="Arial"/>
          <w:b/>
          <w:color w:val="000000" w:themeColor="text1"/>
          <w:sz w:val="22"/>
          <w:szCs w:val="22"/>
        </w:rPr>
      </w:pPr>
    </w:p>
    <w:p w14:paraId="4D7105D3" w14:textId="77777777" w:rsidR="00D86CE7" w:rsidRDefault="00D86CE7" w:rsidP="006622F2">
      <w:pPr>
        <w:spacing w:line="360" w:lineRule="auto"/>
        <w:jc w:val="center"/>
        <w:rPr>
          <w:rFonts w:ascii="Arial" w:hAnsi="Arial" w:cs="Arial"/>
          <w:b/>
          <w:color w:val="000000" w:themeColor="text1"/>
          <w:sz w:val="22"/>
          <w:szCs w:val="22"/>
        </w:rPr>
      </w:pPr>
    </w:p>
    <w:p w14:paraId="0BEA2AF1" w14:textId="77777777" w:rsidR="00D86CE7" w:rsidRDefault="00D86CE7" w:rsidP="006622F2">
      <w:pPr>
        <w:spacing w:line="360" w:lineRule="auto"/>
        <w:jc w:val="center"/>
        <w:rPr>
          <w:rFonts w:ascii="Arial" w:hAnsi="Arial" w:cs="Arial"/>
          <w:b/>
          <w:color w:val="000000" w:themeColor="text1"/>
          <w:sz w:val="22"/>
          <w:szCs w:val="22"/>
        </w:rPr>
      </w:pPr>
    </w:p>
    <w:p w14:paraId="4EAF4E11" w14:textId="77777777" w:rsidR="00D86CE7" w:rsidRDefault="00D86CE7" w:rsidP="006622F2">
      <w:pPr>
        <w:spacing w:line="360" w:lineRule="auto"/>
        <w:jc w:val="center"/>
        <w:rPr>
          <w:rFonts w:ascii="Arial" w:hAnsi="Arial" w:cs="Arial"/>
          <w:b/>
          <w:color w:val="000000" w:themeColor="text1"/>
          <w:sz w:val="22"/>
          <w:szCs w:val="22"/>
        </w:rPr>
      </w:pPr>
    </w:p>
    <w:p w14:paraId="1DA22709" w14:textId="77777777" w:rsidR="00D86CE7" w:rsidRDefault="00D86CE7" w:rsidP="006622F2">
      <w:pPr>
        <w:spacing w:line="360" w:lineRule="auto"/>
        <w:jc w:val="center"/>
        <w:rPr>
          <w:rFonts w:ascii="Arial" w:hAnsi="Arial" w:cs="Arial"/>
          <w:b/>
          <w:color w:val="000000" w:themeColor="text1"/>
          <w:sz w:val="22"/>
          <w:szCs w:val="22"/>
        </w:rPr>
      </w:pPr>
    </w:p>
    <w:p w14:paraId="1A4F7EBE" w14:textId="77777777" w:rsidR="00D86CE7" w:rsidRDefault="00D86CE7" w:rsidP="006622F2">
      <w:pPr>
        <w:spacing w:line="360" w:lineRule="auto"/>
        <w:jc w:val="center"/>
        <w:rPr>
          <w:rFonts w:ascii="Arial" w:hAnsi="Arial" w:cs="Arial"/>
          <w:b/>
          <w:color w:val="000000" w:themeColor="text1"/>
          <w:sz w:val="22"/>
          <w:szCs w:val="22"/>
        </w:rPr>
      </w:pPr>
    </w:p>
    <w:p w14:paraId="28FC66E6" w14:textId="77777777" w:rsidR="00253D14" w:rsidRDefault="00253D14" w:rsidP="006622F2">
      <w:pPr>
        <w:spacing w:line="360" w:lineRule="auto"/>
        <w:rPr>
          <w:rFonts w:ascii="Arial" w:hAnsi="Arial" w:cs="Arial"/>
          <w:b/>
          <w:color w:val="000000" w:themeColor="text1"/>
          <w:sz w:val="22"/>
          <w:szCs w:val="22"/>
        </w:rPr>
      </w:pPr>
    </w:p>
    <w:p w14:paraId="5A01E7E0" w14:textId="3FF09926" w:rsidR="00E21F9F" w:rsidRPr="003E7C59" w:rsidRDefault="00E21F9F" w:rsidP="00684DEF">
      <w:pPr>
        <w:spacing w:line="360" w:lineRule="auto"/>
        <w:jc w:val="center"/>
        <w:rPr>
          <w:rFonts w:ascii="Arial" w:hAnsi="Arial" w:cs="Arial"/>
          <w:b/>
          <w:color w:val="000000" w:themeColor="text1"/>
          <w:sz w:val="22"/>
          <w:szCs w:val="22"/>
        </w:rPr>
      </w:pPr>
      <w:r w:rsidRPr="003E7C59">
        <w:rPr>
          <w:rFonts w:ascii="Arial" w:hAnsi="Arial" w:cs="Arial"/>
          <w:b/>
          <w:color w:val="000000" w:themeColor="text1"/>
          <w:sz w:val="22"/>
          <w:szCs w:val="22"/>
        </w:rPr>
        <w:lastRenderedPageBreak/>
        <w:t>List of Attachments</w:t>
      </w:r>
    </w:p>
    <w:p w14:paraId="435F6DC4" w14:textId="77777777" w:rsidR="0077446B" w:rsidRPr="003E7C59" w:rsidRDefault="0077446B" w:rsidP="00BD0C4C">
      <w:pPr>
        <w:spacing w:line="360" w:lineRule="auto"/>
        <w:rPr>
          <w:rFonts w:ascii="Arial" w:hAnsi="Arial" w:cs="Arial"/>
          <w:b/>
          <w:color w:val="000000" w:themeColor="text1"/>
          <w:sz w:val="22"/>
          <w:szCs w:val="22"/>
        </w:rPr>
      </w:pPr>
    </w:p>
    <w:p w14:paraId="0A997FE3" w14:textId="7F01C54F" w:rsidR="0077446B" w:rsidRPr="003E7C59" w:rsidRDefault="0077446B" w:rsidP="00212171">
      <w:pPr>
        <w:spacing w:after="30" w:line="360" w:lineRule="auto"/>
        <w:rPr>
          <w:rFonts w:ascii="Arial" w:hAnsi="Arial" w:cs="Arial"/>
          <w:b/>
          <w:color w:val="000000" w:themeColor="text1"/>
          <w:sz w:val="22"/>
          <w:szCs w:val="22"/>
        </w:rPr>
      </w:pPr>
      <w:r w:rsidRPr="003E7C59">
        <w:rPr>
          <w:rFonts w:ascii="Arial" w:hAnsi="Arial" w:cs="Arial"/>
          <w:bCs/>
          <w:color w:val="000000" w:themeColor="text1"/>
          <w:sz w:val="22"/>
          <w:szCs w:val="22"/>
        </w:rPr>
        <w:t>Metadata for all RNASeq samples and NCBI SRA Accession</w:t>
      </w:r>
      <w:r w:rsidRPr="003E7C59">
        <w:rPr>
          <w:rFonts w:ascii="Arial" w:hAnsi="Arial" w:cs="Arial"/>
          <w:bCs/>
          <w:i/>
          <w:iCs/>
          <w:color w:val="000000" w:themeColor="text1"/>
          <w:sz w:val="22"/>
          <w:szCs w:val="22"/>
        </w:rPr>
        <w:t xml:space="preserve">, Cornus </w:t>
      </w:r>
      <w:proofErr w:type="gramStart"/>
      <w:r w:rsidRPr="003E7C59">
        <w:rPr>
          <w:rFonts w:ascii="Arial" w:hAnsi="Arial" w:cs="Arial"/>
          <w:bCs/>
          <w:i/>
          <w:iCs/>
          <w:color w:val="000000" w:themeColor="text1"/>
          <w:sz w:val="22"/>
          <w:szCs w:val="22"/>
        </w:rPr>
        <w:t>florida</w:t>
      </w:r>
      <w:proofErr w:type="gramEnd"/>
      <w:r w:rsidRPr="003E7C59">
        <w:rPr>
          <w:rFonts w:ascii="Arial" w:hAnsi="Arial" w:cs="Arial"/>
          <w:bCs/>
          <w:color w:val="000000" w:themeColor="text1"/>
          <w:sz w:val="22"/>
          <w:szCs w:val="22"/>
        </w:rPr>
        <w:t xml:space="preserve"> differentially expressed genes (DEGs), </w:t>
      </w:r>
      <w:r w:rsidRPr="003E7C59">
        <w:rPr>
          <w:rFonts w:ascii="Arial" w:hAnsi="Arial" w:cs="Arial"/>
          <w:bCs/>
          <w:i/>
          <w:iCs/>
          <w:color w:val="000000" w:themeColor="text1"/>
          <w:sz w:val="22"/>
          <w:szCs w:val="22"/>
        </w:rPr>
        <w:t>C</w:t>
      </w:r>
      <w:r w:rsidRPr="003E7C59">
        <w:rPr>
          <w:rFonts w:ascii="Arial" w:hAnsi="Arial" w:cs="Arial"/>
          <w:bCs/>
          <w:color w:val="000000" w:themeColor="text1"/>
          <w:sz w:val="22"/>
          <w:szCs w:val="22"/>
        </w:rPr>
        <w:t xml:space="preserve">. </w:t>
      </w:r>
      <w:r w:rsidRPr="003E7C59">
        <w:rPr>
          <w:rFonts w:ascii="Arial" w:hAnsi="Arial" w:cs="Arial"/>
          <w:bCs/>
          <w:i/>
          <w:iCs/>
          <w:color w:val="000000" w:themeColor="text1"/>
          <w:sz w:val="22"/>
          <w:szCs w:val="22"/>
        </w:rPr>
        <w:t xml:space="preserve">kousa </w:t>
      </w:r>
      <w:r w:rsidRPr="003E7C59">
        <w:rPr>
          <w:rFonts w:ascii="Arial" w:hAnsi="Arial" w:cs="Arial"/>
          <w:bCs/>
          <w:color w:val="000000" w:themeColor="text1"/>
          <w:sz w:val="22"/>
          <w:szCs w:val="22"/>
        </w:rPr>
        <w:t>DEGs, BINGO results for flowering dogwood, and BINGO results for Asian dogwood (RNA-Seq_data_xlsx)</w:t>
      </w:r>
    </w:p>
    <w:p w14:paraId="2865502F" w14:textId="77777777" w:rsidR="00E21F9F" w:rsidRPr="003E7C59" w:rsidRDefault="00E21F9F" w:rsidP="006622F2">
      <w:pPr>
        <w:spacing w:after="30" w:line="360" w:lineRule="auto"/>
        <w:ind w:right="1500"/>
        <w:rPr>
          <w:rFonts w:ascii="Arial" w:hAnsi="Arial" w:cs="Arial"/>
          <w:b/>
          <w:color w:val="000000" w:themeColor="text1"/>
          <w:sz w:val="22"/>
          <w:szCs w:val="22"/>
        </w:rPr>
      </w:pPr>
    </w:p>
    <w:p w14:paraId="51C1F4FD" w14:textId="77777777" w:rsidR="00E21F9F" w:rsidRPr="003E7C59" w:rsidRDefault="00E21F9F" w:rsidP="006622F2">
      <w:pPr>
        <w:spacing w:after="30" w:line="360" w:lineRule="auto"/>
        <w:ind w:right="1500"/>
        <w:jc w:val="center"/>
        <w:rPr>
          <w:rFonts w:ascii="Arial" w:hAnsi="Arial" w:cs="Arial"/>
          <w:b/>
          <w:color w:val="000000" w:themeColor="text1"/>
          <w:sz w:val="22"/>
          <w:szCs w:val="22"/>
        </w:rPr>
      </w:pPr>
    </w:p>
    <w:p w14:paraId="18E0668E" w14:textId="77777777" w:rsidR="00E21F9F" w:rsidRPr="003E7C59" w:rsidRDefault="00E21F9F" w:rsidP="006622F2">
      <w:pPr>
        <w:spacing w:after="30" w:line="360" w:lineRule="auto"/>
        <w:ind w:right="1500"/>
        <w:jc w:val="center"/>
        <w:rPr>
          <w:rFonts w:ascii="Arial" w:hAnsi="Arial" w:cs="Arial"/>
          <w:b/>
          <w:color w:val="000000" w:themeColor="text1"/>
          <w:sz w:val="22"/>
          <w:szCs w:val="22"/>
        </w:rPr>
      </w:pPr>
    </w:p>
    <w:p w14:paraId="73CB047D" w14:textId="77777777" w:rsidR="00E21F9F" w:rsidRPr="003E7C59" w:rsidRDefault="00E21F9F" w:rsidP="006622F2">
      <w:pPr>
        <w:spacing w:after="30" w:line="360" w:lineRule="auto"/>
        <w:ind w:right="1500"/>
        <w:jc w:val="center"/>
        <w:rPr>
          <w:rFonts w:ascii="Arial" w:hAnsi="Arial" w:cs="Arial"/>
          <w:b/>
          <w:color w:val="000000" w:themeColor="text1"/>
          <w:sz w:val="22"/>
          <w:szCs w:val="22"/>
        </w:rPr>
      </w:pPr>
    </w:p>
    <w:p w14:paraId="4E78245F" w14:textId="77777777" w:rsidR="00E21F9F" w:rsidRPr="003E7C59" w:rsidRDefault="00E21F9F" w:rsidP="006622F2">
      <w:pPr>
        <w:spacing w:after="30" w:line="360" w:lineRule="auto"/>
        <w:ind w:right="1500"/>
        <w:rPr>
          <w:rFonts w:ascii="Arial" w:hAnsi="Arial" w:cs="Arial"/>
          <w:b/>
          <w:color w:val="000000" w:themeColor="text1"/>
          <w:sz w:val="22"/>
          <w:szCs w:val="22"/>
        </w:rPr>
      </w:pPr>
    </w:p>
    <w:p w14:paraId="72183F2E" w14:textId="77777777" w:rsidR="00E21F9F" w:rsidRPr="003E7C59" w:rsidRDefault="00E21F9F" w:rsidP="006622F2">
      <w:pPr>
        <w:spacing w:line="360" w:lineRule="auto"/>
        <w:rPr>
          <w:rFonts w:ascii="Arial" w:eastAsiaTheme="minorHAnsi" w:hAnsi="Arial" w:cs="Arial"/>
          <w:color w:val="000000" w:themeColor="text1"/>
          <w:sz w:val="22"/>
          <w:szCs w:val="22"/>
        </w:rPr>
      </w:pPr>
    </w:p>
    <w:p w14:paraId="273CAC6B" w14:textId="77777777" w:rsidR="00E21F9F" w:rsidRPr="003E7C59" w:rsidRDefault="00E21F9F" w:rsidP="006622F2">
      <w:pPr>
        <w:spacing w:line="360" w:lineRule="auto"/>
        <w:ind w:firstLine="720"/>
        <w:rPr>
          <w:rFonts w:ascii="Arial" w:hAnsi="Arial" w:cs="Arial"/>
          <w:color w:val="000000" w:themeColor="text1"/>
          <w:sz w:val="22"/>
          <w:szCs w:val="22"/>
        </w:rPr>
      </w:pPr>
    </w:p>
    <w:p w14:paraId="745E8BBA" w14:textId="77777777" w:rsidR="00B825D0" w:rsidRPr="003E7C59" w:rsidRDefault="00B825D0" w:rsidP="006622F2">
      <w:pPr>
        <w:spacing w:line="360" w:lineRule="auto"/>
        <w:rPr>
          <w:rFonts w:ascii="Arial" w:hAnsi="Arial" w:cs="Arial"/>
          <w:color w:val="000000" w:themeColor="text1"/>
          <w:sz w:val="22"/>
          <w:szCs w:val="22"/>
        </w:rPr>
      </w:pPr>
    </w:p>
    <w:p w14:paraId="65AE86D7" w14:textId="77777777" w:rsidR="005D4860" w:rsidRPr="003E7C59" w:rsidRDefault="005D4860" w:rsidP="006622F2">
      <w:pPr>
        <w:spacing w:line="360" w:lineRule="auto"/>
        <w:rPr>
          <w:rFonts w:ascii="Arial" w:hAnsi="Arial" w:cs="Arial"/>
          <w:color w:val="000000" w:themeColor="text1"/>
          <w:sz w:val="22"/>
          <w:szCs w:val="22"/>
        </w:rPr>
      </w:pPr>
    </w:p>
    <w:p w14:paraId="1D11AA36"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3E793CDA"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0EAF197F"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20F51658"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0B1C7377"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02623ED0"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257148C6"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0937D2F5"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7413F430"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5909037F"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0076DDF7"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608E0E9F"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0D76606D"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5E0AA9CF"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4CCE1C2E"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3B050047"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17FEE6A2"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16E5210F" w14:textId="77777777" w:rsidR="00CE50B7" w:rsidRPr="003E7C59" w:rsidRDefault="00CE50B7" w:rsidP="006622F2">
      <w:pPr>
        <w:pStyle w:val="Heading1"/>
        <w:spacing w:before="0" w:after="0"/>
        <w:jc w:val="center"/>
        <w:rPr>
          <w:rFonts w:ascii="Arial" w:hAnsi="Arial" w:cs="Arial"/>
          <w:color w:val="000000" w:themeColor="text1"/>
          <w:sz w:val="22"/>
          <w:szCs w:val="22"/>
        </w:rPr>
      </w:pPr>
    </w:p>
    <w:p w14:paraId="6C382CF6" w14:textId="5A32C89B" w:rsidR="00CE50B7" w:rsidRDefault="00CE50B7" w:rsidP="006622F2">
      <w:pPr>
        <w:pStyle w:val="Heading1"/>
        <w:spacing w:before="0" w:after="0"/>
        <w:jc w:val="center"/>
        <w:rPr>
          <w:rFonts w:ascii="Arial" w:hAnsi="Arial" w:cs="Arial"/>
          <w:color w:val="000000" w:themeColor="text1"/>
          <w:sz w:val="22"/>
          <w:szCs w:val="22"/>
        </w:rPr>
      </w:pPr>
    </w:p>
    <w:p w14:paraId="6946DA31" w14:textId="5E2D7B9E" w:rsidR="00253D14" w:rsidRDefault="00253D14" w:rsidP="006622F2"/>
    <w:p w14:paraId="11EC32DE" w14:textId="3606D9AB" w:rsidR="00253D14" w:rsidRDefault="00253D14" w:rsidP="006622F2"/>
    <w:p w14:paraId="3FD945E5" w14:textId="68CC0DDE" w:rsidR="00253D14" w:rsidRDefault="00253D14" w:rsidP="006622F2"/>
    <w:p w14:paraId="773CF3F5" w14:textId="100AE5EA" w:rsidR="00253D14" w:rsidRDefault="00253D14" w:rsidP="006622F2"/>
    <w:p w14:paraId="0D22EA9F" w14:textId="2E9F799F" w:rsidR="00253D14" w:rsidRDefault="00253D14" w:rsidP="006622F2"/>
    <w:p w14:paraId="3709A06E" w14:textId="77777777" w:rsidR="00253D14" w:rsidRPr="00253D14" w:rsidRDefault="00253D14" w:rsidP="006622F2"/>
    <w:p w14:paraId="21699F35" w14:textId="6C0D70DE" w:rsidR="00684DEF" w:rsidRDefault="00684DEF" w:rsidP="00684DEF">
      <w:pPr>
        <w:pStyle w:val="Heading1"/>
        <w:spacing w:before="0" w:after="0"/>
        <w:rPr>
          <w:rFonts w:ascii="Arial" w:hAnsi="Arial" w:cs="Arial"/>
          <w:color w:val="000000" w:themeColor="text1"/>
          <w:sz w:val="22"/>
          <w:szCs w:val="22"/>
        </w:rPr>
      </w:pPr>
    </w:p>
    <w:p w14:paraId="5AAFF2D4" w14:textId="77777777" w:rsidR="00684DEF" w:rsidRPr="00684DEF" w:rsidRDefault="00684DEF" w:rsidP="00684DEF"/>
    <w:p w14:paraId="0B9C9615" w14:textId="77777777" w:rsidR="00A10AF1" w:rsidRDefault="00A10AF1" w:rsidP="00A10AF1">
      <w:pPr>
        <w:spacing w:line="360" w:lineRule="auto"/>
        <w:rPr>
          <w:rFonts w:ascii="Arial" w:hAnsi="Arial" w:cs="Arial"/>
          <w:b/>
          <w:bCs/>
          <w:color w:val="000000" w:themeColor="text1"/>
          <w:sz w:val="22"/>
          <w:szCs w:val="22"/>
        </w:rPr>
        <w:sectPr w:rsidR="00A10AF1" w:rsidSect="00A10AF1">
          <w:footerReference w:type="even" r:id="rId8"/>
          <w:footerReference w:type="default" r:id="rId9"/>
          <w:type w:val="continuous"/>
          <w:pgSz w:w="12240" w:h="15840"/>
          <w:pgMar w:top="1440" w:right="1440" w:bottom="1440" w:left="1440" w:header="720" w:footer="720" w:gutter="0"/>
          <w:pgNumType w:fmt="lowerRoman" w:start="1"/>
          <w:cols w:space="720"/>
          <w:titlePg/>
          <w:docGrid w:linePitch="360"/>
        </w:sectPr>
      </w:pPr>
    </w:p>
    <w:p w14:paraId="3B9A36EE" w14:textId="6FE92EB4" w:rsidR="00DB1EC4" w:rsidRPr="003E7C59" w:rsidRDefault="00DB1EC4" w:rsidP="00DB1EC4">
      <w:pPr>
        <w:pStyle w:val="Heading1"/>
        <w:spacing w:before="0" w:after="0"/>
        <w:jc w:val="center"/>
        <w:rPr>
          <w:rFonts w:ascii="Arial" w:hAnsi="Arial" w:cs="Arial"/>
          <w:color w:val="000000" w:themeColor="text1"/>
          <w:sz w:val="22"/>
          <w:szCs w:val="22"/>
        </w:rPr>
      </w:pPr>
      <w:bookmarkStart w:id="35" w:name="_Toc121821916"/>
      <w:r>
        <w:rPr>
          <w:rFonts w:ascii="Arial" w:hAnsi="Arial" w:cs="Arial"/>
          <w:color w:val="000000" w:themeColor="text1"/>
          <w:sz w:val="22"/>
          <w:szCs w:val="22"/>
        </w:rPr>
        <w:lastRenderedPageBreak/>
        <w:t>Introduction</w:t>
      </w:r>
      <w:bookmarkEnd w:id="35"/>
    </w:p>
    <w:p w14:paraId="6BB6E195" w14:textId="77777777" w:rsidR="00A10AF1" w:rsidRPr="003E7C59" w:rsidRDefault="00A10AF1" w:rsidP="00A10AF1">
      <w:pPr>
        <w:spacing w:line="360" w:lineRule="auto"/>
        <w:rPr>
          <w:rFonts w:ascii="Arial" w:hAnsi="Arial" w:cs="Arial"/>
          <w:b/>
          <w:bCs/>
          <w:color w:val="000000" w:themeColor="text1"/>
          <w:sz w:val="22"/>
          <w:szCs w:val="22"/>
        </w:rPr>
      </w:pPr>
    </w:p>
    <w:p w14:paraId="1534A8F3" w14:textId="20423724" w:rsidR="00CE50B7" w:rsidRPr="003E7C59" w:rsidRDefault="00CE50B7" w:rsidP="006622F2">
      <w:pPr>
        <w:spacing w:line="360" w:lineRule="auto"/>
        <w:ind w:firstLine="720"/>
        <w:rPr>
          <w:rFonts w:ascii="Arial" w:hAnsi="Arial" w:cs="Arial"/>
          <w:b/>
          <w:bCs/>
          <w:color w:val="000000" w:themeColor="text1"/>
          <w:sz w:val="22"/>
          <w:szCs w:val="22"/>
        </w:rPr>
      </w:pPr>
    </w:p>
    <w:p w14:paraId="274A10C9" w14:textId="5F72A50B" w:rsidR="00CE50B7" w:rsidRPr="003E7C59" w:rsidRDefault="00CE50B7" w:rsidP="006622F2">
      <w:pPr>
        <w:spacing w:line="360" w:lineRule="auto"/>
        <w:ind w:firstLine="720"/>
        <w:rPr>
          <w:rFonts w:ascii="Arial" w:hAnsi="Arial" w:cs="Arial"/>
          <w:b/>
          <w:bCs/>
          <w:color w:val="000000" w:themeColor="text1"/>
          <w:sz w:val="22"/>
          <w:szCs w:val="22"/>
        </w:rPr>
      </w:pPr>
    </w:p>
    <w:p w14:paraId="4C326F69" w14:textId="45E8F5DF" w:rsidR="00CE50B7" w:rsidRPr="003E7C59" w:rsidRDefault="00CE50B7" w:rsidP="006622F2">
      <w:pPr>
        <w:spacing w:line="360" w:lineRule="auto"/>
        <w:ind w:firstLine="720"/>
        <w:rPr>
          <w:rFonts w:ascii="Arial" w:hAnsi="Arial" w:cs="Arial"/>
          <w:b/>
          <w:bCs/>
          <w:color w:val="000000" w:themeColor="text1"/>
          <w:sz w:val="22"/>
          <w:szCs w:val="22"/>
        </w:rPr>
      </w:pPr>
    </w:p>
    <w:p w14:paraId="152D46FA" w14:textId="77777777" w:rsidR="00CE50B7" w:rsidRPr="003E7C59" w:rsidRDefault="00CE50B7" w:rsidP="006622F2">
      <w:pPr>
        <w:spacing w:line="360" w:lineRule="auto"/>
        <w:ind w:firstLine="720"/>
        <w:rPr>
          <w:rFonts w:ascii="Arial" w:hAnsi="Arial" w:cs="Arial"/>
          <w:b/>
          <w:bCs/>
          <w:color w:val="000000" w:themeColor="text1"/>
          <w:sz w:val="22"/>
          <w:szCs w:val="22"/>
        </w:rPr>
      </w:pPr>
    </w:p>
    <w:p w14:paraId="4BDC15E4" w14:textId="5540AF55" w:rsidR="00CE50B7" w:rsidRPr="003E7C59" w:rsidRDefault="00CE50B7" w:rsidP="006622F2">
      <w:pPr>
        <w:spacing w:line="360" w:lineRule="auto"/>
        <w:ind w:firstLine="720"/>
        <w:rPr>
          <w:rFonts w:ascii="Arial" w:hAnsi="Arial" w:cs="Arial"/>
          <w:b/>
          <w:bCs/>
          <w:color w:val="000000" w:themeColor="text1"/>
          <w:sz w:val="22"/>
          <w:szCs w:val="22"/>
        </w:rPr>
      </w:pPr>
    </w:p>
    <w:p w14:paraId="2D93321D" w14:textId="02F63B09" w:rsidR="00CE50B7" w:rsidRPr="003E7C59" w:rsidRDefault="00CE50B7" w:rsidP="006622F2">
      <w:pPr>
        <w:spacing w:line="360" w:lineRule="auto"/>
        <w:ind w:firstLine="720"/>
        <w:rPr>
          <w:rFonts w:ascii="Arial" w:hAnsi="Arial" w:cs="Arial"/>
          <w:b/>
          <w:bCs/>
          <w:color w:val="000000" w:themeColor="text1"/>
          <w:sz w:val="22"/>
          <w:szCs w:val="22"/>
        </w:rPr>
      </w:pPr>
    </w:p>
    <w:p w14:paraId="3B437A19" w14:textId="26AFE2E8" w:rsidR="00CE50B7" w:rsidRPr="003E7C59" w:rsidRDefault="00CE50B7" w:rsidP="006622F2">
      <w:pPr>
        <w:spacing w:line="360" w:lineRule="auto"/>
        <w:ind w:firstLine="720"/>
        <w:rPr>
          <w:rFonts w:ascii="Arial" w:hAnsi="Arial" w:cs="Arial"/>
          <w:b/>
          <w:bCs/>
          <w:color w:val="000000" w:themeColor="text1"/>
          <w:sz w:val="22"/>
          <w:szCs w:val="22"/>
        </w:rPr>
      </w:pPr>
    </w:p>
    <w:p w14:paraId="44A0B63F" w14:textId="52837482" w:rsidR="00CE50B7" w:rsidRPr="003E7C59" w:rsidRDefault="00CE50B7" w:rsidP="006622F2">
      <w:pPr>
        <w:spacing w:line="360" w:lineRule="auto"/>
        <w:ind w:firstLine="720"/>
        <w:rPr>
          <w:rFonts w:ascii="Arial" w:hAnsi="Arial" w:cs="Arial"/>
          <w:b/>
          <w:bCs/>
          <w:color w:val="000000" w:themeColor="text1"/>
          <w:sz w:val="22"/>
          <w:szCs w:val="22"/>
        </w:rPr>
      </w:pPr>
    </w:p>
    <w:p w14:paraId="1819832F" w14:textId="25CA6164" w:rsidR="00CE50B7" w:rsidRPr="003E7C59" w:rsidRDefault="00CE50B7" w:rsidP="006622F2">
      <w:pPr>
        <w:spacing w:line="360" w:lineRule="auto"/>
        <w:ind w:firstLine="720"/>
        <w:rPr>
          <w:rFonts w:ascii="Arial" w:hAnsi="Arial" w:cs="Arial"/>
          <w:b/>
          <w:bCs/>
          <w:color w:val="000000" w:themeColor="text1"/>
          <w:sz w:val="22"/>
          <w:szCs w:val="22"/>
        </w:rPr>
      </w:pPr>
    </w:p>
    <w:p w14:paraId="6006FF76" w14:textId="07832C4F" w:rsidR="00CE50B7" w:rsidRPr="003E7C59" w:rsidRDefault="00CE50B7" w:rsidP="006622F2">
      <w:pPr>
        <w:spacing w:line="360" w:lineRule="auto"/>
        <w:ind w:firstLine="720"/>
        <w:rPr>
          <w:rFonts w:ascii="Arial" w:hAnsi="Arial" w:cs="Arial"/>
          <w:b/>
          <w:bCs/>
          <w:color w:val="000000" w:themeColor="text1"/>
          <w:sz w:val="22"/>
          <w:szCs w:val="22"/>
        </w:rPr>
      </w:pPr>
    </w:p>
    <w:p w14:paraId="4E478F64" w14:textId="2A54CE1D" w:rsidR="00CE50B7" w:rsidRPr="003E7C59" w:rsidRDefault="00CE50B7" w:rsidP="006622F2">
      <w:pPr>
        <w:spacing w:line="360" w:lineRule="auto"/>
        <w:ind w:firstLine="720"/>
        <w:rPr>
          <w:rFonts w:ascii="Arial" w:hAnsi="Arial" w:cs="Arial"/>
          <w:b/>
          <w:bCs/>
          <w:color w:val="000000" w:themeColor="text1"/>
          <w:sz w:val="22"/>
          <w:szCs w:val="22"/>
        </w:rPr>
      </w:pPr>
    </w:p>
    <w:p w14:paraId="1273FFC3" w14:textId="07278B6C" w:rsidR="00CE50B7" w:rsidRPr="003E7C59" w:rsidRDefault="00CE50B7" w:rsidP="006622F2">
      <w:pPr>
        <w:spacing w:line="360" w:lineRule="auto"/>
        <w:ind w:firstLine="720"/>
        <w:rPr>
          <w:rFonts w:ascii="Arial" w:hAnsi="Arial" w:cs="Arial"/>
          <w:b/>
          <w:bCs/>
          <w:color w:val="000000" w:themeColor="text1"/>
          <w:sz w:val="22"/>
          <w:szCs w:val="22"/>
        </w:rPr>
      </w:pPr>
    </w:p>
    <w:p w14:paraId="131C6ED3" w14:textId="44D45E28" w:rsidR="00CE50B7" w:rsidRPr="003E7C59" w:rsidRDefault="00CE50B7" w:rsidP="006622F2">
      <w:pPr>
        <w:spacing w:line="360" w:lineRule="auto"/>
        <w:ind w:firstLine="720"/>
        <w:rPr>
          <w:rFonts w:ascii="Arial" w:hAnsi="Arial" w:cs="Arial"/>
          <w:b/>
          <w:bCs/>
          <w:color w:val="000000" w:themeColor="text1"/>
          <w:sz w:val="22"/>
          <w:szCs w:val="22"/>
        </w:rPr>
      </w:pPr>
    </w:p>
    <w:p w14:paraId="222D05A4" w14:textId="343E27A4" w:rsidR="00CE50B7" w:rsidRPr="003E7C59" w:rsidRDefault="00CE50B7" w:rsidP="006622F2">
      <w:pPr>
        <w:spacing w:line="360" w:lineRule="auto"/>
        <w:ind w:firstLine="720"/>
        <w:rPr>
          <w:rFonts w:ascii="Arial" w:hAnsi="Arial" w:cs="Arial"/>
          <w:b/>
          <w:bCs/>
          <w:color w:val="000000" w:themeColor="text1"/>
          <w:sz w:val="22"/>
          <w:szCs w:val="22"/>
        </w:rPr>
      </w:pPr>
    </w:p>
    <w:p w14:paraId="4F8387DB" w14:textId="03FFCF21" w:rsidR="00CE50B7" w:rsidRPr="003E7C59" w:rsidRDefault="00CE50B7" w:rsidP="006622F2">
      <w:pPr>
        <w:spacing w:line="360" w:lineRule="auto"/>
        <w:ind w:firstLine="720"/>
        <w:rPr>
          <w:rFonts w:ascii="Arial" w:hAnsi="Arial" w:cs="Arial"/>
          <w:b/>
          <w:bCs/>
          <w:color w:val="000000" w:themeColor="text1"/>
          <w:sz w:val="22"/>
          <w:szCs w:val="22"/>
        </w:rPr>
      </w:pPr>
    </w:p>
    <w:p w14:paraId="07B9CE0E" w14:textId="7E2290E0" w:rsidR="00CE50B7" w:rsidRPr="003E7C59" w:rsidRDefault="00CE50B7" w:rsidP="006622F2">
      <w:pPr>
        <w:spacing w:line="360" w:lineRule="auto"/>
        <w:ind w:firstLine="720"/>
        <w:rPr>
          <w:rFonts w:ascii="Arial" w:hAnsi="Arial" w:cs="Arial"/>
          <w:b/>
          <w:bCs/>
          <w:color w:val="000000" w:themeColor="text1"/>
          <w:sz w:val="22"/>
          <w:szCs w:val="22"/>
        </w:rPr>
      </w:pPr>
    </w:p>
    <w:p w14:paraId="0F1CDE82" w14:textId="6190E1E3" w:rsidR="00CE50B7" w:rsidRPr="003E7C59" w:rsidRDefault="00CE50B7" w:rsidP="006622F2">
      <w:pPr>
        <w:spacing w:line="360" w:lineRule="auto"/>
        <w:ind w:firstLine="720"/>
        <w:rPr>
          <w:rFonts w:ascii="Arial" w:hAnsi="Arial" w:cs="Arial"/>
          <w:b/>
          <w:bCs/>
          <w:color w:val="000000" w:themeColor="text1"/>
          <w:sz w:val="22"/>
          <w:szCs w:val="22"/>
        </w:rPr>
      </w:pPr>
    </w:p>
    <w:p w14:paraId="0E36B84E" w14:textId="64493EF5" w:rsidR="00CE50B7" w:rsidRPr="003E7C59" w:rsidRDefault="00CE50B7" w:rsidP="006622F2">
      <w:pPr>
        <w:spacing w:line="360" w:lineRule="auto"/>
        <w:ind w:firstLine="720"/>
        <w:rPr>
          <w:rFonts w:ascii="Arial" w:hAnsi="Arial" w:cs="Arial"/>
          <w:b/>
          <w:bCs/>
          <w:color w:val="000000" w:themeColor="text1"/>
          <w:sz w:val="22"/>
          <w:szCs w:val="22"/>
        </w:rPr>
      </w:pPr>
    </w:p>
    <w:p w14:paraId="690126CD" w14:textId="6C3A7298" w:rsidR="00CE50B7" w:rsidRPr="003E7C59" w:rsidRDefault="00CE50B7" w:rsidP="006622F2">
      <w:pPr>
        <w:spacing w:line="360" w:lineRule="auto"/>
        <w:ind w:firstLine="720"/>
        <w:rPr>
          <w:rFonts w:ascii="Arial" w:hAnsi="Arial" w:cs="Arial"/>
          <w:b/>
          <w:bCs/>
          <w:color w:val="000000" w:themeColor="text1"/>
          <w:sz w:val="22"/>
          <w:szCs w:val="22"/>
        </w:rPr>
      </w:pPr>
    </w:p>
    <w:p w14:paraId="194B0F2E" w14:textId="6F922928" w:rsidR="00CE50B7" w:rsidRPr="003E7C59" w:rsidRDefault="00CE50B7" w:rsidP="006622F2">
      <w:pPr>
        <w:spacing w:line="360" w:lineRule="auto"/>
        <w:ind w:firstLine="720"/>
        <w:rPr>
          <w:rFonts w:ascii="Arial" w:hAnsi="Arial" w:cs="Arial"/>
          <w:b/>
          <w:bCs/>
          <w:color w:val="000000" w:themeColor="text1"/>
          <w:sz w:val="22"/>
          <w:szCs w:val="22"/>
        </w:rPr>
      </w:pPr>
    </w:p>
    <w:p w14:paraId="5541CE61" w14:textId="589739FA" w:rsidR="00CE50B7" w:rsidRPr="003E7C59" w:rsidRDefault="00CE50B7" w:rsidP="006622F2">
      <w:pPr>
        <w:spacing w:line="360" w:lineRule="auto"/>
        <w:ind w:firstLine="720"/>
        <w:rPr>
          <w:rFonts w:ascii="Arial" w:hAnsi="Arial" w:cs="Arial"/>
          <w:b/>
          <w:bCs/>
          <w:color w:val="000000" w:themeColor="text1"/>
          <w:sz w:val="22"/>
          <w:szCs w:val="22"/>
        </w:rPr>
      </w:pPr>
    </w:p>
    <w:p w14:paraId="3C980463" w14:textId="2EED1844" w:rsidR="00CE50B7" w:rsidRPr="003E7C59" w:rsidRDefault="00CE50B7" w:rsidP="006622F2">
      <w:pPr>
        <w:spacing w:line="360" w:lineRule="auto"/>
        <w:ind w:firstLine="720"/>
        <w:rPr>
          <w:rFonts w:ascii="Arial" w:hAnsi="Arial" w:cs="Arial"/>
          <w:b/>
          <w:bCs/>
          <w:color w:val="000000" w:themeColor="text1"/>
          <w:sz w:val="22"/>
          <w:szCs w:val="22"/>
        </w:rPr>
      </w:pPr>
    </w:p>
    <w:p w14:paraId="58C8BB6C" w14:textId="27CB0C75" w:rsidR="00CE50B7" w:rsidRPr="003E7C59" w:rsidRDefault="00CE50B7" w:rsidP="006622F2">
      <w:pPr>
        <w:spacing w:line="360" w:lineRule="auto"/>
        <w:ind w:firstLine="720"/>
        <w:rPr>
          <w:rFonts w:ascii="Arial" w:hAnsi="Arial" w:cs="Arial"/>
          <w:b/>
          <w:bCs/>
          <w:color w:val="000000" w:themeColor="text1"/>
          <w:sz w:val="22"/>
          <w:szCs w:val="22"/>
        </w:rPr>
      </w:pPr>
    </w:p>
    <w:p w14:paraId="33A99F66" w14:textId="0D54DD0E" w:rsidR="00CE50B7" w:rsidRPr="003E7C59" w:rsidRDefault="00CE50B7" w:rsidP="006622F2">
      <w:pPr>
        <w:spacing w:line="360" w:lineRule="auto"/>
        <w:ind w:firstLine="720"/>
        <w:rPr>
          <w:rFonts w:ascii="Arial" w:hAnsi="Arial" w:cs="Arial"/>
          <w:b/>
          <w:bCs/>
          <w:color w:val="000000" w:themeColor="text1"/>
          <w:sz w:val="22"/>
          <w:szCs w:val="22"/>
        </w:rPr>
      </w:pPr>
    </w:p>
    <w:p w14:paraId="0BB12321" w14:textId="259D4F94" w:rsidR="00CE50B7" w:rsidRPr="003E7C59" w:rsidRDefault="00CE50B7" w:rsidP="006622F2">
      <w:pPr>
        <w:spacing w:line="360" w:lineRule="auto"/>
        <w:ind w:firstLine="720"/>
        <w:rPr>
          <w:rFonts w:ascii="Arial" w:hAnsi="Arial" w:cs="Arial"/>
          <w:b/>
          <w:bCs/>
          <w:color w:val="000000" w:themeColor="text1"/>
          <w:sz w:val="22"/>
          <w:szCs w:val="22"/>
        </w:rPr>
      </w:pPr>
    </w:p>
    <w:p w14:paraId="5B594D64" w14:textId="77777777" w:rsidR="00CE50B7" w:rsidRPr="003E7C59" w:rsidRDefault="00CE50B7" w:rsidP="006622F2">
      <w:pPr>
        <w:spacing w:line="360" w:lineRule="auto"/>
        <w:ind w:firstLine="720"/>
        <w:rPr>
          <w:rFonts w:ascii="Arial" w:hAnsi="Arial" w:cs="Arial"/>
          <w:b/>
          <w:bCs/>
          <w:color w:val="000000" w:themeColor="text1"/>
          <w:sz w:val="22"/>
          <w:szCs w:val="22"/>
        </w:rPr>
      </w:pPr>
    </w:p>
    <w:p w14:paraId="101DA7F1" w14:textId="77777777" w:rsidR="00253D14" w:rsidRDefault="00253D14" w:rsidP="006622F2">
      <w:pPr>
        <w:spacing w:line="360" w:lineRule="auto"/>
        <w:ind w:firstLine="720"/>
        <w:rPr>
          <w:rFonts w:ascii="Arial" w:hAnsi="Arial" w:cs="Arial"/>
          <w:color w:val="000000" w:themeColor="text1"/>
          <w:sz w:val="22"/>
          <w:szCs w:val="22"/>
        </w:rPr>
      </w:pPr>
    </w:p>
    <w:p w14:paraId="62FAC0D4" w14:textId="4B5FD3B0" w:rsidR="00253D14" w:rsidRDefault="00253D14" w:rsidP="006622F2">
      <w:pPr>
        <w:spacing w:line="360" w:lineRule="auto"/>
        <w:ind w:firstLine="720"/>
        <w:rPr>
          <w:rFonts w:ascii="Arial" w:hAnsi="Arial" w:cs="Arial"/>
          <w:color w:val="000000" w:themeColor="text1"/>
          <w:sz w:val="22"/>
          <w:szCs w:val="22"/>
        </w:rPr>
      </w:pPr>
    </w:p>
    <w:p w14:paraId="3648EBDE" w14:textId="50A47523" w:rsidR="00A10AF1" w:rsidRDefault="00A10AF1" w:rsidP="006622F2">
      <w:pPr>
        <w:spacing w:line="360" w:lineRule="auto"/>
        <w:ind w:firstLine="720"/>
        <w:rPr>
          <w:rFonts w:ascii="Arial" w:hAnsi="Arial" w:cs="Arial"/>
          <w:color w:val="000000" w:themeColor="text1"/>
          <w:sz w:val="22"/>
          <w:szCs w:val="22"/>
        </w:rPr>
      </w:pPr>
    </w:p>
    <w:p w14:paraId="502E8D57" w14:textId="24F12357" w:rsidR="00A10AF1" w:rsidRDefault="00A10AF1" w:rsidP="006622F2">
      <w:pPr>
        <w:spacing w:line="360" w:lineRule="auto"/>
        <w:ind w:firstLine="720"/>
        <w:rPr>
          <w:rFonts w:ascii="Arial" w:hAnsi="Arial" w:cs="Arial"/>
          <w:color w:val="000000" w:themeColor="text1"/>
          <w:sz w:val="22"/>
          <w:szCs w:val="22"/>
        </w:rPr>
      </w:pPr>
    </w:p>
    <w:p w14:paraId="51E58730" w14:textId="77777777" w:rsidR="00A10AF1" w:rsidRDefault="00A10AF1" w:rsidP="006622F2">
      <w:pPr>
        <w:spacing w:line="360" w:lineRule="auto"/>
        <w:ind w:firstLine="720"/>
        <w:rPr>
          <w:rFonts w:ascii="Arial" w:hAnsi="Arial" w:cs="Arial"/>
          <w:color w:val="000000" w:themeColor="text1"/>
          <w:sz w:val="22"/>
          <w:szCs w:val="22"/>
        </w:rPr>
      </w:pPr>
    </w:p>
    <w:p w14:paraId="3AA6098B" w14:textId="5CC09401"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lastRenderedPageBreak/>
        <w:t xml:space="preserve">The genus </w:t>
      </w:r>
      <w:r w:rsidRPr="003E7C59">
        <w:rPr>
          <w:rFonts w:ascii="Arial" w:hAnsi="Arial" w:cs="Arial"/>
          <w:i/>
          <w:iCs/>
          <w:color w:val="000000" w:themeColor="text1"/>
          <w:sz w:val="22"/>
          <w:szCs w:val="22"/>
        </w:rPr>
        <w:t>Cornus</w:t>
      </w:r>
      <w:r w:rsidRPr="003E7C59">
        <w:rPr>
          <w:rFonts w:ascii="Arial" w:hAnsi="Arial" w:cs="Arial"/>
          <w:color w:val="000000" w:themeColor="text1"/>
          <w:sz w:val="22"/>
          <w:szCs w:val="22"/>
        </w:rPr>
        <w:t xml:space="preserve"> L. includes</w:t>
      </w:r>
      <w:r w:rsidR="00221C89" w:rsidRPr="003E7C59">
        <w:rPr>
          <w:rFonts w:ascii="Arial" w:hAnsi="Arial" w:cs="Arial"/>
          <w:color w:val="000000" w:themeColor="text1"/>
          <w:sz w:val="22"/>
          <w:szCs w:val="22"/>
        </w:rPr>
        <w:t xml:space="preserve"> </w:t>
      </w:r>
      <w:r w:rsidR="00106B84" w:rsidRPr="003E7C59">
        <w:rPr>
          <w:rFonts w:ascii="Arial" w:hAnsi="Arial" w:cs="Arial"/>
          <w:color w:val="000000" w:themeColor="text1"/>
          <w:sz w:val="22"/>
          <w:szCs w:val="22"/>
        </w:rPr>
        <w:t xml:space="preserve">about </w:t>
      </w:r>
      <w:r w:rsidRPr="003E7C59">
        <w:rPr>
          <w:rFonts w:ascii="Arial" w:hAnsi="Arial" w:cs="Arial"/>
          <w:color w:val="000000" w:themeColor="text1"/>
          <w:sz w:val="22"/>
          <w:szCs w:val="22"/>
        </w:rPr>
        <w:t>60 species of trees and shrubs</w:t>
      </w:r>
      <w:r w:rsidR="008B5DA8"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scattered throughout the temperate regions of North America, Europe, and Asia, (Xiang et al., 2006). </w:t>
      </w:r>
      <w:r w:rsidRPr="003E7C59">
        <w:rPr>
          <w:rFonts w:ascii="Arial" w:hAnsi="Arial" w:cs="Arial"/>
          <w:i/>
          <w:iCs/>
          <w:color w:val="000000" w:themeColor="text1"/>
          <w:sz w:val="22"/>
          <w:szCs w:val="22"/>
        </w:rPr>
        <w:t>Cornus</w:t>
      </w:r>
      <w:r w:rsidRPr="003E7C59">
        <w:rPr>
          <w:rFonts w:ascii="Arial" w:hAnsi="Arial" w:cs="Arial"/>
          <w:color w:val="000000" w:themeColor="text1"/>
          <w:sz w:val="22"/>
          <w:szCs w:val="22"/>
        </w:rPr>
        <w:t xml:space="preserve"> species </w:t>
      </w:r>
      <w:proofErr w:type="gramStart"/>
      <w:r w:rsidRPr="003E7C59">
        <w:rPr>
          <w:rFonts w:ascii="Arial" w:hAnsi="Arial" w:cs="Arial"/>
          <w:color w:val="000000" w:themeColor="text1"/>
          <w:sz w:val="22"/>
          <w:szCs w:val="22"/>
        </w:rPr>
        <w:t>are grouped</w:t>
      </w:r>
      <w:proofErr w:type="gramEnd"/>
      <w:r w:rsidRPr="003E7C59">
        <w:rPr>
          <w:rFonts w:ascii="Arial" w:hAnsi="Arial" w:cs="Arial"/>
          <w:color w:val="000000" w:themeColor="text1"/>
          <w:sz w:val="22"/>
          <w:szCs w:val="22"/>
        </w:rPr>
        <w:t xml:space="preserve"> into the following four subgroups: big-bracted dogwoods (BB), blue or white-fruited dogwoods (BW), cornelian cherries (CC), and dwarf dogwoods (DW) </w:t>
      </w:r>
      <w:r w:rsidR="00106B84" w:rsidRPr="003E7C59">
        <w:rPr>
          <w:rFonts w:ascii="Arial" w:hAnsi="Arial" w:cs="Arial"/>
          <w:color w:val="000000" w:themeColor="text1"/>
          <w:sz w:val="22"/>
          <w:szCs w:val="22"/>
        </w:rPr>
        <w:t>(</w:t>
      </w:r>
      <w:r w:rsidRPr="003E7C59">
        <w:rPr>
          <w:rFonts w:ascii="Arial" w:hAnsi="Arial" w:cs="Arial"/>
          <w:color w:val="000000" w:themeColor="text1"/>
          <w:sz w:val="22"/>
          <w:szCs w:val="22"/>
        </w:rPr>
        <w:t>Fan et al., 2003; Xiang et al. 2006). Exceptional for their showy petaloid bracts, flowering dogwood (</w:t>
      </w:r>
      <w:r w:rsidRPr="003E7C59">
        <w:rPr>
          <w:rFonts w:ascii="Arial" w:hAnsi="Arial" w:cs="Arial"/>
          <w:i/>
          <w:iCs/>
          <w:color w:val="000000" w:themeColor="text1"/>
          <w:sz w:val="22"/>
          <w:szCs w:val="22"/>
        </w:rPr>
        <w:t>Cornus florida</w:t>
      </w:r>
      <w:r w:rsidRPr="003E7C59">
        <w:rPr>
          <w:rFonts w:ascii="Arial" w:hAnsi="Arial" w:cs="Arial"/>
          <w:color w:val="000000" w:themeColor="text1"/>
          <w:sz w:val="22"/>
          <w:szCs w:val="22"/>
        </w:rPr>
        <w:t xml:space="preserve"> L.) belongs to the BB subgroup, subgenus </w:t>
      </w:r>
      <w:r w:rsidRPr="003E7C59">
        <w:rPr>
          <w:rFonts w:ascii="Arial" w:hAnsi="Arial" w:cs="Arial"/>
          <w:i/>
          <w:iCs/>
          <w:color w:val="000000" w:themeColor="text1"/>
          <w:sz w:val="22"/>
          <w:szCs w:val="22"/>
        </w:rPr>
        <w:t>Cynoxylon</w:t>
      </w:r>
      <w:r w:rsidRPr="003E7C59">
        <w:rPr>
          <w:rFonts w:ascii="Arial" w:hAnsi="Arial" w:cs="Arial"/>
          <w:color w:val="000000" w:themeColor="text1"/>
          <w:sz w:val="22"/>
          <w:szCs w:val="22"/>
        </w:rPr>
        <w:t xml:space="preserve"> Raf.</w:t>
      </w:r>
      <w:r w:rsidR="00FE0FC4" w:rsidRPr="003E7C59">
        <w:rPr>
          <w:rFonts w:ascii="Arial" w:hAnsi="Arial" w:cs="Arial"/>
          <w:color w:val="000000" w:themeColor="text1"/>
          <w:sz w:val="22"/>
          <w:szCs w:val="22"/>
        </w:rPr>
        <w:t xml:space="preserve">, which is </w:t>
      </w:r>
      <w:r w:rsidR="00636574" w:rsidRPr="003E7C59">
        <w:rPr>
          <w:rFonts w:ascii="Arial" w:hAnsi="Arial" w:cs="Arial"/>
          <w:color w:val="000000" w:themeColor="text1"/>
          <w:sz w:val="22"/>
          <w:szCs w:val="22"/>
        </w:rPr>
        <w:t>characterized</w:t>
      </w:r>
      <w:r w:rsidRPr="003E7C59">
        <w:rPr>
          <w:rFonts w:ascii="Arial" w:hAnsi="Arial" w:cs="Arial"/>
          <w:color w:val="000000" w:themeColor="text1"/>
          <w:sz w:val="22"/>
          <w:szCs w:val="22"/>
        </w:rPr>
        <w:t xml:space="preserve"> </w:t>
      </w:r>
      <w:r w:rsidR="00636574" w:rsidRPr="003E7C59">
        <w:rPr>
          <w:rFonts w:ascii="Arial" w:hAnsi="Arial" w:cs="Arial"/>
          <w:color w:val="000000" w:themeColor="text1"/>
          <w:sz w:val="22"/>
          <w:szCs w:val="22"/>
        </w:rPr>
        <w:t xml:space="preserve">by </w:t>
      </w:r>
      <w:r w:rsidR="00221C89" w:rsidRPr="003E7C59">
        <w:rPr>
          <w:rFonts w:ascii="Arial" w:hAnsi="Arial" w:cs="Arial"/>
          <w:color w:val="000000" w:themeColor="text1"/>
          <w:sz w:val="22"/>
          <w:szCs w:val="22"/>
        </w:rPr>
        <w:t>f</w:t>
      </w:r>
      <w:r w:rsidR="00106B84" w:rsidRPr="003E7C59">
        <w:rPr>
          <w:rFonts w:ascii="Arial" w:hAnsi="Arial" w:cs="Arial"/>
          <w:color w:val="000000" w:themeColor="text1"/>
          <w:sz w:val="22"/>
          <w:szCs w:val="22"/>
        </w:rPr>
        <w:t xml:space="preserve">our </w:t>
      </w:r>
      <w:r w:rsidRPr="003E7C59">
        <w:rPr>
          <w:rFonts w:ascii="Arial" w:hAnsi="Arial" w:cs="Arial"/>
          <w:color w:val="000000" w:themeColor="text1"/>
          <w:sz w:val="22"/>
          <w:szCs w:val="22"/>
        </w:rPr>
        <w:t>modified leaves (bracts) and red clustered berries (Fan et al., 2003; Xiang et al., 2006). In comparison, Asian dogwood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kousa </w:t>
      </w:r>
      <w:r w:rsidRPr="003E7C59">
        <w:rPr>
          <w:rFonts w:ascii="Arial" w:hAnsi="Arial" w:cs="Arial"/>
          <w:color w:val="000000" w:themeColor="text1"/>
          <w:sz w:val="22"/>
          <w:szCs w:val="22"/>
        </w:rPr>
        <w:t xml:space="preserve">F. Buerger ex Hance F) also belongs to the BB subgroup, subgenus </w:t>
      </w:r>
      <w:r w:rsidRPr="003E7C59">
        <w:rPr>
          <w:rFonts w:ascii="Arial" w:hAnsi="Arial" w:cs="Arial"/>
          <w:i/>
          <w:iCs/>
          <w:color w:val="000000" w:themeColor="text1"/>
          <w:sz w:val="22"/>
          <w:szCs w:val="22"/>
        </w:rPr>
        <w:t xml:space="preserve">Syncarpea </w:t>
      </w:r>
      <w:r w:rsidRPr="003E7C59">
        <w:rPr>
          <w:rFonts w:ascii="Arial" w:hAnsi="Arial" w:cs="Arial"/>
          <w:color w:val="000000" w:themeColor="text1"/>
          <w:sz w:val="22"/>
          <w:szCs w:val="22"/>
        </w:rPr>
        <w:t>(Nakai) Xiang,</w:t>
      </w:r>
      <w:r w:rsidR="00420A2B" w:rsidRPr="003E7C59">
        <w:rPr>
          <w:rFonts w:ascii="Arial" w:hAnsi="Arial" w:cs="Arial"/>
          <w:color w:val="000000" w:themeColor="text1"/>
          <w:sz w:val="22"/>
          <w:szCs w:val="22"/>
        </w:rPr>
        <w:t xml:space="preserve"> distinguished by</w:t>
      </w:r>
      <w:r w:rsidRPr="003E7C59">
        <w:rPr>
          <w:rFonts w:ascii="Arial" w:hAnsi="Arial" w:cs="Arial"/>
          <w:color w:val="000000" w:themeColor="text1"/>
          <w:sz w:val="22"/>
          <w:szCs w:val="22"/>
        </w:rPr>
        <w:t xml:space="preserve"> four modified, petaloid bracts and fused red multi-stoned berries (Fan et al., 2003; Xiang et al., 2006).</w:t>
      </w:r>
    </w:p>
    <w:p w14:paraId="0EC8F955" w14:textId="77777777" w:rsidR="00B51BF9" w:rsidRPr="003E7C59" w:rsidRDefault="00B51BF9" w:rsidP="006622F2">
      <w:pPr>
        <w:spacing w:line="360" w:lineRule="auto"/>
        <w:ind w:firstLine="720"/>
        <w:rPr>
          <w:rFonts w:ascii="Arial" w:hAnsi="Arial" w:cs="Arial"/>
          <w:color w:val="000000" w:themeColor="text1"/>
          <w:sz w:val="22"/>
          <w:szCs w:val="22"/>
        </w:rPr>
      </w:pPr>
    </w:p>
    <w:p w14:paraId="4F11F191" w14:textId="33F45988"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Flowering and Asian dogwood</w:t>
      </w:r>
      <w:r w:rsidR="00B57D6C"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are two of the most popular and economically compelling species among nursery growers and horticulturists. Nurseries in Tennessee account for 2</w:t>
      </w:r>
      <w:r w:rsidR="00596973" w:rsidRPr="003E7C59">
        <w:rPr>
          <w:rFonts w:ascii="Arial" w:hAnsi="Arial" w:cs="Arial"/>
          <w:color w:val="000000" w:themeColor="text1"/>
          <w:sz w:val="22"/>
          <w:szCs w:val="22"/>
        </w:rPr>
        <w:t>4</w:t>
      </w:r>
      <w:r w:rsidRPr="003E7C59">
        <w:rPr>
          <w:rFonts w:ascii="Arial" w:hAnsi="Arial" w:cs="Arial"/>
          <w:color w:val="000000" w:themeColor="text1"/>
          <w:sz w:val="22"/>
          <w:szCs w:val="22"/>
        </w:rPr>
        <w:t xml:space="preserve">% of the flowering dogwoods </w:t>
      </w:r>
      <w:r w:rsidR="00B57D6C" w:rsidRPr="003E7C59">
        <w:rPr>
          <w:rFonts w:ascii="Arial" w:hAnsi="Arial" w:cs="Arial"/>
          <w:color w:val="000000" w:themeColor="text1"/>
          <w:sz w:val="22"/>
          <w:szCs w:val="22"/>
        </w:rPr>
        <w:t xml:space="preserve">sold in </w:t>
      </w:r>
      <w:r w:rsidRPr="003E7C59">
        <w:rPr>
          <w:rFonts w:ascii="Arial" w:hAnsi="Arial" w:cs="Arial"/>
          <w:color w:val="000000" w:themeColor="text1"/>
          <w:sz w:val="22"/>
          <w:szCs w:val="22"/>
        </w:rPr>
        <w:t>the United States ornamental plant market. All dogwood species account</w:t>
      </w:r>
      <w:r w:rsidR="00B57D6C" w:rsidRPr="003E7C59">
        <w:rPr>
          <w:rFonts w:ascii="Arial" w:hAnsi="Arial" w:cs="Arial"/>
          <w:color w:val="000000" w:themeColor="text1"/>
          <w:sz w:val="22"/>
          <w:szCs w:val="22"/>
        </w:rPr>
        <w:t>ed</w:t>
      </w:r>
      <w:r w:rsidRPr="003E7C59">
        <w:rPr>
          <w:rFonts w:ascii="Arial" w:hAnsi="Arial" w:cs="Arial"/>
          <w:color w:val="000000" w:themeColor="text1"/>
          <w:sz w:val="22"/>
          <w:szCs w:val="22"/>
        </w:rPr>
        <w:t xml:space="preserve"> for more than </w:t>
      </w:r>
      <w:r w:rsidRPr="003E7C59">
        <w:rPr>
          <w:rFonts w:ascii="Arial" w:hAnsi="Arial" w:cs="Arial"/>
          <w:color w:val="000000" w:themeColor="text1"/>
          <w:sz w:val="22"/>
          <w:szCs w:val="22"/>
          <w:shd w:val="clear" w:color="auto" w:fill="FCFCFC"/>
        </w:rPr>
        <w:t xml:space="preserve">USD31 </w:t>
      </w:r>
      <w:r w:rsidRPr="003E7C59">
        <w:rPr>
          <w:rFonts w:ascii="Arial" w:hAnsi="Arial" w:cs="Arial"/>
          <w:color w:val="000000" w:themeColor="text1"/>
          <w:sz w:val="22"/>
          <w:szCs w:val="22"/>
        </w:rPr>
        <w:t>million in annual revenue from retail and wholesale sales in the United States (US) (USDA-NASS, 2019). The ornamental value of trees continues to drive consumer demand and, so far, has resulted in the commercial release of more than 150 cultivars (Cappiello and Shadow, 2005; Wadl et al., 2014; Nowicki et al., 2020). However, the ornamental market constantly seeks new traits of interest, such as dark red bract</w:t>
      </w:r>
      <w:r w:rsidR="00B57D6C"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or foliage display, resistance to pathogens, variegated foliage, and dwarf or weeping habit</w:t>
      </w:r>
      <w:r w:rsidR="00B57D6C"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w:t>
      </w:r>
    </w:p>
    <w:p w14:paraId="7E6D30A6" w14:textId="77777777" w:rsidR="00B51BF9" w:rsidRPr="003E7C59" w:rsidRDefault="00B51BF9" w:rsidP="006622F2">
      <w:pPr>
        <w:spacing w:line="360" w:lineRule="auto"/>
        <w:ind w:firstLine="720"/>
        <w:rPr>
          <w:rFonts w:ascii="Arial" w:hAnsi="Arial" w:cs="Arial"/>
          <w:color w:val="000000" w:themeColor="text1"/>
          <w:sz w:val="22"/>
          <w:szCs w:val="22"/>
        </w:rPr>
      </w:pPr>
    </w:p>
    <w:p w14:paraId="3DF03C80" w14:textId="5EBF07A4"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Flowering dogwoods are endemic to the eastern </w:t>
      </w:r>
      <w:r w:rsidR="00221C89" w:rsidRPr="003E7C59">
        <w:rPr>
          <w:rFonts w:ascii="Arial" w:hAnsi="Arial" w:cs="Arial"/>
          <w:color w:val="000000" w:themeColor="text1"/>
          <w:sz w:val="22"/>
          <w:szCs w:val="22"/>
        </w:rPr>
        <w:t>US and</w:t>
      </w:r>
      <w:r w:rsidR="00B57D6C"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distributed from Canada and southern Michigan in the north to northern Florida in the south and east Texas in the west (Mitchell, 1988; Mantooth et al., 2017). Showy snow white, pink or red bracts and red fall foliage display make flowering dogwoods desirable ornamental trees all year round. </w:t>
      </w:r>
      <w:r w:rsidRPr="003E7C59">
        <w:rPr>
          <w:rFonts w:ascii="Arial" w:hAnsi="Arial" w:cs="Arial"/>
          <w:i/>
          <w:iCs/>
          <w:color w:val="000000" w:themeColor="text1"/>
          <w:sz w:val="22"/>
          <w:szCs w:val="22"/>
        </w:rPr>
        <w:t>C</w:t>
      </w:r>
      <w:r w:rsidR="0047682D" w:rsidRPr="003E7C59">
        <w:rPr>
          <w:rFonts w:ascii="Arial" w:hAnsi="Arial" w:cs="Arial"/>
          <w:i/>
          <w:iCs/>
          <w:color w:val="000000" w:themeColor="text1"/>
          <w:sz w:val="22"/>
          <w:szCs w:val="22"/>
        </w:rPr>
        <w:t>.</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blooms appear in the early spring (April- May), forming clustered fruits – drupes</w:t>
      </w:r>
      <w:r w:rsidR="00B57D6C" w:rsidRPr="003E7C59">
        <w:rPr>
          <w:rFonts w:ascii="Arial" w:hAnsi="Arial" w:cs="Arial"/>
          <w:color w:val="000000" w:themeColor="text1"/>
          <w:sz w:val="22"/>
          <w:szCs w:val="22"/>
        </w:rPr>
        <w:t>, which ripen in the fall</w:t>
      </w:r>
      <w:r w:rsidRPr="003E7C59">
        <w:rPr>
          <w:rFonts w:ascii="Arial" w:hAnsi="Arial" w:cs="Arial"/>
          <w:color w:val="000000" w:themeColor="text1"/>
          <w:sz w:val="22"/>
          <w:szCs w:val="22"/>
        </w:rPr>
        <w:t>. Drupes contain a high level of fat, protein, and available calcium (Thomas, 1969), representing an important source of nutrients for wildlife.</w:t>
      </w:r>
    </w:p>
    <w:p w14:paraId="444DDF6E" w14:textId="77777777" w:rsidR="00B51BF9" w:rsidRPr="003E7C59" w:rsidRDefault="00B51BF9" w:rsidP="006622F2">
      <w:pPr>
        <w:spacing w:line="360" w:lineRule="auto"/>
        <w:ind w:firstLine="720"/>
        <w:rPr>
          <w:rFonts w:ascii="Arial" w:hAnsi="Arial" w:cs="Arial"/>
          <w:color w:val="000000" w:themeColor="text1"/>
          <w:sz w:val="22"/>
          <w:szCs w:val="22"/>
        </w:rPr>
      </w:pPr>
    </w:p>
    <w:p w14:paraId="4D52B800" w14:textId="324A10B4"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 </w:t>
      </w:r>
      <w:proofErr w:type="gramStart"/>
      <w:r w:rsidRPr="003E7C59">
        <w:rPr>
          <w:rFonts w:ascii="Arial" w:hAnsi="Arial" w:cs="Arial"/>
          <w:i/>
          <w:color w:val="000000" w:themeColor="text1"/>
          <w:sz w:val="22"/>
          <w:szCs w:val="22"/>
        </w:rPr>
        <w:t>C</w:t>
      </w:r>
      <w:r w:rsidR="002A06AF" w:rsidRPr="003E7C59">
        <w:rPr>
          <w:rFonts w:ascii="Arial" w:hAnsi="Arial" w:cs="Arial"/>
          <w:i/>
          <w:color w:val="000000" w:themeColor="text1"/>
          <w:sz w:val="22"/>
          <w:szCs w:val="22"/>
        </w:rPr>
        <w:t>ornus</w:t>
      </w:r>
      <w:r w:rsidRPr="003E7C59">
        <w:rPr>
          <w:rFonts w:ascii="Arial" w:hAnsi="Arial" w:cs="Arial"/>
          <w:i/>
          <w:color w:val="000000" w:themeColor="text1"/>
          <w:sz w:val="22"/>
          <w:szCs w:val="22"/>
        </w:rPr>
        <w:t xml:space="preserve"> kousa</w:t>
      </w:r>
      <w:r w:rsidRPr="003E7C59">
        <w:rPr>
          <w:rFonts w:ascii="Arial" w:hAnsi="Arial" w:cs="Arial"/>
          <w:color w:val="000000" w:themeColor="text1"/>
          <w:sz w:val="22"/>
          <w:szCs w:val="22"/>
        </w:rPr>
        <w:t xml:space="preserve">, </w:t>
      </w:r>
      <w:r w:rsidRPr="003E7C59">
        <w:rPr>
          <w:rFonts w:ascii="Arial" w:hAnsi="Arial" w:cs="Arial"/>
          <w:iCs/>
          <w:color w:val="000000" w:themeColor="text1"/>
          <w:sz w:val="22"/>
          <w:szCs w:val="22"/>
        </w:rPr>
        <w:t>Asian dogwoods, also</w:t>
      </w:r>
      <w:r w:rsidRPr="003E7C59">
        <w:rPr>
          <w:rFonts w:ascii="Arial" w:hAnsi="Arial" w:cs="Arial"/>
          <w:color w:val="000000" w:themeColor="text1"/>
          <w:sz w:val="22"/>
          <w:szCs w:val="22"/>
        </w:rPr>
        <w:t xml:space="preserve"> are valued for their spring display of pink, red, or white bracts in May and June, brilliant-red fall foliage, and exfoliating bark</w:t>
      </w:r>
      <w:r w:rsidR="00B57D6C"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and were introduced from Eastern Asia to the US because of their general high resistance to insects and pathogens</w:t>
      </w:r>
      <w:r w:rsidR="00B57D6C"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and overall better stress tolerance compared to flowering dogwood (Ranney et al., 1995; Li et al., 2009</w:t>
      </w:r>
      <w:r w:rsidR="001400C2"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Wadl et al., 2014).</w:t>
      </w:r>
      <w:proofErr w:type="gramEnd"/>
      <w:r w:rsidRPr="003E7C59">
        <w:rPr>
          <w:rFonts w:ascii="Arial" w:hAnsi="Arial" w:cs="Arial"/>
          <w:color w:val="000000" w:themeColor="text1"/>
          <w:sz w:val="22"/>
          <w:szCs w:val="22"/>
        </w:rPr>
        <w:t xml:space="preserve"> </w:t>
      </w:r>
    </w:p>
    <w:p w14:paraId="67AD0D35" w14:textId="40D0D290"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lastRenderedPageBreak/>
        <w:t xml:space="preserve">Time-demanding dogwood cultivar development typically depends on repeated selection for desirable traits. </w:t>
      </w:r>
      <w:proofErr w:type="gramStart"/>
      <w:r w:rsidRPr="003E7C59">
        <w:rPr>
          <w:rFonts w:ascii="Arial" w:hAnsi="Arial" w:cs="Arial"/>
          <w:color w:val="000000" w:themeColor="text1"/>
          <w:sz w:val="22"/>
          <w:szCs w:val="22"/>
        </w:rPr>
        <w:t>Hence, it needs to overcome several challenges, such as a long juvenile period (3 to 5 years), self-incompatibility, inbreeding depression, and high susceptibility of flowering dogwood to powdery mildew (PM) and anthracnose (</w:t>
      </w:r>
      <w:r w:rsidRPr="003E7C59">
        <w:rPr>
          <w:rFonts w:ascii="Arial" w:hAnsi="Arial" w:cs="Arial"/>
          <w:color w:val="000000" w:themeColor="text1"/>
          <w:sz w:val="22"/>
          <w:szCs w:val="22"/>
          <w:shd w:val="clear" w:color="auto" w:fill="FCFCFC"/>
        </w:rPr>
        <w:t xml:space="preserve">Gunatilleke and Gunatilleke, </w:t>
      </w:r>
      <w:r w:rsidRPr="003E7C59">
        <w:rPr>
          <w:rFonts w:ascii="Arial" w:hAnsi="Arial" w:cs="Arial"/>
          <w:color w:val="000000" w:themeColor="text1"/>
          <w:sz w:val="22"/>
          <w:szCs w:val="22"/>
        </w:rPr>
        <w:t xml:space="preserve">1984; </w:t>
      </w:r>
      <w:r w:rsidRPr="003E7C59">
        <w:rPr>
          <w:rFonts w:ascii="Arial" w:hAnsi="Arial" w:cs="Arial"/>
          <w:color w:val="000000" w:themeColor="text1"/>
          <w:sz w:val="22"/>
          <w:szCs w:val="22"/>
          <w:shd w:val="clear" w:color="auto" w:fill="FCFCFC"/>
        </w:rPr>
        <w:t>Ament et al., </w:t>
      </w:r>
      <w:r w:rsidRPr="003E7C59">
        <w:rPr>
          <w:rFonts w:ascii="Arial" w:hAnsi="Arial" w:cs="Arial"/>
          <w:color w:val="000000" w:themeColor="text1"/>
          <w:sz w:val="22"/>
          <w:szCs w:val="22"/>
        </w:rPr>
        <w:t>2000</w:t>
      </w:r>
      <w:r w:rsidRPr="003E7C59">
        <w:rPr>
          <w:rFonts w:ascii="Arial" w:hAnsi="Arial" w:cs="Arial"/>
          <w:color w:val="000000" w:themeColor="text1"/>
          <w:sz w:val="22"/>
          <w:szCs w:val="22"/>
          <w:shd w:val="clear" w:color="auto" w:fill="FCFCFC"/>
        </w:rPr>
        <w:t>; Reed, </w:t>
      </w:r>
      <w:r w:rsidRPr="003E7C59">
        <w:rPr>
          <w:rFonts w:ascii="Arial" w:hAnsi="Arial" w:cs="Arial"/>
          <w:color w:val="000000" w:themeColor="text1"/>
          <w:sz w:val="22"/>
          <w:szCs w:val="22"/>
        </w:rPr>
        <w:t>2004; Wang et al., 2009; Hadziabdic et al., 2010; Hagan et al., 2011; Wadl et al., 2011; Mantooth et al., 2017).</w:t>
      </w:r>
      <w:proofErr w:type="gramEnd"/>
      <w:r w:rsidRPr="003E7C59">
        <w:rPr>
          <w:rFonts w:ascii="Arial" w:hAnsi="Arial" w:cs="Arial"/>
          <w:color w:val="000000" w:themeColor="text1"/>
          <w:sz w:val="22"/>
          <w:szCs w:val="22"/>
        </w:rPr>
        <w:t xml:space="preserve"> For instance, white</w:t>
      </w:r>
      <w:r w:rsidR="002A06AF"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bracted cultivars 'Kay's Appalachian </w:t>
      </w:r>
      <w:proofErr w:type="gramStart"/>
      <w:r w:rsidRPr="003E7C59">
        <w:rPr>
          <w:rFonts w:ascii="Arial" w:hAnsi="Arial" w:cs="Arial"/>
          <w:color w:val="000000" w:themeColor="text1"/>
          <w:sz w:val="22"/>
          <w:szCs w:val="22"/>
        </w:rPr>
        <w:t>Mist, 'Jean's Appalachian Snow,' and 'Karen's Appalachian Blush' are resistant to dogwood PM (Windham et al., 2003).</w:t>
      </w:r>
      <w:proofErr w:type="gramEnd"/>
      <w:r w:rsidRPr="003E7C59">
        <w:rPr>
          <w:rFonts w:ascii="Arial" w:hAnsi="Arial" w:cs="Arial"/>
          <w:color w:val="000000" w:themeColor="text1"/>
          <w:sz w:val="22"/>
          <w:szCs w:val="22"/>
        </w:rPr>
        <w:t xml:space="preserve"> However, they lack desirable dark red or pink bracts of cultivars belonging to the Cherokee series, such as 'Cherokee Brave,' 'Cherokee Chief,' 'Cherokee Sunset,' and ‘Appalachian Sunrise</w:t>
      </w:r>
      <w:r w:rsidR="00001F68"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which are generally considered either moderately or susceptible to dogwood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(Thurn et al., 2019). </w:t>
      </w:r>
      <w:r w:rsidR="003C4F85" w:rsidRPr="003E7C59">
        <w:rPr>
          <w:rFonts w:ascii="Arial" w:hAnsi="Arial" w:cs="Arial"/>
          <w:color w:val="000000" w:themeColor="text1"/>
          <w:sz w:val="22"/>
          <w:szCs w:val="22"/>
        </w:rPr>
        <w:t xml:space="preserve">Most </w:t>
      </w:r>
      <w:r w:rsidRPr="003E7C59">
        <w:rPr>
          <w:rFonts w:ascii="Arial" w:hAnsi="Arial" w:cs="Arial"/>
          <w:color w:val="000000" w:themeColor="text1"/>
          <w:sz w:val="22"/>
          <w:szCs w:val="22"/>
        </w:rPr>
        <w:t xml:space="preserve">Asian dogwoods </w:t>
      </w:r>
      <w:r w:rsidR="001400C2" w:rsidRPr="003E7C59">
        <w:rPr>
          <w:rFonts w:ascii="Arial" w:hAnsi="Arial" w:cs="Arial"/>
          <w:color w:val="000000" w:themeColor="text1"/>
          <w:sz w:val="22"/>
          <w:szCs w:val="22"/>
        </w:rPr>
        <w:t xml:space="preserve">typically </w:t>
      </w:r>
      <w:r w:rsidRPr="003E7C59">
        <w:rPr>
          <w:rFonts w:ascii="Arial" w:hAnsi="Arial" w:cs="Arial"/>
          <w:color w:val="000000" w:themeColor="text1"/>
          <w:sz w:val="22"/>
          <w:szCs w:val="22"/>
        </w:rPr>
        <w:t>lack variation in bracts colors and usually do not display a range of bract colors from white to dark red as flowering dogwoods do (Cappiello and Shadow, 2005; Molnar et al., 2017).</w:t>
      </w:r>
      <w:r w:rsidR="003C4F85" w:rsidRPr="003E7C59">
        <w:rPr>
          <w:rFonts w:ascii="Arial" w:hAnsi="Arial" w:cs="Arial"/>
          <w:color w:val="000000" w:themeColor="text1"/>
          <w:sz w:val="22"/>
          <w:szCs w:val="22"/>
        </w:rPr>
        <w:t xml:space="preserve"> </w:t>
      </w:r>
      <w:r w:rsidR="001400C2" w:rsidRPr="003E7C59">
        <w:rPr>
          <w:rFonts w:ascii="Arial" w:hAnsi="Arial" w:cs="Arial"/>
          <w:color w:val="000000" w:themeColor="text1"/>
          <w:sz w:val="22"/>
          <w:szCs w:val="22"/>
        </w:rPr>
        <w:t>However</w:t>
      </w:r>
      <w:r w:rsidRPr="003E7C59">
        <w:rPr>
          <w:rFonts w:ascii="Arial" w:hAnsi="Arial" w:cs="Arial"/>
          <w:color w:val="000000" w:themeColor="text1"/>
          <w:sz w:val="22"/>
          <w:szCs w:val="22"/>
        </w:rPr>
        <w:t xml:space="preserve">, there are </w:t>
      </w:r>
      <w:r w:rsidR="001400C2" w:rsidRPr="003E7C59">
        <w:rPr>
          <w:rFonts w:ascii="Arial" w:hAnsi="Arial" w:cs="Arial"/>
          <w:color w:val="000000" w:themeColor="text1"/>
          <w:sz w:val="22"/>
          <w:szCs w:val="22"/>
        </w:rPr>
        <w:t xml:space="preserve">a few </w:t>
      </w:r>
      <w:r w:rsidRPr="003E7C59">
        <w:rPr>
          <w:rFonts w:ascii="Arial" w:hAnsi="Arial" w:cs="Arial"/>
          <w:color w:val="000000" w:themeColor="text1"/>
          <w:sz w:val="22"/>
          <w:szCs w:val="22"/>
        </w:rPr>
        <w:t>cultivars exhibiting dark to bright red or pink bract</w:t>
      </w:r>
      <w:r w:rsidR="001400C2"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such as </w:t>
      </w:r>
      <w:r w:rsidR="00042905" w:rsidRPr="003E7C59">
        <w:rPr>
          <w:rFonts w:ascii="Arial" w:hAnsi="Arial" w:cs="Arial"/>
          <w:color w:val="000000" w:themeColor="text1"/>
          <w:sz w:val="22"/>
          <w:szCs w:val="22"/>
        </w:rPr>
        <w:t>'Rosy Teacups,' 'Miss Satomi,' and 'Rutpink' (Trigiano et al., 2004; Molnar et al., 2017).</w:t>
      </w:r>
    </w:p>
    <w:p w14:paraId="79DC8E66" w14:textId="77777777" w:rsidR="00042905" w:rsidRPr="003E7C59" w:rsidRDefault="00042905" w:rsidP="006622F2">
      <w:pPr>
        <w:spacing w:line="360" w:lineRule="auto"/>
        <w:ind w:firstLine="720"/>
        <w:rPr>
          <w:rFonts w:ascii="Arial" w:hAnsi="Arial" w:cs="Arial"/>
          <w:color w:val="000000" w:themeColor="text1"/>
          <w:sz w:val="22"/>
          <w:szCs w:val="22"/>
        </w:rPr>
      </w:pPr>
    </w:p>
    <w:p w14:paraId="74E08597" w14:textId="5D1287D3"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Desirable pink or dark red colors in flowering dogwoods bracts </w:t>
      </w:r>
      <w:proofErr w:type="gramStart"/>
      <w:r w:rsidRPr="003E7C59">
        <w:rPr>
          <w:rFonts w:ascii="Arial" w:hAnsi="Arial" w:cs="Arial"/>
          <w:color w:val="000000" w:themeColor="text1"/>
          <w:sz w:val="22"/>
          <w:szCs w:val="22"/>
        </w:rPr>
        <w:t>are enhanced</w:t>
      </w:r>
      <w:proofErr w:type="gramEnd"/>
      <w:r w:rsidRPr="003E7C59">
        <w:rPr>
          <w:rFonts w:ascii="Arial" w:hAnsi="Arial" w:cs="Arial"/>
          <w:color w:val="000000" w:themeColor="text1"/>
          <w:sz w:val="22"/>
          <w:szCs w:val="22"/>
        </w:rPr>
        <w:t xml:space="preserve"> by anthocyanin biosynthesis (Wadl et al., 2011). Anthocyanins are water-soluble flavonoids in various plant organs, including leaves, bracts, flowers, fruits, stems, and roots (Zhang et al., 2014). More than 600 naturally occurring anthocyanins </w:t>
      </w:r>
      <w:proofErr w:type="gramStart"/>
      <w:r w:rsidRPr="003E7C59">
        <w:rPr>
          <w:rFonts w:ascii="Arial" w:hAnsi="Arial" w:cs="Arial"/>
          <w:color w:val="000000" w:themeColor="text1"/>
          <w:sz w:val="22"/>
          <w:szCs w:val="22"/>
        </w:rPr>
        <w:t>have been identified</w:t>
      </w:r>
      <w:proofErr w:type="gramEnd"/>
      <w:r w:rsidRPr="003E7C59">
        <w:rPr>
          <w:rFonts w:ascii="Arial" w:hAnsi="Arial" w:cs="Arial"/>
          <w:color w:val="000000" w:themeColor="text1"/>
          <w:sz w:val="22"/>
          <w:szCs w:val="22"/>
        </w:rPr>
        <w:t xml:space="preserve"> </w:t>
      </w:r>
      <w:r w:rsidRPr="003E7C59">
        <w:rPr>
          <w:rFonts w:ascii="Arial" w:hAnsi="Arial" w:cs="Arial"/>
          <w:i/>
          <w:color w:val="000000" w:themeColor="text1"/>
          <w:sz w:val="22"/>
          <w:szCs w:val="22"/>
        </w:rPr>
        <w:t>in</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planta </w:t>
      </w:r>
      <w:r w:rsidRPr="003E7C59">
        <w:rPr>
          <w:rFonts w:ascii="Arial" w:hAnsi="Arial" w:cs="Arial"/>
          <w:color w:val="000000" w:themeColor="text1"/>
          <w:sz w:val="22"/>
          <w:szCs w:val="22"/>
        </w:rPr>
        <w:t xml:space="preserve">(Smeriglio et al., 2016). They differ in their function, such as color, </w:t>
      </w:r>
      <w:r w:rsidR="00967EC0" w:rsidRPr="003E7C59">
        <w:rPr>
          <w:rFonts w:ascii="Arial" w:hAnsi="Arial" w:cs="Arial"/>
          <w:color w:val="000000" w:themeColor="text1"/>
          <w:sz w:val="22"/>
          <w:szCs w:val="22"/>
        </w:rPr>
        <w:t>or</w:t>
      </w:r>
      <w:r w:rsidRPr="003E7C59">
        <w:rPr>
          <w:rFonts w:ascii="Arial" w:hAnsi="Arial" w:cs="Arial"/>
          <w:color w:val="000000" w:themeColor="text1"/>
          <w:sz w:val="22"/>
          <w:szCs w:val="22"/>
        </w:rPr>
        <w:t xml:space="preserve"> bioavailability, based on anthocyanidin post-synthesis, which depends on the methylation of core anthocyanidins.  </w:t>
      </w:r>
      <w:r w:rsidRPr="003E7C59">
        <w:rPr>
          <w:rFonts w:ascii="Arial" w:hAnsi="Arial" w:cs="Arial"/>
          <w:i/>
          <w:iCs/>
          <w:color w:val="000000" w:themeColor="text1"/>
          <w:sz w:val="22"/>
          <w:szCs w:val="22"/>
        </w:rPr>
        <w:t>C</w:t>
      </w:r>
      <w:r w:rsidR="008439F5" w:rsidRPr="003E7C59">
        <w:rPr>
          <w:rFonts w:ascii="Arial" w:hAnsi="Arial" w:cs="Arial"/>
          <w:i/>
          <w:iCs/>
          <w:color w:val="000000" w:themeColor="text1"/>
          <w:sz w:val="22"/>
          <w:szCs w:val="22"/>
        </w:rPr>
        <w:t>.</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kousa</w:t>
      </w:r>
      <w:r w:rsidRPr="003E7C59">
        <w:rPr>
          <w:rFonts w:ascii="Arial" w:hAnsi="Arial" w:cs="Arial"/>
          <w:color w:val="000000" w:themeColor="text1"/>
          <w:sz w:val="22"/>
          <w:szCs w:val="22"/>
        </w:rPr>
        <w:t xml:space="preserve"> have similar anthocyanin profiles (Vareed et al., 2005). Anthocyanin biosynthesis is highly conserved in both angiosperms and gymnosperms. </w:t>
      </w:r>
      <w:proofErr w:type="gramStart"/>
      <w:r w:rsidRPr="003E7C59">
        <w:rPr>
          <w:rFonts w:ascii="Arial" w:hAnsi="Arial" w:cs="Arial"/>
          <w:color w:val="000000" w:themeColor="text1"/>
          <w:sz w:val="22"/>
          <w:szCs w:val="22"/>
        </w:rPr>
        <w:t xml:space="preserve">Two classes of genes control </w:t>
      </w:r>
      <w:r w:rsidR="00E153CB" w:rsidRPr="003E7C59">
        <w:rPr>
          <w:rFonts w:ascii="Arial" w:hAnsi="Arial" w:cs="Arial"/>
          <w:color w:val="000000" w:themeColor="text1"/>
          <w:sz w:val="22"/>
          <w:szCs w:val="22"/>
        </w:rPr>
        <w:t xml:space="preserve">the </w:t>
      </w:r>
      <w:r w:rsidRPr="003E7C59">
        <w:rPr>
          <w:rFonts w:ascii="Arial" w:hAnsi="Arial" w:cs="Arial"/>
          <w:color w:val="000000" w:themeColor="text1"/>
          <w:sz w:val="22"/>
          <w:szCs w:val="22"/>
        </w:rPr>
        <w:t>biosynthesis of anthocyanins and other phenylpropanoid-derived compounds: the structural genes encoding the enzymes participating in the formation of anthocyanins and the regulatory genes network consisting of the following three types of transcription factors (TFs): MYB (v-myb avian myeloblastosis viral oncogene homolog) protein, bHLH (basic helix-loop-helix) protein, and WD repeat protein (WDR) (Allan et al., 2008; Dubos et al., 2010; Zhang et al. 2014).</w:t>
      </w:r>
      <w:proofErr w:type="gramEnd"/>
      <w:r w:rsidRPr="003E7C59">
        <w:rPr>
          <w:rFonts w:ascii="Arial" w:hAnsi="Arial" w:cs="Arial"/>
          <w:color w:val="000000" w:themeColor="text1"/>
          <w:sz w:val="22"/>
          <w:szCs w:val="22"/>
        </w:rPr>
        <w:t xml:space="preserve"> </w:t>
      </w:r>
      <w:r w:rsidR="001400C2" w:rsidRPr="003E7C59">
        <w:rPr>
          <w:rFonts w:ascii="Arial" w:hAnsi="Arial" w:cs="Arial"/>
          <w:color w:val="000000" w:themeColor="text1"/>
          <w:sz w:val="22"/>
          <w:szCs w:val="22"/>
        </w:rPr>
        <w:t xml:space="preserve">The </w:t>
      </w:r>
      <w:r w:rsidRPr="003E7C59">
        <w:rPr>
          <w:rFonts w:ascii="Arial" w:hAnsi="Arial" w:cs="Arial"/>
          <w:color w:val="000000" w:themeColor="text1"/>
          <w:sz w:val="22"/>
          <w:szCs w:val="22"/>
        </w:rPr>
        <w:t xml:space="preserve">MYB TF family is one of the largest </w:t>
      </w:r>
      <w:r w:rsidR="001400C2" w:rsidRPr="003E7C59">
        <w:rPr>
          <w:rFonts w:ascii="Arial" w:hAnsi="Arial" w:cs="Arial"/>
          <w:color w:val="000000" w:themeColor="text1"/>
          <w:sz w:val="22"/>
          <w:szCs w:val="22"/>
        </w:rPr>
        <w:t xml:space="preserve">in </w:t>
      </w:r>
      <w:r w:rsidRPr="003E7C59">
        <w:rPr>
          <w:rFonts w:ascii="Arial" w:hAnsi="Arial" w:cs="Arial"/>
          <w:color w:val="000000" w:themeColor="text1"/>
          <w:sz w:val="22"/>
          <w:szCs w:val="22"/>
        </w:rPr>
        <w:t xml:space="preserve">plants and regulates various metabolic pathways gene superfamily. It </w:t>
      </w:r>
      <w:proofErr w:type="gramStart"/>
      <w:r w:rsidRPr="003E7C59">
        <w:rPr>
          <w:rFonts w:ascii="Arial" w:hAnsi="Arial" w:cs="Arial"/>
          <w:color w:val="000000" w:themeColor="text1"/>
          <w:sz w:val="22"/>
          <w:szCs w:val="22"/>
        </w:rPr>
        <w:t>is divided</w:t>
      </w:r>
      <w:proofErr w:type="gramEnd"/>
      <w:r w:rsidRPr="003E7C59">
        <w:rPr>
          <w:rFonts w:ascii="Arial" w:hAnsi="Arial" w:cs="Arial"/>
          <w:color w:val="000000" w:themeColor="text1"/>
          <w:sz w:val="22"/>
          <w:szCs w:val="22"/>
        </w:rPr>
        <w:t xml:space="preserve"> into the following four families: 1R-MYB, 2RMYB (R2R3), 3R- MYB, and 4R-MYB, based on the number of domain repeats. (Lipsick, 1996; Rosinski and Atchley, 1998; Kranz et al., 2000; Dubos et al., 2010; Jiang et al., 2020). </w:t>
      </w:r>
      <w:r w:rsidRPr="003E7C59">
        <w:rPr>
          <w:rFonts w:ascii="Arial" w:hAnsi="Arial" w:cs="Arial"/>
          <w:i/>
          <w:iCs/>
          <w:color w:val="000000" w:themeColor="text1"/>
          <w:sz w:val="22"/>
          <w:szCs w:val="22"/>
        </w:rPr>
        <w:t>R2R3-MYB</w:t>
      </w:r>
      <w:r w:rsidRPr="003E7C59">
        <w:rPr>
          <w:rFonts w:ascii="Arial" w:hAnsi="Arial" w:cs="Arial"/>
          <w:color w:val="000000" w:themeColor="text1"/>
          <w:sz w:val="22"/>
          <w:szCs w:val="22"/>
        </w:rPr>
        <w:t xml:space="preserve"> gene family </w:t>
      </w:r>
      <w:proofErr w:type="gramStart"/>
      <w:r w:rsidRPr="003E7C59">
        <w:rPr>
          <w:rFonts w:ascii="Arial" w:hAnsi="Arial" w:cs="Arial"/>
          <w:color w:val="000000" w:themeColor="text1"/>
          <w:sz w:val="22"/>
          <w:szCs w:val="22"/>
        </w:rPr>
        <w:t>has been classified</w:t>
      </w:r>
      <w:proofErr w:type="gramEnd"/>
      <w:r w:rsidRPr="003E7C59">
        <w:rPr>
          <w:rFonts w:ascii="Arial" w:hAnsi="Arial" w:cs="Arial"/>
          <w:color w:val="000000" w:themeColor="text1"/>
          <w:sz w:val="22"/>
          <w:szCs w:val="22"/>
        </w:rPr>
        <w:t xml:space="preserve"> into 23 to 90 subgroups (Du et al., 2015; Jiang et al., </w:t>
      </w:r>
      <w:r w:rsidRPr="003E7C59">
        <w:rPr>
          <w:rFonts w:ascii="Arial" w:hAnsi="Arial" w:cs="Arial"/>
          <w:color w:val="000000" w:themeColor="text1"/>
          <w:sz w:val="22"/>
          <w:szCs w:val="22"/>
        </w:rPr>
        <w:lastRenderedPageBreak/>
        <w:t xml:space="preserve">2020; Li et al., 2020). Accordingly, each R2R3-MYB subgroup regulates a specific metabolism pathway (Wu et al., 2022). Anthocyanin and </w:t>
      </w:r>
      <w:r w:rsidR="006D6E08" w:rsidRPr="003E7C59">
        <w:rPr>
          <w:rFonts w:ascii="Arial" w:hAnsi="Arial" w:cs="Arial"/>
          <w:color w:val="000000" w:themeColor="text1"/>
          <w:sz w:val="22"/>
          <w:szCs w:val="22"/>
        </w:rPr>
        <w:t>proanthocyanidin</w:t>
      </w:r>
      <w:r w:rsidRPr="003E7C59">
        <w:rPr>
          <w:rFonts w:ascii="Arial" w:hAnsi="Arial" w:cs="Arial"/>
          <w:color w:val="000000" w:themeColor="text1"/>
          <w:sz w:val="22"/>
          <w:szCs w:val="22"/>
        </w:rPr>
        <w:t xml:space="preserve"> activators of subgroup 5 require specific bHLH TFs to </w:t>
      </w:r>
      <w:r w:rsidR="006D6E08" w:rsidRPr="003E7C59">
        <w:rPr>
          <w:rFonts w:ascii="Arial" w:hAnsi="Arial" w:cs="Arial"/>
          <w:color w:val="000000" w:themeColor="text1"/>
          <w:sz w:val="22"/>
          <w:szCs w:val="22"/>
        </w:rPr>
        <w:t>trigger</w:t>
      </w:r>
      <w:r w:rsidRPr="003E7C59">
        <w:rPr>
          <w:rFonts w:ascii="Arial" w:hAnsi="Arial" w:cs="Arial"/>
          <w:color w:val="000000" w:themeColor="text1"/>
          <w:sz w:val="22"/>
          <w:szCs w:val="22"/>
        </w:rPr>
        <w:t xml:space="preserve"> </w:t>
      </w:r>
      <w:r w:rsidR="006D6E08" w:rsidRPr="003E7C59">
        <w:rPr>
          <w:rFonts w:ascii="Arial" w:hAnsi="Arial" w:cs="Arial"/>
          <w:color w:val="000000" w:themeColor="text1"/>
          <w:sz w:val="22"/>
          <w:szCs w:val="22"/>
        </w:rPr>
        <w:t xml:space="preserve">the </w:t>
      </w:r>
      <w:r w:rsidRPr="003E7C59">
        <w:rPr>
          <w:rFonts w:ascii="Arial" w:hAnsi="Arial" w:cs="Arial"/>
          <w:color w:val="000000" w:themeColor="text1"/>
          <w:sz w:val="22"/>
          <w:szCs w:val="22"/>
        </w:rPr>
        <w:t xml:space="preserve">transcription of structural genes. However, MYB repressors, which act to reduce anthocyanin biosynthesis, belong exclusively to subgroup 4.  Candidate genes controlling anthocyanin synthesis, an essential pigment for bract, flower, and leaf color, </w:t>
      </w:r>
      <w:proofErr w:type="gramStart"/>
      <w:r w:rsidRPr="003E7C59">
        <w:rPr>
          <w:rFonts w:ascii="Arial" w:hAnsi="Arial" w:cs="Arial"/>
          <w:color w:val="000000" w:themeColor="text1"/>
          <w:sz w:val="22"/>
          <w:szCs w:val="22"/>
        </w:rPr>
        <w:t>have not been identified</w:t>
      </w:r>
      <w:proofErr w:type="gramEnd"/>
      <w:r w:rsidRPr="003E7C59">
        <w:rPr>
          <w:rFonts w:ascii="Arial" w:hAnsi="Arial" w:cs="Arial"/>
          <w:color w:val="000000" w:themeColor="text1"/>
          <w:sz w:val="22"/>
          <w:szCs w:val="22"/>
        </w:rPr>
        <w:t xml:space="preserve"> yet in most ornamental woody plants. </w:t>
      </w:r>
      <w:proofErr w:type="gramStart"/>
      <w:r w:rsidRPr="003E7C59">
        <w:rPr>
          <w:rFonts w:ascii="Arial" w:hAnsi="Arial" w:cs="Arial"/>
          <w:color w:val="000000" w:themeColor="text1"/>
          <w:sz w:val="22"/>
          <w:szCs w:val="22"/>
        </w:rPr>
        <w:t>In dogwoods, research on flavonoid biosynthesis has been limited and includes studies on quantitative trait loci (QTL) associated with red foliage color and the mode of inheritance.</w:t>
      </w:r>
      <w:proofErr w:type="gramEnd"/>
      <w:r w:rsidRPr="003E7C59">
        <w:rPr>
          <w:rFonts w:ascii="Arial" w:hAnsi="Arial" w:cs="Arial"/>
          <w:color w:val="000000" w:themeColor="text1"/>
          <w:sz w:val="22"/>
          <w:szCs w:val="22"/>
        </w:rPr>
        <w:t xml:space="preserve"> Accordingly, four putative QTL associated with red foliage color were detected in segregating pseudo-F2 population of 94 individuals of flowering dogwood using 255 simple sequence repeat markers </w:t>
      </w:r>
      <w:r w:rsidR="00CB0C0C" w:rsidRPr="003E7C59">
        <w:rPr>
          <w:rFonts w:ascii="Arial" w:hAnsi="Arial" w:cs="Arial"/>
          <w:color w:val="000000" w:themeColor="text1"/>
          <w:sz w:val="22"/>
          <w:szCs w:val="22"/>
        </w:rPr>
        <w:t xml:space="preserve">(SSRs) </w:t>
      </w:r>
      <w:r w:rsidRPr="003E7C59">
        <w:rPr>
          <w:rFonts w:ascii="Arial" w:hAnsi="Arial" w:cs="Arial"/>
          <w:color w:val="000000" w:themeColor="text1"/>
          <w:sz w:val="22"/>
          <w:szCs w:val="22"/>
        </w:rPr>
        <w:t>(Wadl et al., 2011). Moreover, the segregation of phenotypes of the same population indicated that a complementary gene interaction, a form of epistasis, controls foliage color with a 9:7 two-gene ratio (Wadl et al.,</w:t>
      </w:r>
      <w:r w:rsidR="001400C2"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2010). </w:t>
      </w:r>
    </w:p>
    <w:p w14:paraId="6471DBCD" w14:textId="77777777" w:rsidR="00B51BF9" w:rsidRPr="003E7C59" w:rsidRDefault="00B51BF9" w:rsidP="006622F2">
      <w:pPr>
        <w:spacing w:line="360" w:lineRule="auto"/>
        <w:ind w:firstLine="720"/>
        <w:rPr>
          <w:rFonts w:ascii="Arial" w:hAnsi="Arial" w:cs="Arial"/>
          <w:color w:val="000000" w:themeColor="text1"/>
          <w:sz w:val="22"/>
          <w:szCs w:val="22"/>
        </w:rPr>
      </w:pPr>
    </w:p>
    <w:p w14:paraId="7F0A41AD" w14:textId="16774EE1"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Although flavonoid pigment biosynthesis is one of the best-studied biological processes in nature and </w:t>
      </w:r>
      <w:r w:rsidRPr="003E7C59">
        <w:rPr>
          <w:rFonts w:ascii="Arial" w:hAnsi="Arial" w:cs="Arial"/>
          <w:i/>
          <w:color w:val="000000" w:themeColor="text1"/>
          <w:sz w:val="22"/>
          <w:szCs w:val="22"/>
        </w:rPr>
        <w:t xml:space="preserve">R2R3-MYBs </w:t>
      </w:r>
      <w:r w:rsidRPr="003E7C59">
        <w:rPr>
          <w:rFonts w:ascii="Arial" w:hAnsi="Arial" w:cs="Arial"/>
          <w:color w:val="000000" w:themeColor="text1"/>
          <w:sz w:val="22"/>
          <w:szCs w:val="22"/>
        </w:rPr>
        <w:t>are widely distributed in the plant kingdom, key players involved in phenylpropanoid pathway and anthocyanin</w:t>
      </w:r>
      <w:r w:rsidR="003A06D0" w:rsidRPr="003E7C59">
        <w:rPr>
          <w:rFonts w:ascii="Arial" w:hAnsi="Arial" w:cs="Arial"/>
          <w:color w:val="000000" w:themeColor="text1"/>
          <w:sz w:val="22"/>
          <w:szCs w:val="22"/>
        </w:rPr>
        <w:t>, and proanthocyanidin</w:t>
      </w:r>
      <w:r w:rsidRPr="003E7C59">
        <w:rPr>
          <w:rFonts w:ascii="Arial" w:hAnsi="Arial" w:cs="Arial"/>
          <w:color w:val="000000" w:themeColor="text1"/>
          <w:sz w:val="22"/>
          <w:szCs w:val="22"/>
        </w:rPr>
        <w:t xml:space="preserve"> regulation in flowering and Asian dogwood have not been identified. This delays</w:t>
      </w:r>
      <w:sdt>
        <w:sdtPr>
          <w:rPr>
            <w:rFonts w:ascii="Arial" w:hAnsi="Arial" w:cs="Arial"/>
            <w:color w:val="000000" w:themeColor="text1"/>
            <w:sz w:val="22"/>
            <w:szCs w:val="22"/>
          </w:rPr>
          <w:tag w:val="goog_rdk_37"/>
          <w:id w:val="933479151"/>
        </w:sdtPr>
        <w:sdtEndPr/>
        <w:sdtContent>
          <w:r w:rsidRPr="003E7C59">
            <w:rPr>
              <w:rFonts w:ascii="Arial" w:hAnsi="Arial" w:cs="Arial"/>
              <w:color w:val="000000" w:themeColor="text1"/>
              <w:sz w:val="22"/>
              <w:szCs w:val="22"/>
            </w:rPr>
            <w:t xml:space="preserve"> </w:t>
          </w:r>
        </w:sdtContent>
      </w:sdt>
      <w:r w:rsidRPr="003E7C59">
        <w:rPr>
          <w:rFonts w:ascii="Arial" w:hAnsi="Arial" w:cs="Arial"/>
          <w:color w:val="000000" w:themeColor="text1"/>
          <w:sz w:val="22"/>
          <w:szCs w:val="22"/>
        </w:rPr>
        <w:t xml:space="preserve">the development of functional markers or the application of marker-assisted selection (MAS) for color in leaves and bracts in dogwood breeding. </w:t>
      </w:r>
    </w:p>
    <w:p w14:paraId="478693DE" w14:textId="77777777" w:rsidR="00B51BF9" w:rsidRPr="003E7C59" w:rsidRDefault="00B51BF9" w:rsidP="006622F2">
      <w:pPr>
        <w:spacing w:line="360" w:lineRule="auto"/>
        <w:ind w:firstLine="720"/>
        <w:rPr>
          <w:rFonts w:ascii="Arial" w:hAnsi="Arial" w:cs="Arial"/>
          <w:color w:val="000000" w:themeColor="text1"/>
          <w:sz w:val="22"/>
          <w:szCs w:val="22"/>
        </w:rPr>
      </w:pPr>
    </w:p>
    <w:p w14:paraId="10E3759B" w14:textId="6E1D2CA3"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Dogwoods are </w:t>
      </w:r>
      <w:r w:rsidR="00A27413" w:rsidRPr="003E7C59">
        <w:rPr>
          <w:rFonts w:ascii="Arial" w:hAnsi="Arial" w:cs="Arial"/>
          <w:color w:val="000000" w:themeColor="text1"/>
          <w:sz w:val="22"/>
          <w:szCs w:val="22"/>
        </w:rPr>
        <w:t xml:space="preserve">susceptible </w:t>
      </w:r>
      <w:r w:rsidRPr="003E7C59">
        <w:rPr>
          <w:rFonts w:ascii="Arial" w:hAnsi="Arial" w:cs="Arial"/>
          <w:color w:val="000000" w:themeColor="text1"/>
          <w:sz w:val="22"/>
          <w:szCs w:val="22"/>
        </w:rPr>
        <w:t xml:space="preserve">to </w:t>
      </w:r>
      <w:r w:rsidR="00A27413" w:rsidRPr="003E7C59">
        <w:rPr>
          <w:rFonts w:ascii="Arial" w:hAnsi="Arial" w:cs="Arial"/>
          <w:color w:val="000000" w:themeColor="text1"/>
          <w:sz w:val="22"/>
          <w:szCs w:val="22"/>
        </w:rPr>
        <w:t xml:space="preserve">a myriad of </w:t>
      </w:r>
      <w:r w:rsidRPr="003E7C59">
        <w:rPr>
          <w:rFonts w:ascii="Arial" w:hAnsi="Arial" w:cs="Arial"/>
          <w:color w:val="000000" w:themeColor="text1"/>
          <w:sz w:val="22"/>
          <w:szCs w:val="22"/>
        </w:rPr>
        <w:t xml:space="preserve">fungal diseases of different etiologies that produce spots and blights on flowers and leaves, cankers and dieback on twigs and branches, root rots, and result in tree loss (Windham et al., 1997; Windham et al., 2005; Li et al., 2009; Hadziabdic et al., 2010; </w:t>
      </w:r>
      <w:r w:rsidRPr="003E7C59">
        <w:rPr>
          <w:rFonts w:ascii="Arial" w:hAnsi="Arial" w:cs="Arial"/>
          <w:color w:val="000000" w:themeColor="text1"/>
          <w:sz w:val="22"/>
          <w:szCs w:val="22"/>
          <w:shd w:val="clear" w:color="auto" w:fill="FFFFFF"/>
        </w:rPr>
        <w:t>Mantooth et al., 2017</w:t>
      </w:r>
      <w:r w:rsidRPr="003E7C59">
        <w:rPr>
          <w:rFonts w:ascii="Arial" w:hAnsi="Arial" w:cs="Arial"/>
          <w:color w:val="000000" w:themeColor="text1"/>
          <w:sz w:val="22"/>
          <w:szCs w:val="22"/>
        </w:rPr>
        <w:t xml:space="preserve">). Most fungal diseases lower esthetic value and fruit production. However, PM, caused by </w:t>
      </w:r>
      <w:r w:rsidRPr="003E7C59">
        <w:rPr>
          <w:rFonts w:ascii="Arial" w:hAnsi="Arial" w:cs="Arial"/>
          <w:i/>
          <w:iCs/>
          <w:color w:val="000000" w:themeColor="text1"/>
          <w:sz w:val="22"/>
          <w:szCs w:val="22"/>
        </w:rPr>
        <w:t xml:space="preserve">Erysiphe pulchra </w:t>
      </w:r>
      <w:r w:rsidRPr="003E7C59">
        <w:rPr>
          <w:rFonts w:ascii="Arial" w:hAnsi="Arial" w:cs="Arial"/>
          <w:color w:val="000000" w:themeColor="text1"/>
          <w:sz w:val="22"/>
          <w:szCs w:val="22"/>
        </w:rPr>
        <w:t>Cooke &amp; Peck</w:t>
      </w:r>
      <w:r w:rsidRPr="003E7C59">
        <w:rPr>
          <w:rFonts w:ascii="Arial" w:hAnsi="Arial" w:cs="Arial"/>
          <w:i/>
          <w:iCs/>
          <w:color w:val="000000" w:themeColor="text1"/>
          <w:sz w:val="22"/>
          <w:szCs w:val="22"/>
        </w:rPr>
        <w:t>,</w:t>
      </w:r>
      <w:r w:rsidRPr="003E7C59">
        <w:rPr>
          <w:rFonts w:ascii="Arial" w:hAnsi="Arial" w:cs="Arial"/>
          <w:color w:val="000000" w:themeColor="text1"/>
          <w:sz w:val="22"/>
          <w:szCs w:val="22"/>
        </w:rPr>
        <w:t xml:space="preserve"> and dogwood anthracnose, caused by </w:t>
      </w:r>
      <w:r w:rsidRPr="003E7C59">
        <w:rPr>
          <w:rFonts w:ascii="Arial" w:hAnsi="Arial" w:cs="Arial"/>
          <w:i/>
          <w:iCs/>
          <w:color w:val="000000" w:themeColor="text1"/>
          <w:sz w:val="22"/>
          <w:szCs w:val="22"/>
        </w:rPr>
        <w:t>Discula destructiva</w:t>
      </w:r>
      <w:r w:rsidRPr="003E7C59">
        <w:rPr>
          <w:rFonts w:ascii="Arial" w:hAnsi="Arial" w:cs="Arial"/>
          <w:color w:val="000000" w:themeColor="text1"/>
          <w:sz w:val="22"/>
          <w:szCs w:val="22"/>
        </w:rPr>
        <w:t xml:space="preserve"> Redlin are challenging commercial production and cause devastating damage to single trees and entire populations (Mantooth et al., 2017; Wyman et al., 2019). </w:t>
      </w:r>
      <w:proofErr w:type="gramStart"/>
      <w:r w:rsidRPr="003E7C59">
        <w:rPr>
          <w:rFonts w:ascii="Arial" w:hAnsi="Arial" w:cs="Arial"/>
          <w:i/>
          <w:iCs/>
          <w:color w:val="000000" w:themeColor="text1"/>
          <w:sz w:val="22"/>
          <w:szCs w:val="22"/>
        </w:rPr>
        <w:t>E.  pulchra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is an </w:t>
      </w:r>
      <w:r w:rsidRPr="003E7C59">
        <w:rPr>
          <w:rFonts w:ascii="Arial" w:hAnsi="Arial" w:cs="Arial"/>
          <w:color w:val="000000" w:themeColor="text1"/>
          <w:sz w:val="22"/>
          <w:szCs w:val="22"/>
          <w:shd w:val="clear" w:color="auto" w:fill="FFFFFF"/>
        </w:rPr>
        <w:t>obligate</w:t>
      </w:r>
      <w:r w:rsidRPr="003E7C59">
        <w:rPr>
          <w:rFonts w:ascii="Arial" w:hAnsi="Arial" w:cs="Arial"/>
          <w:iCs/>
          <w:color w:val="000000" w:themeColor="text1"/>
          <w:sz w:val="22"/>
          <w:szCs w:val="22"/>
        </w:rPr>
        <w:t xml:space="preserve"> biotrophic ascomycete and, in 1994, severely affected nurseries </w:t>
      </w:r>
      <w:r w:rsidRPr="003E7C59">
        <w:rPr>
          <w:rFonts w:ascii="Arial" w:hAnsi="Arial" w:cs="Arial"/>
          <w:color w:val="000000" w:themeColor="text1"/>
          <w:sz w:val="22"/>
          <w:szCs w:val="22"/>
        </w:rPr>
        <w:t xml:space="preserve">that specialized in dogwood production (Hagan et al. 1998). Resistant cultivars </w:t>
      </w:r>
      <w:proofErr w:type="gramStart"/>
      <w:r w:rsidRPr="003E7C59">
        <w:rPr>
          <w:rFonts w:ascii="Arial" w:hAnsi="Arial" w:cs="Arial"/>
          <w:color w:val="000000" w:themeColor="text1"/>
          <w:sz w:val="22"/>
          <w:szCs w:val="22"/>
        </w:rPr>
        <w:t>are seen</w:t>
      </w:r>
      <w:proofErr w:type="gramEnd"/>
      <w:r w:rsidRPr="003E7C59">
        <w:rPr>
          <w:rFonts w:ascii="Arial" w:hAnsi="Arial" w:cs="Arial"/>
          <w:color w:val="000000" w:themeColor="text1"/>
          <w:sz w:val="22"/>
          <w:szCs w:val="22"/>
        </w:rPr>
        <w:t xml:space="preserve"> as the best management strategy</w:t>
      </w:r>
      <w:r w:rsidR="000D6F92"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and their use eliminates the need for routine fungicide applications that raise biological, economic, and environmental concerns (Windham, 2003; Li et al., 2009; Riaz et al., 2011). Disease signs manifest as circular or irregular white patches of mycelia and conidia on the adaxial leaf surface. Symptoms display light and brown </w:t>
      </w:r>
      <w:r w:rsidRPr="003E7C59">
        <w:rPr>
          <w:rFonts w:ascii="Arial" w:hAnsi="Arial" w:cs="Arial"/>
          <w:color w:val="000000" w:themeColor="text1"/>
          <w:sz w:val="22"/>
          <w:szCs w:val="22"/>
        </w:rPr>
        <w:lastRenderedPageBreak/>
        <w:t xml:space="preserve">discolorations on leaves, leaf and flower malformation, and decreased plant size, rendering the dogwoods aesthetically undesirable.  Consequently, due to the emergence of </w:t>
      </w:r>
      <w:r w:rsidRPr="003E7C59">
        <w:rPr>
          <w:rFonts w:ascii="Arial" w:hAnsi="Arial" w:cs="Arial"/>
          <w:i/>
          <w:iCs/>
          <w:color w:val="000000" w:themeColor="text1"/>
          <w:sz w:val="22"/>
          <w:szCs w:val="22"/>
        </w:rPr>
        <w:t>D</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destructiva</w:t>
      </w:r>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E</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pulchra</w:t>
      </w:r>
      <w:r w:rsidRPr="003E7C59">
        <w:rPr>
          <w:rFonts w:ascii="Arial" w:hAnsi="Arial" w:cs="Arial"/>
          <w:color w:val="000000" w:themeColor="text1"/>
          <w:sz w:val="22"/>
          <w:szCs w:val="22"/>
        </w:rPr>
        <w:t xml:space="preserve"> pathogen</w:t>
      </w:r>
      <w:r w:rsidR="00A27413"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the management of flowering dogwood </w:t>
      </w:r>
      <w:r w:rsidR="00A27413" w:rsidRPr="003E7C59">
        <w:rPr>
          <w:rFonts w:ascii="Arial" w:hAnsi="Arial" w:cs="Arial"/>
          <w:color w:val="000000" w:themeColor="text1"/>
          <w:sz w:val="22"/>
          <w:szCs w:val="22"/>
        </w:rPr>
        <w:t xml:space="preserve">diseases </w:t>
      </w:r>
      <w:r w:rsidRPr="003E7C59">
        <w:rPr>
          <w:rFonts w:ascii="Arial" w:hAnsi="Arial" w:cs="Arial"/>
          <w:color w:val="000000" w:themeColor="text1"/>
          <w:sz w:val="22"/>
          <w:szCs w:val="22"/>
        </w:rPr>
        <w:t>and control costs increased from approximately $120/h</w:t>
      </w:r>
      <w:r w:rsidR="00A27413" w:rsidRPr="003E7C59">
        <w:rPr>
          <w:rFonts w:ascii="Arial" w:hAnsi="Arial" w:cs="Arial"/>
          <w:color w:val="000000" w:themeColor="text1"/>
          <w:sz w:val="22"/>
          <w:szCs w:val="22"/>
        </w:rPr>
        <w:t>a</w:t>
      </w:r>
      <w:r w:rsidRPr="003E7C59">
        <w:rPr>
          <w:rFonts w:ascii="Arial" w:hAnsi="Arial" w:cs="Arial"/>
          <w:color w:val="000000" w:themeColor="text1"/>
          <w:sz w:val="22"/>
          <w:szCs w:val="22"/>
        </w:rPr>
        <w:t>/year to $1,975/ha/year (Li et al., 2009).</w:t>
      </w:r>
      <w:r w:rsidR="00B27FE0"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However, the biotrophic nature of this fungus, difficulty in obtaining inoculum, and lack of information on host-pathogen interactions bring additional obstacles to investigating this pathosystem. </w:t>
      </w:r>
    </w:p>
    <w:p w14:paraId="11BD140F" w14:textId="77777777" w:rsidR="00B51BF9" w:rsidRPr="003E7C59" w:rsidRDefault="00B51BF9" w:rsidP="006622F2">
      <w:pPr>
        <w:spacing w:line="360" w:lineRule="auto"/>
        <w:rPr>
          <w:rFonts w:ascii="Arial" w:hAnsi="Arial" w:cs="Arial"/>
          <w:color w:val="000000" w:themeColor="text1"/>
          <w:sz w:val="22"/>
          <w:szCs w:val="22"/>
        </w:rPr>
      </w:pPr>
    </w:p>
    <w:p w14:paraId="1DB745FD" w14:textId="4339730D" w:rsidR="00B51BF9" w:rsidRPr="003E7C59" w:rsidRDefault="00B51BF9" w:rsidP="006622F2">
      <w:pPr>
        <w:spacing w:line="360" w:lineRule="auto"/>
        <w:ind w:firstLine="720"/>
        <w:rPr>
          <w:rFonts w:ascii="Arial" w:hAnsi="Arial" w:cs="Arial"/>
          <w:color w:val="000000" w:themeColor="text1"/>
          <w:sz w:val="22"/>
          <w:szCs w:val="22"/>
        </w:rPr>
      </w:pPr>
      <w:proofErr w:type="gramStart"/>
      <w:r w:rsidRPr="003E7C59">
        <w:rPr>
          <w:rFonts w:ascii="Arial" w:hAnsi="Arial" w:cs="Arial"/>
          <w:color w:val="000000" w:themeColor="text1"/>
          <w:sz w:val="22"/>
          <w:szCs w:val="22"/>
        </w:rPr>
        <w:t xml:space="preserve">Construction of genetic linkage maps and mapping of QTL </w:t>
      </w:r>
      <w:r w:rsidR="00F23F57" w:rsidRPr="003E7C59">
        <w:rPr>
          <w:rFonts w:ascii="Arial" w:hAnsi="Arial" w:cs="Arial"/>
          <w:color w:val="000000" w:themeColor="text1"/>
          <w:sz w:val="22"/>
          <w:szCs w:val="22"/>
        </w:rPr>
        <w:t>are</w:t>
      </w:r>
      <w:r w:rsidRPr="003E7C59">
        <w:rPr>
          <w:rFonts w:ascii="Arial" w:hAnsi="Arial" w:cs="Arial"/>
          <w:color w:val="000000" w:themeColor="text1"/>
          <w:sz w:val="22"/>
          <w:szCs w:val="22"/>
        </w:rPr>
        <w:t xml:space="preserve"> effective approaches to studying important traits, such as resistance against PM pathogens, and has been widely applied in cereals, vegetables, fruits, grapevine, and ornamental plants (Young, 1996; Calenge et Durel, 2006; Linde et al., 2006; Ribaut et al., 2009; Yuste-Lisbona et al., 2011; Parikh et al., 2017; Yang et al., 2021; Pfarr Moreau et al., 2022).</w:t>
      </w:r>
      <w:proofErr w:type="gramEnd"/>
      <w:r w:rsidRPr="003E7C59">
        <w:rPr>
          <w:rFonts w:ascii="Arial" w:hAnsi="Arial" w:cs="Arial"/>
          <w:color w:val="000000" w:themeColor="text1"/>
          <w:sz w:val="22"/>
          <w:szCs w:val="22"/>
        </w:rPr>
        <w:t xml:space="preserve"> </w:t>
      </w:r>
      <w:r w:rsidR="00572F5B" w:rsidRPr="003E7C59">
        <w:rPr>
          <w:rFonts w:ascii="Arial" w:hAnsi="Arial" w:cs="Arial"/>
          <w:color w:val="000000" w:themeColor="text1"/>
          <w:sz w:val="22"/>
          <w:szCs w:val="22"/>
        </w:rPr>
        <w:t xml:space="preserve">Four </w:t>
      </w:r>
      <w:r w:rsidRPr="003E7C59">
        <w:rPr>
          <w:rFonts w:ascii="Arial" w:hAnsi="Arial" w:cs="Arial"/>
          <w:color w:val="000000" w:themeColor="text1"/>
          <w:sz w:val="22"/>
          <w:szCs w:val="22"/>
        </w:rPr>
        <w:t xml:space="preserve">genetic linkage maps </w:t>
      </w:r>
      <w:proofErr w:type="gramStart"/>
      <w:r w:rsidRPr="003E7C59">
        <w:rPr>
          <w:rFonts w:ascii="Arial" w:hAnsi="Arial" w:cs="Arial"/>
          <w:color w:val="000000" w:themeColor="text1"/>
          <w:sz w:val="22"/>
          <w:szCs w:val="22"/>
        </w:rPr>
        <w:t>have been reported</w:t>
      </w:r>
      <w:proofErr w:type="gramEnd"/>
      <w:r w:rsidRPr="003E7C59">
        <w:rPr>
          <w:rFonts w:ascii="Arial" w:hAnsi="Arial" w:cs="Arial"/>
          <w:color w:val="000000" w:themeColor="text1"/>
          <w:sz w:val="22"/>
          <w:szCs w:val="22"/>
        </w:rPr>
        <w:t xml:space="preserve"> for flowering dogwoods (Wang et al., 2009; </w:t>
      </w:r>
      <w:r w:rsidR="00E36DB1" w:rsidRPr="003E7C59">
        <w:rPr>
          <w:rFonts w:ascii="Arial" w:hAnsi="Arial" w:cs="Arial"/>
          <w:color w:val="000000" w:themeColor="text1"/>
          <w:sz w:val="22"/>
          <w:szCs w:val="22"/>
        </w:rPr>
        <w:t xml:space="preserve">Parikh et al., 2017; </w:t>
      </w:r>
      <w:r w:rsidRPr="003E7C59">
        <w:rPr>
          <w:rFonts w:ascii="Arial" w:hAnsi="Arial" w:cs="Arial"/>
          <w:color w:val="000000" w:themeColor="text1"/>
          <w:sz w:val="22"/>
          <w:szCs w:val="22"/>
        </w:rPr>
        <w:t xml:space="preserve">Pfarr et al., 2022). The first linkage map </w:t>
      </w:r>
      <w:proofErr w:type="gramStart"/>
      <w:r w:rsidRPr="003E7C59">
        <w:rPr>
          <w:rFonts w:ascii="Arial" w:hAnsi="Arial" w:cs="Arial"/>
          <w:color w:val="000000" w:themeColor="text1"/>
          <w:sz w:val="22"/>
          <w:szCs w:val="22"/>
        </w:rPr>
        <w:t>was generated</w:t>
      </w:r>
      <w:proofErr w:type="gramEnd"/>
      <w:r w:rsidRPr="003E7C59">
        <w:rPr>
          <w:rFonts w:ascii="Arial" w:hAnsi="Arial" w:cs="Arial"/>
          <w:color w:val="000000" w:themeColor="text1"/>
          <w:sz w:val="22"/>
          <w:szCs w:val="22"/>
        </w:rPr>
        <w:t xml:space="preserve"> with 225 </w:t>
      </w:r>
      <w:r w:rsidR="00A27413" w:rsidRPr="003E7C59">
        <w:rPr>
          <w:rFonts w:ascii="Arial" w:hAnsi="Arial" w:cs="Arial"/>
          <w:color w:val="000000" w:themeColor="text1"/>
          <w:sz w:val="22"/>
          <w:szCs w:val="22"/>
        </w:rPr>
        <w:t>SSRs</w:t>
      </w:r>
      <w:r w:rsidRPr="003E7C59">
        <w:rPr>
          <w:rFonts w:ascii="Arial" w:hAnsi="Arial" w:cs="Arial"/>
          <w:color w:val="000000" w:themeColor="text1"/>
          <w:sz w:val="22"/>
          <w:szCs w:val="22"/>
        </w:rPr>
        <w:t xml:space="preserve"> and was constructed using a pseudo-F2 population of 94 individuals derived from honeybee mediated cross between </w:t>
      </w:r>
      <w:r w:rsidRPr="003E7C59">
        <w:rPr>
          <w:rFonts w:ascii="Cambria Math" w:hAnsi="Cambria Math" w:cs="Cambria Math"/>
          <w:color w:val="000000" w:themeColor="text1"/>
          <w:sz w:val="22"/>
          <w:szCs w:val="22"/>
        </w:rPr>
        <w:t>⧬</w:t>
      </w:r>
      <w:r w:rsidRPr="003E7C59">
        <w:rPr>
          <w:rFonts w:ascii="Arial" w:hAnsi="Arial" w:cs="Arial"/>
          <w:color w:val="000000" w:themeColor="text1"/>
          <w:sz w:val="22"/>
          <w:szCs w:val="22"/>
        </w:rPr>
        <w:t xml:space="preserve"> 'Appalachian Spring' (</w:t>
      </w:r>
      <w:r w:rsidR="00A27413" w:rsidRPr="003E7C59">
        <w:rPr>
          <w:rFonts w:ascii="Arial" w:hAnsi="Arial" w:cs="Arial"/>
          <w:color w:val="000000" w:themeColor="text1"/>
          <w:sz w:val="22"/>
          <w:szCs w:val="22"/>
        </w:rPr>
        <w:t xml:space="preserve">putative </w:t>
      </w:r>
      <w:r w:rsidRPr="003E7C59">
        <w:rPr>
          <w:rFonts w:ascii="Arial" w:hAnsi="Arial" w:cs="Arial"/>
          <w:color w:val="000000" w:themeColor="text1"/>
          <w:sz w:val="22"/>
          <w:szCs w:val="22"/>
        </w:rPr>
        <w:t xml:space="preserve">PM resistant) and ♂ 'Cherokee Brave' (PM moderately resistant). It was a fundamental tool for identifying QTL associated with foliage color in flowering dogwood (Wadl et al., 2011) and QTL related to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resistance (Parikh et al., 2017). However, constructing a new genetic linkage map for the same population using a genome-by-sequencing </w:t>
      </w:r>
      <w:r w:rsidR="00A27413" w:rsidRPr="003E7C59">
        <w:rPr>
          <w:rFonts w:ascii="Arial" w:hAnsi="Arial" w:cs="Arial"/>
          <w:color w:val="000000" w:themeColor="text1"/>
          <w:sz w:val="22"/>
          <w:szCs w:val="22"/>
        </w:rPr>
        <w:t xml:space="preserve">(GBS) </w:t>
      </w:r>
      <w:r w:rsidRPr="003E7C59">
        <w:rPr>
          <w:rFonts w:ascii="Arial" w:hAnsi="Arial" w:cs="Arial"/>
          <w:color w:val="000000" w:themeColor="text1"/>
          <w:sz w:val="22"/>
          <w:szCs w:val="22"/>
        </w:rPr>
        <w:t xml:space="preserve">approach </w:t>
      </w:r>
      <w:r w:rsidR="00073F6D" w:rsidRPr="003E7C59">
        <w:rPr>
          <w:rFonts w:ascii="Arial" w:hAnsi="Arial" w:cs="Arial"/>
          <w:color w:val="000000" w:themeColor="text1"/>
          <w:sz w:val="22"/>
          <w:szCs w:val="22"/>
        </w:rPr>
        <w:t>could</w:t>
      </w:r>
      <w:r w:rsidRPr="003E7C59">
        <w:rPr>
          <w:rFonts w:ascii="Arial" w:hAnsi="Arial" w:cs="Arial"/>
          <w:color w:val="000000" w:themeColor="text1"/>
          <w:sz w:val="22"/>
          <w:szCs w:val="22"/>
        </w:rPr>
        <w:t xml:space="preserve"> allow the discovery of thousands of single nucleotide polymorphisms (SNPs) and better marker coverage.  Recently, a mapping population of 196 seedlings was developed by crossing two breeding selections, H4AR15P25 (PM resistant) x H4AR15P28 (PM susceptible), using double digest restriction-site-associated DNA sequencing and was phenotyped for PM resistance trait (Pfarr et al., 2022). However, Pfarr et al. (2022) considered F1 progenies as "pseudo-F2" due to allele segregation from mapping populations of highly heterozygous parents, which complicated linkage map construction because of initially unknown linkage phases. Therefore, high-density linkage mapping and identification of QTL associated with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resistance in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pseudo-F2 population have not yet been constructed and identified. </w:t>
      </w:r>
    </w:p>
    <w:p w14:paraId="05EC6EFD" w14:textId="77777777" w:rsidR="00B51BF9" w:rsidRPr="003E7C59" w:rsidRDefault="00B51BF9" w:rsidP="006622F2">
      <w:pPr>
        <w:spacing w:line="360" w:lineRule="auto"/>
        <w:rPr>
          <w:rFonts w:ascii="Arial" w:hAnsi="Arial" w:cs="Arial"/>
          <w:color w:val="000000" w:themeColor="text1"/>
          <w:sz w:val="22"/>
          <w:szCs w:val="22"/>
        </w:rPr>
      </w:pPr>
    </w:p>
    <w:p w14:paraId="2104BC1E" w14:textId="5B81A3DC" w:rsidR="00380BF8" w:rsidRPr="003E7C59" w:rsidRDefault="00380BF8"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Recessively inherited loss-of-function </w:t>
      </w:r>
      <w:r w:rsidRPr="003E7C59">
        <w:rPr>
          <w:rFonts w:ascii="Arial" w:hAnsi="Arial" w:cs="Arial"/>
          <w:i/>
          <w:iCs/>
          <w:color w:val="000000" w:themeColor="text1"/>
          <w:sz w:val="22"/>
          <w:szCs w:val="22"/>
        </w:rPr>
        <w:t>Mildew resistance locus o</w:t>
      </w:r>
      <w:r w:rsidRPr="003E7C59">
        <w:rPr>
          <w:rFonts w:ascii="Arial" w:hAnsi="Arial" w:cs="Arial"/>
          <w:color w:val="000000" w:themeColor="text1"/>
          <w:sz w:val="22"/>
          <w:szCs w:val="22"/>
          <w:shd w:val="clear" w:color="auto" w:fill="FFFFFF"/>
        </w:rPr>
        <w:t> (</w:t>
      </w:r>
      <w:r w:rsidRPr="003E7C59">
        <w:rPr>
          <w:rFonts w:ascii="Arial" w:hAnsi="Arial" w:cs="Arial"/>
          <w:i/>
          <w:iCs/>
          <w:color w:val="000000" w:themeColor="text1"/>
          <w:sz w:val="22"/>
          <w:szCs w:val="22"/>
        </w:rPr>
        <w:t>Mlo</w:t>
      </w:r>
      <w:r w:rsidRPr="003E7C59">
        <w:rPr>
          <w:rFonts w:ascii="Arial" w:hAnsi="Arial" w:cs="Arial"/>
          <w:color w:val="000000" w:themeColor="text1"/>
          <w:sz w:val="22"/>
          <w:szCs w:val="22"/>
          <w:shd w:val="clear" w:color="auto" w:fill="FFFFFF"/>
        </w:rPr>
        <w:t>) genes</w:t>
      </w:r>
      <w:r w:rsidRPr="003E7C59">
        <w:rPr>
          <w:rFonts w:ascii="Arial" w:hAnsi="Arial" w:cs="Arial"/>
          <w:color w:val="000000" w:themeColor="text1"/>
          <w:sz w:val="22"/>
          <w:szCs w:val="22"/>
        </w:rPr>
        <w:t xml:space="preserve"> alleles confer broad-spectrum PM resistance and become the focal point of </w:t>
      </w:r>
      <w:r w:rsidRPr="003E7C59">
        <w:rPr>
          <w:rFonts w:ascii="Arial" w:hAnsi="Arial" w:cs="Arial"/>
          <w:i/>
          <w:iCs/>
          <w:color w:val="000000" w:themeColor="text1"/>
          <w:sz w:val="22"/>
          <w:szCs w:val="22"/>
        </w:rPr>
        <w:t>Mlo</w:t>
      </w:r>
      <w:r w:rsidRPr="003E7C59">
        <w:rPr>
          <w:rFonts w:ascii="Arial" w:hAnsi="Arial" w:cs="Arial"/>
          <w:color w:val="000000" w:themeColor="text1"/>
          <w:sz w:val="22"/>
          <w:szCs w:val="22"/>
        </w:rPr>
        <w:t xml:space="preserve"> research (Jacott et al., 2021). </w:t>
      </w:r>
      <w:r w:rsidR="00AA2C5A" w:rsidRPr="003E7C59">
        <w:rPr>
          <w:rStyle w:val="Emphasis"/>
          <w:rFonts w:ascii="Arial" w:eastAsiaTheme="majorEastAsia" w:hAnsi="Arial" w:cs="Arial"/>
          <w:color w:val="0E101A"/>
          <w:sz w:val="22"/>
          <w:szCs w:val="22"/>
        </w:rPr>
        <w:t>Mlo</w:t>
      </w:r>
      <w:r w:rsidR="00AA2C5A" w:rsidRPr="003E7C59">
        <w:rPr>
          <w:rFonts w:ascii="Arial" w:hAnsi="Arial" w:cs="Arial"/>
          <w:color w:val="0E101A"/>
          <w:sz w:val="22"/>
          <w:szCs w:val="22"/>
        </w:rPr>
        <w:t xml:space="preserve"> inactivation, either </w:t>
      </w:r>
      <w:proofErr w:type="gramStart"/>
      <w:r w:rsidR="00AA2C5A" w:rsidRPr="003E7C59">
        <w:rPr>
          <w:rFonts w:ascii="Arial" w:hAnsi="Arial" w:cs="Arial"/>
          <w:color w:val="0E101A"/>
          <w:sz w:val="22"/>
          <w:szCs w:val="22"/>
        </w:rPr>
        <w:t>as a consequence</w:t>
      </w:r>
      <w:proofErr w:type="gramEnd"/>
      <w:r w:rsidR="00AA2C5A" w:rsidRPr="003E7C59">
        <w:rPr>
          <w:rFonts w:ascii="Arial" w:hAnsi="Arial" w:cs="Arial"/>
          <w:color w:val="0E101A"/>
          <w:sz w:val="22"/>
          <w:szCs w:val="22"/>
        </w:rPr>
        <w:t xml:space="preserve"> of natural </w:t>
      </w:r>
      <w:r w:rsidR="00AA2C5A" w:rsidRPr="003E7C59">
        <w:rPr>
          <w:rStyle w:val="Emphasis"/>
          <w:rFonts w:ascii="Arial" w:eastAsiaTheme="majorEastAsia" w:hAnsi="Arial" w:cs="Arial"/>
          <w:color w:val="0E101A"/>
          <w:sz w:val="22"/>
          <w:szCs w:val="22"/>
        </w:rPr>
        <w:t>mlo </w:t>
      </w:r>
      <w:r w:rsidR="00AA2C5A" w:rsidRPr="003E7C59">
        <w:rPr>
          <w:rFonts w:ascii="Arial" w:hAnsi="Arial" w:cs="Arial"/>
          <w:color w:val="0E101A"/>
          <w:sz w:val="22"/>
          <w:szCs w:val="22"/>
        </w:rPr>
        <w:t xml:space="preserve">mutations (transposon insertions, single nucleotide polymorphisms, and small indels) or as a result of gene knock-out or knock-down, leads to early termination of PM pathogenesis based on prepenetration </w:t>
      </w:r>
      <w:r w:rsidR="00AA2C5A" w:rsidRPr="003E7C59">
        <w:rPr>
          <w:rFonts w:ascii="Arial" w:hAnsi="Arial" w:cs="Arial"/>
          <w:color w:val="0E101A"/>
          <w:sz w:val="22"/>
          <w:szCs w:val="22"/>
        </w:rPr>
        <w:lastRenderedPageBreak/>
        <w:t xml:space="preserve">resistance (Jørgensen, 1992; </w:t>
      </w:r>
      <w:r w:rsidR="00045F38" w:rsidRPr="003E7C59">
        <w:rPr>
          <w:rFonts w:ascii="Arial" w:hAnsi="Arial" w:cs="Arial"/>
          <w:color w:val="222222"/>
          <w:sz w:val="22"/>
          <w:szCs w:val="22"/>
          <w:shd w:val="clear" w:color="auto" w:fill="FFFFFF"/>
        </w:rPr>
        <w:t>Lyngkjær</w:t>
      </w:r>
      <w:r w:rsidR="00AA2C5A" w:rsidRPr="003E7C59">
        <w:rPr>
          <w:rFonts w:ascii="Arial" w:hAnsi="Arial" w:cs="Arial"/>
          <w:color w:val="0E101A"/>
          <w:sz w:val="22"/>
          <w:szCs w:val="22"/>
        </w:rPr>
        <w:t xml:space="preserve"> et al., 2000; Kusch and Panstruga, 2017). Prepenetration resistance includes local cell-wall appositions containing callose, accumulation of the phenol conjugate </w:t>
      </w:r>
      <w:r w:rsidR="00AA2C5A" w:rsidRPr="003E7C59">
        <w:rPr>
          <w:rStyle w:val="Emphasis"/>
          <w:rFonts w:ascii="Arial" w:eastAsiaTheme="majorEastAsia" w:hAnsi="Arial" w:cs="Arial"/>
          <w:color w:val="0E101A"/>
          <w:sz w:val="22"/>
          <w:szCs w:val="22"/>
        </w:rPr>
        <w:t>p</w:t>
      </w:r>
      <w:r w:rsidR="00AA2C5A" w:rsidRPr="003E7C59">
        <w:rPr>
          <w:rFonts w:ascii="Arial" w:hAnsi="Arial" w:cs="Arial"/>
          <w:color w:val="0E101A"/>
          <w:sz w:val="22"/>
          <w:szCs w:val="22"/>
        </w:rPr>
        <w:t>-coumaroyl-hydroxyagmatine, and reactive oxygen species, including hydrogen peroxide.</w:t>
      </w:r>
      <w:r w:rsidR="00D72E8A" w:rsidRPr="003E7C59">
        <w:rPr>
          <w:rFonts w:ascii="Arial" w:hAnsi="Arial" w:cs="Arial"/>
          <w:color w:val="0E101A"/>
          <w:sz w:val="22"/>
          <w:szCs w:val="22"/>
        </w:rPr>
        <w:t xml:space="preserve"> </w:t>
      </w:r>
      <w:r w:rsidR="00AA2C5A" w:rsidRPr="003E7C59">
        <w:rPr>
          <w:rFonts w:ascii="Arial" w:hAnsi="Arial" w:cs="Arial"/>
          <w:color w:val="0E101A"/>
          <w:sz w:val="22"/>
          <w:szCs w:val="22"/>
        </w:rPr>
        <w:t xml:space="preserve">The exact biological functions of MLO proteins are still puzzling to scientists. However, for some family members, PM penetration resistance </w:t>
      </w:r>
      <w:proofErr w:type="gramStart"/>
      <w:r w:rsidR="00AA2C5A" w:rsidRPr="003E7C59">
        <w:rPr>
          <w:rFonts w:ascii="Arial" w:hAnsi="Arial" w:cs="Arial"/>
          <w:color w:val="0E101A"/>
          <w:sz w:val="22"/>
          <w:szCs w:val="22"/>
        </w:rPr>
        <w:t>was suggested to be regulated</w:t>
      </w:r>
      <w:proofErr w:type="gramEnd"/>
      <w:r w:rsidR="00AA2C5A" w:rsidRPr="003E7C59">
        <w:rPr>
          <w:rFonts w:ascii="Arial" w:hAnsi="Arial" w:cs="Arial"/>
          <w:color w:val="0E101A"/>
          <w:sz w:val="22"/>
          <w:szCs w:val="22"/>
        </w:rPr>
        <w:t xml:space="preserve"> via vesicle fusion events (Collins et al., 2003; Bhat et al., 2005</w:t>
      </w:r>
      <w:r w:rsidR="00D72E8A" w:rsidRPr="003E7C59">
        <w:rPr>
          <w:rFonts w:ascii="Arial" w:hAnsi="Arial" w:cs="Arial"/>
          <w:color w:val="0E101A"/>
          <w:sz w:val="22"/>
          <w:szCs w:val="22"/>
        </w:rPr>
        <w:t xml:space="preserve">). </w:t>
      </w:r>
      <w:r w:rsidRPr="003E7C59">
        <w:rPr>
          <w:rFonts w:ascii="Arial" w:hAnsi="Arial" w:cs="Arial"/>
          <w:i/>
          <w:iCs/>
          <w:color w:val="000000" w:themeColor="text1"/>
          <w:sz w:val="22"/>
          <w:szCs w:val="22"/>
        </w:rPr>
        <w:t xml:space="preserve">Mlo </w:t>
      </w:r>
      <w:r w:rsidRPr="003E7C59">
        <w:rPr>
          <w:rFonts w:ascii="Arial" w:hAnsi="Arial" w:cs="Arial"/>
          <w:color w:val="000000" w:themeColor="text1"/>
          <w:sz w:val="22"/>
          <w:szCs w:val="22"/>
        </w:rPr>
        <w:t xml:space="preserve">and its homologs </w:t>
      </w:r>
      <w:proofErr w:type="gramStart"/>
      <w:r w:rsidRPr="003E7C59">
        <w:rPr>
          <w:rFonts w:ascii="Arial" w:hAnsi="Arial" w:cs="Arial"/>
          <w:color w:val="000000" w:themeColor="text1"/>
          <w:sz w:val="22"/>
          <w:szCs w:val="22"/>
        </w:rPr>
        <w:t>have been studied</w:t>
      </w:r>
      <w:proofErr w:type="gramEnd"/>
      <w:r w:rsidRPr="003E7C59">
        <w:rPr>
          <w:rFonts w:ascii="Arial" w:hAnsi="Arial" w:cs="Arial"/>
          <w:color w:val="000000" w:themeColor="text1"/>
          <w:sz w:val="22"/>
          <w:szCs w:val="22"/>
        </w:rPr>
        <w:t xml:space="preserve"> in all major land plant lineages. The most important</w:t>
      </w:r>
      <w:r w:rsidR="00D47685" w:rsidRPr="003E7C59">
        <w:rPr>
          <w:rFonts w:ascii="Arial" w:hAnsi="Arial" w:cs="Arial"/>
          <w:color w:val="000000" w:themeColor="text1"/>
          <w:sz w:val="22"/>
          <w:szCs w:val="22"/>
        </w:rPr>
        <w:t xml:space="preserve"> economically</w:t>
      </w:r>
      <w:r w:rsidRPr="003E7C59">
        <w:rPr>
          <w:rFonts w:ascii="Arial" w:hAnsi="Arial" w:cs="Arial"/>
          <w:color w:val="000000" w:themeColor="text1"/>
          <w:sz w:val="22"/>
          <w:szCs w:val="22"/>
        </w:rPr>
        <w:t xml:space="preserve"> agricultural and horticultural crops </w:t>
      </w:r>
      <w:r w:rsidR="001431CF" w:rsidRPr="003E7C59">
        <w:rPr>
          <w:rFonts w:ascii="Arial" w:hAnsi="Arial" w:cs="Arial"/>
          <w:color w:val="000000" w:themeColor="text1"/>
          <w:sz w:val="22"/>
          <w:szCs w:val="22"/>
        </w:rPr>
        <w:t xml:space="preserve">include </w:t>
      </w:r>
      <w:r w:rsidRPr="003E7C59">
        <w:rPr>
          <w:rFonts w:ascii="Arial" w:hAnsi="Arial" w:cs="Arial"/>
          <w:color w:val="000000" w:themeColor="text1"/>
          <w:sz w:val="22"/>
          <w:szCs w:val="22"/>
        </w:rPr>
        <w:t>apples (</w:t>
      </w:r>
      <w:r w:rsidRPr="003E7C59">
        <w:rPr>
          <w:rFonts w:ascii="Arial" w:hAnsi="Arial" w:cs="Arial"/>
          <w:i/>
          <w:iCs/>
          <w:color w:val="000000" w:themeColor="text1"/>
          <w:sz w:val="22"/>
          <w:szCs w:val="22"/>
        </w:rPr>
        <w:t xml:space="preserve">Malus domestica </w:t>
      </w:r>
      <w:r w:rsidRPr="003E7C59">
        <w:rPr>
          <w:rFonts w:ascii="Arial" w:hAnsi="Arial" w:cs="Arial"/>
          <w:color w:val="000000" w:themeColor="text1"/>
          <w:sz w:val="22"/>
          <w:szCs w:val="22"/>
        </w:rPr>
        <w:t>Borkh.) (Pessina et al., 2014), barley (</w:t>
      </w:r>
      <w:r w:rsidRPr="003E7C59">
        <w:rPr>
          <w:rFonts w:ascii="Arial" w:hAnsi="Arial" w:cs="Arial"/>
          <w:i/>
          <w:iCs/>
          <w:color w:val="000000" w:themeColor="text1"/>
          <w:sz w:val="22"/>
          <w:szCs w:val="22"/>
        </w:rPr>
        <w:t xml:space="preserve">Hordeum vulgare </w:t>
      </w:r>
      <w:r w:rsidRPr="003E7C59">
        <w:rPr>
          <w:rFonts w:ascii="Arial" w:hAnsi="Arial" w:cs="Arial"/>
          <w:color w:val="000000" w:themeColor="text1"/>
          <w:sz w:val="22"/>
          <w:szCs w:val="22"/>
        </w:rPr>
        <w:t>L.) (Jorgensen, 1992), grapevine (</w:t>
      </w:r>
      <w:r w:rsidRPr="003E7C59">
        <w:rPr>
          <w:rFonts w:ascii="Arial" w:hAnsi="Arial" w:cs="Arial"/>
          <w:i/>
          <w:iCs/>
          <w:color w:val="000000" w:themeColor="text1"/>
          <w:sz w:val="22"/>
          <w:szCs w:val="22"/>
        </w:rPr>
        <w:t xml:space="preserve">Vitis vinifera </w:t>
      </w:r>
      <w:r w:rsidRPr="003E7C59">
        <w:rPr>
          <w:rFonts w:ascii="Arial" w:hAnsi="Arial" w:cs="Arial"/>
          <w:color w:val="000000" w:themeColor="text1"/>
          <w:sz w:val="22"/>
          <w:szCs w:val="22"/>
        </w:rPr>
        <w:t>L.) (Feechan et al., 2008), pea (</w:t>
      </w:r>
      <w:r w:rsidRPr="003E7C59">
        <w:rPr>
          <w:rFonts w:ascii="Arial" w:hAnsi="Arial" w:cs="Arial"/>
          <w:i/>
          <w:iCs/>
          <w:color w:val="000000" w:themeColor="text1"/>
          <w:sz w:val="22"/>
          <w:szCs w:val="22"/>
        </w:rPr>
        <w:t>Pisum sativum</w:t>
      </w:r>
      <w:r w:rsidRPr="003E7C59">
        <w:rPr>
          <w:rFonts w:ascii="Arial" w:hAnsi="Arial" w:cs="Arial"/>
          <w:color w:val="000000" w:themeColor="text1"/>
          <w:sz w:val="22"/>
          <w:szCs w:val="22"/>
        </w:rPr>
        <w:t xml:space="preserve"> L.) (Pavan et al., 2011), pepper (</w:t>
      </w:r>
      <w:r w:rsidRPr="003E7C59">
        <w:rPr>
          <w:rFonts w:ascii="Arial" w:hAnsi="Arial" w:cs="Arial"/>
          <w:i/>
          <w:iCs/>
          <w:color w:val="000000" w:themeColor="text1"/>
          <w:sz w:val="22"/>
          <w:szCs w:val="22"/>
        </w:rPr>
        <w:t xml:space="preserve">Capsicum annum </w:t>
      </w:r>
      <w:r w:rsidRPr="003E7C59">
        <w:rPr>
          <w:rFonts w:ascii="Arial" w:hAnsi="Arial" w:cs="Arial"/>
          <w:color w:val="000000" w:themeColor="text1"/>
          <w:sz w:val="22"/>
          <w:szCs w:val="22"/>
        </w:rPr>
        <w:t>L.) (Zheng et al., 2013), petunia (</w:t>
      </w:r>
      <w:r w:rsidRPr="003E7C59">
        <w:rPr>
          <w:rFonts w:ascii="Arial" w:hAnsi="Arial" w:cs="Arial"/>
          <w:i/>
          <w:iCs/>
          <w:color w:val="000000" w:themeColor="text1"/>
          <w:sz w:val="22"/>
          <w:szCs w:val="22"/>
        </w:rPr>
        <w:t xml:space="preserve">Petunia hybrida </w:t>
      </w:r>
      <w:r w:rsidRPr="003E7C59">
        <w:rPr>
          <w:rFonts w:ascii="Arial" w:hAnsi="Arial" w:cs="Arial"/>
          <w:color w:val="000000" w:themeColor="text1"/>
          <w:sz w:val="22"/>
          <w:szCs w:val="22"/>
          <w:shd w:val="clear" w:color="auto" w:fill="F8F9FA"/>
        </w:rPr>
        <w:t>D. Don ex W. H. Baxter</w:t>
      </w:r>
      <w:r w:rsidRPr="003E7C59">
        <w:rPr>
          <w:rFonts w:ascii="Arial" w:hAnsi="Arial" w:cs="Arial"/>
          <w:color w:val="000000" w:themeColor="text1"/>
          <w:sz w:val="22"/>
          <w:szCs w:val="22"/>
        </w:rPr>
        <w:t>) (Jiang et al., 2016), poplar (</w:t>
      </w:r>
      <w:r w:rsidRPr="003E7C59">
        <w:rPr>
          <w:rFonts w:ascii="Arial" w:hAnsi="Arial" w:cs="Arial"/>
          <w:i/>
          <w:iCs/>
          <w:color w:val="000000" w:themeColor="text1"/>
          <w:sz w:val="22"/>
          <w:szCs w:val="22"/>
        </w:rPr>
        <w:t>Populus trichocarpa</w:t>
      </w:r>
      <w:r w:rsidRPr="003E7C59">
        <w:rPr>
          <w:rFonts w:ascii="Arial" w:hAnsi="Arial" w:cs="Arial"/>
          <w:color w:val="000000" w:themeColor="text1"/>
          <w:sz w:val="22"/>
          <w:szCs w:val="22"/>
        </w:rPr>
        <w:t xml:space="preserve"> Torr. &amp; Gray) (Filiz and Vatansever, 2018), rose (</w:t>
      </w:r>
      <w:r w:rsidRPr="003E7C59">
        <w:rPr>
          <w:rFonts w:ascii="Arial" w:hAnsi="Arial" w:cs="Arial"/>
          <w:i/>
          <w:iCs/>
          <w:color w:val="000000" w:themeColor="text1"/>
          <w:sz w:val="22"/>
          <w:szCs w:val="22"/>
        </w:rPr>
        <w:t xml:space="preserve">Rosa hybrida </w:t>
      </w:r>
      <w:r w:rsidRPr="003E7C59">
        <w:rPr>
          <w:rFonts w:ascii="Arial" w:hAnsi="Arial" w:cs="Arial"/>
          <w:color w:val="000000" w:themeColor="text1"/>
          <w:sz w:val="22"/>
          <w:szCs w:val="22"/>
        </w:rPr>
        <w:t>L.) (Kaufmann et al., 2012), strawberries (</w:t>
      </w:r>
      <w:r w:rsidRPr="003E7C59">
        <w:rPr>
          <w:rFonts w:ascii="Arial" w:hAnsi="Arial" w:cs="Arial"/>
          <w:i/>
          <w:iCs/>
          <w:color w:val="000000" w:themeColor="text1"/>
          <w:sz w:val="22"/>
          <w:szCs w:val="22"/>
        </w:rPr>
        <w:t>Fragaria</w:t>
      </w:r>
      <w:r w:rsidRPr="003E7C59">
        <w:rPr>
          <w:rFonts w:ascii="Arial" w:hAnsi="Arial" w:cs="Arial"/>
          <w:color w:val="000000" w:themeColor="text1"/>
          <w:sz w:val="22"/>
          <w:szCs w:val="22"/>
        </w:rPr>
        <w:t xml:space="preserve"> x </w:t>
      </w:r>
      <w:r w:rsidRPr="003E7C59">
        <w:rPr>
          <w:rFonts w:ascii="Arial" w:hAnsi="Arial" w:cs="Arial"/>
          <w:i/>
          <w:iCs/>
          <w:color w:val="000000" w:themeColor="text1"/>
          <w:sz w:val="22"/>
          <w:szCs w:val="22"/>
        </w:rPr>
        <w:t>ananassa</w:t>
      </w:r>
      <w:r w:rsidRPr="003E7C59">
        <w:rPr>
          <w:rFonts w:ascii="Arial" w:hAnsi="Arial" w:cs="Arial"/>
          <w:color w:val="000000" w:themeColor="text1"/>
          <w:sz w:val="22"/>
          <w:szCs w:val="22"/>
        </w:rPr>
        <w:t xml:space="preserve"> Duchesne) (Jiwan et al., 2013), sweet orange (</w:t>
      </w:r>
      <w:r w:rsidRPr="003E7C59">
        <w:rPr>
          <w:rFonts w:ascii="Arial" w:hAnsi="Arial" w:cs="Arial"/>
          <w:i/>
          <w:iCs/>
          <w:color w:val="000000" w:themeColor="text1"/>
          <w:sz w:val="22"/>
          <w:szCs w:val="22"/>
        </w:rPr>
        <w:t xml:space="preserve">Citrus sinensis </w:t>
      </w:r>
      <w:r w:rsidRPr="003E7C59">
        <w:rPr>
          <w:rFonts w:ascii="Arial" w:hAnsi="Arial" w:cs="Arial"/>
          <w:color w:val="000000" w:themeColor="text1"/>
          <w:sz w:val="22"/>
          <w:szCs w:val="22"/>
        </w:rPr>
        <w:t>L.) (Liu et al., 2017), tomato (</w:t>
      </w:r>
      <w:r w:rsidRPr="003E7C59">
        <w:rPr>
          <w:rFonts w:ascii="Arial" w:hAnsi="Arial" w:cs="Arial"/>
          <w:i/>
          <w:iCs/>
          <w:color w:val="000000" w:themeColor="text1"/>
          <w:sz w:val="22"/>
          <w:szCs w:val="22"/>
        </w:rPr>
        <w:t>Solanum</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lycopersicum</w:t>
      </w:r>
      <w:r w:rsidRPr="003E7C59">
        <w:rPr>
          <w:rFonts w:ascii="Arial" w:hAnsi="Arial" w:cs="Arial"/>
          <w:color w:val="000000" w:themeColor="text1"/>
          <w:sz w:val="22"/>
          <w:szCs w:val="22"/>
        </w:rPr>
        <w:t xml:space="preserve"> L.) (Bai et al., 2008), wheat (</w:t>
      </w:r>
      <w:r w:rsidRPr="003E7C59">
        <w:rPr>
          <w:rFonts w:ascii="Arial" w:hAnsi="Arial" w:cs="Arial"/>
          <w:i/>
          <w:iCs/>
          <w:color w:val="000000" w:themeColor="text1"/>
          <w:sz w:val="22"/>
          <w:szCs w:val="22"/>
        </w:rPr>
        <w:t xml:space="preserve">Triticum aestivum </w:t>
      </w:r>
      <w:r w:rsidRPr="003E7C59">
        <w:rPr>
          <w:rFonts w:ascii="Arial" w:hAnsi="Arial" w:cs="Arial"/>
          <w:color w:val="000000" w:themeColor="text1"/>
          <w:sz w:val="22"/>
          <w:szCs w:val="22"/>
        </w:rPr>
        <w:t xml:space="preserve">L.) (Wang et al., 2014) and others. </w:t>
      </w:r>
      <w:r w:rsidRPr="003E7C59">
        <w:rPr>
          <w:rFonts w:ascii="Arial" w:hAnsi="Arial" w:cs="Arial"/>
          <w:i/>
          <w:iCs/>
          <w:color w:val="000000" w:themeColor="text1"/>
          <w:sz w:val="22"/>
          <w:szCs w:val="22"/>
        </w:rPr>
        <w:t xml:space="preserve">Mlos </w:t>
      </w:r>
      <w:r w:rsidRPr="003E7C59">
        <w:rPr>
          <w:rFonts w:ascii="Arial" w:hAnsi="Arial" w:cs="Arial"/>
          <w:color w:val="000000" w:themeColor="text1"/>
          <w:sz w:val="22"/>
          <w:szCs w:val="22"/>
        </w:rPr>
        <w:t xml:space="preserve">have not been identified in </w:t>
      </w:r>
      <w:r w:rsidRPr="003E7C59">
        <w:rPr>
          <w:rFonts w:ascii="Arial" w:hAnsi="Arial" w:cs="Arial"/>
          <w:i/>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w:t>
      </w:r>
    </w:p>
    <w:p w14:paraId="5A6A9A5A" w14:textId="77777777" w:rsidR="00B51BF9" w:rsidRPr="003E7C59" w:rsidRDefault="00B51BF9" w:rsidP="006622F2">
      <w:pPr>
        <w:spacing w:line="360" w:lineRule="auto"/>
        <w:ind w:firstLine="720"/>
        <w:rPr>
          <w:rFonts w:ascii="Arial" w:hAnsi="Arial" w:cs="Arial"/>
          <w:color w:val="000000" w:themeColor="text1"/>
          <w:sz w:val="22"/>
          <w:szCs w:val="22"/>
          <w:shd w:val="clear" w:color="auto" w:fill="FCFCFC"/>
        </w:rPr>
      </w:pPr>
    </w:p>
    <w:p w14:paraId="16128D18" w14:textId="77777777" w:rsidR="00E54CB6" w:rsidRPr="003E7C59" w:rsidRDefault="00E54CB6"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The development of new and advanced molecular tools and genetic maps for plants enabled MAS application to plant breeders to select traits of interest, either controlled by markers of causative mutations, or more often, linked to unknown causative mutations (Ribaut and Hoisington, 1998). Thus, identifying MYBs, </w:t>
      </w:r>
      <w:r w:rsidRPr="003E7C59">
        <w:rPr>
          <w:rFonts w:ascii="Arial" w:hAnsi="Arial" w:cs="Arial"/>
          <w:i/>
          <w:iCs/>
          <w:color w:val="000000" w:themeColor="text1"/>
          <w:sz w:val="22"/>
          <w:szCs w:val="22"/>
        </w:rPr>
        <w:t>Mlos,</w:t>
      </w:r>
      <w:r w:rsidRPr="003E7C59">
        <w:rPr>
          <w:rFonts w:ascii="Arial" w:hAnsi="Arial" w:cs="Arial"/>
          <w:color w:val="000000" w:themeColor="text1"/>
          <w:sz w:val="22"/>
          <w:szCs w:val="22"/>
        </w:rPr>
        <w:t xml:space="preserve"> and QTLs associated with PM will allow functional and DNA marker modeling to screen and select material to develop resistant cultivars more efficiently. </w:t>
      </w:r>
    </w:p>
    <w:p w14:paraId="60BBA1BE" w14:textId="77777777" w:rsidR="00E54CB6" w:rsidRPr="003E7C59" w:rsidRDefault="00E54CB6" w:rsidP="006622F2">
      <w:pPr>
        <w:spacing w:line="360" w:lineRule="auto"/>
        <w:ind w:firstLine="720"/>
        <w:rPr>
          <w:rFonts w:ascii="Arial" w:hAnsi="Arial" w:cs="Arial"/>
          <w:color w:val="000000" w:themeColor="text1"/>
          <w:sz w:val="22"/>
          <w:szCs w:val="22"/>
        </w:rPr>
      </w:pPr>
    </w:p>
    <w:p w14:paraId="46B0629C" w14:textId="165C6717" w:rsidR="00B51BF9" w:rsidRPr="003E7C59" w:rsidRDefault="00B51BF9" w:rsidP="006622F2">
      <w:pPr>
        <w:spacing w:line="360" w:lineRule="auto"/>
        <w:ind w:firstLine="720"/>
        <w:rPr>
          <w:rFonts w:ascii="Arial" w:hAnsi="Arial" w:cs="Arial"/>
          <w:color w:val="000000" w:themeColor="text1"/>
          <w:sz w:val="22"/>
          <w:szCs w:val="22"/>
          <w:shd w:val="clear" w:color="auto" w:fill="FCFCFC"/>
        </w:rPr>
      </w:pPr>
    </w:p>
    <w:p w14:paraId="77C3D46F" w14:textId="77777777" w:rsidR="00B51BF9" w:rsidRPr="003E7C59" w:rsidRDefault="00B51BF9" w:rsidP="006622F2">
      <w:pPr>
        <w:spacing w:line="360" w:lineRule="auto"/>
        <w:rPr>
          <w:rFonts w:ascii="Arial" w:hAnsi="Arial" w:cs="Arial"/>
          <w:color w:val="000000" w:themeColor="text1"/>
          <w:sz w:val="22"/>
          <w:szCs w:val="22"/>
        </w:rPr>
      </w:pPr>
    </w:p>
    <w:p w14:paraId="2EB99764" w14:textId="77777777" w:rsidR="00B51BF9" w:rsidRPr="003E7C59" w:rsidRDefault="00B51BF9" w:rsidP="006622F2">
      <w:pPr>
        <w:spacing w:line="360" w:lineRule="auto"/>
        <w:ind w:firstLine="720"/>
        <w:rPr>
          <w:rFonts w:ascii="Arial" w:hAnsi="Arial" w:cs="Arial"/>
          <w:color w:val="000000" w:themeColor="text1"/>
          <w:sz w:val="22"/>
          <w:szCs w:val="22"/>
        </w:rPr>
      </w:pPr>
    </w:p>
    <w:p w14:paraId="5D202E7E" w14:textId="7A196A83" w:rsidR="00351EAB" w:rsidRPr="003E7C59" w:rsidRDefault="00351EAB" w:rsidP="006622F2">
      <w:pPr>
        <w:pStyle w:val="Heading1"/>
        <w:jc w:val="center"/>
        <w:rPr>
          <w:rFonts w:ascii="Arial" w:hAnsi="Arial" w:cs="Arial"/>
          <w:color w:val="000000" w:themeColor="text1"/>
          <w:sz w:val="22"/>
          <w:szCs w:val="22"/>
        </w:rPr>
      </w:pPr>
      <w:bookmarkStart w:id="36" w:name="_Toc117166831"/>
    </w:p>
    <w:p w14:paraId="2C15E998" w14:textId="5FAF3246" w:rsidR="00351EAB" w:rsidRPr="003E7C59" w:rsidRDefault="00351EAB" w:rsidP="006622F2">
      <w:pPr>
        <w:rPr>
          <w:rFonts w:ascii="Arial" w:hAnsi="Arial" w:cs="Arial"/>
        </w:rPr>
      </w:pPr>
    </w:p>
    <w:p w14:paraId="5F28A143" w14:textId="34BF6E84" w:rsidR="00351EAB" w:rsidRPr="003E7C59" w:rsidRDefault="00351EAB" w:rsidP="006622F2">
      <w:pPr>
        <w:rPr>
          <w:rFonts w:ascii="Arial" w:hAnsi="Arial" w:cs="Arial"/>
        </w:rPr>
      </w:pPr>
    </w:p>
    <w:p w14:paraId="5F825225" w14:textId="3BAD0387" w:rsidR="00351EAB" w:rsidRDefault="00351EAB" w:rsidP="006622F2">
      <w:pPr>
        <w:pStyle w:val="Heading1"/>
        <w:spacing w:before="0" w:after="0"/>
        <w:jc w:val="center"/>
        <w:rPr>
          <w:rFonts w:ascii="Arial" w:hAnsi="Arial" w:cs="Arial"/>
          <w:color w:val="000000" w:themeColor="text1"/>
          <w:sz w:val="22"/>
          <w:szCs w:val="22"/>
        </w:rPr>
      </w:pPr>
    </w:p>
    <w:p w14:paraId="7BE15F96" w14:textId="4ADACC16" w:rsidR="004C71C2" w:rsidRDefault="004C71C2" w:rsidP="006622F2">
      <w:pPr>
        <w:pStyle w:val="Heading1"/>
        <w:spacing w:before="0" w:after="0"/>
        <w:jc w:val="center"/>
        <w:rPr>
          <w:rFonts w:ascii="Arial" w:hAnsi="Arial" w:cs="Arial"/>
          <w:color w:val="000000" w:themeColor="text1"/>
          <w:sz w:val="22"/>
          <w:szCs w:val="22"/>
        </w:rPr>
      </w:pPr>
    </w:p>
    <w:p w14:paraId="46D43D56" w14:textId="77777777" w:rsidR="00D86CE7" w:rsidRPr="00D86CE7" w:rsidRDefault="00D86CE7" w:rsidP="006622F2"/>
    <w:p w14:paraId="1B329769" w14:textId="5E6FA387" w:rsidR="00B51BF9" w:rsidRPr="003E7C59" w:rsidRDefault="00B51BF9" w:rsidP="006622F2">
      <w:pPr>
        <w:pStyle w:val="Heading1"/>
        <w:spacing w:before="0" w:after="0"/>
        <w:jc w:val="center"/>
        <w:rPr>
          <w:rFonts w:ascii="Arial" w:hAnsi="Arial" w:cs="Arial"/>
          <w:color w:val="000000" w:themeColor="text1"/>
          <w:sz w:val="22"/>
          <w:szCs w:val="22"/>
        </w:rPr>
      </w:pPr>
      <w:bookmarkStart w:id="37" w:name="_Toc121821917"/>
      <w:r w:rsidRPr="003E7C59">
        <w:rPr>
          <w:rFonts w:ascii="Arial" w:hAnsi="Arial" w:cs="Arial"/>
          <w:color w:val="000000" w:themeColor="text1"/>
          <w:sz w:val="22"/>
          <w:szCs w:val="22"/>
        </w:rPr>
        <w:lastRenderedPageBreak/>
        <w:t xml:space="preserve">Chapter 1. Identification of R2R3-MYB Transcription Factors Involved in </w:t>
      </w:r>
      <w:r w:rsidR="009C1785" w:rsidRPr="003E7C59">
        <w:rPr>
          <w:rFonts w:ascii="Arial" w:hAnsi="Arial" w:cs="Arial"/>
          <w:color w:val="000000" w:themeColor="text1"/>
          <w:sz w:val="22"/>
          <w:szCs w:val="22"/>
        </w:rPr>
        <w:t xml:space="preserve">Flavonoid </w:t>
      </w:r>
      <w:r w:rsidRPr="003E7C59">
        <w:rPr>
          <w:rFonts w:ascii="Arial" w:hAnsi="Arial" w:cs="Arial"/>
          <w:color w:val="000000" w:themeColor="text1"/>
          <w:sz w:val="22"/>
          <w:szCs w:val="22"/>
        </w:rPr>
        <w:t xml:space="preserve">Biosynthesis Regulation in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and </w:t>
      </w:r>
      <w:r w:rsidRPr="003E7C59">
        <w:rPr>
          <w:rFonts w:ascii="Arial" w:hAnsi="Arial" w:cs="Arial"/>
          <w:i/>
          <w:iCs/>
          <w:color w:val="000000" w:themeColor="text1"/>
          <w:sz w:val="22"/>
          <w:szCs w:val="22"/>
        </w:rPr>
        <w:t>C. kousa</w:t>
      </w:r>
      <w:bookmarkEnd w:id="36"/>
      <w:bookmarkEnd w:id="37"/>
    </w:p>
    <w:p w14:paraId="7EE74BAA" w14:textId="77777777" w:rsidR="00B51BF9" w:rsidRPr="003E7C59" w:rsidRDefault="00B51BF9" w:rsidP="006622F2">
      <w:pPr>
        <w:spacing w:line="360" w:lineRule="auto"/>
        <w:ind w:firstLine="720"/>
        <w:jc w:val="center"/>
        <w:rPr>
          <w:rFonts w:ascii="Arial" w:hAnsi="Arial" w:cs="Arial"/>
          <w:color w:val="000000" w:themeColor="text1"/>
          <w:sz w:val="22"/>
          <w:szCs w:val="22"/>
        </w:rPr>
      </w:pPr>
    </w:p>
    <w:p w14:paraId="0A4EC5A0" w14:textId="77777777" w:rsidR="00B51BF9" w:rsidRPr="003E7C59" w:rsidRDefault="00B51BF9" w:rsidP="006622F2">
      <w:pPr>
        <w:spacing w:line="360" w:lineRule="auto"/>
        <w:ind w:firstLine="720"/>
        <w:rPr>
          <w:rFonts w:ascii="Arial" w:hAnsi="Arial" w:cs="Arial"/>
          <w:color w:val="000000" w:themeColor="text1"/>
          <w:sz w:val="22"/>
          <w:szCs w:val="22"/>
        </w:rPr>
      </w:pPr>
    </w:p>
    <w:p w14:paraId="0B005130" w14:textId="77777777" w:rsidR="00B51BF9" w:rsidRPr="003E7C59" w:rsidRDefault="00B51BF9" w:rsidP="006622F2">
      <w:pPr>
        <w:spacing w:line="360" w:lineRule="auto"/>
        <w:ind w:firstLine="720"/>
        <w:rPr>
          <w:rFonts w:ascii="Arial" w:hAnsi="Arial" w:cs="Arial"/>
          <w:color w:val="000000" w:themeColor="text1"/>
          <w:sz w:val="22"/>
          <w:szCs w:val="22"/>
        </w:rPr>
      </w:pPr>
    </w:p>
    <w:p w14:paraId="26374B8C" w14:textId="77777777" w:rsidR="00B51BF9" w:rsidRPr="003E7C59" w:rsidRDefault="00B51BF9" w:rsidP="006622F2">
      <w:pPr>
        <w:spacing w:line="360" w:lineRule="auto"/>
        <w:ind w:firstLine="720"/>
        <w:rPr>
          <w:rFonts w:ascii="Arial" w:hAnsi="Arial" w:cs="Arial"/>
          <w:color w:val="000000" w:themeColor="text1"/>
          <w:sz w:val="22"/>
          <w:szCs w:val="22"/>
        </w:rPr>
      </w:pPr>
    </w:p>
    <w:p w14:paraId="3259FAAC" w14:textId="77777777" w:rsidR="00B51BF9" w:rsidRPr="003E7C59" w:rsidRDefault="00B51BF9" w:rsidP="006622F2">
      <w:pPr>
        <w:spacing w:line="360" w:lineRule="auto"/>
        <w:ind w:firstLine="720"/>
        <w:rPr>
          <w:rFonts w:ascii="Arial" w:hAnsi="Arial" w:cs="Arial"/>
          <w:color w:val="000000" w:themeColor="text1"/>
          <w:sz w:val="22"/>
          <w:szCs w:val="22"/>
        </w:rPr>
      </w:pPr>
    </w:p>
    <w:p w14:paraId="40F276E5" w14:textId="77777777" w:rsidR="00B51BF9" w:rsidRPr="003E7C59" w:rsidRDefault="00B51BF9" w:rsidP="006622F2">
      <w:pPr>
        <w:spacing w:line="360" w:lineRule="auto"/>
        <w:ind w:firstLine="720"/>
        <w:rPr>
          <w:rFonts w:ascii="Arial" w:hAnsi="Arial" w:cs="Arial"/>
          <w:color w:val="000000" w:themeColor="text1"/>
          <w:sz w:val="22"/>
          <w:szCs w:val="22"/>
        </w:rPr>
      </w:pPr>
    </w:p>
    <w:p w14:paraId="30C803F0" w14:textId="77777777" w:rsidR="00B51BF9" w:rsidRPr="003E7C59" w:rsidRDefault="00B51BF9" w:rsidP="006622F2">
      <w:pPr>
        <w:spacing w:line="360" w:lineRule="auto"/>
        <w:ind w:firstLine="720"/>
        <w:rPr>
          <w:rFonts w:ascii="Arial" w:hAnsi="Arial" w:cs="Arial"/>
          <w:color w:val="000000" w:themeColor="text1"/>
          <w:sz w:val="22"/>
          <w:szCs w:val="22"/>
        </w:rPr>
      </w:pPr>
    </w:p>
    <w:p w14:paraId="044BD260" w14:textId="77777777" w:rsidR="00B51BF9" w:rsidRPr="003E7C59" w:rsidRDefault="00B51BF9" w:rsidP="006622F2">
      <w:pPr>
        <w:spacing w:line="360" w:lineRule="auto"/>
        <w:ind w:firstLine="720"/>
        <w:rPr>
          <w:rFonts w:ascii="Arial" w:hAnsi="Arial" w:cs="Arial"/>
          <w:color w:val="000000" w:themeColor="text1"/>
          <w:sz w:val="22"/>
          <w:szCs w:val="22"/>
        </w:rPr>
      </w:pPr>
    </w:p>
    <w:p w14:paraId="6BD26B96" w14:textId="77777777" w:rsidR="00B51BF9" w:rsidRPr="003E7C59" w:rsidRDefault="00B51BF9" w:rsidP="006622F2">
      <w:pPr>
        <w:spacing w:line="360" w:lineRule="auto"/>
        <w:ind w:firstLine="720"/>
        <w:rPr>
          <w:rFonts w:ascii="Arial" w:hAnsi="Arial" w:cs="Arial"/>
          <w:color w:val="000000" w:themeColor="text1"/>
          <w:sz w:val="22"/>
          <w:szCs w:val="22"/>
        </w:rPr>
      </w:pPr>
    </w:p>
    <w:p w14:paraId="02765AF9" w14:textId="77777777" w:rsidR="00B51BF9" w:rsidRPr="003E7C59" w:rsidRDefault="00B51BF9" w:rsidP="006622F2">
      <w:pPr>
        <w:spacing w:line="360" w:lineRule="auto"/>
        <w:ind w:firstLine="720"/>
        <w:rPr>
          <w:rFonts w:ascii="Arial" w:hAnsi="Arial" w:cs="Arial"/>
          <w:color w:val="000000" w:themeColor="text1"/>
          <w:sz w:val="22"/>
          <w:szCs w:val="22"/>
        </w:rPr>
      </w:pPr>
    </w:p>
    <w:p w14:paraId="118CB124" w14:textId="77777777" w:rsidR="00B51BF9" w:rsidRPr="003E7C59" w:rsidRDefault="00B51BF9" w:rsidP="006622F2">
      <w:pPr>
        <w:spacing w:line="360" w:lineRule="auto"/>
        <w:ind w:firstLine="720"/>
        <w:rPr>
          <w:rFonts w:ascii="Arial" w:hAnsi="Arial" w:cs="Arial"/>
          <w:color w:val="000000" w:themeColor="text1"/>
          <w:sz w:val="22"/>
          <w:szCs w:val="22"/>
        </w:rPr>
      </w:pPr>
    </w:p>
    <w:p w14:paraId="4EE18D22" w14:textId="5741E1CF" w:rsidR="00B51BF9" w:rsidRDefault="00B51BF9" w:rsidP="006622F2">
      <w:pPr>
        <w:spacing w:line="360" w:lineRule="auto"/>
        <w:ind w:firstLine="720"/>
        <w:rPr>
          <w:rFonts w:ascii="Arial" w:hAnsi="Arial" w:cs="Arial"/>
          <w:color w:val="000000" w:themeColor="text1"/>
          <w:sz w:val="22"/>
          <w:szCs w:val="22"/>
        </w:rPr>
      </w:pPr>
    </w:p>
    <w:p w14:paraId="1580ACAD" w14:textId="046D2099" w:rsidR="00D86CE7" w:rsidRDefault="00D86CE7" w:rsidP="006622F2">
      <w:pPr>
        <w:spacing w:line="360" w:lineRule="auto"/>
        <w:ind w:firstLine="720"/>
        <w:rPr>
          <w:rFonts w:ascii="Arial" w:hAnsi="Arial" w:cs="Arial"/>
          <w:color w:val="000000" w:themeColor="text1"/>
          <w:sz w:val="22"/>
          <w:szCs w:val="22"/>
        </w:rPr>
      </w:pPr>
    </w:p>
    <w:p w14:paraId="69884673" w14:textId="2C03A4D0" w:rsidR="00D86CE7" w:rsidRDefault="00D86CE7" w:rsidP="006622F2">
      <w:pPr>
        <w:spacing w:line="360" w:lineRule="auto"/>
        <w:ind w:firstLine="720"/>
        <w:rPr>
          <w:rFonts w:ascii="Arial" w:hAnsi="Arial" w:cs="Arial"/>
          <w:color w:val="000000" w:themeColor="text1"/>
          <w:sz w:val="22"/>
          <w:szCs w:val="22"/>
        </w:rPr>
      </w:pPr>
    </w:p>
    <w:p w14:paraId="22D67CC8" w14:textId="197DC77F" w:rsidR="00D86CE7" w:rsidRDefault="00D86CE7" w:rsidP="006622F2">
      <w:pPr>
        <w:spacing w:line="360" w:lineRule="auto"/>
        <w:ind w:firstLine="720"/>
        <w:rPr>
          <w:rFonts w:ascii="Arial" w:hAnsi="Arial" w:cs="Arial"/>
          <w:color w:val="000000" w:themeColor="text1"/>
          <w:sz w:val="22"/>
          <w:szCs w:val="22"/>
        </w:rPr>
      </w:pPr>
    </w:p>
    <w:p w14:paraId="095B0784" w14:textId="043C0529" w:rsidR="00D86CE7" w:rsidRDefault="00D86CE7" w:rsidP="006622F2">
      <w:pPr>
        <w:spacing w:line="360" w:lineRule="auto"/>
        <w:ind w:firstLine="720"/>
        <w:rPr>
          <w:rFonts w:ascii="Arial" w:hAnsi="Arial" w:cs="Arial"/>
          <w:color w:val="000000" w:themeColor="text1"/>
          <w:sz w:val="22"/>
          <w:szCs w:val="22"/>
        </w:rPr>
      </w:pPr>
    </w:p>
    <w:p w14:paraId="0D9E9DD6" w14:textId="1919C71A" w:rsidR="00D86CE7" w:rsidRDefault="00D86CE7" w:rsidP="006622F2">
      <w:pPr>
        <w:spacing w:line="360" w:lineRule="auto"/>
        <w:ind w:firstLine="720"/>
        <w:rPr>
          <w:rFonts w:ascii="Arial" w:hAnsi="Arial" w:cs="Arial"/>
          <w:color w:val="000000" w:themeColor="text1"/>
          <w:sz w:val="22"/>
          <w:szCs w:val="22"/>
        </w:rPr>
      </w:pPr>
    </w:p>
    <w:p w14:paraId="0CF7F84E" w14:textId="1FFD833B" w:rsidR="00D86CE7" w:rsidRDefault="00D86CE7" w:rsidP="006622F2">
      <w:pPr>
        <w:spacing w:line="360" w:lineRule="auto"/>
        <w:ind w:firstLine="720"/>
        <w:rPr>
          <w:rFonts w:ascii="Arial" w:hAnsi="Arial" w:cs="Arial"/>
          <w:color w:val="000000" w:themeColor="text1"/>
          <w:sz w:val="22"/>
          <w:szCs w:val="22"/>
        </w:rPr>
      </w:pPr>
    </w:p>
    <w:p w14:paraId="5BA03F6E" w14:textId="2DAE465D" w:rsidR="00D86CE7" w:rsidRDefault="00D86CE7" w:rsidP="006622F2">
      <w:pPr>
        <w:spacing w:line="360" w:lineRule="auto"/>
        <w:ind w:firstLine="720"/>
        <w:rPr>
          <w:rFonts w:ascii="Arial" w:hAnsi="Arial" w:cs="Arial"/>
          <w:color w:val="000000" w:themeColor="text1"/>
          <w:sz w:val="22"/>
          <w:szCs w:val="22"/>
        </w:rPr>
      </w:pPr>
    </w:p>
    <w:p w14:paraId="11CE2ABD" w14:textId="2D4A5D0B" w:rsidR="00D86CE7" w:rsidRDefault="00D86CE7" w:rsidP="006622F2">
      <w:pPr>
        <w:spacing w:line="360" w:lineRule="auto"/>
        <w:ind w:firstLine="720"/>
        <w:rPr>
          <w:rFonts w:ascii="Arial" w:hAnsi="Arial" w:cs="Arial"/>
          <w:color w:val="000000" w:themeColor="text1"/>
          <w:sz w:val="22"/>
          <w:szCs w:val="22"/>
        </w:rPr>
      </w:pPr>
    </w:p>
    <w:p w14:paraId="18E0344F" w14:textId="6C436ED9" w:rsidR="00D86CE7" w:rsidRDefault="00D86CE7" w:rsidP="006622F2">
      <w:pPr>
        <w:spacing w:line="360" w:lineRule="auto"/>
        <w:ind w:firstLine="720"/>
        <w:rPr>
          <w:rFonts w:ascii="Arial" w:hAnsi="Arial" w:cs="Arial"/>
          <w:color w:val="000000" w:themeColor="text1"/>
          <w:sz w:val="22"/>
          <w:szCs w:val="22"/>
        </w:rPr>
      </w:pPr>
    </w:p>
    <w:p w14:paraId="720064DA" w14:textId="142A004D" w:rsidR="00D86CE7" w:rsidRDefault="00D86CE7" w:rsidP="006622F2">
      <w:pPr>
        <w:spacing w:line="360" w:lineRule="auto"/>
        <w:ind w:firstLine="720"/>
        <w:rPr>
          <w:rFonts w:ascii="Arial" w:hAnsi="Arial" w:cs="Arial"/>
          <w:color w:val="000000" w:themeColor="text1"/>
          <w:sz w:val="22"/>
          <w:szCs w:val="22"/>
        </w:rPr>
      </w:pPr>
    </w:p>
    <w:p w14:paraId="2A5A3C40" w14:textId="62C63884" w:rsidR="00D86CE7" w:rsidRDefault="00D86CE7" w:rsidP="006622F2">
      <w:pPr>
        <w:spacing w:line="360" w:lineRule="auto"/>
        <w:ind w:firstLine="720"/>
        <w:rPr>
          <w:rFonts w:ascii="Arial" w:hAnsi="Arial" w:cs="Arial"/>
          <w:color w:val="000000" w:themeColor="text1"/>
          <w:sz w:val="22"/>
          <w:szCs w:val="22"/>
        </w:rPr>
      </w:pPr>
    </w:p>
    <w:p w14:paraId="697314EA" w14:textId="7EF64399" w:rsidR="00D86CE7" w:rsidRDefault="00D86CE7" w:rsidP="006622F2">
      <w:pPr>
        <w:spacing w:line="360" w:lineRule="auto"/>
        <w:ind w:firstLine="720"/>
        <w:rPr>
          <w:rFonts w:ascii="Arial" w:hAnsi="Arial" w:cs="Arial"/>
          <w:color w:val="000000" w:themeColor="text1"/>
          <w:sz w:val="22"/>
          <w:szCs w:val="22"/>
        </w:rPr>
      </w:pPr>
    </w:p>
    <w:p w14:paraId="488C48AE" w14:textId="48CD1E0B" w:rsidR="00D86CE7" w:rsidRDefault="00D86CE7" w:rsidP="006622F2">
      <w:pPr>
        <w:spacing w:line="360" w:lineRule="auto"/>
        <w:ind w:firstLine="720"/>
        <w:rPr>
          <w:rFonts w:ascii="Arial" w:hAnsi="Arial" w:cs="Arial"/>
          <w:color w:val="000000" w:themeColor="text1"/>
          <w:sz w:val="22"/>
          <w:szCs w:val="22"/>
        </w:rPr>
      </w:pPr>
    </w:p>
    <w:p w14:paraId="000655E1" w14:textId="0E194FF7" w:rsidR="00D86CE7" w:rsidRDefault="00D86CE7" w:rsidP="006622F2">
      <w:pPr>
        <w:spacing w:line="360" w:lineRule="auto"/>
        <w:ind w:firstLine="720"/>
        <w:rPr>
          <w:rFonts w:ascii="Arial" w:hAnsi="Arial" w:cs="Arial"/>
          <w:color w:val="000000" w:themeColor="text1"/>
          <w:sz w:val="22"/>
          <w:szCs w:val="22"/>
        </w:rPr>
      </w:pPr>
    </w:p>
    <w:p w14:paraId="7C1D652F" w14:textId="0EBFBB40" w:rsidR="00D86CE7" w:rsidRDefault="00D86CE7" w:rsidP="006622F2">
      <w:pPr>
        <w:spacing w:line="360" w:lineRule="auto"/>
        <w:ind w:firstLine="720"/>
        <w:rPr>
          <w:rFonts w:ascii="Arial" w:hAnsi="Arial" w:cs="Arial"/>
          <w:color w:val="000000" w:themeColor="text1"/>
          <w:sz w:val="22"/>
          <w:szCs w:val="22"/>
        </w:rPr>
      </w:pPr>
    </w:p>
    <w:p w14:paraId="6C7F3B5F" w14:textId="6815A365" w:rsidR="00D86CE7" w:rsidRDefault="00D86CE7" w:rsidP="006622F2">
      <w:pPr>
        <w:spacing w:line="360" w:lineRule="auto"/>
        <w:ind w:firstLine="720"/>
        <w:rPr>
          <w:rFonts w:ascii="Arial" w:hAnsi="Arial" w:cs="Arial"/>
          <w:color w:val="000000" w:themeColor="text1"/>
          <w:sz w:val="22"/>
          <w:szCs w:val="22"/>
        </w:rPr>
      </w:pPr>
    </w:p>
    <w:p w14:paraId="212A4B82" w14:textId="6E9F90B1" w:rsidR="00D86CE7" w:rsidRDefault="00D86CE7" w:rsidP="006622F2">
      <w:pPr>
        <w:spacing w:line="360" w:lineRule="auto"/>
        <w:ind w:firstLine="720"/>
        <w:rPr>
          <w:rFonts w:ascii="Arial" w:hAnsi="Arial" w:cs="Arial"/>
          <w:color w:val="000000" w:themeColor="text1"/>
          <w:sz w:val="22"/>
          <w:szCs w:val="22"/>
        </w:rPr>
      </w:pPr>
    </w:p>
    <w:p w14:paraId="7A7EC7AA" w14:textId="77777777" w:rsidR="00D86CE7" w:rsidRPr="003E7C59" w:rsidRDefault="00D86CE7" w:rsidP="006622F2">
      <w:pPr>
        <w:spacing w:line="360" w:lineRule="auto"/>
        <w:ind w:firstLine="720"/>
        <w:rPr>
          <w:rFonts w:ascii="Arial" w:hAnsi="Arial" w:cs="Arial"/>
          <w:color w:val="000000" w:themeColor="text1"/>
          <w:sz w:val="22"/>
          <w:szCs w:val="22"/>
        </w:rPr>
      </w:pPr>
    </w:p>
    <w:p w14:paraId="3DF03562" w14:textId="77777777" w:rsidR="00B51BF9" w:rsidRPr="003E7C59" w:rsidRDefault="00B51BF9" w:rsidP="006622F2">
      <w:pPr>
        <w:spacing w:line="360" w:lineRule="auto"/>
        <w:ind w:firstLine="720"/>
        <w:rPr>
          <w:rFonts w:ascii="Arial" w:hAnsi="Arial" w:cs="Arial"/>
          <w:color w:val="000000" w:themeColor="text1"/>
          <w:sz w:val="22"/>
          <w:szCs w:val="22"/>
        </w:rPr>
      </w:pPr>
    </w:p>
    <w:p w14:paraId="433CB6E2" w14:textId="78B958F4" w:rsidR="00B51BF9" w:rsidRPr="00AB2FF9" w:rsidRDefault="00B51BF9" w:rsidP="006622F2">
      <w:pPr>
        <w:spacing w:line="360" w:lineRule="auto"/>
        <w:ind w:firstLine="720"/>
        <w:rPr>
          <w:rFonts w:ascii="Arial" w:hAnsi="Arial" w:cs="Arial"/>
          <w:color w:val="000000" w:themeColor="text1"/>
          <w:sz w:val="22"/>
          <w:szCs w:val="22"/>
        </w:rPr>
      </w:pPr>
      <w:r w:rsidRPr="00AB2FF9">
        <w:rPr>
          <w:rFonts w:ascii="Arial" w:hAnsi="Arial" w:cs="Arial"/>
          <w:color w:val="000000" w:themeColor="text1"/>
          <w:sz w:val="22"/>
          <w:szCs w:val="22"/>
        </w:rPr>
        <w:lastRenderedPageBreak/>
        <w:t>This chapter is a reformatted version of a manuscript</w:t>
      </w:r>
      <w:r w:rsidR="00745762" w:rsidRPr="00AB2FF9">
        <w:rPr>
          <w:rFonts w:ascii="Arial" w:hAnsi="Arial" w:cs="Arial"/>
          <w:color w:val="000000" w:themeColor="text1"/>
          <w:sz w:val="22"/>
          <w:szCs w:val="22"/>
        </w:rPr>
        <w:t xml:space="preserve"> in preparation</w:t>
      </w:r>
      <w:r w:rsidRPr="00AB2FF9">
        <w:rPr>
          <w:rFonts w:ascii="Arial" w:hAnsi="Arial" w:cs="Arial"/>
          <w:color w:val="000000" w:themeColor="text1"/>
          <w:sz w:val="22"/>
          <w:szCs w:val="22"/>
        </w:rPr>
        <w:t xml:space="preserve"> with the same name in the journal</w:t>
      </w:r>
      <w:r w:rsidR="00885FDA" w:rsidRPr="00AB2FF9">
        <w:rPr>
          <w:rFonts w:ascii="Arial" w:hAnsi="Arial" w:cs="Arial"/>
          <w:color w:val="000000" w:themeColor="text1"/>
          <w:sz w:val="22"/>
          <w:szCs w:val="22"/>
        </w:rPr>
        <w:t>, Planta</w:t>
      </w:r>
      <w:r w:rsidRPr="00AB2FF9">
        <w:rPr>
          <w:rFonts w:ascii="Arial" w:hAnsi="Arial" w:cs="Arial"/>
          <w:color w:val="000000" w:themeColor="text1"/>
          <w:sz w:val="22"/>
          <w:szCs w:val="22"/>
        </w:rPr>
        <w:t>. The authors are Žaklina Pavlović, Marcin Nowicki, Miriam Payá</w:t>
      </w:r>
      <w:r w:rsidRPr="00AB2FF9">
        <w:rPr>
          <w:rFonts w:ascii="Cambria Math" w:hAnsi="Cambria Math" w:cs="Cambria Math"/>
          <w:color w:val="000000" w:themeColor="text1"/>
          <w:sz w:val="22"/>
          <w:szCs w:val="22"/>
        </w:rPr>
        <w:t>‐</w:t>
      </w:r>
      <w:r w:rsidRPr="00AB2FF9">
        <w:rPr>
          <w:rFonts w:ascii="Arial" w:hAnsi="Arial" w:cs="Arial"/>
          <w:color w:val="000000" w:themeColor="text1"/>
          <w:sz w:val="22"/>
          <w:szCs w:val="22"/>
        </w:rPr>
        <w:t>Milans, Marzena Nowakovska, Matthew L. Huff, Marg</w:t>
      </w:r>
      <w:r w:rsidR="00A54492" w:rsidRPr="00AB2FF9">
        <w:rPr>
          <w:rFonts w:ascii="Arial" w:hAnsi="Arial" w:cs="Arial"/>
          <w:color w:val="000000" w:themeColor="text1"/>
          <w:sz w:val="22"/>
          <w:szCs w:val="22"/>
        </w:rPr>
        <w:t>a</w:t>
      </w:r>
      <w:r w:rsidRPr="00AB2FF9">
        <w:rPr>
          <w:rFonts w:ascii="Arial" w:hAnsi="Arial" w:cs="Arial"/>
          <w:color w:val="000000" w:themeColor="text1"/>
          <w:sz w:val="22"/>
          <w:szCs w:val="22"/>
        </w:rPr>
        <w:t>r</w:t>
      </w:r>
      <w:r w:rsidR="00A54492" w:rsidRPr="00AB2FF9">
        <w:rPr>
          <w:rFonts w:ascii="Arial" w:hAnsi="Arial" w:cs="Arial"/>
          <w:color w:val="000000" w:themeColor="text1"/>
          <w:sz w:val="22"/>
          <w:szCs w:val="22"/>
        </w:rPr>
        <w:t>e</w:t>
      </w:r>
      <w:r w:rsidRPr="00AB2FF9">
        <w:rPr>
          <w:rFonts w:ascii="Arial" w:hAnsi="Arial" w:cs="Arial"/>
          <w:color w:val="000000" w:themeColor="text1"/>
          <w:sz w:val="22"/>
          <w:szCs w:val="22"/>
        </w:rPr>
        <w:t xml:space="preserve">t E. Staton, </w:t>
      </w:r>
      <w:proofErr w:type="gramStart"/>
      <w:r w:rsidRPr="00AB2FF9">
        <w:rPr>
          <w:rFonts w:ascii="Arial" w:hAnsi="Arial" w:cs="Arial"/>
          <w:color w:val="000000" w:themeColor="text1"/>
          <w:sz w:val="22"/>
          <w:szCs w:val="22"/>
        </w:rPr>
        <w:t>Robert</w:t>
      </w:r>
      <w:proofErr w:type="gramEnd"/>
      <w:r w:rsidRPr="00AB2FF9">
        <w:rPr>
          <w:rFonts w:ascii="Arial" w:hAnsi="Arial" w:cs="Arial"/>
          <w:color w:val="000000" w:themeColor="text1"/>
          <w:sz w:val="22"/>
          <w:szCs w:val="22"/>
        </w:rPr>
        <w:t xml:space="preserve"> N. Trigiano.</w:t>
      </w:r>
    </w:p>
    <w:p w14:paraId="0B40E47B" w14:textId="77777777" w:rsidR="00B51BF9" w:rsidRPr="00AB2FF9" w:rsidRDefault="00B51BF9" w:rsidP="006622F2">
      <w:pPr>
        <w:spacing w:line="360" w:lineRule="auto"/>
        <w:ind w:firstLine="720"/>
        <w:rPr>
          <w:rFonts w:ascii="Arial" w:hAnsi="Arial" w:cs="Arial"/>
          <w:color w:val="000000" w:themeColor="text1"/>
          <w:sz w:val="22"/>
          <w:szCs w:val="22"/>
        </w:rPr>
      </w:pPr>
    </w:p>
    <w:p w14:paraId="6EDAB2E2" w14:textId="77777777" w:rsidR="00B51BF9" w:rsidRPr="00AB2FF9" w:rsidRDefault="00B51BF9" w:rsidP="006622F2">
      <w:pPr>
        <w:spacing w:line="360" w:lineRule="auto"/>
        <w:ind w:firstLine="720"/>
        <w:rPr>
          <w:rFonts w:ascii="Arial" w:hAnsi="Arial" w:cs="Arial"/>
          <w:color w:val="000000" w:themeColor="text1"/>
          <w:sz w:val="22"/>
          <w:szCs w:val="22"/>
        </w:rPr>
      </w:pPr>
    </w:p>
    <w:p w14:paraId="570D78A5" w14:textId="77777777" w:rsidR="00B51BF9" w:rsidRPr="00AB2FF9" w:rsidRDefault="00B51BF9" w:rsidP="006622F2">
      <w:pPr>
        <w:spacing w:line="360" w:lineRule="auto"/>
        <w:ind w:firstLine="720"/>
        <w:rPr>
          <w:rFonts w:ascii="Arial" w:hAnsi="Arial" w:cs="Arial"/>
          <w:color w:val="000000" w:themeColor="text1"/>
          <w:sz w:val="22"/>
          <w:szCs w:val="22"/>
        </w:rPr>
      </w:pPr>
      <w:r w:rsidRPr="00AB2FF9">
        <w:rPr>
          <w:rFonts w:ascii="Arial" w:hAnsi="Arial" w:cs="Arial"/>
          <w:color w:val="000000" w:themeColor="text1"/>
          <w:sz w:val="22"/>
          <w:szCs w:val="22"/>
        </w:rPr>
        <w:t>My principal contributions were conceptualization, software, validation, formal analysis, investigation, resources, data curation, original draft preparation, visualization, and project administration.</w:t>
      </w:r>
    </w:p>
    <w:p w14:paraId="3ADA2530" w14:textId="77777777" w:rsidR="00B51BF9" w:rsidRPr="00AB2FF9" w:rsidRDefault="00B51BF9" w:rsidP="006622F2">
      <w:pPr>
        <w:spacing w:line="360" w:lineRule="auto"/>
        <w:ind w:firstLine="720"/>
        <w:rPr>
          <w:rFonts w:ascii="Arial" w:hAnsi="Arial" w:cs="Arial"/>
          <w:color w:val="000000" w:themeColor="text1"/>
          <w:sz w:val="22"/>
          <w:szCs w:val="22"/>
        </w:rPr>
      </w:pPr>
    </w:p>
    <w:p w14:paraId="5DD174B5" w14:textId="77777777" w:rsidR="00B51BF9" w:rsidRPr="003E7C59" w:rsidRDefault="00B51BF9" w:rsidP="006622F2">
      <w:pPr>
        <w:spacing w:line="360" w:lineRule="auto"/>
        <w:ind w:firstLine="720"/>
        <w:rPr>
          <w:rFonts w:ascii="Arial" w:hAnsi="Arial" w:cs="Arial"/>
          <w:color w:val="000000" w:themeColor="text1"/>
          <w:sz w:val="22"/>
          <w:szCs w:val="22"/>
        </w:rPr>
      </w:pPr>
    </w:p>
    <w:p w14:paraId="47772E87" w14:textId="77777777" w:rsidR="00B51BF9" w:rsidRPr="003E7C59" w:rsidRDefault="00B51BF9" w:rsidP="006622F2">
      <w:pPr>
        <w:spacing w:line="360" w:lineRule="auto"/>
        <w:ind w:firstLine="720"/>
        <w:rPr>
          <w:rFonts w:ascii="Arial" w:hAnsi="Arial" w:cs="Arial"/>
          <w:color w:val="000000" w:themeColor="text1"/>
          <w:sz w:val="22"/>
          <w:szCs w:val="22"/>
        </w:rPr>
      </w:pPr>
    </w:p>
    <w:p w14:paraId="4240C4AA" w14:textId="77777777" w:rsidR="00B51BF9" w:rsidRPr="003E7C59" w:rsidRDefault="00B51BF9" w:rsidP="006622F2">
      <w:pPr>
        <w:spacing w:line="360" w:lineRule="auto"/>
        <w:ind w:firstLine="720"/>
        <w:rPr>
          <w:rFonts w:ascii="Arial" w:hAnsi="Arial" w:cs="Arial"/>
          <w:color w:val="000000" w:themeColor="text1"/>
          <w:sz w:val="22"/>
          <w:szCs w:val="22"/>
        </w:rPr>
      </w:pPr>
    </w:p>
    <w:p w14:paraId="49C57C82" w14:textId="77777777" w:rsidR="00B51BF9" w:rsidRPr="003E7C59" w:rsidRDefault="00B51BF9" w:rsidP="006622F2">
      <w:pPr>
        <w:spacing w:line="360" w:lineRule="auto"/>
        <w:ind w:firstLine="720"/>
        <w:rPr>
          <w:rFonts w:ascii="Arial" w:hAnsi="Arial" w:cs="Arial"/>
          <w:color w:val="000000" w:themeColor="text1"/>
          <w:sz w:val="22"/>
          <w:szCs w:val="22"/>
        </w:rPr>
      </w:pPr>
    </w:p>
    <w:p w14:paraId="38465D65" w14:textId="77777777" w:rsidR="00B51BF9" w:rsidRPr="003E7C59" w:rsidRDefault="00B51BF9" w:rsidP="006622F2">
      <w:pPr>
        <w:spacing w:line="360" w:lineRule="auto"/>
        <w:ind w:firstLine="720"/>
        <w:rPr>
          <w:rFonts w:ascii="Arial" w:hAnsi="Arial" w:cs="Arial"/>
          <w:color w:val="000000" w:themeColor="text1"/>
          <w:sz w:val="22"/>
          <w:szCs w:val="22"/>
        </w:rPr>
      </w:pPr>
    </w:p>
    <w:p w14:paraId="7E79C12E" w14:textId="77777777" w:rsidR="00B51BF9" w:rsidRPr="003E7C59" w:rsidRDefault="00B51BF9" w:rsidP="006622F2">
      <w:pPr>
        <w:spacing w:line="360" w:lineRule="auto"/>
        <w:ind w:firstLine="720"/>
        <w:rPr>
          <w:rFonts w:ascii="Arial" w:hAnsi="Arial" w:cs="Arial"/>
          <w:color w:val="000000" w:themeColor="text1"/>
          <w:sz w:val="22"/>
          <w:szCs w:val="22"/>
        </w:rPr>
      </w:pPr>
    </w:p>
    <w:p w14:paraId="1FF50B95" w14:textId="77777777" w:rsidR="00B51BF9" w:rsidRPr="003E7C59" w:rsidRDefault="00B51BF9" w:rsidP="006622F2">
      <w:pPr>
        <w:spacing w:line="360" w:lineRule="auto"/>
        <w:ind w:firstLine="720"/>
        <w:rPr>
          <w:rFonts w:ascii="Arial" w:hAnsi="Arial" w:cs="Arial"/>
          <w:color w:val="000000" w:themeColor="text1"/>
          <w:sz w:val="22"/>
          <w:szCs w:val="22"/>
        </w:rPr>
      </w:pPr>
    </w:p>
    <w:p w14:paraId="16CA0F00" w14:textId="77777777" w:rsidR="00B51BF9" w:rsidRPr="003E7C59" w:rsidRDefault="00B51BF9" w:rsidP="006622F2">
      <w:pPr>
        <w:spacing w:line="360" w:lineRule="auto"/>
        <w:ind w:firstLine="720"/>
        <w:rPr>
          <w:rFonts w:ascii="Arial" w:hAnsi="Arial" w:cs="Arial"/>
          <w:color w:val="000000" w:themeColor="text1"/>
          <w:sz w:val="22"/>
          <w:szCs w:val="22"/>
        </w:rPr>
      </w:pPr>
    </w:p>
    <w:p w14:paraId="60AE2B7F" w14:textId="77777777" w:rsidR="00B51BF9" w:rsidRPr="003E7C59" w:rsidRDefault="00B51BF9" w:rsidP="006622F2">
      <w:pPr>
        <w:spacing w:line="360" w:lineRule="auto"/>
        <w:ind w:firstLine="720"/>
        <w:rPr>
          <w:rFonts w:ascii="Arial" w:hAnsi="Arial" w:cs="Arial"/>
          <w:color w:val="000000" w:themeColor="text1"/>
          <w:sz w:val="22"/>
          <w:szCs w:val="22"/>
        </w:rPr>
      </w:pPr>
    </w:p>
    <w:p w14:paraId="14C77F55" w14:textId="77777777" w:rsidR="00B51BF9" w:rsidRPr="003E7C59" w:rsidRDefault="00B51BF9" w:rsidP="006622F2">
      <w:pPr>
        <w:spacing w:line="360" w:lineRule="auto"/>
        <w:ind w:firstLine="720"/>
        <w:rPr>
          <w:rFonts w:ascii="Arial" w:hAnsi="Arial" w:cs="Arial"/>
          <w:color w:val="000000" w:themeColor="text1"/>
          <w:sz w:val="22"/>
          <w:szCs w:val="22"/>
        </w:rPr>
      </w:pPr>
    </w:p>
    <w:p w14:paraId="446C8B56" w14:textId="77777777" w:rsidR="00B51BF9" w:rsidRPr="003E7C59" w:rsidRDefault="00B51BF9" w:rsidP="006622F2">
      <w:pPr>
        <w:spacing w:line="360" w:lineRule="auto"/>
        <w:ind w:firstLine="720"/>
        <w:rPr>
          <w:rFonts w:ascii="Arial" w:hAnsi="Arial" w:cs="Arial"/>
          <w:color w:val="000000" w:themeColor="text1"/>
          <w:sz w:val="22"/>
          <w:szCs w:val="22"/>
        </w:rPr>
      </w:pPr>
    </w:p>
    <w:p w14:paraId="132A4992" w14:textId="77777777" w:rsidR="00B51BF9" w:rsidRPr="003E7C59" w:rsidRDefault="00B51BF9" w:rsidP="006622F2">
      <w:pPr>
        <w:spacing w:line="360" w:lineRule="auto"/>
        <w:ind w:firstLine="720"/>
        <w:rPr>
          <w:rFonts w:ascii="Arial" w:hAnsi="Arial" w:cs="Arial"/>
          <w:color w:val="000000" w:themeColor="text1"/>
          <w:sz w:val="22"/>
          <w:szCs w:val="22"/>
        </w:rPr>
      </w:pPr>
    </w:p>
    <w:p w14:paraId="58552C05" w14:textId="77777777" w:rsidR="00B51BF9" w:rsidRPr="003E7C59" w:rsidRDefault="00B51BF9" w:rsidP="006622F2">
      <w:pPr>
        <w:pStyle w:val="Heading3"/>
        <w:spacing w:line="360" w:lineRule="auto"/>
        <w:rPr>
          <w:rFonts w:ascii="Arial" w:hAnsi="Arial" w:cs="Arial"/>
          <w:color w:val="000000" w:themeColor="text1"/>
          <w:sz w:val="22"/>
          <w:szCs w:val="22"/>
        </w:rPr>
      </w:pPr>
    </w:p>
    <w:p w14:paraId="5686AEAE" w14:textId="77777777" w:rsidR="00B51BF9" w:rsidRPr="003E7C59" w:rsidRDefault="00B51BF9" w:rsidP="006622F2">
      <w:pPr>
        <w:pStyle w:val="Heading3"/>
        <w:spacing w:line="360" w:lineRule="auto"/>
        <w:rPr>
          <w:rFonts w:ascii="Arial" w:hAnsi="Arial" w:cs="Arial"/>
          <w:color w:val="000000" w:themeColor="text1"/>
          <w:sz w:val="22"/>
          <w:szCs w:val="22"/>
        </w:rPr>
      </w:pPr>
    </w:p>
    <w:p w14:paraId="07E83483" w14:textId="77777777" w:rsidR="00B51BF9" w:rsidRPr="003E7C59" w:rsidRDefault="00B51BF9" w:rsidP="006622F2">
      <w:pPr>
        <w:pStyle w:val="Heading3"/>
        <w:spacing w:line="360" w:lineRule="auto"/>
        <w:rPr>
          <w:rFonts w:ascii="Arial" w:hAnsi="Arial" w:cs="Arial"/>
          <w:color w:val="000000" w:themeColor="text1"/>
          <w:sz w:val="22"/>
          <w:szCs w:val="22"/>
        </w:rPr>
      </w:pPr>
    </w:p>
    <w:p w14:paraId="72333D42" w14:textId="77777777" w:rsidR="00B51BF9" w:rsidRPr="003E7C59" w:rsidRDefault="00B51BF9" w:rsidP="006622F2">
      <w:pPr>
        <w:pStyle w:val="Heading3"/>
        <w:spacing w:line="360" w:lineRule="auto"/>
        <w:rPr>
          <w:rFonts w:ascii="Arial" w:hAnsi="Arial" w:cs="Arial"/>
          <w:color w:val="000000" w:themeColor="text1"/>
          <w:sz w:val="22"/>
          <w:szCs w:val="22"/>
        </w:rPr>
      </w:pPr>
    </w:p>
    <w:p w14:paraId="32C20B9B" w14:textId="77777777" w:rsidR="00B51BF9" w:rsidRPr="003E7C59" w:rsidRDefault="00B51BF9" w:rsidP="006622F2">
      <w:pPr>
        <w:pStyle w:val="Heading3"/>
        <w:spacing w:line="360" w:lineRule="auto"/>
        <w:rPr>
          <w:rFonts w:ascii="Arial" w:hAnsi="Arial" w:cs="Arial"/>
          <w:color w:val="000000" w:themeColor="text1"/>
          <w:sz w:val="22"/>
          <w:szCs w:val="22"/>
        </w:rPr>
      </w:pPr>
    </w:p>
    <w:p w14:paraId="5944123F" w14:textId="77777777" w:rsidR="00B51BF9" w:rsidRPr="003E7C59" w:rsidRDefault="00B51BF9" w:rsidP="006622F2">
      <w:pPr>
        <w:pStyle w:val="Heading3"/>
        <w:spacing w:line="360" w:lineRule="auto"/>
        <w:rPr>
          <w:rFonts w:ascii="Arial" w:hAnsi="Arial" w:cs="Arial"/>
          <w:color w:val="000000" w:themeColor="text1"/>
          <w:sz w:val="22"/>
          <w:szCs w:val="22"/>
        </w:rPr>
      </w:pPr>
    </w:p>
    <w:p w14:paraId="237CEC08" w14:textId="77777777" w:rsidR="00B51BF9" w:rsidRPr="003E7C59" w:rsidRDefault="00B51BF9" w:rsidP="006622F2">
      <w:pPr>
        <w:pStyle w:val="Heading3"/>
        <w:spacing w:line="360" w:lineRule="auto"/>
        <w:rPr>
          <w:rFonts w:ascii="Arial" w:hAnsi="Arial" w:cs="Arial"/>
          <w:color w:val="000000" w:themeColor="text1"/>
          <w:sz w:val="22"/>
          <w:szCs w:val="22"/>
        </w:rPr>
      </w:pPr>
    </w:p>
    <w:p w14:paraId="0A77AD07" w14:textId="77777777"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38" w:name="_Toc117166832"/>
      <w:bookmarkStart w:id="39" w:name="_Toc121821918"/>
      <w:r w:rsidRPr="003E7C59">
        <w:rPr>
          <w:rFonts w:ascii="Arial" w:hAnsi="Arial" w:cs="Arial"/>
          <w:color w:val="000000" w:themeColor="text1"/>
          <w:sz w:val="22"/>
          <w:szCs w:val="22"/>
        </w:rPr>
        <w:lastRenderedPageBreak/>
        <w:t>Abstract</w:t>
      </w:r>
      <w:bookmarkEnd w:id="38"/>
      <w:bookmarkEnd w:id="39"/>
    </w:p>
    <w:p w14:paraId="156D0E5C" w14:textId="77777777" w:rsidR="00A86363" w:rsidRPr="003E7C59" w:rsidRDefault="00A86363" w:rsidP="006622F2">
      <w:pPr>
        <w:spacing w:line="360" w:lineRule="auto"/>
        <w:ind w:firstLine="720"/>
        <w:rPr>
          <w:rFonts w:ascii="Arial" w:hAnsi="Arial" w:cs="Arial"/>
          <w:color w:val="000000" w:themeColor="text1"/>
          <w:sz w:val="22"/>
          <w:szCs w:val="22"/>
          <w:shd w:val="clear" w:color="auto" w:fill="FCFCFC"/>
        </w:rPr>
      </w:pPr>
    </w:p>
    <w:p w14:paraId="2C3588E9" w14:textId="4DB06D75"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shd w:val="clear" w:color="auto" w:fill="FCFCFC"/>
        </w:rPr>
        <w:t>Flowering dogwood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shd w:val="clear" w:color="auto" w:fill="FCFCFC"/>
        </w:rPr>
        <w:t> </w:t>
      </w:r>
      <w:r w:rsidRPr="003E7C59">
        <w:rPr>
          <w:rFonts w:ascii="Arial" w:hAnsi="Arial" w:cs="Arial"/>
          <w:color w:val="000000" w:themeColor="text1"/>
          <w:sz w:val="22"/>
          <w:szCs w:val="22"/>
          <w:shd w:val="clear" w:color="auto" w:fill="FCFCFC"/>
        </w:rPr>
        <w:t>L.) and Asian dogwood (</w:t>
      </w:r>
      <w:r w:rsidRPr="003E7C59">
        <w:rPr>
          <w:rFonts w:ascii="Arial" w:hAnsi="Arial" w:cs="Arial"/>
          <w:i/>
          <w:iCs/>
          <w:color w:val="000000" w:themeColor="text1"/>
          <w:sz w:val="22"/>
          <w:szCs w:val="22"/>
          <w:shd w:val="clear" w:color="auto" w:fill="FCFCFC"/>
        </w:rPr>
        <w:t>C. kousa</w:t>
      </w:r>
      <w:r w:rsidRPr="003E7C59">
        <w:rPr>
          <w:rFonts w:ascii="Arial" w:hAnsi="Arial" w:cs="Arial"/>
          <w:color w:val="000000" w:themeColor="text1"/>
          <w:sz w:val="22"/>
          <w:szCs w:val="22"/>
        </w:rPr>
        <w:t xml:space="preserve"> Buerger ex Hance</w:t>
      </w:r>
      <w:r w:rsidRPr="003E7C59">
        <w:rPr>
          <w:rFonts w:ascii="Arial" w:hAnsi="Arial" w:cs="Arial"/>
          <w:color w:val="000000" w:themeColor="text1"/>
          <w:sz w:val="22"/>
          <w:szCs w:val="22"/>
          <w:shd w:val="clear" w:color="auto" w:fill="FCFCFC"/>
        </w:rPr>
        <w:t>) are popular deciduous ornamental trees</w:t>
      </w:r>
      <w:r w:rsidR="001D3E51" w:rsidRPr="003E7C59">
        <w:rPr>
          <w:rFonts w:ascii="Arial" w:hAnsi="Arial" w:cs="Arial"/>
          <w:color w:val="000000" w:themeColor="text1"/>
          <w:sz w:val="22"/>
          <w:szCs w:val="22"/>
          <w:shd w:val="clear" w:color="auto" w:fill="FCFCFC"/>
        </w:rPr>
        <w:t>.</w:t>
      </w:r>
      <w:r w:rsidR="006E4481" w:rsidRPr="003E7C59">
        <w:rPr>
          <w:rFonts w:ascii="Arial" w:hAnsi="Arial" w:cs="Arial"/>
          <w:color w:val="000000" w:themeColor="text1"/>
          <w:sz w:val="22"/>
          <w:szCs w:val="22"/>
          <w:shd w:val="clear" w:color="auto" w:fill="FCFCFC"/>
        </w:rPr>
        <w:t xml:space="preserve"> </w:t>
      </w:r>
      <w:r w:rsidR="006E4481" w:rsidRPr="003E7C59">
        <w:rPr>
          <w:rFonts w:ascii="Arial" w:hAnsi="Arial" w:cs="Arial"/>
          <w:i/>
          <w:iCs/>
          <w:color w:val="000000" w:themeColor="text1"/>
          <w:sz w:val="22"/>
          <w:szCs w:val="22"/>
          <w:shd w:val="clear" w:color="auto" w:fill="FCFCFC"/>
        </w:rPr>
        <w:t>C.</w:t>
      </w:r>
      <w:r w:rsidR="006E4481" w:rsidRPr="003E7C59">
        <w:rPr>
          <w:rFonts w:ascii="Arial" w:hAnsi="Arial" w:cs="Arial"/>
          <w:color w:val="000000" w:themeColor="text1"/>
          <w:sz w:val="22"/>
          <w:szCs w:val="22"/>
          <w:shd w:val="clear" w:color="auto" w:fill="FCFCFC"/>
        </w:rPr>
        <w:t xml:space="preserve"> </w:t>
      </w:r>
      <w:proofErr w:type="gramStart"/>
      <w:r w:rsidR="006E4481" w:rsidRPr="003E7C59">
        <w:rPr>
          <w:rFonts w:ascii="Arial" w:hAnsi="Arial" w:cs="Arial"/>
          <w:i/>
          <w:iCs/>
          <w:color w:val="000000" w:themeColor="text1"/>
          <w:sz w:val="22"/>
          <w:szCs w:val="22"/>
          <w:shd w:val="clear" w:color="auto" w:fill="FCFCFC"/>
        </w:rPr>
        <w:t>florida</w:t>
      </w:r>
      <w:proofErr w:type="gramEnd"/>
      <w:r w:rsidR="001D3E51" w:rsidRPr="003E7C59">
        <w:rPr>
          <w:rFonts w:ascii="Arial" w:hAnsi="Arial" w:cs="Arial"/>
          <w:color w:val="000000" w:themeColor="text1"/>
          <w:sz w:val="22"/>
          <w:szCs w:val="22"/>
          <w:shd w:val="clear" w:color="auto" w:fill="FCFCFC"/>
        </w:rPr>
        <w:t xml:space="preserve"> </w:t>
      </w:r>
      <w:r w:rsidR="006E4481" w:rsidRPr="003E7C59">
        <w:rPr>
          <w:rFonts w:ascii="Arial" w:hAnsi="Arial" w:cs="Arial"/>
          <w:color w:val="000000" w:themeColor="text1"/>
          <w:sz w:val="22"/>
          <w:szCs w:val="22"/>
          <w:shd w:val="clear" w:color="auto" w:fill="FCFCFC"/>
        </w:rPr>
        <w:t>is</w:t>
      </w:r>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shd w:val="clear" w:color="auto" w:fill="FCFCFC"/>
        </w:rPr>
        <w:t xml:space="preserve">native </w:t>
      </w:r>
      <w:r w:rsidRPr="003E7C59">
        <w:rPr>
          <w:rFonts w:ascii="Arial" w:hAnsi="Arial" w:cs="Arial"/>
          <w:color w:val="000000" w:themeColor="text1"/>
          <w:sz w:val="22"/>
          <w:szCs w:val="22"/>
        </w:rPr>
        <w:t xml:space="preserve">to a </w:t>
      </w:r>
      <w:r w:rsidR="00832370" w:rsidRPr="003E7C59">
        <w:rPr>
          <w:rFonts w:ascii="Arial" w:hAnsi="Arial" w:cs="Arial"/>
          <w:color w:val="000000" w:themeColor="text1"/>
          <w:sz w:val="22"/>
          <w:szCs w:val="22"/>
        </w:rPr>
        <w:t>wide range</w:t>
      </w:r>
      <w:r w:rsidRPr="003E7C59">
        <w:rPr>
          <w:rFonts w:ascii="Arial" w:hAnsi="Arial" w:cs="Arial"/>
          <w:color w:val="000000" w:themeColor="text1"/>
          <w:sz w:val="22"/>
          <w:szCs w:val="22"/>
        </w:rPr>
        <w:t xml:space="preserve"> of </w:t>
      </w:r>
      <w:r w:rsidRPr="003E7C59">
        <w:rPr>
          <w:rFonts w:ascii="Arial" w:hAnsi="Arial" w:cs="Arial"/>
          <w:color w:val="000000" w:themeColor="text1"/>
          <w:sz w:val="22"/>
          <w:szCs w:val="22"/>
          <w:shd w:val="clear" w:color="auto" w:fill="FCFCFC"/>
        </w:rPr>
        <w:t>eastern and southeastern United States</w:t>
      </w:r>
      <w:r w:rsidR="006E4481" w:rsidRPr="003E7C59">
        <w:rPr>
          <w:rFonts w:ascii="Arial" w:hAnsi="Arial" w:cs="Arial"/>
          <w:color w:val="000000" w:themeColor="text1"/>
          <w:sz w:val="22"/>
          <w:szCs w:val="22"/>
          <w:shd w:val="clear" w:color="auto" w:fill="FCFCFC"/>
        </w:rPr>
        <w:t xml:space="preserve">, whereas </w:t>
      </w:r>
      <w:r w:rsidR="006E4481" w:rsidRPr="003E7C59">
        <w:rPr>
          <w:rFonts w:ascii="Arial" w:hAnsi="Arial" w:cs="Arial"/>
          <w:i/>
          <w:iCs/>
          <w:color w:val="000000" w:themeColor="text1"/>
          <w:sz w:val="22"/>
          <w:szCs w:val="22"/>
          <w:shd w:val="clear" w:color="auto" w:fill="FCFCFC"/>
        </w:rPr>
        <w:t>C.</w:t>
      </w:r>
      <w:r w:rsidR="006E4481" w:rsidRPr="003E7C59">
        <w:rPr>
          <w:rFonts w:ascii="Arial" w:hAnsi="Arial" w:cs="Arial"/>
          <w:color w:val="000000" w:themeColor="text1"/>
          <w:sz w:val="22"/>
          <w:szCs w:val="22"/>
          <w:shd w:val="clear" w:color="auto" w:fill="FCFCFC"/>
        </w:rPr>
        <w:t xml:space="preserve"> </w:t>
      </w:r>
      <w:r w:rsidR="006E4481" w:rsidRPr="003E7C59">
        <w:rPr>
          <w:rFonts w:ascii="Arial" w:hAnsi="Arial" w:cs="Arial"/>
          <w:i/>
          <w:iCs/>
          <w:color w:val="000000" w:themeColor="text1"/>
          <w:sz w:val="22"/>
          <w:szCs w:val="22"/>
          <w:shd w:val="clear" w:color="auto" w:fill="FCFCFC"/>
        </w:rPr>
        <w:t xml:space="preserve">kousa </w:t>
      </w:r>
      <w:r w:rsidR="00E1220E" w:rsidRPr="003E7C59">
        <w:rPr>
          <w:rFonts w:ascii="Arial" w:hAnsi="Arial" w:cs="Arial"/>
          <w:color w:val="000000" w:themeColor="text1"/>
          <w:sz w:val="22"/>
          <w:szCs w:val="22"/>
          <w:shd w:val="clear" w:color="auto" w:fill="FCFCFC"/>
        </w:rPr>
        <w:t>originated in</w:t>
      </w:r>
      <w:r w:rsidR="00720060" w:rsidRPr="003E7C59">
        <w:rPr>
          <w:rFonts w:ascii="Arial" w:hAnsi="Arial" w:cs="Arial"/>
          <w:color w:val="000000" w:themeColor="text1"/>
          <w:sz w:val="22"/>
          <w:szCs w:val="22"/>
          <w:shd w:val="clear" w:color="auto" w:fill="FCFCFC"/>
        </w:rPr>
        <w:t xml:space="preserve"> </w:t>
      </w:r>
      <w:r w:rsidR="00A56559" w:rsidRPr="003E7C59">
        <w:rPr>
          <w:rFonts w:ascii="Arial" w:hAnsi="Arial" w:cs="Arial"/>
          <w:color w:val="000000" w:themeColor="text1"/>
          <w:sz w:val="22"/>
          <w:szCs w:val="22"/>
          <w:shd w:val="clear" w:color="auto" w:fill="FCFCFC"/>
        </w:rPr>
        <w:t>Eastern Asia</w:t>
      </w:r>
      <w:r w:rsidRPr="003E7C59">
        <w:rPr>
          <w:rFonts w:ascii="Arial" w:hAnsi="Arial" w:cs="Arial"/>
          <w:color w:val="000000" w:themeColor="text1"/>
          <w:sz w:val="22"/>
          <w:szCs w:val="22"/>
          <w:shd w:val="clear" w:color="auto" w:fill="FCFCFC"/>
        </w:rPr>
        <w:t xml:space="preserve">. </w:t>
      </w:r>
      <w:r w:rsidR="0030429F" w:rsidRPr="003E7C59">
        <w:rPr>
          <w:rFonts w:ascii="Arial" w:hAnsi="Arial" w:cs="Arial"/>
          <w:color w:val="000000" w:themeColor="text1"/>
          <w:sz w:val="22"/>
          <w:szCs w:val="22"/>
          <w:shd w:val="clear" w:color="auto" w:fill="FCFCFC"/>
        </w:rPr>
        <w:t>Both species excel for their showy white, red</w:t>
      </w:r>
      <w:r w:rsidR="004F4528" w:rsidRPr="003E7C59">
        <w:rPr>
          <w:rFonts w:ascii="Arial" w:hAnsi="Arial" w:cs="Arial"/>
          <w:color w:val="000000" w:themeColor="text1"/>
          <w:sz w:val="22"/>
          <w:szCs w:val="22"/>
          <w:shd w:val="clear" w:color="auto" w:fill="FCFCFC"/>
        </w:rPr>
        <w:t>,</w:t>
      </w:r>
      <w:r w:rsidR="0030429F" w:rsidRPr="003E7C59">
        <w:rPr>
          <w:rFonts w:ascii="Arial" w:hAnsi="Arial" w:cs="Arial"/>
          <w:color w:val="000000" w:themeColor="text1"/>
          <w:sz w:val="22"/>
          <w:szCs w:val="22"/>
          <w:shd w:val="clear" w:color="auto" w:fill="FCFCFC"/>
        </w:rPr>
        <w:t xml:space="preserve"> or pink bracts, red fall foliage</w:t>
      </w:r>
      <w:r w:rsidR="004F4528" w:rsidRPr="003E7C59">
        <w:rPr>
          <w:rFonts w:ascii="Arial" w:hAnsi="Arial" w:cs="Arial"/>
          <w:color w:val="000000" w:themeColor="text1"/>
          <w:sz w:val="22"/>
          <w:szCs w:val="22"/>
          <w:shd w:val="clear" w:color="auto" w:fill="FCFCFC"/>
        </w:rPr>
        <w:t>,</w:t>
      </w:r>
      <w:r w:rsidR="0030429F" w:rsidRPr="003E7C59">
        <w:rPr>
          <w:rFonts w:ascii="Arial" w:hAnsi="Arial" w:cs="Arial"/>
          <w:color w:val="000000" w:themeColor="text1"/>
          <w:sz w:val="22"/>
          <w:szCs w:val="22"/>
          <w:shd w:val="clear" w:color="auto" w:fill="FCFCFC"/>
        </w:rPr>
        <w:t xml:space="preserve"> and colorful fruit. </w:t>
      </w:r>
      <w:r w:rsidR="002E0369" w:rsidRPr="003E7C59">
        <w:rPr>
          <w:rFonts w:ascii="Arial" w:hAnsi="Arial" w:cs="Arial"/>
          <w:color w:val="000000" w:themeColor="text1"/>
          <w:sz w:val="22"/>
          <w:szCs w:val="22"/>
        </w:rPr>
        <w:t>Flavonoid pigment</w:t>
      </w:r>
      <w:r w:rsidRPr="003E7C59">
        <w:rPr>
          <w:rFonts w:ascii="Arial" w:hAnsi="Arial" w:cs="Arial"/>
          <w:color w:val="000000" w:themeColor="text1"/>
          <w:sz w:val="22"/>
          <w:szCs w:val="22"/>
          <w:shd w:val="clear" w:color="auto" w:fill="FFFFFF"/>
        </w:rPr>
        <w:t xml:space="preserve"> biosynthesis is one of the best-studied biological processes in natur</w:t>
      </w:r>
      <w:r w:rsidR="0030429F" w:rsidRPr="003E7C59">
        <w:rPr>
          <w:rFonts w:ascii="Arial" w:hAnsi="Arial" w:cs="Arial"/>
          <w:color w:val="000000" w:themeColor="text1"/>
          <w:sz w:val="22"/>
          <w:szCs w:val="22"/>
          <w:shd w:val="clear" w:color="auto" w:fill="FFFFFF"/>
        </w:rPr>
        <w:t xml:space="preserve">e, and </w:t>
      </w:r>
      <w:proofErr w:type="gramStart"/>
      <w:r w:rsidR="0030429F" w:rsidRPr="003E7C59">
        <w:rPr>
          <w:rFonts w:ascii="Arial" w:hAnsi="Arial" w:cs="Arial"/>
          <w:color w:val="000000" w:themeColor="text1"/>
          <w:sz w:val="22"/>
          <w:szCs w:val="22"/>
          <w:shd w:val="clear" w:color="auto" w:fill="FFFFFF"/>
        </w:rPr>
        <w:t xml:space="preserve">it is controlled by </w:t>
      </w:r>
      <w:r w:rsidR="0030429F" w:rsidRPr="003E7C59">
        <w:rPr>
          <w:rFonts w:ascii="Arial" w:hAnsi="Arial" w:cs="Arial"/>
          <w:color w:val="000000" w:themeColor="text1"/>
          <w:sz w:val="22"/>
          <w:szCs w:val="22"/>
          <w:highlight w:val="white"/>
        </w:rPr>
        <w:t>two classes of genes</w:t>
      </w:r>
      <w:proofErr w:type="gramEnd"/>
      <w:r w:rsidR="0030429F" w:rsidRPr="003E7C59">
        <w:rPr>
          <w:rFonts w:ascii="Arial" w:hAnsi="Arial" w:cs="Arial"/>
          <w:color w:val="000000" w:themeColor="text1"/>
          <w:sz w:val="22"/>
          <w:szCs w:val="22"/>
        </w:rPr>
        <w:t xml:space="preserve">: </w:t>
      </w:r>
      <w:r w:rsidR="0030429F" w:rsidRPr="003E7C59">
        <w:rPr>
          <w:rFonts w:ascii="Arial" w:hAnsi="Arial" w:cs="Arial"/>
          <w:color w:val="000000" w:themeColor="text1"/>
          <w:sz w:val="22"/>
          <w:szCs w:val="22"/>
          <w:highlight w:val="white"/>
        </w:rPr>
        <w:t>structural genes</w:t>
      </w:r>
      <w:r w:rsidR="0030429F" w:rsidRPr="003E7C59">
        <w:rPr>
          <w:rFonts w:ascii="Arial" w:hAnsi="Arial" w:cs="Arial"/>
          <w:color w:val="000000" w:themeColor="text1"/>
          <w:sz w:val="22"/>
          <w:szCs w:val="22"/>
        </w:rPr>
        <w:t xml:space="preserve"> and transcription factors </w:t>
      </w:r>
      <w:r w:rsidR="0030429F" w:rsidRPr="003E7C59">
        <w:rPr>
          <w:rFonts w:ascii="Arial" w:hAnsi="Arial" w:cs="Arial"/>
          <w:color w:val="000000" w:themeColor="text1"/>
          <w:sz w:val="22"/>
          <w:szCs w:val="22"/>
          <w:shd w:val="clear" w:color="auto" w:fill="FFFFFF"/>
        </w:rPr>
        <w:t>that function as either positive or negative regulators of flavonoid compounds.</w:t>
      </w:r>
      <w:r w:rsidR="001A2523" w:rsidRPr="003E7C59">
        <w:rPr>
          <w:rFonts w:ascii="Arial" w:hAnsi="Arial" w:cs="Arial"/>
          <w:color w:val="000000" w:themeColor="text1"/>
          <w:sz w:val="22"/>
          <w:szCs w:val="22"/>
          <w:shd w:val="clear" w:color="auto" w:fill="FFFFFF"/>
        </w:rPr>
        <w:t xml:space="preserve"> For instance, </w:t>
      </w:r>
      <w:r w:rsidR="001A2523" w:rsidRPr="003E7C59">
        <w:rPr>
          <w:rFonts w:ascii="Arial" w:hAnsi="Arial" w:cs="Arial"/>
          <w:color w:val="000000" w:themeColor="text1"/>
          <w:sz w:val="22"/>
          <w:szCs w:val="22"/>
          <w:shd w:val="clear" w:color="auto" w:fill="FCFCFC"/>
        </w:rPr>
        <w:t>anthocyanin pigments enhance desirable pink or dark red colored bracts in dogwoods</w:t>
      </w:r>
      <w:r w:rsidR="005F7ED7" w:rsidRPr="003E7C59">
        <w:rPr>
          <w:rFonts w:ascii="Arial" w:hAnsi="Arial" w:cs="Arial"/>
          <w:color w:val="000000" w:themeColor="text1"/>
          <w:sz w:val="22"/>
          <w:szCs w:val="22"/>
          <w:shd w:val="clear" w:color="auto" w:fill="FCFCFC"/>
        </w:rPr>
        <w:t>, whereas proanthocyanidins</w:t>
      </w:r>
      <w:r w:rsidR="00755C37" w:rsidRPr="003E7C59">
        <w:rPr>
          <w:rFonts w:ascii="Arial" w:hAnsi="Arial" w:cs="Arial"/>
          <w:color w:val="000000" w:themeColor="text1"/>
          <w:sz w:val="22"/>
          <w:szCs w:val="22"/>
          <w:shd w:val="clear" w:color="auto" w:fill="FCFCFC"/>
        </w:rPr>
        <w:t xml:space="preserve"> </w:t>
      </w:r>
      <w:r w:rsidR="0078310C" w:rsidRPr="003E7C59">
        <w:rPr>
          <w:rFonts w:ascii="Arial" w:hAnsi="Arial" w:cs="Arial"/>
          <w:color w:val="000000" w:themeColor="text1"/>
          <w:sz w:val="22"/>
          <w:szCs w:val="22"/>
        </w:rPr>
        <w:t>protect plants from pathogens</w:t>
      </w:r>
      <w:r w:rsidR="00755C37" w:rsidRPr="003E7C59">
        <w:rPr>
          <w:rFonts w:ascii="Arial" w:hAnsi="Arial" w:cs="Arial"/>
          <w:color w:val="000000" w:themeColor="text1"/>
          <w:sz w:val="22"/>
          <w:szCs w:val="22"/>
        </w:rPr>
        <w:t xml:space="preserve"> and pests. </w:t>
      </w:r>
      <w:r w:rsidR="005627AF" w:rsidRPr="003E7C59">
        <w:rPr>
          <w:rFonts w:ascii="Arial" w:hAnsi="Arial" w:cs="Arial"/>
          <w:color w:val="000000" w:themeColor="text1"/>
          <w:sz w:val="22"/>
          <w:szCs w:val="22"/>
          <w:shd w:val="clear" w:color="auto" w:fill="FFFFFF"/>
        </w:rPr>
        <w:t>M</w:t>
      </w:r>
      <w:r w:rsidRPr="003E7C59">
        <w:rPr>
          <w:rFonts w:ascii="Arial" w:hAnsi="Arial" w:cs="Arial"/>
          <w:color w:val="000000" w:themeColor="text1"/>
          <w:sz w:val="22"/>
          <w:szCs w:val="22"/>
          <w:shd w:val="clear" w:color="auto" w:fill="FFFFFF"/>
        </w:rPr>
        <w:t xml:space="preserve">olecular regulation of </w:t>
      </w:r>
      <w:r w:rsidR="005627AF" w:rsidRPr="003E7C59">
        <w:rPr>
          <w:rFonts w:ascii="Arial" w:hAnsi="Arial" w:cs="Arial"/>
          <w:color w:val="000000" w:themeColor="text1"/>
          <w:sz w:val="22"/>
          <w:szCs w:val="22"/>
        </w:rPr>
        <w:t xml:space="preserve">anthocyanins and proanthocyanidins </w:t>
      </w:r>
      <w:r w:rsidR="003F7F4F" w:rsidRPr="003E7C59">
        <w:rPr>
          <w:rFonts w:ascii="Arial" w:hAnsi="Arial" w:cs="Arial"/>
          <w:color w:val="000000" w:themeColor="text1"/>
          <w:sz w:val="22"/>
          <w:szCs w:val="22"/>
        </w:rPr>
        <w:t>is largely unknown</w:t>
      </w:r>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shd w:val="clear" w:color="auto" w:fill="FFFFFF"/>
        </w:rPr>
        <w:t>in dogwoods</w:t>
      </w:r>
      <w:r w:rsidR="003F7F4F" w:rsidRPr="003E7C59">
        <w:rPr>
          <w:rFonts w:ascii="Arial" w:hAnsi="Arial" w:cs="Arial"/>
          <w:color w:val="000000" w:themeColor="text1"/>
          <w:sz w:val="22"/>
          <w:szCs w:val="22"/>
          <w:shd w:val="clear" w:color="auto" w:fill="FFFFFF"/>
        </w:rPr>
        <w:t xml:space="preserve">, and genes controlling this complex pathway </w:t>
      </w:r>
      <w:proofErr w:type="gramStart"/>
      <w:r w:rsidR="003F7F4F" w:rsidRPr="003E7C59">
        <w:rPr>
          <w:rFonts w:ascii="Arial" w:hAnsi="Arial" w:cs="Arial"/>
          <w:color w:val="000000" w:themeColor="text1"/>
          <w:sz w:val="22"/>
          <w:szCs w:val="22"/>
          <w:shd w:val="clear" w:color="auto" w:fill="FFFFFF"/>
        </w:rPr>
        <w:t>have not been identified</w:t>
      </w:r>
      <w:proofErr w:type="gramEnd"/>
      <w:r w:rsidR="003F7F4F" w:rsidRPr="003E7C59">
        <w:rPr>
          <w:rFonts w:ascii="Arial" w:hAnsi="Arial" w:cs="Arial"/>
          <w:color w:val="000000" w:themeColor="text1"/>
          <w:sz w:val="22"/>
          <w:szCs w:val="22"/>
          <w:shd w:val="clear" w:color="auto" w:fill="FFFFFF"/>
        </w:rPr>
        <w:t xml:space="preserve"> yet in both flowering and Asian dogwood. </w:t>
      </w:r>
      <w:r w:rsidR="003D1C12" w:rsidRPr="003E7C59">
        <w:rPr>
          <w:rFonts w:ascii="Arial" w:hAnsi="Arial" w:cs="Arial"/>
          <w:color w:val="000000" w:themeColor="text1"/>
          <w:sz w:val="22"/>
          <w:szCs w:val="22"/>
          <w:shd w:val="clear" w:color="auto" w:fill="FFFFFF"/>
        </w:rPr>
        <w:t>RNA sequencing was employed t</w:t>
      </w:r>
      <w:r w:rsidR="003F7F4F" w:rsidRPr="003E7C59">
        <w:rPr>
          <w:rFonts w:ascii="Arial" w:hAnsi="Arial" w:cs="Arial"/>
          <w:color w:val="000000" w:themeColor="text1"/>
          <w:sz w:val="22"/>
          <w:szCs w:val="22"/>
          <w:shd w:val="clear" w:color="auto" w:fill="FFFFFF"/>
        </w:rPr>
        <w:t xml:space="preserve">o investigate this pathway </w:t>
      </w:r>
      <w:r w:rsidR="003D1C12" w:rsidRPr="003E7C59">
        <w:rPr>
          <w:rFonts w:ascii="Arial" w:hAnsi="Arial" w:cs="Arial"/>
          <w:color w:val="000000" w:themeColor="text1"/>
          <w:sz w:val="22"/>
          <w:szCs w:val="22"/>
          <w:shd w:val="clear" w:color="auto" w:fill="FFFFFF"/>
        </w:rPr>
        <w:t xml:space="preserve">in these two species, </w:t>
      </w:r>
      <w:r w:rsidR="007C4584" w:rsidRPr="003E7C59">
        <w:rPr>
          <w:rFonts w:ascii="Arial" w:hAnsi="Arial" w:cs="Arial"/>
          <w:color w:val="000000" w:themeColor="text1"/>
          <w:sz w:val="22"/>
          <w:szCs w:val="22"/>
          <w:shd w:val="clear" w:color="auto" w:fill="FFFFFF"/>
        </w:rPr>
        <w:t xml:space="preserve">and </w:t>
      </w:r>
      <w:r w:rsidR="007C4584" w:rsidRPr="003E7C59">
        <w:rPr>
          <w:rFonts w:ascii="Arial" w:hAnsi="Arial" w:cs="Arial"/>
          <w:color w:val="000000" w:themeColor="text1"/>
          <w:sz w:val="22"/>
          <w:szCs w:val="22"/>
        </w:rPr>
        <w:t>m</w:t>
      </w:r>
      <w:r w:rsidRPr="003E7C59">
        <w:rPr>
          <w:rFonts w:ascii="Arial" w:hAnsi="Arial" w:cs="Arial"/>
          <w:color w:val="000000" w:themeColor="text1"/>
          <w:sz w:val="22"/>
          <w:szCs w:val="22"/>
        </w:rPr>
        <w:t xml:space="preserve">ature bracts of three cultivars of </w:t>
      </w:r>
      <w:r w:rsidRPr="003E7C59">
        <w:rPr>
          <w:rStyle w:val="s2"/>
          <w:rFonts w:ascii="Arial" w:hAnsi="Arial" w:cs="Arial"/>
          <w:i/>
          <w:iCs/>
          <w:color w:val="000000" w:themeColor="text1"/>
          <w:sz w:val="22"/>
          <w:szCs w:val="22"/>
        </w:rPr>
        <w:t xml:space="preserve">C. </w:t>
      </w:r>
      <w:proofErr w:type="gramStart"/>
      <w:r w:rsidRPr="003E7C59">
        <w:rPr>
          <w:rStyle w:val="s2"/>
          <w:rFonts w:ascii="Arial" w:hAnsi="Arial" w:cs="Arial"/>
          <w:i/>
          <w:iCs/>
          <w:color w:val="000000" w:themeColor="text1"/>
          <w:sz w:val="22"/>
          <w:szCs w:val="22"/>
        </w:rPr>
        <w:t>florida</w:t>
      </w:r>
      <w:proofErr w:type="gramEnd"/>
      <w:r w:rsidRPr="003E7C59">
        <w:rPr>
          <w:rStyle w:val="apple-converted-space"/>
          <w:rFonts w:ascii="Arial" w:eastAsiaTheme="majorEastAsia" w:hAnsi="Arial" w:cs="Arial"/>
          <w:color w:val="000000" w:themeColor="text1"/>
          <w:sz w:val="22"/>
          <w:szCs w:val="22"/>
        </w:rPr>
        <w:t xml:space="preserve"> </w:t>
      </w:r>
      <w:r w:rsidRPr="003E7C59">
        <w:rPr>
          <w:rFonts w:ascii="Arial" w:hAnsi="Arial" w:cs="Arial"/>
          <w:color w:val="000000" w:themeColor="text1"/>
          <w:sz w:val="22"/>
          <w:szCs w:val="22"/>
        </w:rPr>
        <w:t xml:space="preserve">(white bracts: 'Cloud Nine'; red bracts: 'Cherokee Brave' and 'Cherokee Chief') and two cultivars of </w:t>
      </w:r>
      <w:r w:rsidRPr="003E7C59">
        <w:rPr>
          <w:rFonts w:ascii="Arial" w:hAnsi="Arial" w:cs="Arial"/>
          <w:i/>
          <w:iCs/>
          <w:color w:val="000000" w:themeColor="text1"/>
          <w:sz w:val="22"/>
          <w:szCs w:val="22"/>
        </w:rPr>
        <w:t>C. kousa</w:t>
      </w:r>
      <w:r w:rsidRPr="003E7C59">
        <w:rPr>
          <w:rFonts w:ascii="Arial" w:hAnsi="Arial" w:cs="Arial"/>
          <w:color w:val="000000" w:themeColor="text1"/>
          <w:sz w:val="22"/>
          <w:szCs w:val="22"/>
        </w:rPr>
        <w:t xml:space="preserve"> (light green bracts: 'Greensleeves' and medium pink 'Rosy Teacups') were sampled when color was maximally visible. Differential gene expression analysis identified 1156 </w:t>
      </w:r>
      <w:r w:rsidRPr="003E7C59">
        <w:rPr>
          <w:rFonts w:ascii="Arial" w:hAnsi="Arial" w:cs="Arial"/>
          <w:color w:val="000000" w:themeColor="text1"/>
          <w:sz w:val="22"/>
          <w:szCs w:val="22"/>
          <w:highlight w:val="white"/>
        </w:rPr>
        <w:t>differentially expressed genes</w:t>
      </w:r>
      <w:r w:rsidRPr="003E7C59">
        <w:rPr>
          <w:rFonts w:ascii="Arial" w:hAnsi="Arial" w:cs="Arial"/>
          <w:color w:val="000000" w:themeColor="text1"/>
          <w:sz w:val="22"/>
          <w:szCs w:val="22"/>
        </w:rPr>
        <w:t xml:space="preserve"> in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1396 in </w:t>
      </w:r>
      <w:r w:rsidRPr="003E7C59">
        <w:rPr>
          <w:rFonts w:ascii="Arial" w:hAnsi="Arial" w:cs="Arial"/>
          <w:i/>
          <w:iCs/>
          <w:color w:val="000000" w:themeColor="text1"/>
          <w:sz w:val="22"/>
          <w:szCs w:val="22"/>
        </w:rPr>
        <w:t>C. kousa</w:t>
      </w:r>
      <w:r w:rsidRPr="003E7C59">
        <w:rPr>
          <w:rFonts w:ascii="Arial" w:hAnsi="Arial" w:cs="Arial"/>
          <w:color w:val="000000" w:themeColor="text1"/>
          <w:sz w:val="22"/>
          <w:szCs w:val="22"/>
        </w:rPr>
        <w:t xml:space="preserve">. Phylogenetic analysis grouped candidate </w:t>
      </w:r>
      <w:r w:rsidRPr="003E7C59">
        <w:rPr>
          <w:rFonts w:ascii="Arial" w:hAnsi="Arial" w:cs="Arial"/>
          <w:color w:val="000000" w:themeColor="text1"/>
          <w:sz w:val="22"/>
          <w:szCs w:val="22"/>
          <w:highlight w:val="white"/>
        </w:rPr>
        <w:t xml:space="preserve">R2R3-MYB </w:t>
      </w:r>
      <w:r w:rsidRPr="003E7C59">
        <w:rPr>
          <w:rFonts w:ascii="Arial" w:hAnsi="Arial" w:cs="Arial"/>
          <w:color w:val="000000" w:themeColor="text1"/>
          <w:sz w:val="22"/>
          <w:szCs w:val="22"/>
        </w:rPr>
        <w:t xml:space="preserve">identified in this study in two subgroups, </w:t>
      </w:r>
      <w:proofErr w:type="gramStart"/>
      <w:r w:rsidRPr="003E7C59">
        <w:rPr>
          <w:rFonts w:ascii="Arial" w:hAnsi="Arial" w:cs="Arial"/>
          <w:color w:val="000000" w:themeColor="text1"/>
          <w:sz w:val="22"/>
          <w:szCs w:val="22"/>
        </w:rPr>
        <w:t>4</w:t>
      </w:r>
      <w:proofErr w:type="gramEnd"/>
      <w:r w:rsidRPr="003E7C59">
        <w:rPr>
          <w:rFonts w:ascii="Arial" w:hAnsi="Arial" w:cs="Arial"/>
          <w:color w:val="000000" w:themeColor="text1"/>
          <w:sz w:val="22"/>
          <w:szCs w:val="22"/>
        </w:rPr>
        <w:t xml:space="preserve"> and 5. </w:t>
      </w:r>
      <w:r w:rsidRPr="003E7C59">
        <w:rPr>
          <w:rFonts w:ascii="Arial" w:hAnsi="Arial" w:cs="Arial"/>
          <w:color w:val="000000" w:themeColor="text1"/>
          <w:sz w:val="22"/>
          <w:szCs w:val="22"/>
          <w:highlight w:val="white"/>
        </w:rPr>
        <w:t>CfMYB2, CfMYB3, and CkMYB2 belonged to subgroup 4</w:t>
      </w:r>
      <w:r w:rsidRPr="003E7C59">
        <w:rPr>
          <w:rFonts w:ascii="Arial" w:hAnsi="Arial" w:cs="Arial"/>
          <w:color w:val="000000" w:themeColor="text1"/>
          <w:sz w:val="22"/>
          <w:szCs w:val="22"/>
        </w:rPr>
        <w:t>, whereas</w:t>
      </w:r>
      <w:r w:rsidRPr="003E7C59">
        <w:rPr>
          <w:rFonts w:ascii="Arial" w:hAnsi="Arial" w:cs="Arial"/>
          <w:color w:val="000000" w:themeColor="text1"/>
          <w:sz w:val="22"/>
          <w:szCs w:val="22"/>
          <w:highlight w:val="white"/>
        </w:rPr>
        <w:t xml:space="preserve"> CfMYB1</w:t>
      </w:r>
      <w:r w:rsidR="00CD7CB7" w:rsidRPr="003E7C59">
        <w:rPr>
          <w:rFonts w:ascii="Arial" w:hAnsi="Arial" w:cs="Arial"/>
          <w:color w:val="000000" w:themeColor="text1"/>
          <w:sz w:val="22"/>
          <w:szCs w:val="22"/>
          <w:highlight w:val="white"/>
        </w:rPr>
        <w:t xml:space="preserve"> </w:t>
      </w:r>
      <w:r w:rsidRPr="003E7C59">
        <w:rPr>
          <w:rFonts w:ascii="Arial" w:hAnsi="Arial" w:cs="Arial"/>
          <w:color w:val="000000" w:themeColor="text1"/>
          <w:sz w:val="22"/>
          <w:szCs w:val="22"/>
          <w:highlight w:val="white"/>
        </w:rPr>
        <w:t>and CkMYB</w:t>
      </w:r>
      <w:r w:rsidRPr="003E7C59">
        <w:rPr>
          <w:rFonts w:ascii="Arial" w:hAnsi="Arial" w:cs="Arial"/>
          <w:color w:val="000000" w:themeColor="text1"/>
          <w:sz w:val="22"/>
          <w:szCs w:val="22"/>
        </w:rPr>
        <w:t>1 clustered in subgroup 5</w:t>
      </w:r>
      <w:r w:rsidRPr="003E7C59">
        <w:rPr>
          <w:rFonts w:ascii="Arial" w:hAnsi="Arial" w:cs="Arial"/>
          <w:color w:val="000000" w:themeColor="text1"/>
          <w:sz w:val="22"/>
          <w:szCs w:val="22"/>
          <w:highlight w:val="white"/>
        </w:rPr>
        <w:t>. CfMYB2, CfMYB3, and CkMYB2</w:t>
      </w:r>
      <w:r w:rsidR="00DE530F" w:rsidRPr="003E7C59">
        <w:rPr>
          <w:rFonts w:ascii="Arial" w:hAnsi="Arial" w:cs="Arial"/>
          <w:color w:val="000000" w:themeColor="text1"/>
          <w:sz w:val="22"/>
          <w:szCs w:val="22"/>
        </w:rPr>
        <w:t xml:space="preserve"> likely</w:t>
      </w:r>
      <w:r w:rsidRPr="003E7C59">
        <w:rPr>
          <w:rFonts w:ascii="Arial" w:hAnsi="Arial" w:cs="Arial"/>
          <w:color w:val="000000" w:themeColor="text1"/>
          <w:sz w:val="22"/>
          <w:szCs w:val="22"/>
        </w:rPr>
        <w:t xml:space="preserve"> repress anthocyanin and proanthocyanidin synthesis in flowering and Asian dogwood, whereas </w:t>
      </w:r>
      <w:r w:rsidRPr="003E7C59">
        <w:rPr>
          <w:rFonts w:ascii="Arial" w:hAnsi="Arial" w:cs="Arial"/>
          <w:color w:val="000000" w:themeColor="text1"/>
          <w:sz w:val="22"/>
          <w:szCs w:val="22"/>
          <w:highlight w:val="white"/>
        </w:rPr>
        <w:t>CfMYB1 80</w:t>
      </w:r>
      <w:r w:rsidRPr="003E7C59">
        <w:rPr>
          <w:rFonts w:ascii="Arial" w:hAnsi="Arial" w:cs="Arial"/>
          <w:color w:val="000000" w:themeColor="text1"/>
          <w:sz w:val="22"/>
          <w:szCs w:val="22"/>
        </w:rPr>
        <w:t xml:space="preserve"> and </w:t>
      </w:r>
      <w:r w:rsidRPr="003E7C59">
        <w:rPr>
          <w:rFonts w:ascii="Arial" w:hAnsi="Arial" w:cs="Arial"/>
          <w:color w:val="000000" w:themeColor="text1"/>
          <w:sz w:val="22"/>
          <w:szCs w:val="22"/>
          <w:highlight w:val="white"/>
        </w:rPr>
        <w:t>CkMYB</w:t>
      </w:r>
      <w:r w:rsidRPr="003E7C59">
        <w:rPr>
          <w:rFonts w:ascii="Arial" w:hAnsi="Arial" w:cs="Arial"/>
          <w:color w:val="000000" w:themeColor="text1"/>
          <w:sz w:val="22"/>
          <w:szCs w:val="22"/>
        </w:rPr>
        <w:t>1 increase it</w:t>
      </w:r>
      <w:bookmarkStart w:id="40" w:name="_Int_8lJalP4t"/>
      <w:r w:rsidRPr="003E7C59">
        <w:rPr>
          <w:rFonts w:ascii="Arial" w:hAnsi="Arial" w:cs="Arial"/>
          <w:color w:val="000000" w:themeColor="text1"/>
          <w:sz w:val="22"/>
          <w:szCs w:val="22"/>
        </w:rPr>
        <w:t xml:space="preserve">. </w:t>
      </w:r>
      <w:bookmarkEnd w:id="40"/>
    </w:p>
    <w:p w14:paraId="04640F47" w14:textId="77777777" w:rsidR="005D4860" w:rsidRPr="003E7C59" w:rsidRDefault="005D4860" w:rsidP="006622F2">
      <w:pPr>
        <w:spacing w:line="360" w:lineRule="auto"/>
        <w:ind w:firstLine="720"/>
        <w:rPr>
          <w:rFonts w:ascii="Arial" w:hAnsi="Arial" w:cs="Arial"/>
          <w:color w:val="000000" w:themeColor="text1"/>
          <w:sz w:val="22"/>
          <w:szCs w:val="22"/>
          <w:shd w:val="clear" w:color="auto" w:fill="FFFFFF"/>
        </w:rPr>
      </w:pPr>
    </w:p>
    <w:p w14:paraId="1CD2224C" w14:textId="0DAACE3E"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41" w:name="_Toc117166833"/>
      <w:bookmarkStart w:id="42" w:name="_Toc121821919"/>
      <w:r w:rsidRPr="003E7C59">
        <w:rPr>
          <w:rFonts w:ascii="Arial" w:hAnsi="Arial" w:cs="Arial"/>
          <w:color w:val="000000" w:themeColor="text1"/>
          <w:sz w:val="22"/>
          <w:szCs w:val="22"/>
        </w:rPr>
        <w:t>Introduction</w:t>
      </w:r>
      <w:bookmarkEnd w:id="41"/>
      <w:bookmarkEnd w:id="42"/>
    </w:p>
    <w:p w14:paraId="6CB6E3E2" w14:textId="77777777" w:rsidR="005D4860" w:rsidRPr="003E7C59" w:rsidRDefault="005D4860" w:rsidP="006622F2">
      <w:pPr>
        <w:pStyle w:val="Heading3"/>
        <w:spacing w:before="0" w:beforeAutospacing="0" w:after="0" w:afterAutospacing="0" w:line="360" w:lineRule="auto"/>
        <w:rPr>
          <w:rFonts w:ascii="Arial" w:hAnsi="Arial" w:cs="Arial"/>
          <w:color w:val="000000" w:themeColor="text1"/>
          <w:sz w:val="22"/>
          <w:szCs w:val="22"/>
        </w:rPr>
      </w:pPr>
    </w:p>
    <w:p w14:paraId="318148ED" w14:textId="77777777" w:rsidR="000D32B1" w:rsidRDefault="00B51BF9" w:rsidP="000D32B1">
      <w:pPr>
        <w:spacing w:line="360" w:lineRule="auto"/>
        <w:ind w:firstLine="720"/>
        <w:rPr>
          <w:rFonts w:ascii="Arial" w:hAnsi="Arial" w:cs="Arial"/>
          <w:color w:val="000000" w:themeColor="text1"/>
          <w:sz w:val="22"/>
          <w:szCs w:val="22"/>
          <w:shd w:val="clear" w:color="auto" w:fill="FCFCFC"/>
        </w:rPr>
      </w:pPr>
      <w:r w:rsidRPr="003E7C59">
        <w:rPr>
          <w:rFonts w:ascii="Arial" w:hAnsi="Arial" w:cs="Arial"/>
          <w:color w:val="000000" w:themeColor="text1"/>
          <w:sz w:val="22"/>
          <w:szCs w:val="22"/>
          <w:shd w:val="clear" w:color="auto" w:fill="FCFCFC"/>
        </w:rPr>
        <w:t>Flowering dogwood (</w:t>
      </w:r>
      <w:r w:rsidRPr="003E7C59">
        <w:rPr>
          <w:rFonts w:ascii="Arial" w:hAnsi="Arial" w:cs="Arial"/>
          <w:i/>
          <w:iCs/>
          <w:color w:val="000000" w:themeColor="text1"/>
          <w:sz w:val="22"/>
          <w:szCs w:val="22"/>
        </w:rPr>
        <w:t>Cornus florida</w:t>
      </w:r>
      <w:r w:rsidRPr="003E7C59">
        <w:rPr>
          <w:rFonts w:ascii="Arial" w:hAnsi="Arial" w:cs="Arial"/>
          <w:i/>
          <w:iCs/>
          <w:color w:val="000000" w:themeColor="text1"/>
          <w:sz w:val="22"/>
          <w:szCs w:val="22"/>
          <w:shd w:val="clear" w:color="auto" w:fill="FCFCFC"/>
        </w:rPr>
        <w:t> </w:t>
      </w:r>
      <w:r w:rsidRPr="003E7C59">
        <w:rPr>
          <w:rFonts w:ascii="Arial" w:hAnsi="Arial" w:cs="Arial"/>
          <w:color w:val="000000" w:themeColor="text1"/>
          <w:sz w:val="22"/>
          <w:szCs w:val="22"/>
          <w:shd w:val="clear" w:color="auto" w:fill="FCFCFC"/>
        </w:rPr>
        <w:t>L.) and Asian dogwood (</w:t>
      </w:r>
      <w:r w:rsidRPr="003E7C59">
        <w:rPr>
          <w:rFonts w:ascii="Arial" w:hAnsi="Arial" w:cs="Arial"/>
          <w:i/>
          <w:iCs/>
          <w:color w:val="000000" w:themeColor="text1"/>
          <w:sz w:val="22"/>
          <w:szCs w:val="22"/>
          <w:shd w:val="clear" w:color="auto" w:fill="FCFCFC"/>
        </w:rPr>
        <w:t>C. kousa</w:t>
      </w:r>
      <w:r w:rsidRPr="003E7C59">
        <w:rPr>
          <w:rFonts w:ascii="Arial" w:hAnsi="Arial" w:cs="Arial"/>
          <w:color w:val="000000" w:themeColor="text1"/>
          <w:sz w:val="22"/>
          <w:szCs w:val="22"/>
          <w:shd w:val="clear" w:color="auto" w:fill="FCFCFC"/>
        </w:rPr>
        <w:t xml:space="preserve"> </w:t>
      </w:r>
      <w:r w:rsidRPr="003E7C59">
        <w:rPr>
          <w:rFonts w:ascii="Arial" w:hAnsi="Arial" w:cs="Arial"/>
          <w:color w:val="000000" w:themeColor="text1"/>
          <w:sz w:val="22"/>
          <w:szCs w:val="22"/>
        </w:rPr>
        <w:t>F. Buerger ex Hance</w:t>
      </w:r>
      <w:r w:rsidRPr="003E7C59">
        <w:rPr>
          <w:rFonts w:ascii="Arial" w:hAnsi="Arial" w:cs="Arial"/>
          <w:color w:val="000000" w:themeColor="text1"/>
          <w:sz w:val="22"/>
          <w:szCs w:val="22"/>
          <w:shd w:val="clear" w:color="auto" w:fill="FCFCFC"/>
        </w:rPr>
        <w:t xml:space="preserve">) are popular understory and deciduous ornamental trees of the </w:t>
      </w:r>
      <w:r w:rsidRPr="003E7C59">
        <w:rPr>
          <w:rFonts w:ascii="Arial" w:hAnsi="Arial" w:cs="Arial"/>
          <w:i/>
          <w:color w:val="000000" w:themeColor="text1"/>
          <w:sz w:val="22"/>
          <w:szCs w:val="22"/>
          <w:shd w:val="clear" w:color="auto" w:fill="FCFCFC"/>
        </w:rPr>
        <w:t>Cornus</w:t>
      </w:r>
      <w:r w:rsidRPr="003E7C59">
        <w:rPr>
          <w:rFonts w:ascii="Arial" w:hAnsi="Arial" w:cs="Arial"/>
          <w:color w:val="000000" w:themeColor="text1"/>
          <w:sz w:val="22"/>
          <w:szCs w:val="22"/>
          <w:shd w:val="clear" w:color="auto" w:fill="FCFCFC"/>
        </w:rPr>
        <w:t xml:space="preserve"> genus, which include </w:t>
      </w:r>
      <w:r w:rsidRPr="003E7C59">
        <w:rPr>
          <w:rFonts w:ascii="Arial" w:hAnsi="Arial" w:cs="Arial"/>
          <w:color w:val="000000" w:themeColor="text1"/>
          <w:sz w:val="22"/>
          <w:szCs w:val="22"/>
        </w:rPr>
        <w:t>about 60 species of trees and shrubs that are mostly found throughout the temperate regions of North America, Europe, and Asi</w:t>
      </w:r>
      <w:r w:rsidR="008D0457" w:rsidRPr="003E7C59">
        <w:rPr>
          <w:rFonts w:ascii="Arial" w:hAnsi="Arial" w:cs="Arial"/>
          <w:color w:val="000000" w:themeColor="text1"/>
          <w:sz w:val="22"/>
          <w:szCs w:val="22"/>
        </w:rPr>
        <w:t xml:space="preserve">a </w:t>
      </w:r>
      <w:r w:rsidRPr="003E7C59">
        <w:rPr>
          <w:rFonts w:ascii="Arial" w:hAnsi="Arial" w:cs="Arial"/>
          <w:color w:val="000000" w:themeColor="text1"/>
          <w:sz w:val="22"/>
          <w:szCs w:val="22"/>
          <w:shd w:val="clear" w:color="auto" w:fill="FCFCFC"/>
        </w:rPr>
        <w:t xml:space="preserve">(Eyde, 1987; </w:t>
      </w:r>
      <w:r w:rsidRPr="003E7C59">
        <w:rPr>
          <w:rFonts w:ascii="Arial" w:hAnsi="Arial" w:cs="Arial"/>
          <w:color w:val="000000" w:themeColor="text1"/>
          <w:sz w:val="22"/>
          <w:szCs w:val="22"/>
        </w:rPr>
        <w:t>Cappiello and Shadow, 2005; Wadl et al., 2014)</w:t>
      </w:r>
      <w:r w:rsidRPr="003E7C59">
        <w:rPr>
          <w:rFonts w:ascii="Arial" w:hAnsi="Arial" w:cs="Arial"/>
          <w:color w:val="000000" w:themeColor="text1"/>
          <w:sz w:val="22"/>
          <w:szCs w:val="22"/>
          <w:shd w:val="clear" w:color="auto" w:fill="FCFCFC"/>
        </w:rPr>
        <w:t xml:space="preserve">. </w:t>
      </w:r>
      <w:r w:rsidR="008D0457" w:rsidRPr="003E7C59">
        <w:rPr>
          <w:rFonts w:ascii="Arial" w:hAnsi="Arial" w:cs="Arial"/>
          <w:color w:val="000000" w:themeColor="text1"/>
          <w:sz w:val="22"/>
          <w:szCs w:val="22"/>
          <w:shd w:val="clear" w:color="auto" w:fill="FCFCFC"/>
        </w:rPr>
        <w:t xml:space="preserve">Native to a wide range of eastern and southeastern United States (US) </w:t>
      </w:r>
      <w:r w:rsidR="008D0457" w:rsidRPr="003E7C59">
        <w:rPr>
          <w:rFonts w:ascii="Arial" w:hAnsi="Arial" w:cs="Arial"/>
          <w:color w:val="000000" w:themeColor="text1"/>
          <w:sz w:val="22"/>
          <w:szCs w:val="22"/>
        </w:rPr>
        <w:t>f</w:t>
      </w:r>
      <w:r w:rsidRPr="003E7C59">
        <w:rPr>
          <w:rFonts w:ascii="Arial" w:hAnsi="Arial" w:cs="Arial"/>
          <w:color w:val="000000" w:themeColor="text1"/>
          <w:sz w:val="22"/>
          <w:szCs w:val="22"/>
        </w:rPr>
        <w:t>lowering dogwoods owe their exceptional appeal to showy snow-white, pink, and red bracts, red fall foliage, and drupes (Witte et al., 2000</w:t>
      </w:r>
      <w:r w:rsidR="005B4FDC" w:rsidRPr="003E7C59">
        <w:rPr>
          <w:rFonts w:ascii="Arial" w:hAnsi="Arial" w:cs="Arial"/>
          <w:color w:val="000000" w:themeColor="text1"/>
          <w:sz w:val="22"/>
          <w:szCs w:val="22"/>
        </w:rPr>
        <w:t>; Cappiello and Shadow, 2005</w:t>
      </w:r>
      <w:r w:rsidRPr="003E7C59">
        <w:rPr>
          <w:rFonts w:ascii="Arial" w:hAnsi="Arial" w:cs="Arial"/>
          <w:color w:val="000000" w:themeColor="text1"/>
          <w:sz w:val="22"/>
          <w:szCs w:val="22"/>
        </w:rPr>
        <w:t xml:space="preserve">). </w:t>
      </w:r>
      <w:r w:rsidR="00B50E1D" w:rsidRPr="003E7C59">
        <w:rPr>
          <w:rFonts w:ascii="Arial" w:hAnsi="Arial" w:cs="Arial"/>
          <w:color w:val="000000" w:themeColor="text1"/>
          <w:sz w:val="22"/>
          <w:szCs w:val="22"/>
        </w:rPr>
        <w:t xml:space="preserve">Asian dogwoods also are valued for their spring display of pink, red, or white bracts, brilliant-red fall foliage, colorful fruits, and exfoliating bark, and were introduced from Eastern Asia to the US because in the mid-1800 </w:t>
      </w:r>
      <w:r w:rsidR="00B50E1D" w:rsidRPr="003E7C59">
        <w:rPr>
          <w:rFonts w:ascii="Arial" w:hAnsi="Arial" w:cs="Arial"/>
          <w:color w:val="000000" w:themeColor="text1"/>
          <w:sz w:val="22"/>
          <w:szCs w:val="22"/>
        </w:rPr>
        <w:lastRenderedPageBreak/>
        <w:t xml:space="preserve">of their general high resistance to insects and pathogens and overall better stress tolerance. </w:t>
      </w:r>
      <w:proofErr w:type="gramStart"/>
      <w:r w:rsidRPr="003E7C59">
        <w:rPr>
          <w:rFonts w:ascii="Arial" w:hAnsi="Arial" w:cs="Arial"/>
          <w:color w:val="000000" w:themeColor="text1"/>
          <w:sz w:val="22"/>
          <w:szCs w:val="22"/>
        </w:rPr>
        <w:t>compared</w:t>
      </w:r>
      <w:proofErr w:type="gramEnd"/>
      <w:r w:rsidRPr="003E7C59">
        <w:rPr>
          <w:rFonts w:ascii="Arial" w:hAnsi="Arial" w:cs="Arial"/>
          <w:color w:val="000000" w:themeColor="text1"/>
          <w:sz w:val="22"/>
          <w:szCs w:val="22"/>
        </w:rPr>
        <w:t xml:space="preserve"> to flowering dogwood</w:t>
      </w:r>
      <w:r w:rsidR="00C752C0" w:rsidRPr="003E7C59">
        <w:rPr>
          <w:rFonts w:ascii="Arial" w:hAnsi="Arial" w:cs="Arial"/>
          <w:color w:val="000000" w:themeColor="text1"/>
          <w:sz w:val="22"/>
          <w:szCs w:val="22"/>
        </w:rPr>
        <w:t xml:space="preserve"> in</w:t>
      </w:r>
      <w:sdt>
        <w:sdtPr>
          <w:rPr>
            <w:rFonts w:ascii="Arial" w:hAnsi="Arial" w:cs="Arial"/>
            <w:color w:val="000000" w:themeColor="text1"/>
            <w:sz w:val="22"/>
            <w:szCs w:val="22"/>
          </w:rPr>
          <w:tag w:val="goog_rdk_6"/>
          <w:id w:val="-56939575"/>
          <w:placeholder>
            <w:docPart w:val="4C45738C08C1524680B5117DAFFF0950"/>
          </w:placeholder>
        </w:sdtPr>
        <w:sdtEndPr/>
        <w:sdtContent>
          <w:r w:rsidRPr="003E7C59">
            <w:rPr>
              <w:rFonts w:ascii="Arial" w:hAnsi="Arial" w:cs="Arial"/>
              <w:color w:val="000000" w:themeColor="text1"/>
              <w:sz w:val="22"/>
              <w:szCs w:val="22"/>
            </w:rPr>
            <w:t xml:space="preserve"> </w:t>
          </w:r>
        </w:sdtContent>
      </w:sdt>
      <w:r w:rsidRPr="003E7C59">
        <w:rPr>
          <w:rFonts w:ascii="Arial" w:hAnsi="Arial" w:cs="Arial"/>
          <w:color w:val="000000" w:themeColor="text1"/>
          <w:sz w:val="22"/>
          <w:szCs w:val="22"/>
        </w:rPr>
        <w:t xml:space="preserve">(Ranney et al., 1995; Li et al., 2009, Wadl et al., 2014). Beyond </w:t>
      </w:r>
      <w:r w:rsidRPr="003E7C59">
        <w:rPr>
          <w:rFonts w:ascii="Arial" w:hAnsi="Arial" w:cs="Arial"/>
          <w:color w:val="000000" w:themeColor="text1"/>
          <w:sz w:val="22"/>
          <w:szCs w:val="22"/>
          <w:shd w:val="clear" w:color="auto" w:fill="FCFCFC"/>
        </w:rPr>
        <w:t>providing nourishment for wildlife due to</w:t>
      </w:r>
      <w:r w:rsidRPr="003E7C59">
        <w:rPr>
          <w:rFonts w:ascii="Arial" w:hAnsi="Arial" w:cs="Arial"/>
          <w:color w:val="000000" w:themeColor="text1"/>
          <w:sz w:val="22"/>
          <w:szCs w:val="22"/>
        </w:rPr>
        <w:t xml:space="preserve"> the high level of fat, protein, and available calcium in </w:t>
      </w:r>
      <w:r w:rsidR="00161724" w:rsidRPr="003E7C59">
        <w:rPr>
          <w:rFonts w:ascii="Arial" w:hAnsi="Arial" w:cs="Arial"/>
          <w:color w:val="000000" w:themeColor="text1"/>
          <w:sz w:val="22"/>
          <w:szCs w:val="22"/>
        </w:rPr>
        <w:t>fruit</w:t>
      </w:r>
      <w:r w:rsidRPr="003E7C59">
        <w:rPr>
          <w:rFonts w:ascii="Arial" w:hAnsi="Arial" w:cs="Arial"/>
          <w:color w:val="000000" w:themeColor="text1"/>
          <w:sz w:val="22"/>
          <w:szCs w:val="22"/>
        </w:rPr>
        <w:t xml:space="preserve"> (Thomas, 1969)</w:t>
      </w:r>
      <w:r w:rsidRPr="003E7C59">
        <w:rPr>
          <w:rFonts w:ascii="Arial" w:hAnsi="Arial" w:cs="Arial"/>
          <w:color w:val="000000" w:themeColor="text1"/>
          <w:sz w:val="22"/>
          <w:szCs w:val="22"/>
          <w:shd w:val="clear" w:color="auto" w:fill="FCFCFC"/>
        </w:rPr>
        <w:t>, flowering and Asian dogwoods are essential ornamental crops for the economy of Tennessee, Oregon, North Carolina, and Ohio among other states.</w:t>
      </w:r>
    </w:p>
    <w:p w14:paraId="07D9CF0F" w14:textId="2F10C5CE" w:rsidR="003C62C7" w:rsidRPr="000D32B1" w:rsidRDefault="00B51BF9" w:rsidP="000D32B1">
      <w:pPr>
        <w:spacing w:line="360" w:lineRule="auto"/>
        <w:ind w:firstLine="720"/>
        <w:rPr>
          <w:rFonts w:ascii="Arial" w:hAnsi="Arial" w:cs="Arial"/>
          <w:color w:val="000000" w:themeColor="text1"/>
          <w:sz w:val="22"/>
          <w:szCs w:val="22"/>
          <w:shd w:val="clear" w:color="auto" w:fill="FCFCFC"/>
        </w:rPr>
      </w:pPr>
      <w:r w:rsidRPr="003E7C59">
        <w:rPr>
          <w:rFonts w:ascii="Arial" w:hAnsi="Arial" w:cs="Arial"/>
          <w:color w:val="000000" w:themeColor="text1"/>
          <w:sz w:val="22"/>
          <w:szCs w:val="22"/>
          <w:shd w:val="clear" w:color="auto" w:fill="FCFCFC"/>
        </w:rPr>
        <w:t xml:space="preserve"> Although more than </w:t>
      </w:r>
      <w:r w:rsidRPr="003E7C59">
        <w:rPr>
          <w:rFonts w:ascii="Arial" w:hAnsi="Arial" w:cs="Arial"/>
          <w:color w:val="000000" w:themeColor="text1"/>
          <w:sz w:val="22"/>
          <w:szCs w:val="22"/>
        </w:rPr>
        <w:t xml:space="preserve">150 cultivars are commercially available for both species, consumer demands for specific traits of interest, such as dark red bract or foliage display, resistance to pathogens, variegated foliage, and dwarf or weeping habit, have not been satisfied (Cappiello and Shadow, 2005; Witte et al., 2000; Wadl et al., 2014; Nowicki et al., 2020). For instance, white bracted cultivars 'Kay's Appalachian Mist, "Jean's Appalachian Snow,' and </w:t>
      </w:r>
      <w:sdt>
        <w:sdtPr>
          <w:rPr>
            <w:rFonts w:ascii="Arial" w:hAnsi="Arial" w:cs="Arial"/>
            <w:color w:val="000000" w:themeColor="text1"/>
            <w:sz w:val="22"/>
            <w:szCs w:val="22"/>
          </w:rPr>
          <w:tag w:val="goog_rdk_11"/>
          <w:id w:val="789403386"/>
          <w:placeholder>
            <w:docPart w:val="4C45738C08C1524680B5117DAFFF0950"/>
          </w:placeholder>
        </w:sdtPr>
        <w:sdtEndPr/>
        <w:sdtContent>
          <w:r w:rsidRPr="003E7C59">
            <w:rPr>
              <w:rFonts w:ascii="Arial" w:hAnsi="Arial" w:cs="Arial"/>
              <w:color w:val="000000" w:themeColor="text1"/>
              <w:sz w:val="22"/>
              <w:szCs w:val="22"/>
            </w:rPr>
            <w:t>'Karen's</w:t>
          </w:r>
        </w:sdtContent>
      </w:sdt>
      <w:r w:rsidRPr="003E7C59">
        <w:rPr>
          <w:rFonts w:ascii="Arial" w:hAnsi="Arial" w:cs="Arial"/>
          <w:color w:val="000000" w:themeColor="text1"/>
          <w:sz w:val="22"/>
          <w:szCs w:val="22"/>
        </w:rPr>
        <w:t xml:space="preserve"> Appalachian Blush' are resistant to dogwood powdery mildew (</w:t>
      </w:r>
      <w:r w:rsidRPr="003E7C59">
        <w:rPr>
          <w:rFonts w:ascii="Arial" w:hAnsi="Arial" w:cs="Arial"/>
          <w:i/>
          <w:iCs/>
          <w:color w:val="000000" w:themeColor="text1"/>
          <w:sz w:val="22"/>
          <w:szCs w:val="22"/>
          <w:shd w:val="clear" w:color="auto" w:fill="FCFCFC"/>
        </w:rPr>
        <w:t>Erysiphe pulchra</w:t>
      </w:r>
      <w:r w:rsidR="00E01A36" w:rsidRPr="003E7C59">
        <w:rPr>
          <w:rFonts w:ascii="Arial" w:hAnsi="Arial" w:cs="Arial"/>
          <w:i/>
          <w:iCs/>
          <w:color w:val="000000" w:themeColor="text1"/>
          <w:sz w:val="22"/>
          <w:szCs w:val="22"/>
          <w:shd w:val="clear" w:color="auto" w:fill="FCFCFC"/>
        </w:rPr>
        <w:t xml:space="preserve"> </w:t>
      </w:r>
      <w:r w:rsidR="00E01A36" w:rsidRPr="003E7C59">
        <w:rPr>
          <w:rFonts w:ascii="Arial" w:hAnsi="Arial" w:cs="Arial"/>
          <w:color w:val="000000" w:themeColor="text1"/>
          <w:sz w:val="22"/>
          <w:szCs w:val="22"/>
        </w:rPr>
        <w:t>Cooke &amp; Peck</w:t>
      </w:r>
      <w:r w:rsidRPr="003E7C59">
        <w:rPr>
          <w:rFonts w:ascii="Arial" w:hAnsi="Arial" w:cs="Arial"/>
          <w:color w:val="000000" w:themeColor="text1"/>
          <w:sz w:val="22"/>
          <w:szCs w:val="22"/>
        </w:rPr>
        <w:t xml:space="preserve">) (Windham et al., 2003). However, they lack </w:t>
      </w:r>
      <w:sdt>
        <w:sdtPr>
          <w:rPr>
            <w:rFonts w:ascii="Arial" w:hAnsi="Arial" w:cs="Arial"/>
            <w:color w:val="000000" w:themeColor="text1"/>
            <w:sz w:val="22"/>
            <w:szCs w:val="22"/>
          </w:rPr>
          <w:tag w:val="goog_rdk_12"/>
          <w:id w:val="163747086"/>
          <w:placeholder>
            <w:docPart w:val="4C45738C08C1524680B5117DAFFF0950"/>
          </w:placeholder>
        </w:sdtPr>
        <w:sdtEndPr/>
        <w:sdtContent/>
      </w:sdt>
      <w:r w:rsidRPr="003E7C59">
        <w:rPr>
          <w:rFonts w:ascii="Arial" w:hAnsi="Arial" w:cs="Arial"/>
          <w:color w:val="000000" w:themeColor="text1"/>
          <w:sz w:val="22"/>
          <w:szCs w:val="22"/>
        </w:rPr>
        <w:t>desirable dark red or pink bracts of cultivars belonging to the Cherokee series, such as 'Cherokee Brave,' 'Cherokee Chief</w:t>
      </w:r>
      <w:sdt>
        <w:sdtPr>
          <w:rPr>
            <w:rFonts w:ascii="Arial" w:hAnsi="Arial" w:cs="Arial"/>
            <w:color w:val="000000" w:themeColor="text1"/>
            <w:sz w:val="22"/>
            <w:szCs w:val="22"/>
          </w:rPr>
          <w:tag w:val="goog_rdk_13"/>
          <w:id w:val="-2109336453"/>
          <w:placeholder>
            <w:docPart w:val="4C45738C08C1524680B5117DAFFF0950"/>
          </w:placeholder>
          <w:showingPlcHdr/>
        </w:sdtPr>
        <w:sdtEndPr/>
        <w:sdtContent/>
      </w:sdt>
      <w:r w:rsidRPr="003E7C59">
        <w:rPr>
          <w:rFonts w:ascii="Arial" w:hAnsi="Arial" w:cs="Arial"/>
          <w:color w:val="000000" w:themeColor="text1"/>
          <w:sz w:val="22"/>
          <w:szCs w:val="22"/>
        </w:rPr>
        <w:t>,'</w:t>
      </w:r>
      <w:r w:rsidR="00A820C3" w:rsidRPr="003E7C59">
        <w:rPr>
          <w:rFonts w:ascii="Arial" w:hAnsi="Arial" w:cs="Arial"/>
          <w:color w:val="000000" w:themeColor="text1"/>
          <w:sz w:val="22"/>
          <w:szCs w:val="22"/>
        </w:rPr>
        <w:t xml:space="preserve"> </w:t>
      </w:r>
      <w:sdt>
        <w:sdtPr>
          <w:rPr>
            <w:rFonts w:ascii="Arial" w:hAnsi="Arial" w:cs="Arial"/>
            <w:color w:val="000000" w:themeColor="text1"/>
            <w:sz w:val="22"/>
            <w:szCs w:val="22"/>
          </w:rPr>
          <w:tag w:val="goog_rdk_15"/>
          <w:id w:val="-1350325524"/>
          <w:placeholder>
            <w:docPart w:val="DB0AD074D818F147B3CD1DA4947BE635"/>
          </w:placeholder>
          <w:showingPlcHdr/>
        </w:sdtPr>
        <w:sdtEndPr/>
        <w:sdtContent/>
      </w:sdt>
      <w:r w:rsidR="00A820C3" w:rsidRPr="003E7C59">
        <w:rPr>
          <w:rFonts w:ascii="Arial" w:hAnsi="Arial" w:cs="Arial"/>
          <w:color w:val="000000" w:themeColor="text1"/>
          <w:sz w:val="22"/>
          <w:szCs w:val="22"/>
        </w:rPr>
        <w:t>'</w:t>
      </w:r>
      <w:r w:rsidRPr="003E7C59">
        <w:rPr>
          <w:rFonts w:ascii="Arial" w:hAnsi="Arial" w:cs="Arial"/>
          <w:color w:val="000000" w:themeColor="text1"/>
          <w:sz w:val="22"/>
          <w:szCs w:val="22"/>
        </w:rPr>
        <w:t>Cherokee Sunset</w:t>
      </w:r>
      <w:sdt>
        <w:sdtPr>
          <w:rPr>
            <w:rFonts w:ascii="Arial" w:hAnsi="Arial" w:cs="Arial"/>
            <w:color w:val="000000" w:themeColor="text1"/>
            <w:sz w:val="22"/>
            <w:szCs w:val="22"/>
          </w:rPr>
          <w:tag w:val="goog_rdk_15"/>
          <w:id w:val="496775308"/>
          <w:placeholder>
            <w:docPart w:val="4C45738C08C1524680B5117DAFFF0950"/>
          </w:placeholder>
          <w:showingPlcHdr/>
        </w:sdtPr>
        <w:sdtEndPr/>
        <w:sdtContent/>
      </w:sdt>
      <w:r w:rsidRPr="003E7C59">
        <w:rPr>
          <w:rFonts w:ascii="Arial" w:hAnsi="Arial" w:cs="Arial"/>
          <w:color w:val="000000" w:themeColor="text1"/>
          <w:sz w:val="22"/>
          <w:szCs w:val="22"/>
        </w:rPr>
        <w:t>'</w:t>
      </w:r>
      <w:r w:rsidR="00C96CEB" w:rsidRPr="003E7C59">
        <w:rPr>
          <w:rFonts w:ascii="Arial" w:hAnsi="Arial" w:cs="Arial"/>
          <w:color w:val="000000" w:themeColor="text1"/>
          <w:sz w:val="22"/>
          <w:szCs w:val="22"/>
        </w:rPr>
        <w:t xml:space="preserve">, and </w:t>
      </w:r>
      <w:sdt>
        <w:sdtPr>
          <w:rPr>
            <w:rFonts w:ascii="Arial" w:hAnsi="Arial" w:cs="Arial"/>
            <w:color w:val="000000" w:themeColor="text1"/>
            <w:sz w:val="22"/>
            <w:szCs w:val="22"/>
          </w:rPr>
          <w:tag w:val="goog_rdk_15"/>
          <w:id w:val="886604273"/>
          <w:placeholder>
            <w:docPart w:val="E849DA81634AAE4281734886130F14DF"/>
          </w:placeholder>
          <w:showingPlcHdr/>
        </w:sdtPr>
        <w:sdtEndPr/>
        <w:sdtContent/>
      </w:sdt>
      <w:r w:rsidR="00A820C3" w:rsidRPr="003E7C59">
        <w:rPr>
          <w:rFonts w:ascii="Arial" w:hAnsi="Arial" w:cs="Arial"/>
          <w:color w:val="000000" w:themeColor="text1"/>
          <w:sz w:val="22"/>
          <w:szCs w:val="22"/>
        </w:rPr>
        <w:t>'</w:t>
      </w:r>
      <w:r w:rsidR="00C96CEB" w:rsidRPr="003E7C59">
        <w:rPr>
          <w:rFonts w:ascii="Arial" w:hAnsi="Arial" w:cs="Arial"/>
          <w:color w:val="000000" w:themeColor="text1"/>
          <w:sz w:val="22"/>
          <w:szCs w:val="22"/>
        </w:rPr>
        <w:t>Cherokee Daybreak</w:t>
      </w:r>
      <w:sdt>
        <w:sdtPr>
          <w:rPr>
            <w:rFonts w:ascii="Arial" w:hAnsi="Arial" w:cs="Arial"/>
            <w:color w:val="000000" w:themeColor="text1"/>
            <w:sz w:val="22"/>
            <w:szCs w:val="22"/>
          </w:rPr>
          <w:tag w:val="goog_rdk_15"/>
          <w:id w:val="-907457754"/>
          <w:placeholder>
            <w:docPart w:val="34BAEF400B2095448BE0818F5896E6D6"/>
          </w:placeholder>
          <w:showingPlcHdr/>
        </w:sdtPr>
        <w:sdtEndPr/>
        <w:sdtContent/>
      </w:sdt>
      <w:r w:rsidR="00A820C3" w:rsidRPr="003E7C59">
        <w:rPr>
          <w:rFonts w:ascii="Arial" w:hAnsi="Arial" w:cs="Arial"/>
          <w:color w:val="000000" w:themeColor="text1"/>
          <w:sz w:val="22"/>
          <w:szCs w:val="22"/>
        </w:rPr>
        <w:t>', which</w:t>
      </w:r>
      <w:r w:rsidRPr="003E7C59">
        <w:rPr>
          <w:rFonts w:ascii="Arial" w:hAnsi="Arial" w:cs="Arial"/>
          <w:color w:val="000000" w:themeColor="text1"/>
          <w:sz w:val="22"/>
          <w:szCs w:val="22"/>
        </w:rPr>
        <w:t xml:space="preserve"> are generally considered either moderately or susceptible to dogwood powdery mildew (Thurn et al., 2019) and ‘</w:t>
      </w:r>
      <w:r w:rsidR="00C96CEB" w:rsidRPr="003E7C59">
        <w:rPr>
          <w:rFonts w:ascii="Arial" w:hAnsi="Arial" w:cs="Arial"/>
          <w:color w:val="000000" w:themeColor="text1"/>
          <w:sz w:val="22"/>
          <w:szCs w:val="22"/>
        </w:rPr>
        <w:t xml:space="preserve">Appalachian </w:t>
      </w:r>
      <w:r w:rsidRPr="003E7C59">
        <w:rPr>
          <w:rFonts w:ascii="Arial" w:hAnsi="Arial" w:cs="Arial"/>
          <w:color w:val="000000" w:themeColor="text1"/>
          <w:sz w:val="22"/>
          <w:szCs w:val="22"/>
        </w:rPr>
        <w:t>Sunrise (personal comm</w:t>
      </w:r>
      <w:r w:rsidR="00A820C3"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R. N. Trigiano</w:t>
      </w:r>
      <w:r w:rsidR="00A820C3" w:rsidRPr="003E7C59">
        <w:rPr>
          <w:rFonts w:ascii="Arial" w:hAnsi="Arial" w:cs="Arial"/>
          <w:color w:val="000000" w:themeColor="text1"/>
          <w:sz w:val="22"/>
          <w:szCs w:val="22"/>
        </w:rPr>
        <w:t>). In</w:t>
      </w:r>
      <w:r w:rsidR="00C96CEB" w:rsidRPr="003E7C59">
        <w:rPr>
          <w:rFonts w:ascii="Arial" w:hAnsi="Arial" w:cs="Arial"/>
          <w:color w:val="000000" w:themeColor="text1"/>
          <w:sz w:val="22"/>
          <w:szCs w:val="22"/>
        </w:rPr>
        <w:t xml:space="preserve"> contrast</w:t>
      </w:r>
      <w:r w:rsidRPr="003E7C59">
        <w:rPr>
          <w:rFonts w:ascii="Arial" w:hAnsi="Arial" w:cs="Arial"/>
          <w:color w:val="000000" w:themeColor="text1"/>
          <w:sz w:val="22"/>
          <w:szCs w:val="22"/>
        </w:rPr>
        <w:t xml:space="preserve">, kousa dogwoods </w:t>
      </w:r>
      <w:r w:rsidR="00C96CEB" w:rsidRPr="003E7C59">
        <w:rPr>
          <w:rFonts w:ascii="Arial" w:hAnsi="Arial" w:cs="Arial"/>
          <w:color w:val="000000" w:themeColor="text1"/>
          <w:sz w:val="22"/>
          <w:szCs w:val="22"/>
        </w:rPr>
        <w:t xml:space="preserve">typically </w:t>
      </w:r>
      <w:r w:rsidRPr="003E7C59">
        <w:rPr>
          <w:rFonts w:ascii="Arial" w:hAnsi="Arial" w:cs="Arial"/>
          <w:color w:val="000000" w:themeColor="text1"/>
          <w:sz w:val="22"/>
          <w:szCs w:val="22"/>
        </w:rPr>
        <w:t xml:space="preserve">lack variation in bracts colors and do not display a range of bract colors from white to dark red as flowering dogwoods do (Cappiello and Shadow, 2005; Molnar et al., 2017). </w:t>
      </w:r>
      <w:r w:rsidR="003C62C7" w:rsidRPr="003E7C59">
        <w:rPr>
          <w:rFonts w:ascii="Arial" w:hAnsi="Arial" w:cs="Arial"/>
          <w:color w:val="000000" w:themeColor="text1"/>
          <w:sz w:val="22"/>
          <w:szCs w:val="22"/>
        </w:rPr>
        <w:t>'Rosy Teacups,' 'Miss Satomi,' and 'Rutpink' are among the few cultivars exhibiting dark to bright red or pink bracts (Trigiano et al., 2004; Molnar et al., 2017).</w:t>
      </w:r>
      <w:r w:rsidR="00590CB5" w:rsidRPr="003E7C59">
        <w:rPr>
          <w:rFonts w:ascii="Arial" w:hAnsi="Arial" w:cs="Arial"/>
          <w:color w:val="000000" w:themeColor="text1"/>
          <w:sz w:val="22"/>
          <w:szCs w:val="22"/>
        </w:rPr>
        <w:t xml:space="preserve"> Moreover, a </w:t>
      </w:r>
      <w:proofErr w:type="gramStart"/>
      <w:r w:rsidR="00590CB5" w:rsidRPr="003E7C59">
        <w:rPr>
          <w:rFonts w:ascii="Arial" w:hAnsi="Arial" w:cs="Arial"/>
          <w:color w:val="000000" w:themeColor="text1"/>
          <w:sz w:val="22"/>
          <w:szCs w:val="22"/>
        </w:rPr>
        <w:t>hybrid breeding</w:t>
      </w:r>
      <w:proofErr w:type="gramEnd"/>
      <w:r w:rsidR="00590CB5" w:rsidRPr="003E7C59">
        <w:rPr>
          <w:rFonts w:ascii="Arial" w:hAnsi="Arial" w:cs="Arial"/>
          <w:color w:val="000000" w:themeColor="text1"/>
          <w:sz w:val="22"/>
          <w:szCs w:val="22"/>
        </w:rPr>
        <w:t xml:space="preserve"> program between </w:t>
      </w:r>
      <w:r w:rsidR="00590CB5" w:rsidRPr="003E7C59">
        <w:rPr>
          <w:rFonts w:ascii="Arial" w:hAnsi="Arial" w:cs="Arial"/>
          <w:i/>
          <w:iCs/>
          <w:color w:val="000000" w:themeColor="text1"/>
          <w:sz w:val="22"/>
          <w:szCs w:val="22"/>
        </w:rPr>
        <w:t>C. florida</w:t>
      </w:r>
      <w:r w:rsidR="00590CB5" w:rsidRPr="003E7C59">
        <w:rPr>
          <w:rFonts w:ascii="Arial" w:hAnsi="Arial" w:cs="Arial"/>
          <w:color w:val="000000" w:themeColor="text1"/>
          <w:sz w:val="22"/>
          <w:szCs w:val="22"/>
        </w:rPr>
        <w:t xml:space="preserve"> and </w:t>
      </w:r>
      <w:r w:rsidR="00590CB5" w:rsidRPr="003E7C59">
        <w:rPr>
          <w:rFonts w:ascii="Arial" w:hAnsi="Arial" w:cs="Arial"/>
          <w:i/>
          <w:iCs/>
          <w:color w:val="000000" w:themeColor="text1"/>
          <w:sz w:val="22"/>
          <w:szCs w:val="22"/>
        </w:rPr>
        <w:t>C. kousa</w:t>
      </w:r>
      <w:r w:rsidR="00590CB5" w:rsidRPr="003E7C59">
        <w:rPr>
          <w:rFonts w:ascii="Arial" w:hAnsi="Arial" w:cs="Arial"/>
          <w:color w:val="000000" w:themeColor="text1"/>
          <w:sz w:val="22"/>
          <w:szCs w:val="22"/>
        </w:rPr>
        <w:t xml:space="preserve"> was initiated almost a half-century ago, aiming to enhance ornamental traits and develop attractive landscape trees that do not require extensive maintenance (Molnar et al., 2017).</w:t>
      </w:r>
    </w:p>
    <w:p w14:paraId="50652F42" w14:textId="77777777" w:rsidR="003C62C7" w:rsidRPr="003E7C59" w:rsidRDefault="003C62C7" w:rsidP="006622F2">
      <w:pPr>
        <w:spacing w:line="360" w:lineRule="auto"/>
        <w:ind w:firstLine="720"/>
        <w:rPr>
          <w:rFonts w:ascii="Arial" w:hAnsi="Arial" w:cs="Arial"/>
          <w:color w:val="000000" w:themeColor="text1"/>
          <w:sz w:val="22"/>
          <w:szCs w:val="22"/>
        </w:rPr>
      </w:pPr>
    </w:p>
    <w:p w14:paraId="268EA887" w14:textId="1E031143"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However, time-demanding</w:t>
      </w:r>
      <w:sdt>
        <w:sdtPr>
          <w:rPr>
            <w:rFonts w:ascii="Arial" w:hAnsi="Arial" w:cs="Arial"/>
            <w:color w:val="000000" w:themeColor="text1"/>
            <w:sz w:val="22"/>
            <w:szCs w:val="22"/>
          </w:rPr>
          <w:tag w:val="goog_rdk_18"/>
          <w:id w:val="1250236462"/>
          <w:placeholder>
            <w:docPart w:val="4C45738C08C1524680B5117DAFFF0950"/>
          </w:placeholder>
        </w:sdtPr>
        <w:sdtEndPr/>
        <w:sdtContent>
          <w:r w:rsidRPr="003E7C59">
            <w:rPr>
              <w:rFonts w:ascii="Arial" w:hAnsi="Arial" w:cs="Arial"/>
              <w:color w:val="000000" w:themeColor="text1"/>
              <w:sz w:val="22"/>
              <w:szCs w:val="22"/>
            </w:rPr>
            <w:t xml:space="preserve"> </w:t>
          </w:r>
        </w:sdtContent>
      </w:sdt>
      <w:sdt>
        <w:sdtPr>
          <w:rPr>
            <w:rFonts w:ascii="Arial" w:hAnsi="Arial" w:cs="Arial"/>
            <w:color w:val="000000" w:themeColor="text1"/>
            <w:sz w:val="22"/>
            <w:szCs w:val="22"/>
          </w:rPr>
          <w:tag w:val="goog_rdk_19"/>
          <w:id w:val="-625624945"/>
          <w:placeholder>
            <w:docPart w:val="4C45738C08C1524680B5117DAFFF0950"/>
          </w:placeholder>
        </w:sdtPr>
        <w:sdtEndPr/>
        <w:sdtContent/>
      </w:sdt>
      <w:r w:rsidRPr="003E7C59">
        <w:rPr>
          <w:rFonts w:ascii="Arial" w:hAnsi="Arial" w:cs="Arial"/>
          <w:color w:val="000000" w:themeColor="text1"/>
          <w:sz w:val="22"/>
          <w:szCs w:val="22"/>
        </w:rPr>
        <w:t xml:space="preserve">dogwood cultivar development typically depends on repeated selection for desirable traits. </w:t>
      </w:r>
      <w:proofErr w:type="gramStart"/>
      <w:r w:rsidRPr="003E7C59">
        <w:rPr>
          <w:rFonts w:ascii="Arial" w:hAnsi="Arial" w:cs="Arial"/>
          <w:color w:val="000000" w:themeColor="text1"/>
          <w:sz w:val="22"/>
          <w:szCs w:val="22"/>
        </w:rPr>
        <w:t>Hence, several challenges need to be overcome, such as a long juvenile period (</w:t>
      </w:r>
      <w:r w:rsidRPr="003E7C59">
        <w:rPr>
          <w:rFonts w:ascii="Arial" w:hAnsi="Arial" w:cs="Arial"/>
          <w:color w:val="000000" w:themeColor="text1"/>
          <w:sz w:val="22"/>
          <w:szCs w:val="22"/>
          <w:shd w:val="clear" w:color="auto" w:fill="FCFCFC"/>
        </w:rPr>
        <w:t>3 to 5 years</w:t>
      </w:r>
      <w:r w:rsidRPr="003E7C59">
        <w:rPr>
          <w:rFonts w:ascii="Arial" w:hAnsi="Arial" w:cs="Arial"/>
          <w:color w:val="000000" w:themeColor="text1"/>
          <w:sz w:val="22"/>
          <w:szCs w:val="22"/>
        </w:rPr>
        <w:t>), self-incompatibility, inbreeding depression, and high susceptibility of flowering dogwood to two fungal foliar pathogens, dogwood anthracnose (</w:t>
      </w:r>
      <w:r w:rsidRPr="003E7C59">
        <w:rPr>
          <w:rFonts w:ascii="Arial" w:hAnsi="Arial" w:cs="Arial"/>
          <w:i/>
          <w:color w:val="000000" w:themeColor="text1"/>
          <w:sz w:val="22"/>
          <w:szCs w:val="22"/>
          <w:shd w:val="clear" w:color="auto" w:fill="FCFCFC"/>
        </w:rPr>
        <w:t xml:space="preserve">Discula </w:t>
      </w:r>
      <w:sdt>
        <w:sdtPr>
          <w:rPr>
            <w:rFonts w:ascii="Arial" w:hAnsi="Arial" w:cs="Arial"/>
            <w:i/>
            <w:color w:val="000000" w:themeColor="text1"/>
            <w:sz w:val="22"/>
            <w:szCs w:val="22"/>
          </w:rPr>
          <w:tag w:val="goog_rdk_20"/>
          <w:id w:val="-204333788"/>
          <w:placeholder>
            <w:docPart w:val="4C45738C08C1524680B5117DAFFF0950"/>
          </w:placeholder>
          <w:showingPlcHdr/>
        </w:sdtPr>
        <w:sdtEndPr/>
        <w:sdtContent/>
      </w:sdt>
      <w:sdt>
        <w:sdtPr>
          <w:rPr>
            <w:rFonts w:ascii="Arial" w:hAnsi="Arial" w:cs="Arial"/>
            <w:i/>
            <w:color w:val="000000" w:themeColor="text1"/>
            <w:sz w:val="22"/>
            <w:szCs w:val="22"/>
          </w:rPr>
          <w:tag w:val="goog_rdk_21"/>
          <w:id w:val="783315805"/>
          <w:placeholder>
            <w:docPart w:val="4C45738C08C1524680B5117DAFFF0950"/>
          </w:placeholder>
        </w:sdtPr>
        <w:sdtEndPr/>
        <w:sdtContent>
          <w:r w:rsidRPr="003E7C59">
            <w:rPr>
              <w:rFonts w:ascii="Arial" w:hAnsi="Arial" w:cs="Arial"/>
              <w:i/>
              <w:color w:val="000000" w:themeColor="text1"/>
              <w:sz w:val="22"/>
              <w:szCs w:val="22"/>
              <w:shd w:val="clear" w:color="auto" w:fill="FCFCFC"/>
            </w:rPr>
            <w:t xml:space="preserve">destructiva </w:t>
          </w:r>
        </w:sdtContent>
      </w:sdt>
      <w:r w:rsidR="002645FD" w:rsidRPr="003E7C59">
        <w:rPr>
          <w:rFonts w:ascii="Arial" w:hAnsi="Arial" w:cs="Arial"/>
          <w:iCs/>
          <w:color w:val="000000" w:themeColor="text1"/>
          <w:sz w:val="22"/>
          <w:szCs w:val="22"/>
        </w:rPr>
        <w:t>Redlin</w:t>
      </w:r>
      <w:r w:rsidRPr="003E7C59">
        <w:rPr>
          <w:rFonts w:ascii="Arial" w:hAnsi="Arial" w:cs="Arial"/>
          <w:iCs/>
          <w:color w:val="000000" w:themeColor="text1"/>
          <w:sz w:val="22"/>
          <w:szCs w:val="22"/>
          <w:shd w:val="clear" w:color="auto" w:fill="FCFCFC"/>
        </w:rPr>
        <w:t>)</w:t>
      </w:r>
      <w:sdt>
        <w:sdtPr>
          <w:rPr>
            <w:rFonts w:ascii="Arial" w:hAnsi="Arial" w:cs="Arial"/>
            <w:color w:val="000000" w:themeColor="text1"/>
            <w:sz w:val="22"/>
            <w:szCs w:val="22"/>
          </w:rPr>
          <w:tag w:val="goog_rdk_22"/>
          <w:id w:val="19832047"/>
          <w:placeholder>
            <w:docPart w:val="4C45738C08C1524680B5117DAFFF0950"/>
          </w:placeholder>
        </w:sdtPr>
        <w:sdtEndPr/>
        <w:sdtContent>
          <w:r w:rsidRPr="003E7C59">
            <w:rPr>
              <w:rFonts w:ascii="Arial" w:hAnsi="Arial" w:cs="Arial"/>
              <w:color w:val="000000" w:themeColor="text1"/>
              <w:sz w:val="22"/>
              <w:szCs w:val="22"/>
            </w:rPr>
            <w:t xml:space="preserve"> </w:t>
          </w:r>
        </w:sdtContent>
      </w:sdt>
      <w:r w:rsidRPr="003E7C59">
        <w:rPr>
          <w:rFonts w:ascii="Arial" w:hAnsi="Arial" w:cs="Arial"/>
          <w:color w:val="000000" w:themeColor="text1"/>
          <w:sz w:val="22"/>
          <w:szCs w:val="22"/>
          <w:shd w:val="clear" w:color="auto" w:fill="FCFCFC"/>
        </w:rPr>
        <w:t>and powdery mildew</w:t>
      </w:r>
      <w:r w:rsidR="003C62C7" w:rsidRPr="003E7C59">
        <w:rPr>
          <w:rFonts w:ascii="Arial" w:hAnsi="Arial" w:cs="Arial"/>
          <w:color w:val="000000" w:themeColor="text1"/>
          <w:sz w:val="22"/>
          <w:szCs w:val="22"/>
          <w:shd w:val="clear" w:color="auto" w:fill="FCFCFC"/>
        </w:rPr>
        <w:t xml:space="preserve"> </w:t>
      </w:r>
      <w:r w:rsidRPr="003E7C59">
        <w:rPr>
          <w:rFonts w:ascii="Arial" w:hAnsi="Arial" w:cs="Arial"/>
          <w:color w:val="000000" w:themeColor="text1"/>
          <w:sz w:val="22"/>
          <w:szCs w:val="22"/>
          <w:shd w:val="clear" w:color="auto" w:fill="FCFCFC"/>
        </w:rPr>
        <w:t>(Gunatilleke and Gunatilleke, </w:t>
      </w:r>
      <w:r w:rsidRPr="003E7C59">
        <w:rPr>
          <w:rFonts w:ascii="Arial" w:hAnsi="Arial" w:cs="Arial"/>
          <w:color w:val="000000" w:themeColor="text1"/>
          <w:sz w:val="22"/>
          <w:szCs w:val="22"/>
        </w:rPr>
        <w:t>1984</w:t>
      </w:r>
      <w:r w:rsidRPr="003E7C59">
        <w:rPr>
          <w:rFonts w:ascii="Arial" w:hAnsi="Arial" w:cs="Arial"/>
          <w:color w:val="000000" w:themeColor="text1"/>
          <w:sz w:val="22"/>
          <w:szCs w:val="22"/>
          <w:shd w:val="clear" w:color="auto" w:fill="FCFCFC"/>
        </w:rPr>
        <w:t xml:space="preserve">; Ament et al., </w:t>
      </w:r>
      <w:r w:rsidRPr="003E7C59">
        <w:rPr>
          <w:rFonts w:ascii="Arial" w:hAnsi="Arial" w:cs="Arial"/>
          <w:color w:val="000000" w:themeColor="text1"/>
          <w:sz w:val="22"/>
          <w:szCs w:val="22"/>
        </w:rPr>
        <w:t>2000</w:t>
      </w:r>
      <w:r w:rsidRPr="003E7C59">
        <w:rPr>
          <w:rFonts w:ascii="Arial" w:hAnsi="Arial" w:cs="Arial"/>
          <w:color w:val="000000" w:themeColor="text1"/>
          <w:sz w:val="22"/>
          <w:szCs w:val="22"/>
          <w:shd w:val="clear" w:color="auto" w:fill="FCFCFC"/>
        </w:rPr>
        <w:t>; Reed, </w:t>
      </w:r>
      <w:r w:rsidRPr="003E7C59">
        <w:rPr>
          <w:rFonts w:ascii="Arial" w:hAnsi="Arial" w:cs="Arial"/>
          <w:color w:val="000000" w:themeColor="text1"/>
          <w:sz w:val="22"/>
          <w:szCs w:val="22"/>
        </w:rPr>
        <w:t>2004; Wang et al., 2009; Hadziabdic et al., 2010; Hagan et al., 2011; Wadl et al., 2011; Mantooth et al., 2017).</w:t>
      </w:r>
      <w:proofErr w:type="gramEnd"/>
      <w:r w:rsidRPr="003E7C59">
        <w:rPr>
          <w:rFonts w:ascii="Arial" w:hAnsi="Arial" w:cs="Arial"/>
          <w:color w:val="000000" w:themeColor="text1"/>
          <w:sz w:val="22"/>
          <w:szCs w:val="22"/>
        </w:rPr>
        <w:t xml:space="preserve"> </w:t>
      </w:r>
    </w:p>
    <w:p w14:paraId="49E40B59" w14:textId="77777777" w:rsidR="00B51BF9" w:rsidRPr="003E7C59" w:rsidRDefault="00B51BF9" w:rsidP="006622F2">
      <w:pPr>
        <w:spacing w:line="360" w:lineRule="auto"/>
        <w:ind w:firstLine="720"/>
        <w:rPr>
          <w:rFonts w:ascii="Arial" w:hAnsi="Arial" w:cs="Arial"/>
          <w:color w:val="000000" w:themeColor="text1"/>
          <w:sz w:val="22"/>
          <w:szCs w:val="22"/>
        </w:rPr>
      </w:pPr>
    </w:p>
    <w:p w14:paraId="4C943A09" w14:textId="376A68AE"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Most plant pigments belong to flavonoids, which are ubiquitous across the plant kingdom, and typically associated with insect pollination and seed dispersal, hormone signaling, and abiotic and biotic defense (Liu et al., 2015; Cao et al., 2020; Wu et al., 2022). Likewise, </w:t>
      </w:r>
      <w:r w:rsidRPr="003E7C59">
        <w:rPr>
          <w:rFonts w:ascii="Arial" w:hAnsi="Arial" w:cs="Arial"/>
          <w:color w:val="000000" w:themeColor="text1"/>
          <w:sz w:val="22"/>
          <w:szCs w:val="22"/>
        </w:rPr>
        <w:lastRenderedPageBreak/>
        <w:t xml:space="preserve">desirable pink or dark red colors in flowering and Asian dogwoods bracts </w:t>
      </w:r>
      <w:proofErr w:type="gramStart"/>
      <w:r w:rsidRPr="003E7C59">
        <w:rPr>
          <w:rFonts w:ascii="Arial" w:hAnsi="Arial" w:cs="Arial"/>
          <w:color w:val="000000" w:themeColor="text1"/>
          <w:sz w:val="22"/>
          <w:szCs w:val="22"/>
        </w:rPr>
        <w:t xml:space="preserve">are </w:t>
      </w:r>
      <w:r w:rsidR="00B11393" w:rsidRPr="003E7C59">
        <w:rPr>
          <w:rFonts w:ascii="Arial" w:hAnsi="Arial" w:cs="Arial"/>
          <w:color w:val="000000" w:themeColor="text1"/>
          <w:sz w:val="22"/>
          <w:szCs w:val="22"/>
        </w:rPr>
        <w:t>created</w:t>
      </w:r>
      <w:proofErr w:type="gramEnd"/>
      <w:r w:rsidRPr="003E7C59">
        <w:rPr>
          <w:rFonts w:ascii="Arial" w:hAnsi="Arial" w:cs="Arial"/>
          <w:color w:val="000000" w:themeColor="text1"/>
          <w:sz w:val="22"/>
          <w:szCs w:val="22"/>
        </w:rPr>
        <w:t xml:space="preserve"> by anthocyanin pigment biosynthesis. Their anthocyanin profiles are similar, with major anthocyanins as cyanidin 3-O-galactoside and cyanidin 3-O-glucoside, respectively (Vareed et al., 2006). Anthocyanins are specialized flavonoid metabolites found in plants and have a substantial role in conferring defense against plant pathogens and abiotic factors such as UV radiation, drought, or cold (Jin et al., 2000; Yadun and Gould, 2008; Zhang et al., 2019; Gong et al., 2020). Moreover, their impact on plant quality contributes to various plant products' horticultural, industrial, and nutritional value, such as apple (</w:t>
      </w:r>
      <w:r w:rsidRPr="003E7C59">
        <w:rPr>
          <w:rFonts w:ascii="Arial" w:hAnsi="Arial" w:cs="Arial"/>
          <w:i/>
          <w:iCs/>
          <w:color w:val="000000" w:themeColor="text1"/>
          <w:sz w:val="22"/>
          <w:szCs w:val="22"/>
        </w:rPr>
        <w:t>Malus domestica</w:t>
      </w:r>
      <w:r w:rsidR="002A06AF" w:rsidRPr="003E7C59">
        <w:rPr>
          <w:rFonts w:ascii="Arial" w:hAnsi="Arial" w:cs="Arial"/>
          <w:i/>
          <w:iCs/>
          <w:color w:val="000000" w:themeColor="text1"/>
          <w:sz w:val="22"/>
          <w:szCs w:val="22"/>
        </w:rPr>
        <w:t xml:space="preserve"> </w:t>
      </w:r>
      <w:r w:rsidR="002A06AF" w:rsidRPr="003E7C59">
        <w:rPr>
          <w:rFonts w:ascii="Arial" w:hAnsi="Arial" w:cs="Arial"/>
          <w:color w:val="000000" w:themeColor="text1"/>
          <w:sz w:val="22"/>
          <w:szCs w:val="22"/>
        </w:rPr>
        <w:t>Borkh</w:t>
      </w:r>
      <w:r w:rsidR="00272021" w:rsidRPr="003E7C59">
        <w:rPr>
          <w:rFonts w:ascii="Arial" w:hAnsi="Arial" w:cs="Arial"/>
          <w:color w:val="000000" w:themeColor="text1"/>
          <w:sz w:val="22"/>
          <w:szCs w:val="22"/>
        </w:rPr>
        <w:t>.</w:t>
      </w:r>
      <w:r w:rsidRPr="003E7C59">
        <w:rPr>
          <w:rFonts w:ascii="Arial" w:hAnsi="Arial" w:cs="Arial"/>
          <w:color w:val="000000" w:themeColor="text1"/>
          <w:sz w:val="22"/>
          <w:szCs w:val="22"/>
        </w:rPr>
        <w:t>) (Lin-Wang et al., 2010; Meng et al., 2016), chrysanthemum (</w:t>
      </w:r>
      <w:r w:rsidRPr="003E7C59">
        <w:rPr>
          <w:rFonts w:ascii="Arial" w:hAnsi="Arial" w:cs="Arial"/>
          <w:i/>
          <w:iCs/>
          <w:color w:val="000000" w:themeColor="text1"/>
          <w:sz w:val="22"/>
          <w:szCs w:val="22"/>
        </w:rPr>
        <w:t>Chrysanthemum</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morifolium </w:t>
      </w:r>
      <w:r w:rsidR="006A12EF" w:rsidRPr="003E7C59">
        <w:rPr>
          <w:rFonts w:ascii="Arial" w:hAnsi="Arial" w:cs="Arial"/>
          <w:color w:val="000000" w:themeColor="text1"/>
          <w:sz w:val="22"/>
          <w:szCs w:val="22"/>
        </w:rPr>
        <w:t>(Ramat.) Hemst.</w:t>
      </w:r>
      <w:r w:rsidRPr="003E7C59">
        <w:rPr>
          <w:rFonts w:ascii="Arial" w:hAnsi="Arial" w:cs="Arial"/>
          <w:color w:val="000000" w:themeColor="text1"/>
          <w:sz w:val="22"/>
          <w:szCs w:val="22"/>
        </w:rPr>
        <w:t>) (Liu et al., 2015), eggplant (</w:t>
      </w:r>
      <w:r w:rsidRPr="003E7C59">
        <w:rPr>
          <w:rFonts w:ascii="Arial" w:hAnsi="Arial" w:cs="Arial"/>
          <w:i/>
          <w:iCs/>
          <w:color w:val="000000" w:themeColor="text1"/>
          <w:sz w:val="22"/>
          <w:szCs w:val="22"/>
        </w:rPr>
        <w:t xml:space="preserve">Solanum melongena </w:t>
      </w:r>
      <w:r w:rsidRPr="003E7C59">
        <w:rPr>
          <w:rFonts w:ascii="Arial" w:hAnsi="Arial" w:cs="Arial"/>
          <w:color w:val="000000" w:themeColor="text1"/>
          <w:sz w:val="22"/>
          <w:szCs w:val="22"/>
        </w:rPr>
        <w:t>L.) (Zhang et al., 2014), grape (</w:t>
      </w:r>
      <w:r w:rsidRPr="003E7C59">
        <w:rPr>
          <w:rFonts w:ascii="Arial" w:hAnsi="Arial" w:cs="Arial"/>
          <w:i/>
          <w:iCs/>
          <w:color w:val="000000" w:themeColor="text1"/>
          <w:sz w:val="22"/>
          <w:szCs w:val="22"/>
        </w:rPr>
        <w:t xml:space="preserve">Vitis vinifera </w:t>
      </w:r>
      <w:r w:rsidRPr="003E7C59">
        <w:rPr>
          <w:rFonts w:ascii="Arial" w:hAnsi="Arial" w:cs="Arial"/>
          <w:color w:val="000000" w:themeColor="text1"/>
          <w:sz w:val="22"/>
          <w:szCs w:val="22"/>
        </w:rPr>
        <w:t>L.) (</w:t>
      </w:r>
      <w:r w:rsidRPr="003E7C59">
        <w:rPr>
          <w:rFonts w:ascii="Arial" w:hAnsi="Arial" w:cs="Arial"/>
          <w:color w:val="000000" w:themeColor="text1"/>
          <w:sz w:val="22"/>
          <w:szCs w:val="22"/>
          <w:shd w:val="clear" w:color="auto" w:fill="FFFFFF"/>
        </w:rPr>
        <w:t>Czemmel et al., 2012</w:t>
      </w:r>
      <w:r w:rsidRPr="003E7C59">
        <w:rPr>
          <w:rFonts w:ascii="Arial" w:hAnsi="Arial" w:cs="Arial"/>
          <w:color w:val="000000" w:themeColor="text1"/>
          <w:sz w:val="22"/>
          <w:szCs w:val="22"/>
        </w:rPr>
        <w:t>), morning glory (</w:t>
      </w:r>
      <w:r w:rsidRPr="003E7C59">
        <w:rPr>
          <w:rFonts w:ascii="Arial" w:hAnsi="Arial" w:cs="Arial"/>
          <w:i/>
          <w:iCs/>
          <w:color w:val="000000" w:themeColor="text1"/>
          <w:sz w:val="22"/>
          <w:szCs w:val="22"/>
        </w:rPr>
        <w:t xml:space="preserve">Ipomea purporea </w:t>
      </w:r>
      <w:r w:rsidRPr="003E7C59">
        <w:rPr>
          <w:rFonts w:ascii="Arial" w:hAnsi="Arial" w:cs="Arial"/>
          <w:color w:val="000000" w:themeColor="text1"/>
          <w:sz w:val="22"/>
          <w:szCs w:val="22"/>
        </w:rPr>
        <w:t>L.) (Park et al., 2007), petunia (</w:t>
      </w:r>
      <w:r w:rsidRPr="003E7C59">
        <w:rPr>
          <w:rFonts w:ascii="Arial" w:hAnsi="Arial" w:cs="Arial"/>
          <w:i/>
          <w:iCs/>
          <w:color w:val="000000" w:themeColor="text1"/>
          <w:sz w:val="22"/>
          <w:szCs w:val="22"/>
        </w:rPr>
        <w:t xml:space="preserve">Petunia hybrida </w:t>
      </w:r>
      <w:r w:rsidRPr="003E7C59">
        <w:rPr>
          <w:rFonts w:ascii="Arial" w:hAnsi="Arial" w:cs="Arial"/>
          <w:color w:val="000000" w:themeColor="text1"/>
          <w:sz w:val="22"/>
          <w:szCs w:val="22"/>
          <w:shd w:val="clear" w:color="auto" w:fill="F8F9FA"/>
        </w:rPr>
        <w:t>D. Don ex W. H. Baxte</w:t>
      </w:r>
      <w:r w:rsidRPr="003E7C59">
        <w:rPr>
          <w:rFonts w:ascii="Arial" w:hAnsi="Arial" w:cs="Arial"/>
          <w:color w:val="000000" w:themeColor="text1"/>
          <w:sz w:val="22"/>
          <w:szCs w:val="22"/>
        </w:rPr>
        <w:t>) (Albert et al., 2009; Albert et al., 2011), royal lily (</w:t>
      </w:r>
      <w:r w:rsidRPr="003E7C59">
        <w:rPr>
          <w:rFonts w:ascii="Arial" w:hAnsi="Arial" w:cs="Arial"/>
          <w:i/>
          <w:iCs/>
          <w:color w:val="000000" w:themeColor="text1"/>
          <w:sz w:val="22"/>
          <w:szCs w:val="22"/>
        </w:rPr>
        <w:t xml:space="preserve">Lilium regale </w:t>
      </w:r>
      <w:r w:rsidR="000E01C4" w:rsidRPr="003E7C59">
        <w:rPr>
          <w:rFonts w:ascii="Arial" w:hAnsi="Arial" w:cs="Arial"/>
          <w:color w:val="000000" w:themeColor="text1"/>
          <w:sz w:val="22"/>
          <w:szCs w:val="22"/>
        </w:rPr>
        <w:t>E. H. Wilson</w:t>
      </w:r>
      <w:r w:rsidRPr="003E7C59">
        <w:rPr>
          <w:rFonts w:ascii="Arial" w:hAnsi="Arial" w:cs="Arial"/>
          <w:color w:val="000000" w:themeColor="text1"/>
          <w:sz w:val="22"/>
          <w:szCs w:val="22"/>
        </w:rPr>
        <w:t>) (Yamagishi et al., 2010), snapdragon (</w:t>
      </w:r>
      <w:r w:rsidRPr="003E7C59">
        <w:rPr>
          <w:rFonts w:ascii="Arial" w:hAnsi="Arial" w:cs="Arial"/>
          <w:i/>
          <w:iCs/>
          <w:color w:val="000000" w:themeColor="text1"/>
          <w:sz w:val="22"/>
          <w:szCs w:val="22"/>
        </w:rPr>
        <w:t xml:space="preserve">Antirrhinum majus </w:t>
      </w:r>
      <w:r w:rsidRPr="003E7C59">
        <w:rPr>
          <w:rFonts w:ascii="Arial" w:hAnsi="Arial" w:cs="Arial"/>
          <w:color w:val="000000" w:themeColor="text1"/>
          <w:sz w:val="22"/>
          <w:szCs w:val="22"/>
        </w:rPr>
        <w:t>L.) (Naing et al., 2018), strawberry (</w:t>
      </w:r>
      <w:r w:rsidRPr="003E7C59">
        <w:rPr>
          <w:rFonts w:ascii="Arial" w:hAnsi="Arial" w:cs="Arial"/>
          <w:i/>
          <w:iCs/>
          <w:color w:val="000000" w:themeColor="text1"/>
          <w:sz w:val="22"/>
          <w:szCs w:val="22"/>
        </w:rPr>
        <w:t xml:space="preserve">Fragaria vesca </w:t>
      </w:r>
      <w:r w:rsidRPr="003E7C59">
        <w:rPr>
          <w:rFonts w:ascii="Arial" w:hAnsi="Arial" w:cs="Arial"/>
          <w:color w:val="000000" w:themeColor="text1"/>
          <w:sz w:val="22"/>
          <w:szCs w:val="22"/>
        </w:rPr>
        <w:t>L.) (Aharoni et al., 2001), and others. Their antioxidant activity has recently evoked significant attention in protecting against cancer, strokes, and other chronic human disorders (Zhang et al., 2014; Kodama et al., 2018).</w:t>
      </w:r>
      <w:r w:rsidR="00DC61AA" w:rsidRPr="003E7C59">
        <w:rPr>
          <w:rFonts w:ascii="Arial" w:hAnsi="Arial" w:cs="Arial"/>
          <w:color w:val="000000" w:themeColor="text1"/>
          <w:sz w:val="22"/>
          <w:szCs w:val="22"/>
        </w:rPr>
        <w:t xml:space="preserve"> A</w:t>
      </w:r>
      <w:r w:rsidRPr="003E7C59">
        <w:rPr>
          <w:rFonts w:ascii="Arial" w:hAnsi="Arial" w:cs="Arial"/>
          <w:color w:val="000000" w:themeColor="text1"/>
          <w:sz w:val="22"/>
          <w:szCs w:val="22"/>
        </w:rPr>
        <w:t xml:space="preserve">nthocyanins produced by kousa's leaves </w:t>
      </w:r>
      <w:proofErr w:type="gramStart"/>
      <w:r w:rsidRPr="003E7C59">
        <w:rPr>
          <w:rFonts w:ascii="Arial" w:hAnsi="Arial" w:cs="Arial"/>
          <w:color w:val="000000" w:themeColor="text1"/>
          <w:sz w:val="22"/>
          <w:szCs w:val="22"/>
        </w:rPr>
        <w:t>were found</w:t>
      </w:r>
      <w:proofErr w:type="gramEnd"/>
      <w:r w:rsidRPr="003E7C59">
        <w:rPr>
          <w:rFonts w:ascii="Arial" w:hAnsi="Arial" w:cs="Arial"/>
          <w:color w:val="000000" w:themeColor="text1"/>
          <w:sz w:val="22"/>
          <w:szCs w:val="22"/>
        </w:rPr>
        <w:t xml:space="preserve"> to have anti-obesity effects (Khan et al., 2018). </w:t>
      </w:r>
    </w:p>
    <w:p w14:paraId="1D6020CA" w14:textId="77777777" w:rsidR="00736212" w:rsidRPr="003E7C59" w:rsidRDefault="00736212" w:rsidP="006622F2">
      <w:pPr>
        <w:spacing w:line="360" w:lineRule="auto"/>
        <w:ind w:firstLine="720"/>
        <w:rPr>
          <w:rFonts w:ascii="Arial" w:hAnsi="Arial" w:cs="Arial"/>
          <w:color w:val="000000" w:themeColor="text1"/>
          <w:sz w:val="22"/>
          <w:szCs w:val="22"/>
        </w:rPr>
      </w:pPr>
    </w:p>
    <w:p w14:paraId="56CCF9F4" w14:textId="4C259265" w:rsidR="00D252D5" w:rsidRPr="003E7C59" w:rsidRDefault="00736212"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Proanthocyanidins</w:t>
      </w:r>
      <w:r w:rsidR="00D24A90" w:rsidRPr="003E7C59">
        <w:rPr>
          <w:rFonts w:ascii="Arial" w:hAnsi="Arial" w:cs="Arial"/>
          <w:color w:val="000000" w:themeColor="text1"/>
          <w:sz w:val="22"/>
          <w:szCs w:val="22"/>
        </w:rPr>
        <w:t xml:space="preserve"> </w:t>
      </w:r>
      <w:r w:rsidR="003A06D0" w:rsidRPr="003E7C59">
        <w:rPr>
          <w:rFonts w:ascii="Arial" w:hAnsi="Arial" w:cs="Arial"/>
          <w:color w:val="000000" w:themeColor="text1"/>
          <w:sz w:val="22"/>
          <w:szCs w:val="22"/>
        </w:rPr>
        <w:t>or condensed tannins activators</w:t>
      </w:r>
      <w:r w:rsidR="00EA3C04" w:rsidRPr="003E7C59">
        <w:rPr>
          <w:rFonts w:ascii="Arial" w:hAnsi="Arial" w:cs="Arial"/>
          <w:color w:val="000000" w:themeColor="text1"/>
          <w:sz w:val="22"/>
          <w:szCs w:val="22"/>
        </w:rPr>
        <w:t xml:space="preserve"> </w:t>
      </w:r>
      <w:r w:rsidR="00195ADF" w:rsidRPr="003E7C59">
        <w:rPr>
          <w:rFonts w:ascii="Arial" w:hAnsi="Arial" w:cs="Arial"/>
          <w:color w:val="000000" w:themeColor="text1"/>
          <w:sz w:val="22"/>
          <w:szCs w:val="22"/>
        </w:rPr>
        <w:t xml:space="preserve">fulfill various physiological </w:t>
      </w:r>
      <w:r w:rsidR="00872A0C" w:rsidRPr="003E7C59">
        <w:rPr>
          <w:rFonts w:ascii="Arial" w:hAnsi="Arial" w:cs="Arial"/>
          <w:color w:val="000000" w:themeColor="text1"/>
          <w:sz w:val="22"/>
          <w:szCs w:val="22"/>
        </w:rPr>
        <w:t>requirements</w:t>
      </w:r>
      <w:r w:rsidR="00276A3D" w:rsidRPr="003E7C59">
        <w:rPr>
          <w:rFonts w:ascii="Arial" w:hAnsi="Arial" w:cs="Arial"/>
          <w:color w:val="000000" w:themeColor="text1"/>
          <w:sz w:val="22"/>
          <w:szCs w:val="22"/>
        </w:rPr>
        <w:t>, whereas their astringency</w:t>
      </w:r>
      <w:r w:rsidR="009F2F4E" w:rsidRPr="003E7C59">
        <w:rPr>
          <w:rFonts w:ascii="Arial" w:hAnsi="Arial" w:cs="Arial"/>
          <w:color w:val="000000" w:themeColor="text1"/>
          <w:sz w:val="22"/>
          <w:szCs w:val="22"/>
        </w:rPr>
        <w:t xml:space="preserve"> properti</w:t>
      </w:r>
      <w:r w:rsidR="00412F81" w:rsidRPr="003E7C59">
        <w:rPr>
          <w:rFonts w:ascii="Arial" w:hAnsi="Arial" w:cs="Arial"/>
          <w:color w:val="000000" w:themeColor="text1"/>
          <w:sz w:val="22"/>
          <w:szCs w:val="22"/>
        </w:rPr>
        <w:t>es</w:t>
      </w:r>
      <w:r w:rsidR="00276A3D" w:rsidRPr="003E7C59">
        <w:rPr>
          <w:rFonts w:ascii="Arial" w:hAnsi="Arial" w:cs="Arial"/>
          <w:color w:val="000000" w:themeColor="text1"/>
          <w:sz w:val="22"/>
          <w:szCs w:val="22"/>
        </w:rPr>
        <w:t xml:space="preserve"> </w:t>
      </w:r>
      <w:r w:rsidR="00412F81" w:rsidRPr="003E7C59">
        <w:rPr>
          <w:rFonts w:ascii="Arial" w:hAnsi="Arial" w:cs="Arial"/>
          <w:color w:val="000000" w:themeColor="text1"/>
          <w:sz w:val="22"/>
          <w:szCs w:val="22"/>
        </w:rPr>
        <w:t>protect</w:t>
      </w:r>
      <w:r w:rsidR="00F3100E" w:rsidRPr="003E7C59">
        <w:rPr>
          <w:rFonts w:ascii="Arial" w:hAnsi="Arial" w:cs="Arial"/>
          <w:color w:val="000000" w:themeColor="text1"/>
          <w:sz w:val="22"/>
          <w:szCs w:val="22"/>
        </w:rPr>
        <w:t xml:space="preserve"> plants from pathogens, insects, and herbivores (Dixon et al., 200</w:t>
      </w:r>
      <w:r w:rsidR="00E4529E" w:rsidRPr="003E7C59">
        <w:rPr>
          <w:rFonts w:ascii="Arial" w:hAnsi="Arial" w:cs="Arial"/>
          <w:color w:val="000000" w:themeColor="text1"/>
          <w:sz w:val="22"/>
          <w:szCs w:val="22"/>
        </w:rPr>
        <w:t>4</w:t>
      </w:r>
      <w:r w:rsidR="00D347B1" w:rsidRPr="003E7C59">
        <w:rPr>
          <w:rFonts w:ascii="Arial" w:hAnsi="Arial" w:cs="Arial"/>
          <w:color w:val="000000" w:themeColor="text1"/>
          <w:sz w:val="22"/>
          <w:szCs w:val="22"/>
        </w:rPr>
        <w:t>;</w:t>
      </w:r>
      <w:r w:rsidR="00E4529E" w:rsidRPr="003E7C59">
        <w:rPr>
          <w:rFonts w:ascii="Arial" w:hAnsi="Arial" w:cs="Arial"/>
          <w:color w:val="000000" w:themeColor="text1"/>
          <w:sz w:val="22"/>
          <w:szCs w:val="22"/>
        </w:rPr>
        <w:t xml:space="preserve"> Rauf et al., 2019</w:t>
      </w:r>
      <w:r w:rsidR="00F3100E" w:rsidRPr="003E7C59">
        <w:rPr>
          <w:rFonts w:ascii="Arial" w:hAnsi="Arial" w:cs="Arial"/>
          <w:color w:val="000000" w:themeColor="text1"/>
          <w:sz w:val="22"/>
          <w:szCs w:val="22"/>
        </w:rPr>
        <w:t>)</w:t>
      </w:r>
      <w:r w:rsidR="00872A0C" w:rsidRPr="003E7C59">
        <w:rPr>
          <w:rFonts w:ascii="Arial" w:hAnsi="Arial" w:cs="Arial"/>
          <w:color w:val="000000" w:themeColor="text1"/>
          <w:sz w:val="22"/>
          <w:szCs w:val="22"/>
        </w:rPr>
        <w:t xml:space="preserve">. </w:t>
      </w:r>
      <w:proofErr w:type="gramStart"/>
      <w:r w:rsidR="00872A0C" w:rsidRPr="003E7C59">
        <w:rPr>
          <w:rFonts w:ascii="Arial" w:hAnsi="Arial" w:cs="Arial"/>
          <w:color w:val="000000" w:themeColor="text1"/>
          <w:sz w:val="22"/>
          <w:szCs w:val="22"/>
        </w:rPr>
        <w:t xml:space="preserve">They </w:t>
      </w:r>
      <w:r w:rsidR="009B32E9" w:rsidRPr="003E7C59">
        <w:rPr>
          <w:rFonts w:ascii="Arial" w:hAnsi="Arial" w:cs="Arial"/>
          <w:color w:val="000000" w:themeColor="text1"/>
          <w:sz w:val="22"/>
          <w:szCs w:val="22"/>
        </w:rPr>
        <w:t xml:space="preserve">are </w:t>
      </w:r>
      <w:r w:rsidR="00AE6EB2" w:rsidRPr="003E7C59">
        <w:rPr>
          <w:rFonts w:ascii="Arial" w:hAnsi="Arial" w:cs="Arial"/>
          <w:color w:val="000000" w:themeColor="text1"/>
          <w:sz w:val="22"/>
          <w:szCs w:val="22"/>
        </w:rPr>
        <w:t xml:space="preserve">structurally correlated </w:t>
      </w:r>
      <w:r w:rsidR="00A67E21" w:rsidRPr="003E7C59">
        <w:rPr>
          <w:rFonts w:ascii="Arial" w:hAnsi="Arial" w:cs="Arial"/>
          <w:color w:val="000000" w:themeColor="text1"/>
          <w:sz w:val="22"/>
          <w:szCs w:val="22"/>
        </w:rPr>
        <w:t>to anthocyanins (Zhao et al., 2010)</w:t>
      </w:r>
      <w:r w:rsidR="00872A0C" w:rsidRPr="003E7C59">
        <w:rPr>
          <w:rFonts w:ascii="Arial" w:hAnsi="Arial" w:cs="Arial"/>
          <w:color w:val="000000" w:themeColor="text1"/>
          <w:sz w:val="22"/>
          <w:szCs w:val="22"/>
        </w:rPr>
        <w:t xml:space="preserve"> and </w:t>
      </w:r>
      <w:r w:rsidR="00024386" w:rsidRPr="003E7C59">
        <w:rPr>
          <w:rFonts w:ascii="Arial" w:hAnsi="Arial" w:cs="Arial"/>
          <w:color w:val="000000" w:themeColor="text1"/>
          <w:sz w:val="22"/>
          <w:szCs w:val="22"/>
        </w:rPr>
        <w:t xml:space="preserve">found in </w:t>
      </w:r>
      <w:r w:rsidR="00BE501B" w:rsidRPr="003E7C59">
        <w:rPr>
          <w:rFonts w:ascii="Arial" w:hAnsi="Arial" w:cs="Arial"/>
          <w:color w:val="000000" w:themeColor="text1"/>
          <w:sz w:val="22"/>
          <w:szCs w:val="22"/>
        </w:rPr>
        <w:t xml:space="preserve">the </w:t>
      </w:r>
      <w:r w:rsidR="003C7B6B" w:rsidRPr="003E7C59">
        <w:rPr>
          <w:rFonts w:ascii="Arial" w:hAnsi="Arial" w:cs="Arial"/>
          <w:color w:val="000000" w:themeColor="text1"/>
          <w:sz w:val="22"/>
          <w:szCs w:val="22"/>
        </w:rPr>
        <w:t>endothe</w:t>
      </w:r>
      <w:r w:rsidR="003063E0" w:rsidRPr="003E7C59">
        <w:rPr>
          <w:rFonts w:ascii="Arial" w:hAnsi="Arial" w:cs="Arial"/>
          <w:color w:val="000000" w:themeColor="text1"/>
          <w:sz w:val="22"/>
          <w:szCs w:val="22"/>
        </w:rPr>
        <w:t xml:space="preserve">lial layer of </w:t>
      </w:r>
      <w:r w:rsidR="00BE501B" w:rsidRPr="003E7C59">
        <w:rPr>
          <w:rFonts w:ascii="Arial" w:hAnsi="Arial" w:cs="Arial"/>
          <w:color w:val="000000" w:themeColor="text1"/>
          <w:sz w:val="22"/>
          <w:szCs w:val="22"/>
        </w:rPr>
        <w:t xml:space="preserve">the </w:t>
      </w:r>
      <w:r w:rsidR="00024386" w:rsidRPr="003E7C59">
        <w:rPr>
          <w:rFonts w:ascii="Arial" w:hAnsi="Arial" w:cs="Arial"/>
          <w:color w:val="000000" w:themeColor="text1"/>
          <w:sz w:val="22"/>
          <w:szCs w:val="22"/>
        </w:rPr>
        <w:t xml:space="preserve">seed coat, flowers, fruits, and leaves </w:t>
      </w:r>
      <w:r w:rsidR="00D931D6" w:rsidRPr="003E7C59">
        <w:rPr>
          <w:rFonts w:ascii="Arial" w:hAnsi="Arial" w:cs="Arial"/>
          <w:color w:val="000000" w:themeColor="text1"/>
          <w:sz w:val="22"/>
          <w:szCs w:val="22"/>
        </w:rPr>
        <w:t xml:space="preserve">of many plants, </w:t>
      </w:r>
      <w:r w:rsidR="0017521B" w:rsidRPr="003E7C59">
        <w:rPr>
          <w:rFonts w:ascii="Arial" w:hAnsi="Arial" w:cs="Arial"/>
          <w:color w:val="000000" w:themeColor="text1"/>
          <w:sz w:val="22"/>
          <w:szCs w:val="22"/>
        </w:rPr>
        <w:t>including</w:t>
      </w:r>
      <w:r w:rsidR="00297072" w:rsidRPr="003E7C59">
        <w:rPr>
          <w:rFonts w:ascii="Arial" w:hAnsi="Arial" w:cs="Arial"/>
          <w:color w:val="000000" w:themeColor="text1"/>
          <w:sz w:val="22"/>
          <w:szCs w:val="22"/>
        </w:rPr>
        <w:t xml:space="preserve"> </w:t>
      </w:r>
      <w:r w:rsidR="002E6C15" w:rsidRPr="003E7C59">
        <w:rPr>
          <w:rFonts w:ascii="Arial" w:hAnsi="Arial" w:cs="Arial"/>
          <w:color w:val="000000" w:themeColor="text1"/>
          <w:sz w:val="22"/>
          <w:szCs w:val="22"/>
        </w:rPr>
        <w:t>berries (black elderberry, blueberry</w:t>
      </w:r>
      <w:r w:rsidR="00632732" w:rsidRPr="003E7C59">
        <w:rPr>
          <w:rFonts w:ascii="Arial" w:hAnsi="Arial" w:cs="Arial"/>
          <w:color w:val="000000" w:themeColor="text1"/>
          <w:sz w:val="22"/>
          <w:szCs w:val="22"/>
        </w:rPr>
        <w:t>, cranberry) (</w:t>
      </w:r>
      <w:r w:rsidR="00ED46AD" w:rsidRPr="003E7C59">
        <w:rPr>
          <w:rFonts w:ascii="Arial" w:hAnsi="Arial" w:cs="Arial"/>
          <w:color w:val="000000" w:themeColor="text1"/>
          <w:sz w:val="22"/>
          <w:szCs w:val="22"/>
        </w:rPr>
        <w:t>Krenn et al., 2007</w:t>
      </w:r>
      <w:r w:rsidR="00632732" w:rsidRPr="003E7C59">
        <w:rPr>
          <w:rFonts w:ascii="Arial" w:hAnsi="Arial" w:cs="Arial"/>
          <w:color w:val="000000" w:themeColor="text1"/>
          <w:sz w:val="22"/>
          <w:szCs w:val="22"/>
        </w:rPr>
        <w:t>)</w:t>
      </w:r>
      <w:r w:rsidR="004858E5" w:rsidRPr="003E7C59">
        <w:rPr>
          <w:rFonts w:ascii="Arial" w:hAnsi="Arial" w:cs="Arial"/>
          <w:color w:val="000000" w:themeColor="text1"/>
          <w:sz w:val="22"/>
          <w:szCs w:val="22"/>
        </w:rPr>
        <w:t xml:space="preserve">, </w:t>
      </w:r>
      <w:r w:rsidR="00B346F3" w:rsidRPr="003E7C59">
        <w:rPr>
          <w:rFonts w:ascii="Arial" w:hAnsi="Arial" w:cs="Arial"/>
          <w:color w:val="000000" w:themeColor="text1"/>
          <w:sz w:val="22"/>
          <w:szCs w:val="22"/>
        </w:rPr>
        <w:t xml:space="preserve">plum, apricot, walnut (Qin et al., 2009), </w:t>
      </w:r>
      <w:r w:rsidR="00D20637" w:rsidRPr="003E7C59">
        <w:rPr>
          <w:rFonts w:ascii="Arial" w:hAnsi="Arial" w:cs="Arial"/>
          <w:color w:val="000000" w:themeColor="text1"/>
          <w:sz w:val="22"/>
          <w:szCs w:val="22"/>
        </w:rPr>
        <w:t>g</w:t>
      </w:r>
      <w:r w:rsidR="00D931D6" w:rsidRPr="003E7C59">
        <w:rPr>
          <w:rFonts w:ascii="Arial" w:hAnsi="Arial" w:cs="Arial"/>
          <w:color w:val="000000" w:themeColor="text1"/>
          <w:sz w:val="22"/>
          <w:szCs w:val="22"/>
        </w:rPr>
        <w:t>rapes</w:t>
      </w:r>
      <w:r w:rsidR="003C23BF" w:rsidRPr="003E7C59">
        <w:rPr>
          <w:rFonts w:ascii="Arial" w:hAnsi="Arial" w:cs="Arial"/>
          <w:color w:val="000000" w:themeColor="text1"/>
          <w:sz w:val="22"/>
          <w:szCs w:val="22"/>
        </w:rPr>
        <w:t xml:space="preserve"> (</w:t>
      </w:r>
      <w:r w:rsidR="00C7592F" w:rsidRPr="003E7C59">
        <w:rPr>
          <w:rFonts w:ascii="Arial" w:hAnsi="Arial" w:cs="Arial"/>
          <w:color w:val="000000" w:themeColor="text1"/>
          <w:sz w:val="22"/>
          <w:szCs w:val="22"/>
        </w:rPr>
        <w:t>Souq</w:t>
      </w:r>
      <w:r w:rsidR="00D866AA" w:rsidRPr="003E7C59">
        <w:rPr>
          <w:rFonts w:ascii="Arial" w:hAnsi="Arial" w:cs="Arial"/>
          <w:color w:val="000000" w:themeColor="text1"/>
          <w:sz w:val="22"/>
          <w:szCs w:val="22"/>
        </w:rPr>
        <w:t>uet et al., 1996</w:t>
      </w:r>
      <w:r w:rsidR="003C23BF" w:rsidRPr="003E7C59">
        <w:rPr>
          <w:rFonts w:ascii="Arial" w:hAnsi="Arial" w:cs="Arial"/>
          <w:color w:val="000000" w:themeColor="text1"/>
          <w:sz w:val="22"/>
          <w:szCs w:val="22"/>
        </w:rPr>
        <w:t xml:space="preserve">), </w:t>
      </w:r>
      <w:r w:rsidR="00D866AA" w:rsidRPr="003E7C59">
        <w:rPr>
          <w:rFonts w:ascii="Arial" w:hAnsi="Arial" w:cs="Arial"/>
          <w:color w:val="000000" w:themeColor="text1"/>
          <w:sz w:val="22"/>
          <w:szCs w:val="22"/>
        </w:rPr>
        <w:t xml:space="preserve">forage </w:t>
      </w:r>
      <w:r w:rsidR="001E2774" w:rsidRPr="003E7C59">
        <w:rPr>
          <w:rFonts w:ascii="Arial" w:hAnsi="Arial" w:cs="Arial"/>
          <w:color w:val="000000" w:themeColor="text1"/>
          <w:sz w:val="22"/>
          <w:szCs w:val="22"/>
        </w:rPr>
        <w:t>legumes</w:t>
      </w:r>
      <w:r w:rsidR="003C23BF" w:rsidRPr="003E7C59">
        <w:rPr>
          <w:rFonts w:ascii="Arial" w:hAnsi="Arial" w:cs="Arial"/>
          <w:color w:val="000000" w:themeColor="text1"/>
          <w:sz w:val="22"/>
          <w:szCs w:val="22"/>
        </w:rPr>
        <w:t xml:space="preserve"> (</w:t>
      </w:r>
      <w:r w:rsidR="00D20637" w:rsidRPr="003E7C59">
        <w:rPr>
          <w:rFonts w:ascii="Arial" w:hAnsi="Arial" w:cs="Arial"/>
          <w:color w:val="000000" w:themeColor="text1"/>
          <w:sz w:val="22"/>
          <w:szCs w:val="22"/>
        </w:rPr>
        <w:t>Albert, 2015</w:t>
      </w:r>
      <w:r w:rsidR="003C23BF" w:rsidRPr="003E7C59">
        <w:rPr>
          <w:rFonts w:ascii="Arial" w:hAnsi="Arial" w:cs="Arial"/>
          <w:color w:val="000000" w:themeColor="text1"/>
          <w:sz w:val="22"/>
          <w:szCs w:val="22"/>
        </w:rPr>
        <w:t>)</w:t>
      </w:r>
      <w:r w:rsidR="00D931D6" w:rsidRPr="003E7C59">
        <w:rPr>
          <w:rFonts w:ascii="Arial" w:hAnsi="Arial" w:cs="Arial"/>
          <w:color w:val="000000" w:themeColor="text1"/>
          <w:sz w:val="22"/>
          <w:szCs w:val="22"/>
        </w:rPr>
        <w:t xml:space="preserve">, </w:t>
      </w:r>
      <w:r w:rsidR="0017521B" w:rsidRPr="003E7C59">
        <w:rPr>
          <w:rFonts w:ascii="Arial" w:hAnsi="Arial" w:cs="Arial"/>
          <w:color w:val="000000" w:themeColor="text1"/>
          <w:sz w:val="22"/>
          <w:szCs w:val="22"/>
        </w:rPr>
        <w:t>coffee</w:t>
      </w:r>
      <w:r w:rsidR="00867FE9" w:rsidRPr="003E7C59">
        <w:rPr>
          <w:rFonts w:ascii="Arial" w:hAnsi="Arial" w:cs="Arial"/>
          <w:color w:val="000000" w:themeColor="text1"/>
          <w:sz w:val="22"/>
          <w:szCs w:val="22"/>
        </w:rPr>
        <w:t xml:space="preserve"> (de Col</w:t>
      </w:r>
      <w:r w:rsidR="00FE3AF4" w:rsidRPr="003E7C59">
        <w:rPr>
          <w:rFonts w:ascii="Arial" w:hAnsi="Arial" w:cs="Arial"/>
          <w:color w:val="000000" w:themeColor="text1"/>
          <w:sz w:val="22"/>
          <w:szCs w:val="22"/>
        </w:rPr>
        <w:t>menares et al., 1998</w:t>
      </w:r>
      <w:r w:rsidR="00867FE9" w:rsidRPr="003E7C59">
        <w:rPr>
          <w:rFonts w:ascii="Arial" w:hAnsi="Arial" w:cs="Arial"/>
          <w:color w:val="000000" w:themeColor="text1"/>
          <w:sz w:val="22"/>
          <w:szCs w:val="22"/>
        </w:rPr>
        <w:t>)</w:t>
      </w:r>
      <w:r w:rsidR="0017521B" w:rsidRPr="003E7C59">
        <w:rPr>
          <w:rFonts w:ascii="Arial" w:hAnsi="Arial" w:cs="Arial"/>
          <w:color w:val="000000" w:themeColor="text1"/>
          <w:sz w:val="22"/>
          <w:szCs w:val="22"/>
        </w:rPr>
        <w:t>,</w:t>
      </w:r>
      <w:r w:rsidR="00BE501B" w:rsidRPr="003E7C59">
        <w:rPr>
          <w:rFonts w:ascii="Arial" w:hAnsi="Arial" w:cs="Arial"/>
          <w:color w:val="000000" w:themeColor="text1"/>
          <w:sz w:val="22"/>
          <w:szCs w:val="22"/>
        </w:rPr>
        <w:t xml:space="preserve"> tea plant </w:t>
      </w:r>
      <w:r w:rsidR="00BF5534" w:rsidRPr="003E7C59">
        <w:rPr>
          <w:rFonts w:ascii="Arial" w:hAnsi="Arial" w:cs="Arial"/>
          <w:color w:val="000000" w:themeColor="text1"/>
          <w:sz w:val="22"/>
          <w:szCs w:val="22"/>
        </w:rPr>
        <w:t>(Ahma</w:t>
      </w:r>
      <w:r w:rsidR="00233AF8" w:rsidRPr="003E7C59">
        <w:rPr>
          <w:rFonts w:ascii="Arial" w:hAnsi="Arial" w:cs="Arial"/>
          <w:color w:val="000000" w:themeColor="text1"/>
          <w:sz w:val="22"/>
          <w:szCs w:val="22"/>
        </w:rPr>
        <w:t>d</w:t>
      </w:r>
      <w:r w:rsidR="00BF5534" w:rsidRPr="003E7C59">
        <w:rPr>
          <w:rFonts w:ascii="Arial" w:hAnsi="Arial" w:cs="Arial"/>
          <w:color w:val="000000" w:themeColor="text1"/>
          <w:sz w:val="22"/>
          <w:szCs w:val="22"/>
        </w:rPr>
        <w:t xml:space="preserve"> et al., </w:t>
      </w:r>
      <w:r w:rsidR="0015389D" w:rsidRPr="003E7C59">
        <w:rPr>
          <w:rFonts w:ascii="Arial" w:hAnsi="Arial" w:cs="Arial"/>
          <w:color w:val="000000" w:themeColor="text1"/>
          <w:sz w:val="22"/>
          <w:szCs w:val="22"/>
        </w:rPr>
        <w:t>2000)</w:t>
      </w:r>
      <w:r w:rsidR="00F3100E" w:rsidRPr="003E7C59">
        <w:rPr>
          <w:rFonts w:ascii="Arial" w:hAnsi="Arial" w:cs="Arial"/>
          <w:color w:val="000000" w:themeColor="text1"/>
          <w:sz w:val="22"/>
          <w:szCs w:val="22"/>
        </w:rPr>
        <w:t>.</w:t>
      </w:r>
      <w:proofErr w:type="gramEnd"/>
      <w:r w:rsidR="00F3100E" w:rsidRPr="003E7C59">
        <w:rPr>
          <w:rFonts w:ascii="Arial" w:hAnsi="Arial" w:cs="Arial"/>
          <w:color w:val="000000" w:themeColor="text1"/>
          <w:sz w:val="22"/>
          <w:szCs w:val="22"/>
        </w:rPr>
        <w:t xml:space="preserve"> </w:t>
      </w:r>
      <w:r w:rsidR="00C05441" w:rsidRPr="003E7C59">
        <w:rPr>
          <w:rFonts w:ascii="Arial" w:hAnsi="Arial" w:cs="Arial"/>
          <w:color w:val="000000" w:themeColor="text1"/>
          <w:sz w:val="22"/>
          <w:szCs w:val="22"/>
        </w:rPr>
        <w:t xml:space="preserve">Like anthocyanins, proanthocyanidins </w:t>
      </w:r>
      <w:r w:rsidR="006A4BD2" w:rsidRPr="003E7C59">
        <w:rPr>
          <w:rFonts w:ascii="Arial" w:hAnsi="Arial" w:cs="Arial"/>
          <w:color w:val="000000" w:themeColor="text1"/>
          <w:sz w:val="22"/>
          <w:szCs w:val="22"/>
        </w:rPr>
        <w:t xml:space="preserve">have a </w:t>
      </w:r>
      <w:r w:rsidR="00024EDA" w:rsidRPr="003E7C59">
        <w:rPr>
          <w:rFonts w:ascii="Arial" w:hAnsi="Arial" w:cs="Arial"/>
          <w:color w:val="000000" w:themeColor="text1"/>
          <w:sz w:val="22"/>
          <w:szCs w:val="22"/>
        </w:rPr>
        <w:t>wide</w:t>
      </w:r>
      <w:r w:rsidR="006A4BD2" w:rsidRPr="003E7C59">
        <w:rPr>
          <w:rFonts w:ascii="Arial" w:hAnsi="Arial" w:cs="Arial"/>
          <w:color w:val="000000" w:themeColor="text1"/>
          <w:sz w:val="22"/>
          <w:szCs w:val="22"/>
        </w:rPr>
        <w:t xml:space="preserve"> range of </w:t>
      </w:r>
      <w:r w:rsidR="00D77120" w:rsidRPr="003E7C59">
        <w:rPr>
          <w:rFonts w:ascii="Arial" w:hAnsi="Arial" w:cs="Arial"/>
          <w:color w:val="000000" w:themeColor="text1"/>
          <w:sz w:val="22"/>
          <w:szCs w:val="22"/>
        </w:rPr>
        <w:t>beneficial health</w:t>
      </w:r>
      <w:r w:rsidR="00024EDA" w:rsidRPr="003E7C59">
        <w:rPr>
          <w:rFonts w:ascii="Arial" w:hAnsi="Arial" w:cs="Arial"/>
          <w:color w:val="000000" w:themeColor="text1"/>
          <w:sz w:val="22"/>
          <w:szCs w:val="22"/>
        </w:rPr>
        <w:t xml:space="preserve"> characteristics, such as antioxidant potency, </w:t>
      </w:r>
      <w:r w:rsidR="00D77120" w:rsidRPr="003E7C59">
        <w:rPr>
          <w:rFonts w:ascii="Arial" w:hAnsi="Arial" w:cs="Arial"/>
          <w:color w:val="000000" w:themeColor="text1"/>
          <w:sz w:val="22"/>
          <w:szCs w:val="22"/>
        </w:rPr>
        <w:t xml:space="preserve">antibacterial, </w:t>
      </w:r>
      <w:r w:rsidR="006872D3" w:rsidRPr="003E7C59">
        <w:rPr>
          <w:rFonts w:ascii="Arial" w:hAnsi="Arial" w:cs="Arial"/>
          <w:color w:val="000000" w:themeColor="text1"/>
          <w:sz w:val="22"/>
          <w:szCs w:val="22"/>
        </w:rPr>
        <w:t>antiviral and anti-allergenic</w:t>
      </w:r>
      <w:r w:rsidR="00233AF8" w:rsidRPr="003E7C59">
        <w:rPr>
          <w:rFonts w:ascii="Arial" w:hAnsi="Arial" w:cs="Arial"/>
          <w:color w:val="000000" w:themeColor="text1"/>
          <w:sz w:val="22"/>
          <w:szCs w:val="22"/>
        </w:rPr>
        <w:t>,</w:t>
      </w:r>
      <w:r w:rsidR="006872D3" w:rsidRPr="003E7C59">
        <w:rPr>
          <w:rFonts w:ascii="Arial" w:hAnsi="Arial" w:cs="Arial"/>
          <w:color w:val="000000" w:themeColor="text1"/>
          <w:sz w:val="22"/>
          <w:szCs w:val="22"/>
        </w:rPr>
        <w:t xml:space="preserve"> among others</w:t>
      </w:r>
      <w:r w:rsidR="00AB5BFD" w:rsidRPr="003E7C59">
        <w:rPr>
          <w:rFonts w:ascii="Arial" w:hAnsi="Arial" w:cs="Arial"/>
          <w:color w:val="000000" w:themeColor="text1"/>
          <w:sz w:val="22"/>
          <w:szCs w:val="22"/>
        </w:rPr>
        <w:t xml:space="preserve"> (Rauf et al., 2019)</w:t>
      </w:r>
      <w:r w:rsidR="006872D3" w:rsidRPr="003E7C59">
        <w:rPr>
          <w:rFonts w:ascii="Arial" w:hAnsi="Arial" w:cs="Arial"/>
          <w:color w:val="000000" w:themeColor="text1"/>
          <w:sz w:val="22"/>
          <w:szCs w:val="22"/>
        </w:rPr>
        <w:t xml:space="preserve">. </w:t>
      </w:r>
    </w:p>
    <w:p w14:paraId="6D8349E7" w14:textId="77777777" w:rsidR="00B51BF9" w:rsidRPr="003E7C59" w:rsidRDefault="00B51BF9" w:rsidP="006622F2">
      <w:pPr>
        <w:spacing w:line="360" w:lineRule="auto"/>
        <w:ind w:firstLine="720"/>
        <w:rPr>
          <w:rFonts w:ascii="Arial" w:hAnsi="Arial" w:cs="Arial"/>
          <w:color w:val="000000" w:themeColor="text1"/>
          <w:sz w:val="22"/>
          <w:szCs w:val="22"/>
        </w:rPr>
      </w:pPr>
    </w:p>
    <w:p w14:paraId="60B70C91" w14:textId="308F2538" w:rsidR="00B51BF9" w:rsidRPr="003E7C59" w:rsidRDefault="00B51BF9" w:rsidP="006622F2">
      <w:pPr>
        <w:spacing w:line="360" w:lineRule="auto"/>
        <w:ind w:firstLine="720"/>
        <w:rPr>
          <w:rFonts w:ascii="Arial" w:hAnsi="Arial" w:cs="Arial"/>
          <w:color w:val="000000" w:themeColor="text1"/>
          <w:sz w:val="22"/>
          <w:szCs w:val="22"/>
        </w:rPr>
      </w:pPr>
      <w:proofErr w:type="gramStart"/>
      <w:r w:rsidRPr="003E7C59">
        <w:rPr>
          <w:rFonts w:ascii="Arial" w:hAnsi="Arial" w:cs="Arial"/>
          <w:color w:val="000000" w:themeColor="text1"/>
          <w:sz w:val="22"/>
          <w:szCs w:val="22"/>
        </w:rPr>
        <w:t>The following two classes of genes control</w:t>
      </w:r>
      <w:sdt>
        <w:sdtPr>
          <w:rPr>
            <w:rFonts w:ascii="Arial" w:hAnsi="Arial" w:cs="Arial"/>
            <w:color w:val="000000" w:themeColor="text1"/>
            <w:sz w:val="22"/>
            <w:szCs w:val="22"/>
          </w:rPr>
          <w:tag w:val="goog_rdk_24"/>
          <w:id w:val="884598135"/>
          <w:placeholder>
            <w:docPart w:val="4C45738C08C1524680B5117DAFFF0950"/>
          </w:placeholder>
        </w:sdtPr>
        <w:sdtEndPr/>
        <w:sdtContent>
          <w:r w:rsidRPr="003E7C59">
            <w:rPr>
              <w:rFonts w:ascii="Arial" w:hAnsi="Arial" w:cs="Arial"/>
              <w:color w:val="000000" w:themeColor="text1"/>
              <w:sz w:val="22"/>
              <w:szCs w:val="22"/>
            </w:rPr>
            <w:t xml:space="preserve"> the</w:t>
          </w:r>
        </w:sdtContent>
      </w:sdt>
      <w:r w:rsidRPr="003E7C59">
        <w:rPr>
          <w:rFonts w:ascii="Arial" w:hAnsi="Arial" w:cs="Arial"/>
          <w:color w:val="000000" w:themeColor="text1"/>
          <w:sz w:val="22"/>
          <w:szCs w:val="22"/>
        </w:rPr>
        <w:t xml:space="preserve"> biosynthesis of anthocyanins and other phenylpropanoid-derived compounds: the structural genes encoding the enzymes participating in the formation of anthocyanins and the regulatory genes networks consisting of three types of transcription factors (TFs): MYB (v-myb avian myeloblastosis viral oncogene homolog) proteins, bHLH (basic helix-loop-helix) proteins, and WD repeat protein (WDR) (Allan et al., 2008; Dubos </w:t>
      </w:r>
      <w:r w:rsidRPr="003E7C59">
        <w:rPr>
          <w:rFonts w:ascii="Arial" w:hAnsi="Arial" w:cs="Arial"/>
          <w:color w:val="000000" w:themeColor="text1"/>
          <w:sz w:val="22"/>
          <w:szCs w:val="22"/>
        </w:rPr>
        <w:lastRenderedPageBreak/>
        <w:t xml:space="preserve">et al., 2010; Zhang et al., 2014). MYB TF family is one of the largest in plants and regulates </w:t>
      </w:r>
      <w:sdt>
        <w:sdtPr>
          <w:rPr>
            <w:rFonts w:ascii="Arial" w:hAnsi="Arial" w:cs="Arial"/>
            <w:color w:val="000000" w:themeColor="text1"/>
            <w:sz w:val="22"/>
            <w:szCs w:val="22"/>
          </w:rPr>
          <w:tag w:val="goog_rdk_26"/>
          <w:id w:val="-1508672025"/>
          <w:placeholder>
            <w:docPart w:val="4C45738C08C1524680B5117DAFFF0950"/>
          </w:placeholder>
        </w:sdtPr>
        <w:sdtEndPr/>
        <w:sdtContent>
          <w:r w:rsidRPr="003E7C59">
            <w:rPr>
              <w:rFonts w:ascii="Arial" w:hAnsi="Arial" w:cs="Arial"/>
              <w:color w:val="000000" w:themeColor="text1"/>
              <w:sz w:val="22"/>
              <w:szCs w:val="22"/>
            </w:rPr>
            <w:t xml:space="preserve">various </w:t>
          </w:r>
        </w:sdtContent>
      </w:sdt>
      <w:r w:rsidRPr="003E7C59">
        <w:rPr>
          <w:rFonts w:ascii="Arial" w:hAnsi="Arial" w:cs="Arial"/>
          <w:color w:val="000000" w:themeColor="text1"/>
          <w:sz w:val="22"/>
          <w:szCs w:val="22"/>
        </w:rPr>
        <w:t>metabolic pathways, including responses to abiotic stimuli, regulation of benzenoid, glucosinolate, phenylpropanoid, and terpenoid pathways, and control of developmental and cell differentiation process, e.g., organ formation, cuticle development, and trichome initiation and branching (Shin et al. 2002; Liu et al. 2015; Zhao et al. 2018; Tan et al. 2019 Fichman et al. 2020; Gong et al. 2020).</w:t>
      </w:r>
      <w:proofErr w:type="gramEnd"/>
      <w:r w:rsidRPr="003E7C59">
        <w:rPr>
          <w:rFonts w:ascii="Arial" w:hAnsi="Arial" w:cs="Arial"/>
          <w:color w:val="000000" w:themeColor="text1"/>
          <w:sz w:val="22"/>
          <w:szCs w:val="22"/>
        </w:rPr>
        <w:t xml:space="preserve"> MYB TFs characterize a highly conserved N- terminal DNA-</w:t>
      </w:r>
      <w:sdt>
        <w:sdtPr>
          <w:rPr>
            <w:rFonts w:ascii="Arial" w:hAnsi="Arial" w:cs="Arial"/>
            <w:color w:val="000000" w:themeColor="text1"/>
            <w:sz w:val="22"/>
            <w:szCs w:val="22"/>
          </w:rPr>
          <w:tag w:val="goog_rdk_28"/>
          <w:id w:val="1658879400"/>
          <w:placeholder>
            <w:docPart w:val="4C45738C08C1524680B5117DAFFF0950"/>
          </w:placeholder>
          <w:showingPlcHdr/>
        </w:sdtPr>
        <w:sdtEndPr/>
        <w:sdtContent/>
      </w:sdt>
      <w:r w:rsidRPr="003E7C59">
        <w:rPr>
          <w:rFonts w:ascii="Arial" w:hAnsi="Arial" w:cs="Arial"/>
          <w:color w:val="000000" w:themeColor="text1"/>
          <w:sz w:val="22"/>
          <w:szCs w:val="22"/>
        </w:rPr>
        <w:t xml:space="preserve">binding domain repeat (R) plus a variable C-terminal regulatory region (C). Each MYB repeat contains approximately 50 amino acids including unique DNA motifs and MYB binding sites. Based on sequence similarities, MYB domain repeats </w:t>
      </w:r>
      <w:proofErr w:type="gramStart"/>
      <w:r w:rsidRPr="003E7C59">
        <w:rPr>
          <w:rFonts w:ascii="Arial" w:hAnsi="Arial" w:cs="Arial"/>
          <w:color w:val="000000" w:themeColor="text1"/>
          <w:sz w:val="22"/>
          <w:szCs w:val="22"/>
        </w:rPr>
        <w:t>are named</w:t>
      </w:r>
      <w:proofErr w:type="gramEnd"/>
      <w:r w:rsidRPr="003E7C59">
        <w:rPr>
          <w:rFonts w:ascii="Arial" w:hAnsi="Arial" w:cs="Arial"/>
          <w:color w:val="000000" w:themeColor="text1"/>
          <w:sz w:val="22"/>
          <w:szCs w:val="22"/>
        </w:rPr>
        <w:t xml:space="preserve"> R1, R2, and R3 depending on the number of repeats, including 1-4 repeats. Accordingly, the MYB gene superfamily </w:t>
      </w:r>
      <w:proofErr w:type="gramStart"/>
      <w:r w:rsidRPr="003E7C59">
        <w:rPr>
          <w:rFonts w:ascii="Arial" w:hAnsi="Arial" w:cs="Arial"/>
          <w:color w:val="000000" w:themeColor="text1"/>
          <w:sz w:val="22"/>
          <w:szCs w:val="22"/>
        </w:rPr>
        <w:t>is divided</w:t>
      </w:r>
      <w:proofErr w:type="gramEnd"/>
      <w:r w:rsidRPr="003E7C59">
        <w:rPr>
          <w:rFonts w:ascii="Arial" w:hAnsi="Arial" w:cs="Arial"/>
          <w:color w:val="000000" w:themeColor="text1"/>
          <w:sz w:val="22"/>
          <w:szCs w:val="22"/>
        </w:rPr>
        <w:t xml:space="preserve"> into the following four families: 1R-MYB, 2RMYB (R2R3), 3R- MYB, and 4R-MYB. (Lipsick, 1996; Rosinski and Atchley, 1998; Kranz et al., 2000; Dubos et al., 2010; Jiang et al., 2020). The first plant R2R3-MYB gene, COLOREDI, </w:t>
      </w:r>
      <w:proofErr w:type="gramStart"/>
      <w:r w:rsidRPr="003E7C59">
        <w:rPr>
          <w:rFonts w:ascii="Arial" w:hAnsi="Arial" w:cs="Arial"/>
          <w:color w:val="000000" w:themeColor="text1"/>
          <w:sz w:val="22"/>
          <w:szCs w:val="22"/>
        </w:rPr>
        <w:t>was identified</w:t>
      </w:r>
      <w:proofErr w:type="gramEnd"/>
      <w:r w:rsidRPr="003E7C59">
        <w:rPr>
          <w:rFonts w:ascii="Arial" w:hAnsi="Arial" w:cs="Arial"/>
          <w:color w:val="000000" w:themeColor="text1"/>
          <w:sz w:val="22"/>
          <w:szCs w:val="22"/>
        </w:rPr>
        <w:t xml:space="preserve"> in </w:t>
      </w:r>
      <w:r w:rsidRPr="003E7C59">
        <w:rPr>
          <w:rFonts w:ascii="Arial" w:hAnsi="Arial" w:cs="Arial"/>
          <w:i/>
          <w:iCs/>
          <w:color w:val="000000" w:themeColor="text1"/>
          <w:sz w:val="22"/>
          <w:szCs w:val="22"/>
        </w:rPr>
        <w:t>Zea mays</w:t>
      </w:r>
      <w:r w:rsidRPr="003E7C59">
        <w:rPr>
          <w:rFonts w:ascii="Arial" w:hAnsi="Arial" w:cs="Arial"/>
          <w:color w:val="000000" w:themeColor="text1"/>
          <w:sz w:val="22"/>
          <w:szCs w:val="22"/>
        </w:rPr>
        <w:t xml:space="preserve"> </w:t>
      </w:r>
      <w:r w:rsidR="00272021" w:rsidRPr="003E7C59">
        <w:rPr>
          <w:rFonts w:ascii="Arial" w:hAnsi="Arial" w:cs="Arial"/>
          <w:color w:val="000000" w:themeColor="text1"/>
          <w:sz w:val="22"/>
          <w:szCs w:val="22"/>
        </w:rPr>
        <w:t xml:space="preserve">four decades ago </w:t>
      </w:r>
      <w:r w:rsidRPr="003E7C59">
        <w:rPr>
          <w:rFonts w:ascii="Arial" w:hAnsi="Arial" w:cs="Arial"/>
          <w:color w:val="000000" w:themeColor="text1"/>
          <w:sz w:val="22"/>
          <w:szCs w:val="22"/>
        </w:rPr>
        <w:t xml:space="preserve">and was </w:t>
      </w:r>
      <w:r w:rsidR="00272021" w:rsidRPr="003E7C59">
        <w:rPr>
          <w:rFonts w:ascii="Arial" w:hAnsi="Arial" w:cs="Arial"/>
          <w:color w:val="000000" w:themeColor="text1"/>
          <w:sz w:val="22"/>
          <w:szCs w:val="22"/>
        </w:rPr>
        <w:t>essential</w:t>
      </w:r>
      <w:r w:rsidR="00A820C3"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for enhancing anthocyanin biosynthesis in aleurone tissue (Klempnauer et al., 1982). The constant development of fast and cost-effective next-generation sequencing technologies </w:t>
      </w:r>
      <w:r w:rsidR="00272021" w:rsidRPr="003E7C59">
        <w:rPr>
          <w:rFonts w:ascii="Arial" w:hAnsi="Arial" w:cs="Arial"/>
          <w:color w:val="000000" w:themeColor="text1"/>
          <w:sz w:val="22"/>
          <w:szCs w:val="22"/>
        </w:rPr>
        <w:t xml:space="preserve">has </w:t>
      </w:r>
      <w:r w:rsidRPr="003E7C59">
        <w:rPr>
          <w:rFonts w:ascii="Arial" w:hAnsi="Arial" w:cs="Arial"/>
          <w:color w:val="000000" w:themeColor="text1"/>
          <w:sz w:val="22"/>
          <w:szCs w:val="22"/>
        </w:rPr>
        <w:t xml:space="preserve">enabled the identification of many R2R3-MYB (more than 500) genes across 130 plant species (Morozova and Marra, 2008; Wu et al., 2022). </w:t>
      </w:r>
    </w:p>
    <w:p w14:paraId="6969F502" w14:textId="77777777" w:rsidR="00B51BF9" w:rsidRPr="003E7C59" w:rsidRDefault="00B51BF9" w:rsidP="006622F2">
      <w:pPr>
        <w:spacing w:line="360" w:lineRule="auto"/>
        <w:ind w:firstLine="720"/>
        <w:rPr>
          <w:rFonts w:ascii="Arial" w:hAnsi="Arial" w:cs="Arial"/>
          <w:color w:val="000000" w:themeColor="text1"/>
          <w:sz w:val="22"/>
          <w:szCs w:val="22"/>
        </w:rPr>
      </w:pPr>
    </w:p>
    <w:p w14:paraId="20E941DE" w14:textId="4F545098"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Although consensus regarding the classification schemes and nomenclature uniformity of R2R3-MYB TFs is still lacking, mainly because of lineage-specific gene loss or expansion, differences in sample coverage, and type of phylogenetic analysis applied, R2R3-MYB TFs have been classified into 23 to 90 subgroups (Du et al., 2015; Jiang et al., 2020; Li et al., 2020). Accordingly, each R2R3-MYB subgroup regulates a specific metabolism pathway (Wu et al., 2022).</w:t>
      </w:r>
      <w:r w:rsidR="00A04599" w:rsidRPr="003E7C59">
        <w:rPr>
          <w:rFonts w:ascii="Arial" w:hAnsi="Arial" w:cs="Arial"/>
          <w:color w:val="000000" w:themeColor="text1"/>
          <w:sz w:val="22"/>
          <w:szCs w:val="22"/>
        </w:rPr>
        <w:t xml:space="preserve"> For instance, a</w:t>
      </w:r>
      <w:r w:rsidRPr="003E7C59">
        <w:rPr>
          <w:rFonts w:ascii="Arial" w:hAnsi="Arial" w:cs="Arial"/>
          <w:color w:val="000000" w:themeColor="text1"/>
          <w:sz w:val="22"/>
          <w:szCs w:val="22"/>
        </w:rPr>
        <w:t xml:space="preserve">nthocyanin and proanthocyanidins activators of subgroup 5 require specific bHLH TFs to </w:t>
      </w:r>
      <w:r w:rsidR="00F569A0" w:rsidRPr="003E7C59">
        <w:rPr>
          <w:rFonts w:ascii="Arial" w:hAnsi="Arial" w:cs="Arial"/>
          <w:color w:val="000000" w:themeColor="text1"/>
          <w:sz w:val="22"/>
          <w:szCs w:val="22"/>
        </w:rPr>
        <w:t>activate</w:t>
      </w:r>
      <w:r w:rsidRPr="003E7C59">
        <w:rPr>
          <w:rFonts w:ascii="Arial" w:hAnsi="Arial" w:cs="Arial"/>
          <w:color w:val="000000" w:themeColor="text1"/>
          <w:sz w:val="22"/>
          <w:szCs w:val="22"/>
        </w:rPr>
        <w:t xml:space="preserve"> </w:t>
      </w:r>
      <w:r w:rsidR="008E7090" w:rsidRPr="003E7C59">
        <w:rPr>
          <w:rFonts w:ascii="Arial" w:hAnsi="Arial" w:cs="Arial"/>
          <w:color w:val="000000" w:themeColor="text1"/>
          <w:sz w:val="22"/>
          <w:szCs w:val="22"/>
        </w:rPr>
        <w:t xml:space="preserve">the </w:t>
      </w:r>
      <w:r w:rsidRPr="003E7C59">
        <w:rPr>
          <w:rFonts w:ascii="Arial" w:hAnsi="Arial" w:cs="Arial"/>
          <w:color w:val="000000" w:themeColor="text1"/>
          <w:sz w:val="22"/>
          <w:szCs w:val="22"/>
        </w:rPr>
        <w:t>transcription of structural genes (</w:t>
      </w:r>
      <w:r w:rsidRPr="003E7C59">
        <w:rPr>
          <w:rFonts w:ascii="Arial" w:eastAsiaTheme="minorHAnsi" w:hAnsi="Arial" w:cs="Arial"/>
          <w:color w:val="000000" w:themeColor="text1"/>
          <w:sz w:val="22"/>
          <w:szCs w:val="22"/>
        </w:rPr>
        <w:t>Chen et al., 2019; Ma and Constable, 2019, Wu et al., 2022</w:t>
      </w:r>
      <w:r w:rsidRPr="003E7C59">
        <w:rPr>
          <w:rFonts w:ascii="Arial" w:hAnsi="Arial" w:cs="Arial"/>
          <w:color w:val="000000" w:themeColor="text1"/>
          <w:sz w:val="22"/>
          <w:szCs w:val="22"/>
        </w:rPr>
        <w:t>).</w:t>
      </w:r>
      <w:r w:rsidR="00A820C3" w:rsidRPr="003E7C59">
        <w:rPr>
          <w:rFonts w:ascii="Arial" w:hAnsi="Arial" w:cs="Arial"/>
          <w:color w:val="000000" w:themeColor="text1"/>
          <w:sz w:val="22"/>
          <w:szCs w:val="22"/>
        </w:rPr>
        <w:t xml:space="preserve"> </w:t>
      </w:r>
      <w:r w:rsidR="00272021" w:rsidRPr="003E7C59">
        <w:rPr>
          <w:rFonts w:ascii="Arial" w:hAnsi="Arial" w:cs="Arial"/>
          <w:color w:val="000000" w:themeColor="text1"/>
          <w:sz w:val="22"/>
          <w:szCs w:val="22"/>
        </w:rPr>
        <w:t>In contrast</w:t>
      </w:r>
      <w:r w:rsidRPr="003E7C59">
        <w:rPr>
          <w:rFonts w:ascii="Arial" w:hAnsi="Arial" w:cs="Arial"/>
          <w:color w:val="000000" w:themeColor="text1"/>
          <w:sz w:val="22"/>
          <w:szCs w:val="22"/>
        </w:rPr>
        <w:t>, MYB repressors, which act to reduce anthocyanin</w:t>
      </w:r>
      <w:r w:rsidR="00D00A1E" w:rsidRPr="003E7C59">
        <w:rPr>
          <w:rFonts w:ascii="Arial" w:hAnsi="Arial" w:cs="Arial"/>
          <w:color w:val="000000" w:themeColor="text1"/>
          <w:sz w:val="22"/>
          <w:szCs w:val="22"/>
        </w:rPr>
        <w:t xml:space="preserve"> and proanthocyanidins </w:t>
      </w:r>
      <w:r w:rsidRPr="003E7C59">
        <w:rPr>
          <w:rFonts w:ascii="Arial" w:hAnsi="Arial" w:cs="Arial"/>
          <w:color w:val="000000" w:themeColor="text1"/>
          <w:sz w:val="22"/>
          <w:szCs w:val="22"/>
        </w:rPr>
        <w:t xml:space="preserve">biosynthesis, belong exclusively to subgroup 4 and contain the N-terminal regions </w:t>
      </w:r>
      <w:r w:rsidR="00272021" w:rsidRPr="003E7C59">
        <w:rPr>
          <w:rFonts w:ascii="Arial" w:hAnsi="Arial" w:cs="Arial"/>
          <w:color w:val="000000" w:themeColor="text1"/>
          <w:sz w:val="22"/>
          <w:szCs w:val="22"/>
        </w:rPr>
        <w:t xml:space="preserve">with a </w:t>
      </w:r>
      <w:r w:rsidRPr="003E7C59">
        <w:rPr>
          <w:rFonts w:ascii="Arial" w:hAnsi="Arial" w:cs="Arial"/>
          <w:color w:val="000000" w:themeColor="text1"/>
          <w:sz w:val="22"/>
          <w:szCs w:val="22"/>
        </w:rPr>
        <w:t>DNA-binding domain as well. The N-terminal region of MYBs is highly conserved, and its function usually depends on the C-terminal region's distinct motifs. The C1 LlsrGIDPxT/sHRxI/L region and C2 region pdLNLD/ELxiG/S are referred to as GIDP and EAR motif (</w:t>
      </w:r>
      <w:r w:rsidR="007675FB" w:rsidRPr="003E7C59">
        <w:rPr>
          <w:rFonts w:ascii="Arial" w:hAnsi="Arial" w:cs="Arial"/>
          <w:color w:val="000000" w:themeColor="text1"/>
          <w:sz w:val="22"/>
          <w:szCs w:val="22"/>
        </w:rPr>
        <w:t>E</w:t>
      </w:r>
      <w:r w:rsidRPr="003E7C59">
        <w:rPr>
          <w:rFonts w:ascii="Arial" w:hAnsi="Arial" w:cs="Arial"/>
          <w:color w:val="000000" w:themeColor="text1"/>
          <w:sz w:val="22"/>
          <w:szCs w:val="22"/>
        </w:rPr>
        <w:t xml:space="preserve">thylene-responsive element-binding factor associated </w:t>
      </w:r>
      <w:r w:rsidR="00A462F5" w:rsidRPr="003E7C59">
        <w:rPr>
          <w:rFonts w:ascii="Arial" w:hAnsi="Arial" w:cs="Arial"/>
          <w:color w:val="000000" w:themeColor="text1"/>
          <w:sz w:val="22"/>
          <w:szCs w:val="22"/>
        </w:rPr>
        <w:t>A</w:t>
      </w:r>
      <w:r w:rsidRPr="003E7C59">
        <w:rPr>
          <w:rFonts w:ascii="Arial" w:hAnsi="Arial" w:cs="Arial"/>
          <w:color w:val="000000" w:themeColor="text1"/>
          <w:sz w:val="22"/>
          <w:szCs w:val="22"/>
        </w:rPr>
        <w:t xml:space="preserve">mphiphilic </w:t>
      </w:r>
      <w:r w:rsidR="00A462F5" w:rsidRPr="003E7C59">
        <w:rPr>
          <w:rFonts w:ascii="Arial" w:hAnsi="Arial" w:cs="Arial"/>
          <w:color w:val="000000" w:themeColor="text1"/>
          <w:sz w:val="22"/>
          <w:szCs w:val="22"/>
        </w:rPr>
        <w:t>R</w:t>
      </w:r>
      <w:r w:rsidRPr="003E7C59">
        <w:rPr>
          <w:rFonts w:ascii="Arial" w:hAnsi="Arial" w:cs="Arial"/>
          <w:color w:val="000000" w:themeColor="text1"/>
          <w:sz w:val="22"/>
          <w:szCs w:val="22"/>
        </w:rPr>
        <w:t xml:space="preserve">epression motif), respectively. EAR is the most common transcriptional repression motif found in plants. The C3 and C4 motifs are also present in a small segment of the R2R3-MYB structural domain (Ohta et al., 2001, Kagale et al., 2011; Chen et al., 2019; Ma and Constabel, 2020). Most of the </w:t>
      </w:r>
      <w:r w:rsidRPr="003E7C59">
        <w:rPr>
          <w:rFonts w:ascii="Arial" w:hAnsi="Arial" w:cs="Arial"/>
          <w:color w:val="000000" w:themeColor="text1"/>
          <w:sz w:val="22"/>
          <w:szCs w:val="22"/>
        </w:rPr>
        <w:lastRenderedPageBreak/>
        <w:t xml:space="preserve">identified and functionally characterized MYBs involved in anthocyanin biosynthesis, such as MdMYB1, MdMYBA, and MdMYB3 in apples, ROSEA1, and ROSEA2 in snapdragon, AN2, DPL, and PHZ in petunia positively regulate the transcriptional expression of structural genes involved in this pathway (Moyano et al., 1996; Schwinn et al., 2006; Albert et al., 2011, 2014). Upstream genes (early biosynthetic genes) such as </w:t>
      </w:r>
      <w:r w:rsidRPr="003E7C59">
        <w:rPr>
          <w:rFonts w:ascii="Arial" w:hAnsi="Arial" w:cs="Arial"/>
          <w:i/>
          <w:iCs/>
          <w:color w:val="000000" w:themeColor="text1"/>
          <w:sz w:val="22"/>
          <w:szCs w:val="22"/>
        </w:rPr>
        <w:t xml:space="preserve">CHI </w:t>
      </w:r>
      <w:r w:rsidRPr="003E7C59">
        <w:rPr>
          <w:rFonts w:ascii="Arial" w:hAnsi="Arial" w:cs="Arial"/>
          <w:color w:val="000000" w:themeColor="text1"/>
          <w:sz w:val="22"/>
          <w:szCs w:val="22"/>
        </w:rPr>
        <w:t xml:space="preserve">(chalcone isomerase), </w:t>
      </w:r>
      <w:r w:rsidRPr="003E7C59">
        <w:rPr>
          <w:rFonts w:ascii="Arial" w:hAnsi="Arial" w:cs="Arial"/>
          <w:i/>
          <w:iCs/>
          <w:color w:val="000000" w:themeColor="text1"/>
          <w:sz w:val="22"/>
          <w:szCs w:val="22"/>
        </w:rPr>
        <w:t>CHS</w:t>
      </w:r>
      <w:r w:rsidRPr="003E7C59">
        <w:rPr>
          <w:rFonts w:ascii="Arial" w:hAnsi="Arial" w:cs="Arial"/>
          <w:color w:val="000000" w:themeColor="text1"/>
          <w:sz w:val="22"/>
          <w:szCs w:val="22"/>
        </w:rPr>
        <w:t xml:space="preserve"> (chalcone synthase), and </w:t>
      </w:r>
      <w:r w:rsidRPr="003E7C59">
        <w:rPr>
          <w:rFonts w:ascii="Arial" w:hAnsi="Arial" w:cs="Arial"/>
          <w:i/>
          <w:iCs/>
          <w:color w:val="000000" w:themeColor="text1"/>
          <w:sz w:val="22"/>
          <w:szCs w:val="22"/>
        </w:rPr>
        <w:t>F3H</w:t>
      </w:r>
      <w:r w:rsidRPr="003E7C59">
        <w:rPr>
          <w:rFonts w:ascii="Arial" w:hAnsi="Arial" w:cs="Arial"/>
          <w:color w:val="000000" w:themeColor="text1"/>
          <w:sz w:val="22"/>
          <w:szCs w:val="22"/>
        </w:rPr>
        <w:t xml:space="preserve"> (flavanone 3-hydroxylase), are the key enzymes to mediate and regulate anthocyanin biosynthesis, which is branched from the phenylpropanoid pathway. In comparison, </w:t>
      </w:r>
      <w:r w:rsidRPr="003E7C59">
        <w:rPr>
          <w:rFonts w:ascii="Arial" w:hAnsi="Arial" w:cs="Arial"/>
          <w:i/>
          <w:iCs/>
          <w:color w:val="000000" w:themeColor="text1"/>
          <w:sz w:val="22"/>
          <w:szCs w:val="22"/>
        </w:rPr>
        <w:t>DFR</w:t>
      </w:r>
      <w:r w:rsidRPr="003E7C59">
        <w:rPr>
          <w:rFonts w:ascii="Arial" w:hAnsi="Arial" w:cs="Arial"/>
          <w:color w:val="000000" w:themeColor="text1"/>
          <w:sz w:val="22"/>
          <w:szCs w:val="22"/>
        </w:rPr>
        <w:t xml:space="preserve"> (dihydrofavonol 4-reductase), </w:t>
      </w:r>
      <w:r w:rsidRPr="003E7C59">
        <w:rPr>
          <w:rFonts w:ascii="Arial" w:hAnsi="Arial" w:cs="Arial"/>
          <w:i/>
          <w:iCs/>
          <w:color w:val="000000" w:themeColor="text1"/>
          <w:sz w:val="22"/>
          <w:szCs w:val="22"/>
        </w:rPr>
        <w:t>ANS</w:t>
      </w:r>
      <w:r w:rsidRPr="003E7C59">
        <w:rPr>
          <w:rFonts w:ascii="Arial" w:hAnsi="Arial" w:cs="Arial"/>
          <w:color w:val="000000" w:themeColor="text1"/>
          <w:sz w:val="22"/>
          <w:szCs w:val="22"/>
        </w:rPr>
        <w:t xml:space="preserve"> (anthocyanidin synthase), and </w:t>
      </w:r>
      <w:r w:rsidRPr="003E7C59">
        <w:rPr>
          <w:rFonts w:ascii="Arial" w:hAnsi="Arial" w:cs="Arial"/>
          <w:i/>
          <w:iCs/>
          <w:color w:val="000000" w:themeColor="text1"/>
          <w:sz w:val="22"/>
          <w:szCs w:val="22"/>
        </w:rPr>
        <w:t xml:space="preserve">UFGT </w:t>
      </w:r>
      <w:r w:rsidRPr="003E7C59">
        <w:rPr>
          <w:rFonts w:ascii="Arial" w:hAnsi="Arial" w:cs="Arial"/>
          <w:color w:val="000000" w:themeColor="text1"/>
          <w:sz w:val="22"/>
          <w:szCs w:val="22"/>
        </w:rPr>
        <w:t>(flavonoid 3-O-glucosyltransferase) are downstream genes (late biosynthetic genes) (Pelletier et al., 1999; Takos et al., 2006; Cominelli et al., 2007; Vimolmangkang et al., 2013; Sun et al., 2019).</w:t>
      </w:r>
    </w:p>
    <w:p w14:paraId="2F90A9F5" w14:textId="77777777" w:rsidR="00B51BF9" w:rsidRPr="003E7C59" w:rsidRDefault="00B51BF9" w:rsidP="006622F2">
      <w:pPr>
        <w:spacing w:line="360" w:lineRule="auto"/>
        <w:ind w:firstLine="720"/>
        <w:rPr>
          <w:rFonts w:ascii="Arial" w:hAnsi="Arial" w:cs="Arial"/>
          <w:color w:val="000000" w:themeColor="text1"/>
          <w:sz w:val="22"/>
          <w:szCs w:val="22"/>
        </w:rPr>
      </w:pPr>
    </w:p>
    <w:p w14:paraId="5BD4DA58" w14:textId="42C3DDDC"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Although flavonoid pigment biosynthesis is one of the best-studied biological processes in nature and R2R3-MYBs are widely distributed in the plant kingdom, key players involved in phenylpropanoid pathway </w:t>
      </w:r>
      <w:r w:rsidR="000C662D" w:rsidRPr="003E7C59">
        <w:rPr>
          <w:rFonts w:ascii="Arial" w:hAnsi="Arial" w:cs="Arial"/>
          <w:color w:val="000000" w:themeColor="text1"/>
          <w:sz w:val="22"/>
          <w:szCs w:val="22"/>
        </w:rPr>
        <w:t xml:space="preserve">of </w:t>
      </w:r>
      <w:r w:rsidRPr="003E7C59">
        <w:rPr>
          <w:rFonts w:ascii="Arial" w:hAnsi="Arial" w:cs="Arial"/>
          <w:color w:val="000000" w:themeColor="text1"/>
          <w:sz w:val="22"/>
          <w:szCs w:val="22"/>
        </w:rPr>
        <w:t>anthocyanin</w:t>
      </w:r>
      <w:r w:rsidR="00B45273" w:rsidRPr="003E7C59">
        <w:rPr>
          <w:rFonts w:ascii="Arial" w:hAnsi="Arial" w:cs="Arial"/>
          <w:color w:val="000000" w:themeColor="text1"/>
          <w:sz w:val="22"/>
          <w:szCs w:val="22"/>
        </w:rPr>
        <w:t xml:space="preserve"> and proanthocyanidin</w:t>
      </w:r>
      <w:r w:rsidRPr="003E7C59">
        <w:rPr>
          <w:rFonts w:ascii="Arial" w:hAnsi="Arial" w:cs="Arial"/>
          <w:color w:val="000000" w:themeColor="text1"/>
          <w:sz w:val="22"/>
          <w:szCs w:val="22"/>
        </w:rPr>
        <w:t xml:space="preserve"> regulation in flowering and Asian dogwood have not been identified yet. This delays</w:t>
      </w:r>
      <w:sdt>
        <w:sdtPr>
          <w:rPr>
            <w:rFonts w:ascii="Arial" w:hAnsi="Arial" w:cs="Arial"/>
            <w:color w:val="000000" w:themeColor="text1"/>
            <w:sz w:val="22"/>
            <w:szCs w:val="22"/>
          </w:rPr>
          <w:tag w:val="goog_rdk_37"/>
          <w:id w:val="-1217583328"/>
        </w:sdtPr>
        <w:sdtEndPr/>
        <w:sdtContent>
          <w:r w:rsidRPr="003E7C59">
            <w:rPr>
              <w:rFonts w:ascii="Arial" w:hAnsi="Arial" w:cs="Arial"/>
              <w:color w:val="000000" w:themeColor="text1"/>
              <w:sz w:val="22"/>
              <w:szCs w:val="22"/>
            </w:rPr>
            <w:t xml:space="preserve"> </w:t>
          </w:r>
        </w:sdtContent>
      </w:sdt>
      <w:r w:rsidRPr="003E7C59">
        <w:rPr>
          <w:rFonts w:ascii="Arial" w:hAnsi="Arial" w:cs="Arial"/>
          <w:color w:val="000000" w:themeColor="text1"/>
          <w:sz w:val="22"/>
          <w:szCs w:val="22"/>
        </w:rPr>
        <w:t xml:space="preserve">the development of functional markers or the application of marker-assisted selection in dogwood breeding. Therefore, this work aimed to investigate the global transcription profiles of MYB TFs and structural genes using the RNA sequencing (RNA-Seq) approach within various cultivars to identify candidates that are either </w:t>
      </w:r>
      <w:r w:rsidR="00966E1E" w:rsidRPr="003E7C59">
        <w:rPr>
          <w:rFonts w:ascii="Arial" w:hAnsi="Arial" w:cs="Arial"/>
          <w:color w:val="000000" w:themeColor="text1"/>
          <w:sz w:val="22"/>
          <w:szCs w:val="22"/>
        </w:rPr>
        <w:t>positive</w:t>
      </w:r>
      <w:r w:rsidRPr="003E7C59">
        <w:rPr>
          <w:rFonts w:ascii="Arial" w:hAnsi="Arial" w:cs="Arial"/>
          <w:color w:val="000000" w:themeColor="text1"/>
          <w:sz w:val="22"/>
          <w:szCs w:val="22"/>
        </w:rPr>
        <w:t xml:space="preserve"> or negative regulators of the anthocyanin pathway and other flavonoid compounds. </w:t>
      </w:r>
    </w:p>
    <w:p w14:paraId="6F2311D8" w14:textId="77777777" w:rsidR="005D4860" w:rsidRPr="003E7C59" w:rsidRDefault="005D4860" w:rsidP="006622F2">
      <w:pPr>
        <w:spacing w:line="360" w:lineRule="auto"/>
        <w:ind w:firstLine="720"/>
        <w:rPr>
          <w:rFonts w:ascii="Arial" w:hAnsi="Arial" w:cs="Arial"/>
          <w:color w:val="000000" w:themeColor="text1"/>
          <w:sz w:val="22"/>
          <w:szCs w:val="22"/>
        </w:rPr>
      </w:pPr>
    </w:p>
    <w:p w14:paraId="0FC9409B" w14:textId="1907B127"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43" w:name="_Toc117166834"/>
      <w:bookmarkStart w:id="44" w:name="_Toc121821920"/>
      <w:r w:rsidRPr="003E7C59">
        <w:rPr>
          <w:rFonts w:ascii="Arial" w:hAnsi="Arial" w:cs="Arial"/>
          <w:color w:val="000000" w:themeColor="text1"/>
          <w:sz w:val="22"/>
          <w:szCs w:val="22"/>
        </w:rPr>
        <w:t>Material and Methods</w:t>
      </w:r>
      <w:bookmarkEnd w:id="43"/>
      <w:bookmarkEnd w:id="44"/>
    </w:p>
    <w:p w14:paraId="5723E9E0" w14:textId="77777777" w:rsidR="005D4860" w:rsidRPr="003E7C59" w:rsidRDefault="005D4860" w:rsidP="006622F2">
      <w:pPr>
        <w:pStyle w:val="Heading3"/>
        <w:spacing w:before="0" w:beforeAutospacing="0" w:after="0" w:afterAutospacing="0" w:line="360" w:lineRule="auto"/>
        <w:rPr>
          <w:rFonts w:ascii="Arial" w:hAnsi="Arial" w:cs="Arial"/>
          <w:color w:val="000000" w:themeColor="text1"/>
          <w:sz w:val="22"/>
          <w:szCs w:val="22"/>
        </w:rPr>
      </w:pPr>
    </w:p>
    <w:p w14:paraId="36C03D98"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45" w:name="_Toc117166835"/>
      <w:bookmarkStart w:id="46" w:name="_Toc121821921"/>
      <w:r w:rsidRPr="003E7C59">
        <w:rPr>
          <w:rStyle w:val="SubtleEmphasis"/>
          <w:rFonts w:ascii="Arial" w:hAnsi="Arial" w:cs="Arial"/>
          <w:i/>
          <w:iCs/>
          <w:color w:val="000000" w:themeColor="text1"/>
          <w:sz w:val="22"/>
          <w:szCs w:val="22"/>
        </w:rPr>
        <w:t>Plant Materials</w:t>
      </w:r>
      <w:bookmarkEnd w:id="45"/>
      <w:bookmarkEnd w:id="46"/>
    </w:p>
    <w:p w14:paraId="0807CE68" w14:textId="77777777" w:rsidR="00B51BF9" w:rsidRPr="003E7C59" w:rsidRDefault="00B51BF9" w:rsidP="006622F2">
      <w:pPr>
        <w:rPr>
          <w:rFonts w:ascii="Arial" w:hAnsi="Arial" w:cs="Arial"/>
          <w:color w:val="000000" w:themeColor="text1"/>
          <w:sz w:val="22"/>
          <w:szCs w:val="22"/>
        </w:rPr>
      </w:pPr>
    </w:p>
    <w:p w14:paraId="6C44434F" w14:textId="07C184C4" w:rsidR="00B51BF9" w:rsidRPr="003E7C59" w:rsidRDefault="00177801"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Maximally grown b</w:t>
      </w:r>
      <w:r w:rsidR="00C94072" w:rsidRPr="003E7C59">
        <w:rPr>
          <w:rFonts w:ascii="Arial" w:hAnsi="Arial" w:cs="Arial"/>
          <w:color w:val="000000" w:themeColor="text1"/>
          <w:sz w:val="22"/>
          <w:szCs w:val="22"/>
        </w:rPr>
        <w:t>racts</w:t>
      </w:r>
      <w:r w:rsidRPr="003E7C59">
        <w:rPr>
          <w:rFonts w:ascii="Arial" w:hAnsi="Arial" w:cs="Arial"/>
          <w:color w:val="000000" w:themeColor="text1"/>
          <w:sz w:val="22"/>
          <w:szCs w:val="22"/>
        </w:rPr>
        <w:t xml:space="preserve"> </w:t>
      </w:r>
      <w:r w:rsidR="00F475CF"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w:t>
      </w:r>
      <w:r w:rsidR="00C94072" w:rsidRPr="003E7C59">
        <w:rPr>
          <w:rFonts w:ascii="Arial" w:hAnsi="Arial" w:cs="Arial"/>
          <w:color w:val="000000" w:themeColor="text1"/>
          <w:sz w:val="22"/>
          <w:szCs w:val="22"/>
        </w:rPr>
        <w:t>four weeks old</w:t>
      </w:r>
      <w:r w:rsidRPr="003E7C59">
        <w:rPr>
          <w:rFonts w:ascii="Arial" w:hAnsi="Arial" w:cs="Arial"/>
          <w:color w:val="000000" w:themeColor="text1"/>
          <w:sz w:val="22"/>
          <w:szCs w:val="22"/>
        </w:rPr>
        <w:t>)</w:t>
      </w:r>
      <w:r w:rsidR="00C94072" w:rsidRPr="003E7C59">
        <w:rPr>
          <w:rFonts w:ascii="Arial" w:hAnsi="Arial" w:cs="Arial"/>
          <w:color w:val="000000" w:themeColor="text1"/>
          <w:sz w:val="22"/>
          <w:szCs w:val="22"/>
        </w:rPr>
        <w:t xml:space="preserve"> were collected from three cultivars of </w:t>
      </w:r>
      <w:r w:rsidR="00C94072" w:rsidRPr="003E7C59">
        <w:rPr>
          <w:rFonts w:ascii="Arial" w:hAnsi="Arial" w:cs="Arial"/>
          <w:i/>
          <w:iCs/>
          <w:color w:val="000000" w:themeColor="text1"/>
          <w:sz w:val="22"/>
          <w:szCs w:val="22"/>
        </w:rPr>
        <w:t>C</w:t>
      </w:r>
      <w:r w:rsidR="00C94072" w:rsidRPr="003E7C59">
        <w:rPr>
          <w:rFonts w:ascii="Arial" w:hAnsi="Arial" w:cs="Arial"/>
          <w:color w:val="000000" w:themeColor="text1"/>
          <w:sz w:val="22"/>
          <w:szCs w:val="22"/>
        </w:rPr>
        <w:t xml:space="preserve">. </w:t>
      </w:r>
      <w:proofErr w:type="gramStart"/>
      <w:r w:rsidR="00C94072" w:rsidRPr="003E7C59">
        <w:rPr>
          <w:rFonts w:ascii="Arial" w:hAnsi="Arial" w:cs="Arial"/>
          <w:i/>
          <w:iCs/>
          <w:color w:val="000000" w:themeColor="text1"/>
          <w:sz w:val="22"/>
          <w:szCs w:val="22"/>
        </w:rPr>
        <w:t>florida</w:t>
      </w:r>
      <w:proofErr w:type="gramEnd"/>
      <w:r w:rsidR="00C94072" w:rsidRPr="003E7C59">
        <w:rPr>
          <w:rFonts w:ascii="Arial" w:hAnsi="Arial" w:cs="Arial"/>
          <w:i/>
          <w:iCs/>
          <w:color w:val="000000" w:themeColor="text1"/>
          <w:sz w:val="22"/>
          <w:szCs w:val="22"/>
        </w:rPr>
        <w:t xml:space="preserve"> </w:t>
      </w:r>
      <w:r w:rsidR="00C94072" w:rsidRPr="003E7C59">
        <w:rPr>
          <w:rFonts w:ascii="Arial" w:hAnsi="Arial" w:cs="Arial"/>
          <w:color w:val="000000" w:themeColor="text1"/>
          <w:sz w:val="22"/>
          <w:szCs w:val="22"/>
        </w:rPr>
        <w:t xml:space="preserve">(white bracts: 'Cloud Nine'; red bracts: 'Cherokee Brave' and 'Cherokee Chief' and two cultivars of </w:t>
      </w:r>
      <w:r w:rsidR="00C94072" w:rsidRPr="003E7C59">
        <w:rPr>
          <w:rFonts w:ascii="Arial" w:hAnsi="Arial" w:cs="Arial"/>
          <w:i/>
          <w:iCs/>
          <w:color w:val="000000" w:themeColor="text1"/>
          <w:sz w:val="22"/>
          <w:szCs w:val="22"/>
        </w:rPr>
        <w:t>C</w:t>
      </w:r>
      <w:r w:rsidR="00C94072" w:rsidRPr="003E7C59">
        <w:rPr>
          <w:rFonts w:ascii="Arial" w:hAnsi="Arial" w:cs="Arial"/>
          <w:color w:val="000000" w:themeColor="text1"/>
          <w:sz w:val="22"/>
          <w:szCs w:val="22"/>
        </w:rPr>
        <w:t xml:space="preserve">. </w:t>
      </w:r>
      <w:r w:rsidR="00C94072" w:rsidRPr="003E7C59">
        <w:rPr>
          <w:rFonts w:ascii="Arial" w:hAnsi="Arial" w:cs="Arial"/>
          <w:i/>
          <w:iCs/>
          <w:color w:val="000000" w:themeColor="text1"/>
          <w:sz w:val="22"/>
          <w:szCs w:val="22"/>
        </w:rPr>
        <w:t xml:space="preserve">kousa </w:t>
      </w:r>
      <w:r w:rsidR="00C94072" w:rsidRPr="003E7C59">
        <w:rPr>
          <w:rFonts w:ascii="Arial" w:hAnsi="Arial" w:cs="Arial"/>
          <w:color w:val="000000" w:themeColor="text1"/>
          <w:sz w:val="22"/>
          <w:szCs w:val="22"/>
        </w:rPr>
        <w:t xml:space="preserve">(light green bracts: 'Greensleeves,' and light to medium pink 'Rosy Teacups') (May 2017). Trees </w:t>
      </w:r>
      <w:proofErr w:type="gramStart"/>
      <w:r w:rsidR="00C94072" w:rsidRPr="003E7C59">
        <w:rPr>
          <w:rFonts w:ascii="Arial" w:hAnsi="Arial" w:cs="Arial"/>
          <w:color w:val="000000" w:themeColor="text1"/>
          <w:sz w:val="22"/>
          <w:szCs w:val="22"/>
        </w:rPr>
        <w:t>were grown</w:t>
      </w:r>
      <w:proofErr w:type="gramEnd"/>
      <w:r w:rsidR="00C94072" w:rsidRPr="003E7C59">
        <w:rPr>
          <w:rFonts w:ascii="Arial" w:hAnsi="Arial" w:cs="Arial"/>
          <w:color w:val="000000" w:themeColor="text1"/>
          <w:sz w:val="22"/>
          <w:szCs w:val="22"/>
        </w:rPr>
        <w:t xml:space="preserve"> at the University of Tennessee Knoxville, USA greenhouse and were 4-5 years old and disease-free.</w:t>
      </w:r>
    </w:p>
    <w:p w14:paraId="51DA9A66" w14:textId="77777777" w:rsidR="00C94072" w:rsidRPr="003E7C59" w:rsidRDefault="00C94072" w:rsidP="006622F2">
      <w:pPr>
        <w:spacing w:line="360" w:lineRule="auto"/>
        <w:rPr>
          <w:rFonts w:ascii="Arial" w:hAnsi="Arial" w:cs="Arial"/>
          <w:color w:val="000000" w:themeColor="text1"/>
          <w:sz w:val="22"/>
          <w:szCs w:val="22"/>
        </w:rPr>
      </w:pPr>
    </w:p>
    <w:p w14:paraId="11D711A8"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47" w:name="_Toc117166836"/>
      <w:bookmarkStart w:id="48" w:name="_Toc121821922"/>
      <w:r w:rsidRPr="003E7C59">
        <w:rPr>
          <w:rStyle w:val="SubtleEmphasis"/>
          <w:rFonts w:ascii="Arial" w:hAnsi="Arial" w:cs="Arial"/>
          <w:i/>
          <w:iCs/>
          <w:color w:val="000000" w:themeColor="text1"/>
          <w:sz w:val="22"/>
          <w:szCs w:val="22"/>
        </w:rPr>
        <w:t>RNA Extraction and Sequencing</w:t>
      </w:r>
      <w:bookmarkEnd w:id="47"/>
      <w:bookmarkEnd w:id="48"/>
      <w:r w:rsidRPr="003E7C59">
        <w:rPr>
          <w:rStyle w:val="SubtleEmphasis"/>
          <w:rFonts w:ascii="Arial" w:hAnsi="Arial" w:cs="Arial"/>
          <w:i/>
          <w:iCs/>
          <w:color w:val="000000" w:themeColor="text1"/>
          <w:sz w:val="22"/>
          <w:szCs w:val="22"/>
        </w:rPr>
        <w:t xml:space="preserve"> </w:t>
      </w:r>
    </w:p>
    <w:p w14:paraId="02CD1980" w14:textId="77777777" w:rsidR="00B51BF9" w:rsidRPr="003E7C59" w:rsidRDefault="00B51BF9" w:rsidP="006622F2">
      <w:pPr>
        <w:rPr>
          <w:rFonts w:ascii="Arial" w:hAnsi="Arial" w:cs="Arial"/>
          <w:color w:val="000000" w:themeColor="text1"/>
          <w:sz w:val="22"/>
          <w:szCs w:val="22"/>
        </w:rPr>
      </w:pPr>
    </w:p>
    <w:p w14:paraId="1157F136" w14:textId="068C3A8A"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RNA was extracted using 500 mg of frozen tissue per sample</w:t>
      </w:r>
      <w:r w:rsidR="00A820C3" w:rsidRPr="003E7C59">
        <w:rPr>
          <w:rFonts w:ascii="Arial" w:hAnsi="Arial" w:cs="Arial"/>
          <w:color w:val="000000" w:themeColor="text1"/>
          <w:sz w:val="22"/>
          <w:szCs w:val="22"/>
        </w:rPr>
        <w:t xml:space="preserve"> </w:t>
      </w:r>
      <w:r w:rsidR="00F43CC8" w:rsidRPr="003E7C59">
        <w:rPr>
          <w:rFonts w:ascii="Arial" w:hAnsi="Arial" w:cs="Arial"/>
          <w:color w:val="000000" w:themeColor="text1"/>
          <w:sz w:val="22"/>
          <w:szCs w:val="22"/>
        </w:rPr>
        <w:t>with</w:t>
      </w:r>
      <w:r w:rsidRPr="003E7C59">
        <w:rPr>
          <w:rFonts w:ascii="Arial" w:hAnsi="Arial" w:cs="Arial"/>
          <w:color w:val="000000" w:themeColor="text1"/>
          <w:sz w:val="22"/>
          <w:szCs w:val="22"/>
        </w:rPr>
        <w:t xml:space="preserve"> the GeneAll ® Ribospin™ Plant Total RNA Kit (GeneAll Biotechnology, </w:t>
      </w:r>
      <w:sdt>
        <w:sdtPr>
          <w:rPr>
            <w:rFonts w:ascii="Arial" w:hAnsi="Arial" w:cs="Arial"/>
            <w:color w:val="000000" w:themeColor="text1"/>
            <w:sz w:val="22"/>
            <w:szCs w:val="22"/>
          </w:rPr>
          <w:tag w:val="goog_rdk_46"/>
          <w:id w:val="-1459788112"/>
        </w:sdtPr>
        <w:sdtEndPr/>
        <w:sdtContent>
          <w:r w:rsidRPr="003E7C59">
            <w:rPr>
              <w:rFonts w:ascii="Arial" w:hAnsi="Arial" w:cs="Arial"/>
              <w:color w:val="000000" w:themeColor="text1"/>
              <w:sz w:val="22"/>
              <w:szCs w:val="22"/>
            </w:rPr>
            <w:t xml:space="preserve">Seoul, </w:t>
          </w:r>
        </w:sdtContent>
      </w:sdt>
      <w:r w:rsidRPr="003E7C59">
        <w:rPr>
          <w:rFonts w:ascii="Arial" w:hAnsi="Arial" w:cs="Arial"/>
          <w:color w:val="000000" w:themeColor="text1"/>
          <w:sz w:val="22"/>
          <w:szCs w:val="22"/>
        </w:rPr>
        <w:t>Korea), following the manufacturer's instructions. Bract samples were homogenized using zirconia beads at 6 m/s</w:t>
      </w:r>
      <w:r w:rsidR="00F43CC8" w:rsidRPr="003E7C59">
        <w:rPr>
          <w:rFonts w:ascii="Arial" w:hAnsi="Arial" w:cs="Arial"/>
          <w:color w:val="000000" w:themeColor="text1"/>
          <w:sz w:val="22"/>
          <w:szCs w:val="22"/>
        </w:rPr>
        <w:t xml:space="preserve"> for</w:t>
      </w:r>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lastRenderedPageBreak/>
        <w:t xml:space="preserve">30 sec in a Bead mill 24 (Fisher Scientific). Subsequently, total RNA integrity </w:t>
      </w:r>
      <w:proofErr w:type="gramStart"/>
      <w:r w:rsidRPr="003E7C59">
        <w:rPr>
          <w:rFonts w:ascii="Arial" w:hAnsi="Arial" w:cs="Arial"/>
          <w:color w:val="000000" w:themeColor="text1"/>
          <w:sz w:val="22"/>
          <w:szCs w:val="22"/>
        </w:rPr>
        <w:t>was assessed</w:t>
      </w:r>
      <w:proofErr w:type="gramEnd"/>
      <w:r w:rsidRPr="003E7C59">
        <w:rPr>
          <w:rFonts w:ascii="Arial" w:hAnsi="Arial" w:cs="Arial"/>
          <w:color w:val="000000" w:themeColor="text1"/>
          <w:sz w:val="22"/>
          <w:szCs w:val="22"/>
        </w:rPr>
        <w:t xml:space="preserve"> with Agilent 2100 Bioanalyzer system using the RNA 6000 Nano LabChip® kit (Agilent Technologies, Palo Alto, CA, USA). Four of the 20 </w:t>
      </w:r>
      <w:r w:rsidR="005B25BA" w:rsidRPr="003E7C59">
        <w:rPr>
          <w:rFonts w:ascii="Arial" w:hAnsi="Arial" w:cs="Arial"/>
          <w:color w:val="000000" w:themeColor="text1"/>
          <w:sz w:val="22"/>
          <w:szCs w:val="22"/>
        </w:rPr>
        <w:t xml:space="preserve">biological replicates </w:t>
      </w:r>
      <w:r w:rsidRPr="003E7C59">
        <w:rPr>
          <w:rFonts w:ascii="Arial" w:hAnsi="Arial" w:cs="Arial"/>
          <w:color w:val="000000" w:themeColor="text1"/>
          <w:sz w:val="22"/>
          <w:szCs w:val="22"/>
        </w:rPr>
        <w:t xml:space="preserve">collected were below the quality threshold (RIN &gt;=6.0). The 16 RNA samples from three flowering dogwood and two Asian dogwood genotypes </w:t>
      </w:r>
      <w:proofErr w:type="gramStart"/>
      <w:r w:rsidRPr="003E7C59">
        <w:rPr>
          <w:rFonts w:ascii="Arial" w:hAnsi="Arial" w:cs="Arial"/>
          <w:color w:val="000000" w:themeColor="text1"/>
          <w:sz w:val="22"/>
          <w:szCs w:val="22"/>
        </w:rPr>
        <w:t>were submitted</w:t>
      </w:r>
      <w:proofErr w:type="gramEnd"/>
      <w:r w:rsidRPr="003E7C59">
        <w:rPr>
          <w:rFonts w:ascii="Arial" w:hAnsi="Arial" w:cs="Arial"/>
          <w:color w:val="000000" w:themeColor="text1"/>
          <w:sz w:val="22"/>
          <w:szCs w:val="22"/>
        </w:rPr>
        <w:t xml:space="preserve"> to GeneWiz (South Plainfield, NJ, USA) for library preparation and sequencing by an Illumina HiSeq 2500, </w:t>
      </w:r>
      <w:r w:rsidR="00F43CC8" w:rsidRPr="003E7C59">
        <w:rPr>
          <w:rFonts w:ascii="Arial" w:hAnsi="Arial" w:cs="Arial"/>
          <w:color w:val="000000" w:themeColor="text1"/>
          <w:sz w:val="22"/>
          <w:szCs w:val="22"/>
        </w:rPr>
        <w:t xml:space="preserve">which generated </w:t>
      </w:r>
      <w:r w:rsidRPr="003E7C59">
        <w:rPr>
          <w:rFonts w:ascii="Arial" w:hAnsi="Arial" w:cs="Arial"/>
          <w:color w:val="000000" w:themeColor="text1"/>
          <w:sz w:val="22"/>
          <w:szCs w:val="22"/>
        </w:rPr>
        <w:t xml:space="preserve">150 bp paired-end reads. All genotypes had at least two biological replicates. </w:t>
      </w:r>
    </w:p>
    <w:p w14:paraId="75CD5073" w14:textId="77777777" w:rsidR="00B51BF9" w:rsidRPr="003E7C59" w:rsidRDefault="00B51BF9" w:rsidP="006622F2">
      <w:pPr>
        <w:spacing w:line="360" w:lineRule="auto"/>
        <w:rPr>
          <w:rFonts w:ascii="Arial" w:hAnsi="Arial" w:cs="Arial"/>
          <w:color w:val="000000" w:themeColor="text1"/>
          <w:sz w:val="22"/>
          <w:szCs w:val="22"/>
        </w:rPr>
      </w:pPr>
    </w:p>
    <w:p w14:paraId="60944695"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49" w:name="_Toc117166837"/>
      <w:bookmarkStart w:id="50" w:name="_Toc121821923"/>
      <w:r w:rsidRPr="003E7C59">
        <w:rPr>
          <w:rStyle w:val="SubtleEmphasis"/>
          <w:rFonts w:ascii="Arial" w:hAnsi="Arial" w:cs="Arial"/>
          <w:i/>
          <w:iCs/>
          <w:color w:val="000000" w:themeColor="text1"/>
          <w:sz w:val="22"/>
          <w:szCs w:val="22"/>
        </w:rPr>
        <w:t>Quality Control</w:t>
      </w:r>
      <w:bookmarkEnd w:id="49"/>
      <w:bookmarkEnd w:id="50"/>
    </w:p>
    <w:p w14:paraId="3364B73E" w14:textId="77777777" w:rsidR="00B51BF9" w:rsidRPr="003E7C59" w:rsidRDefault="00B51BF9" w:rsidP="006622F2">
      <w:pPr>
        <w:rPr>
          <w:rFonts w:ascii="Arial" w:hAnsi="Arial" w:cs="Arial"/>
          <w:color w:val="000000" w:themeColor="text1"/>
          <w:sz w:val="22"/>
          <w:szCs w:val="22"/>
        </w:rPr>
      </w:pPr>
    </w:p>
    <w:p w14:paraId="39D69BB1" w14:textId="371E2E7B"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RNA-seq yielded approximately 20–37 million reads per library, which </w:t>
      </w:r>
      <w:proofErr w:type="gramStart"/>
      <w:r w:rsidRPr="003E7C59">
        <w:rPr>
          <w:rFonts w:ascii="Arial" w:hAnsi="Arial" w:cs="Arial"/>
          <w:color w:val="000000" w:themeColor="text1"/>
          <w:sz w:val="22"/>
          <w:szCs w:val="22"/>
        </w:rPr>
        <w:t>were subjected</w:t>
      </w:r>
      <w:proofErr w:type="gramEnd"/>
      <w:r w:rsidRPr="003E7C59">
        <w:rPr>
          <w:rFonts w:ascii="Arial" w:hAnsi="Arial" w:cs="Arial"/>
          <w:color w:val="000000" w:themeColor="text1"/>
          <w:sz w:val="22"/>
          <w:szCs w:val="22"/>
        </w:rPr>
        <w:t xml:space="preserve"> to error correction using Rcorrector (RNA-Seq error CORRECTOR) (Song and Florea, 2015). Read quality control was performed using FastQC v0.11.4 (Andrews, 2010). Adaptors, short (&lt;30 bases), and low-quality reads were trimmed by skewer version v0.2.2 (Jiang et al., 2014). Subsequently, read quality control was reassessed using FastQC v0.11.4 (Andrews, 2010) (Supplementary Table 1.1.).</w:t>
      </w:r>
    </w:p>
    <w:p w14:paraId="791FAACA" w14:textId="77777777" w:rsidR="00B51BF9" w:rsidRPr="003E7C59" w:rsidRDefault="00B51BF9" w:rsidP="006622F2">
      <w:pPr>
        <w:spacing w:line="360" w:lineRule="auto"/>
        <w:rPr>
          <w:rFonts w:ascii="Arial" w:hAnsi="Arial" w:cs="Arial"/>
          <w:color w:val="000000" w:themeColor="text1"/>
          <w:sz w:val="22"/>
          <w:szCs w:val="22"/>
        </w:rPr>
      </w:pPr>
    </w:p>
    <w:p w14:paraId="4EE81140"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51" w:name="_Toc117166838"/>
      <w:bookmarkStart w:id="52" w:name="_Toc121821924"/>
      <w:r w:rsidRPr="003E7C59">
        <w:rPr>
          <w:rStyle w:val="SubtleEmphasis"/>
          <w:rFonts w:ascii="Arial" w:hAnsi="Arial" w:cs="Arial"/>
          <w:i/>
          <w:iCs/>
          <w:color w:val="000000" w:themeColor="text1"/>
          <w:sz w:val="22"/>
          <w:szCs w:val="22"/>
        </w:rPr>
        <w:t>Read Alignment and Gene Quantification</w:t>
      </w:r>
      <w:bookmarkEnd w:id="51"/>
      <w:bookmarkEnd w:id="52"/>
    </w:p>
    <w:p w14:paraId="37EAA67B" w14:textId="77777777" w:rsidR="00B51BF9" w:rsidRPr="003E7C59" w:rsidRDefault="00B51BF9" w:rsidP="006622F2">
      <w:pPr>
        <w:rPr>
          <w:rFonts w:ascii="Arial" w:hAnsi="Arial" w:cs="Arial"/>
          <w:color w:val="000000" w:themeColor="text1"/>
          <w:sz w:val="22"/>
          <w:szCs w:val="22"/>
        </w:rPr>
      </w:pPr>
    </w:p>
    <w:p w14:paraId="40019B8B" w14:textId="33B8B799"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The reference genome for flowering and Asian dogwood is not </w:t>
      </w:r>
      <w:r w:rsidR="00F43CC8" w:rsidRPr="003E7C59">
        <w:rPr>
          <w:rFonts w:ascii="Arial" w:hAnsi="Arial" w:cs="Arial"/>
          <w:color w:val="000000" w:themeColor="text1"/>
          <w:sz w:val="22"/>
          <w:szCs w:val="22"/>
        </w:rPr>
        <w:t xml:space="preserve">yet </w:t>
      </w:r>
      <w:r w:rsidRPr="003E7C59">
        <w:rPr>
          <w:rFonts w:ascii="Arial" w:hAnsi="Arial" w:cs="Arial"/>
          <w:color w:val="000000" w:themeColor="text1"/>
          <w:sz w:val="22"/>
          <w:szCs w:val="22"/>
        </w:rPr>
        <w:t xml:space="preserve">available. Therefore, trimmed reads were mapped to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or </w:t>
      </w:r>
      <w:r w:rsidRPr="003E7C59">
        <w:rPr>
          <w:rFonts w:ascii="Arial" w:hAnsi="Arial" w:cs="Arial"/>
          <w:i/>
          <w:iCs/>
          <w:color w:val="000000" w:themeColor="text1"/>
          <w:sz w:val="22"/>
          <w:szCs w:val="22"/>
        </w:rPr>
        <w:t>C. kousa</w:t>
      </w:r>
      <w:r w:rsidRPr="003E7C59">
        <w:rPr>
          <w:rFonts w:ascii="Arial" w:hAnsi="Arial" w:cs="Arial"/>
          <w:color w:val="000000" w:themeColor="text1"/>
          <w:sz w:val="22"/>
          <w:szCs w:val="22"/>
        </w:rPr>
        <w:t xml:space="preserve"> transcriptome (Yu et al., 2017) using </w:t>
      </w:r>
      <w:r w:rsidR="00C94072" w:rsidRPr="003E7C59">
        <w:rPr>
          <w:rFonts w:ascii="Arial" w:hAnsi="Arial" w:cs="Arial"/>
          <w:color w:val="000000" w:themeColor="text1"/>
          <w:sz w:val="22"/>
          <w:szCs w:val="22"/>
        </w:rPr>
        <w:t>Genomic short-read Nucleotide Alignment Program (</w:t>
      </w:r>
      <w:r w:rsidRPr="003E7C59">
        <w:rPr>
          <w:rFonts w:ascii="Arial" w:hAnsi="Arial" w:cs="Arial"/>
          <w:color w:val="000000" w:themeColor="text1"/>
          <w:sz w:val="22"/>
          <w:szCs w:val="22"/>
        </w:rPr>
        <w:t>GSNAP version 2018-01-31</w:t>
      </w:r>
      <w:r w:rsidR="00C94072"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(Wu et al., 2016). Aligned reads were used to generate a gene-specific count matrix across samples using a standalone script provided by HTSeq (Anders et al., 2015), which counts the number of reads mapped to each gene.</w:t>
      </w:r>
    </w:p>
    <w:p w14:paraId="18B8FBB0" w14:textId="77777777" w:rsidR="00B51BF9" w:rsidRPr="003E7C59" w:rsidRDefault="00B51BF9" w:rsidP="006622F2">
      <w:pPr>
        <w:spacing w:line="360" w:lineRule="auto"/>
        <w:rPr>
          <w:rFonts w:ascii="Arial" w:hAnsi="Arial" w:cs="Arial"/>
          <w:color w:val="000000" w:themeColor="text1"/>
          <w:sz w:val="22"/>
          <w:szCs w:val="22"/>
        </w:rPr>
      </w:pPr>
    </w:p>
    <w:p w14:paraId="0B9C60C3"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53" w:name="_Toc117166839"/>
      <w:bookmarkStart w:id="54" w:name="_Toc121821925"/>
      <w:r w:rsidRPr="003E7C59">
        <w:rPr>
          <w:rStyle w:val="SubtleEmphasis"/>
          <w:rFonts w:ascii="Arial" w:hAnsi="Arial" w:cs="Arial"/>
          <w:i/>
          <w:iCs/>
          <w:color w:val="000000" w:themeColor="text1"/>
          <w:sz w:val="22"/>
          <w:szCs w:val="22"/>
        </w:rPr>
        <w:t>Differential Expression Analysis and Functional Enrichment</w:t>
      </w:r>
      <w:bookmarkEnd w:id="53"/>
      <w:bookmarkEnd w:id="54"/>
      <w:r w:rsidRPr="003E7C59">
        <w:rPr>
          <w:rStyle w:val="SubtleEmphasis"/>
          <w:rFonts w:ascii="Arial" w:hAnsi="Arial" w:cs="Arial"/>
          <w:i/>
          <w:iCs/>
          <w:color w:val="000000" w:themeColor="text1"/>
          <w:sz w:val="22"/>
          <w:szCs w:val="22"/>
        </w:rPr>
        <w:t xml:space="preserve"> </w:t>
      </w:r>
    </w:p>
    <w:p w14:paraId="0938D9CE" w14:textId="77777777" w:rsidR="00B51BF9" w:rsidRPr="003E7C59" w:rsidRDefault="00B51BF9" w:rsidP="006622F2">
      <w:pPr>
        <w:rPr>
          <w:rFonts w:ascii="Arial" w:hAnsi="Arial" w:cs="Arial"/>
          <w:color w:val="000000" w:themeColor="text1"/>
          <w:sz w:val="22"/>
          <w:szCs w:val="22"/>
        </w:rPr>
      </w:pPr>
    </w:p>
    <w:p w14:paraId="650879D1" w14:textId="68419355" w:rsidR="00B51BF9" w:rsidRPr="003E7C59" w:rsidRDefault="00B51BF9" w:rsidP="006622F2">
      <w:pPr>
        <w:spacing w:line="360" w:lineRule="auto"/>
        <w:ind w:firstLine="720"/>
        <w:rPr>
          <w:rFonts w:ascii="Arial" w:hAnsi="Arial" w:cs="Arial"/>
          <w:color w:val="000000" w:themeColor="text1"/>
          <w:sz w:val="22"/>
          <w:szCs w:val="22"/>
          <w:highlight w:val="white"/>
        </w:rPr>
      </w:pPr>
      <w:r w:rsidRPr="003E7C59">
        <w:rPr>
          <w:rFonts w:ascii="Arial" w:hAnsi="Arial" w:cs="Arial"/>
          <w:color w:val="000000" w:themeColor="text1"/>
          <w:sz w:val="22"/>
          <w:szCs w:val="22"/>
        </w:rPr>
        <w:t>To identify R2R3-</w:t>
      </w:r>
      <w:r w:rsidRPr="003E7C59">
        <w:rPr>
          <w:rFonts w:ascii="Arial" w:hAnsi="Arial" w:cs="Arial"/>
          <w:color w:val="000000" w:themeColor="text1"/>
          <w:sz w:val="22"/>
          <w:szCs w:val="22"/>
          <w:highlight w:val="white"/>
        </w:rPr>
        <w:t xml:space="preserve">MYB TFs and structural genes involved in anthocyanin biosynthesis, gene counts were analyzed for gene-level differential expression using DESeq2 (Love et al., 2014). This package provides an option to test differential expression by shrinking estimators of the negative binomial distribution. Count results from HTSeq were imported, specifying an experimental design that modeled the bract color as the effect of treatment while adjusting for cultivar or species differences. Genes with </w:t>
      </w:r>
      <w:r w:rsidR="00B35BF3" w:rsidRPr="003E7C59">
        <w:rPr>
          <w:rFonts w:ascii="Arial" w:hAnsi="Arial" w:cs="Arial"/>
          <w:color w:val="000000" w:themeColor="text1"/>
          <w:sz w:val="22"/>
          <w:szCs w:val="22"/>
          <w:highlight w:val="white"/>
        </w:rPr>
        <w:t>zero</w:t>
      </w:r>
      <w:r w:rsidRPr="003E7C59">
        <w:rPr>
          <w:rFonts w:ascii="Arial" w:hAnsi="Arial" w:cs="Arial"/>
          <w:color w:val="000000" w:themeColor="text1"/>
          <w:sz w:val="22"/>
          <w:szCs w:val="22"/>
          <w:highlight w:val="white"/>
        </w:rPr>
        <w:t xml:space="preserve"> count across samples </w:t>
      </w:r>
      <w:proofErr w:type="gramStart"/>
      <w:r w:rsidRPr="003E7C59">
        <w:rPr>
          <w:rFonts w:ascii="Arial" w:hAnsi="Arial" w:cs="Arial"/>
          <w:color w:val="000000" w:themeColor="text1"/>
          <w:sz w:val="22"/>
          <w:szCs w:val="22"/>
          <w:highlight w:val="white"/>
        </w:rPr>
        <w:t>were removed</w:t>
      </w:r>
      <w:proofErr w:type="gramEnd"/>
      <w:r w:rsidRPr="003E7C59">
        <w:rPr>
          <w:rFonts w:ascii="Arial" w:hAnsi="Arial" w:cs="Arial"/>
          <w:color w:val="000000" w:themeColor="text1"/>
          <w:sz w:val="22"/>
          <w:szCs w:val="22"/>
          <w:highlight w:val="white"/>
        </w:rPr>
        <w:t xml:space="preserve">. </w:t>
      </w:r>
      <w:r w:rsidR="00867F8E" w:rsidRPr="003E7C59">
        <w:rPr>
          <w:rFonts w:ascii="Arial" w:hAnsi="Arial" w:cs="Arial"/>
          <w:color w:val="000000" w:themeColor="text1"/>
          <w:sz w:val="22"/>
          <w:szCs w:val="22"/>
          <w:highlight w:val="white"/>
        </w:rPr>
        <w:t>The r</w:t>
      </w:r>
      <w:r w:rsidRPr="003E7C59">
        <w:rPr>
          <w:rFonts w:ascii="Arial" w:hAnsi="Arial" w:cs="Arial"/>
          <w:color w:val="000000" w:themeColor="text1"/>
          <w:sz w:val="22"/>
          <w:szCs w:val="22"/>
          <w:highlight w:val="white"/>
        </w:rPr>
        <w:t xml:space="preserve">egularized log transformation function </w:t>
      </w:r>
      <w:proofErr w:type="gramStart"/>
      <w:r w:rsidRPr="003E7C59">
        <w:rPr>
          <w:rFonts w:ascii="Arial" w:hAnsi="Arial" w:cs="Arial"/>
          <w:color w:val="000000" w:themeColor="text1"/>
          <w:sz w:val="22"/>
          <w:szCs w:val="22"/>
          <w:highlight w:val="white"/>
        </w:rPr>
        <w:t>was used</w:t>
      </w:r>
      <w:proofErr w:type="gramEnd"/>
      <w:r w:rsidRPr="003E7C59">
        <w:rPr>
          <w:rFonts w:ascii="Arial" w:hAnsi="Arial" w:cs="Arial"/>
          <w:color w:val="000000" w:themeColor="text1"/>
          <w:sz w:val="22"/>
          <w:szCs w:val="22"/>
          <w:highlight w:val="white"/>
        </w:rPr>
        <w:t xml:space="preserve"> to calculate sample distances using t-SNE plots generated using the </w:t>
      </w:r>
      <w:r w:rsidRPr="003E7C59">
        <w:rPr>
          <w:rFonts w:ascii="Arial" w:hAnsi="Arial" w:cs="Arial"/>
          <w:color w:val="000000" w:themeColor="text1"/>
          <w:sz w:val="22"/>
          <w:szCs w:val="22"/>
        </w:rPr>
        <w:t xml:space="preserve">R package </w:t>
      </w:r>
      <w:r w:rsidRPr="003E7C59">
        <w:rPr>
          <w:rFonts w:ascii="Arial" w:hAnsi="Arial" w:cs="Arial"/>
          <w:i/>
          <w:iCs/>
          <w:color w:val="000000" w:themeColor="text1"/>
          <w:sz w:val="22"/>
          <w:szCs w:val="22"/>
          <w:highlight w:val="white"/>
        </w:rPr>
        <w:t>tsne</w:t>
      </w:r>
      <w:r w:rsidRPr="003E7C59">
        <w:rPr>
          <w:rFonts w:ascii="Arial" w:hAnsi="Arial" w:cs="Arial"/>
          <w:color w:val="000000" w:themeColor="text1"/>
          <w:sz w:val="22"/>
          <w:szCs w:val="22"/>
          <w:highlight w:val="white"/>
        </w:rPr>
        <w:t xml:space="preserve">. </w:t>
      </w:r>
      <w:r w:rsidR="00873D17" w:rsidRPr="003E7C59">
        <w:rPr>
          <w:rFonts w:ascii="Arial" w:hAnsi="Arial" w:cs="Arial"/>
          <w:color w:val="000000" w:themeColor="text1"/>
          <w:sz w:val="22"/>
          <w:szCs w:val="22"/>
          <w:highlight w:val="white"/>
        </w:rPr>
        <w:t xml:space="preserve">The </w:t>
      </w:r>
      <w:proofErr w:type="gramStart"/>
      <w:r w:rsidR="00873D17" w:rsidRPr="003E7C59">
        <w:rPr>
          <w:rFonts w:ascii="Arial" w:hAnsi="Arial" w:cs="Arial"/>
          <w:color w:val="000000" w:themeColor="text1"/>
          <w:sz w:val="22"/>
          <w:szCs w:val="22"/>
          <w:highlight w:val="white"/>
        </w:rPr>
        <w:t>w</w:t>
      </w:r>
      <w:r w:rsidRPr="003E7C59">
        <w:rPr>
          <w:rFonts w:ascii="Arial" w:hAnsi="Arial" w:cs="Arial"/>
          <w:color w:val="000000" w:themeColor="text1"/>
          <w:sz w:val="22"/>
          <w:szCs w:val="22"/>
          <w:highlight w:val="white"/>
        </w:rPr>
        <w:t>ald</w:t>
      </w:r>
      <w:proofErr w:type="gramEnd"/>
      <w:r w:rsidRPr="003E7C59">
        <w:rPr>
          <w:rFonts w:ascii="Arial" w:hAnsi="Arial" w:cs="Arial"/>
          <w:color w:val="000000" w:themeColor="text1"/>
          <w:sz w:val="22"/>
          <w:szCs w:val="22"/>
          <w:highlight w:val="white"/>
        </w:rPr>
        <w:t xml:space="preserve"> test was employed to identify differentially </w:t>
      </w:r>
      <w:r w:rsidRPr="003E7C59">
        <w:rPr>
          <w:rFonts w:ascii="Arial" w:hAnsi="Arial" w:cs="Arial"/>
          <w:color w:val="000000" w:themeColor="text1"/>
          <w:sz w:val="22"/>
          <w:szCs w:val="22"/>
          <w:highlight w:val="white"/>
        </w:rPr>
        <w:lastRenderedPageBreak/>
        <w:t xml:space="preserve">expressed genes (DEGs) between two sample classes, red-bracted and non-pigmented. </w:t>
      </w:r>
      <w:proofErr w:type="gramStart"/>
      <w:r w:rsidRPr="003E7C59">
        <w:rPr>
          <w:rFonts w:ascii="Arial" w:hAnsi="Arial" w:cs="Arial"/>
          <w:color w:val="000000" w:themeColor="text1"/>
          <w:sz w:val="22"/>
          <w:szCs w:val="22"/>
          <w:highlight w:val="white"/>
        </w:rPr>
        <w:t>Significantly</w:t>
      </w:r>
      <w:proofErr w:type="gramEnd"/>
      <w:r w:rsidRPr="003E7C59">
        <w:rPr>
          <w:rFonts w:ascii="Arial" w:hAnsi="Arial" w:cs="Arial"/>
          <w:color w:val="000000" w:themeColor="text1"/>
          <w:sz w:val="22"/>
          <w:szCs w:val="22"/>
          <w:highlight w:val="white"/>
        </w:rPr>
        <w:t xml:space="preserve"> DEGs were identified with adjusted p-value &lt; 0.05 after multiple testing using the Benjamini-Hochberg method. Heatmaps with the expression profiles of DEGs after mapping to each of the two </w:t>
      </w:r>
      <w:r w:rsidRPr="003E7C59">
        <w:rPr>
          <w:rFonts w:ascii="Arial" w:hAnsi="Arial" w:cs="Arial"/>
          <w:i/>
          <w:iCs/>
          <w:color w:val="000000" w:themeColor="text1"/>
          <w:sz w:val="22"/>
          <w:szCs w:val="22"/>
          <w:highlight w:val="white"/>
        </w:rPr>
        <w:t xml:space="preserve">Cornus </w:t>
      </w:r>
      <w:r w:rsidRPr="003E7C59">
        <w:rPr>
          <w:rFonts w:ascii="Arial" w:hAnsi="Arial" w:cs="Arial"/>
          <w:color w:val="000000" w:themeColor="text1"/>
          <w:sz w:val="22"/>
          <w:szCs w:val="22"/>
          <w:highlight w:val="white"/>
        </w:rPr>
        <w:t xml:space="preserve">species transcriptomes </w:t>
      </w:r>
      <w:proofErr w:type="gramStart"/>
      <w:r w:rsidRPr="003E7C59">
        <w:rPr>
          <w:rFonts w:ascii="Arial" w:hAnsi="Arial" w:cs="Arial"/>
          <w:color w:val="000000" w:themeColor="text1"/>
          <w:sz w:val="22"/>
          <w:szCs w:val="22"/>
          <w:highlight w:val="white"/>
        </w:rPr>
        <w:t>were generated</w:t>
      </w:r>
      <w:proofErr w:type="gramEnd"/>
      <w:r w:rsidRPr="003E7C59">
        <w:rPr>
          <w:rFonts w:ascii="Arial" w:hAnsi="Arial" w:cs="Arial"/>
          <w:color w:val="000000" w:themeColor="text1"/>
          <w:sz w:val="22"/>
          <w:szCs w:val="22"/>
          <w:highlight w:val="white"/>
        </w:rPr>
        <w:t xml:space="preserve"> using the </w:t>
      </w:r>
      <w:r w:rsidRPr="003E7C59">
        <w:rPr>
          <w:rFonts w:ascii="Arial" w:hAnsi="Arial" w:cs="Arial"/>
          <w:color w:val="000000" w:themeColor="text1"/>
          <w:sz w:val="22"/>
          <w:szCs w:val="22"/>
        </w:rPr>
        <w:t>R package</w:t>
      </w:r>
      <w:r w:rsidRPr="003E7C59">
        <w:rPr>
          <w:rFonts w:ascii="Arial" w:hAnsi="Arial" w:cs="Arial"/>
          <w:i/>
          <w:iCs/>
          <w:color w:val="000000" w:themeColor="text1"/>
          <w:sz w:val="22"/>
          <w:szCs w:val="22"/>
        </w:rPr>
        <w:t xml:space="preserve"> pheatmap</w:t>
      </w:r>
      <w:r w:rsidRPr="003E7C59">
        <w:rPr>
          <w:rFonts w:ascii="Arial" w:hAnsi="Arial" w:cs="Arial"/>
          <w:color w:val="000000" w:themeColor="text1"/>
          <w:sz w:val="22"/>
          <w:szCs w:val="22"/>
          <w:highlight w:val="white"/>
        </w:rPr>
        <w:t xml:space="preserve"> with correlation distances</w:t>
      </w:r>
      <w:r w:rsidRPr="003E7C59">
        <w:rPr>
          <w:rFonts w:ascii="Arial" w:hAnsi="Arial" w:cs="Arial"/>
          <w:color w:val="000000" w:themeColor="text1"/>
          <w:sz w:val="22"/>
          <w:szCs w:val="22"/>
        </w:rPr>
        <w:t>.</w:t>
      </w:r>
      <w:r w:rsidRPr="003E7C59">
        <w:rPr>
          <w:rFonts w:ascii="Arial" w:hAnsi="Arial" w:cs="Arial"/>
          <w:i/>
          <w:iCs/>
          <w:color w:val="000000" w:themeColor="text1"/>
          <w:sz w:val="22"/>
          <w:szCs w:val="22"/>
        </w:rPr>
        <w:t xml:space="preserve"> </w:t>
      </w:r>
    </w:p>
    <w:p w14:paraId="6853E5AE" w14:textId="03DEB1F5" w:rsidR="00B51BF9" w:rsidRPr="003E7C59" w:rsidRDefault="00E817AE" w:rsidP="000D32B1">
      <w:pPr>
        <w:spacing w:line="360" w:lineRule="auto"/>
        <w:ind w:firstLine="720"/>
        <w:rPr>
          <w:rFonts w:ascii="Arial" w:hAnsi="Arial" w:cs="Arial"/>
          <w:color w:val="000000" w:themeColor="text1"/>
          <w:sz w:val="22"/>
          <w:szCs w:val="22"/>
        </w:rPr>
      </w:pPr>
      <w:sdt>
        <w:sdtPr>
          <w:rPr>
            <w:rFonts w:ascii="Arial" w:hAnsi="Arial" w:cs="Arial"/>
            <w:color w:val="000000" w:themeColor="text1"/>
            <w:sz w:val="22"/>
            <w:szCs w:val="22"/>
          </w:rPr>
          <w:tag w:val="goog_rdk_48"/>
          <w:id w:val="-678118002"/>
        </w:sdtPr>
        <w:sdtEndPr/>
        <w:sdtContent/>
      </w:sdt>
      <w:sdt>
        <w:sdtPr>
          <w:rPr>
            <w:rFonts w:ascii="Arial" w:hAnsi="Arial" w:cs="Arial"/>
            <w:color w:val="000000" w:themeColor="text1"/>
            <w:sz w:val="22"/>
            <w:szCs w:val="22"/>
          </w:rPr>
          <w:tag w:val="goog_rdk_49"/>
          <w:id w:val="1553813642"/>
        </w:sdtPr>
        <w:sdtEndPr/>
        <w:sdtContent/>
      </w:sdt>
      <w:r w:rsidR="00B51BF9" w:rsidRPr="003E7C59">
        <w:rPr>
          <w:rFonts w:ascii="Arial" w:hAnsi="Arial" w:cs="Arial"/>
          <w:color w:val="000000" w:themeColor="text1"/>
          <w:sz w:val="22"/>
          <w:szCs w:val="22"/>
        </w:rPr>
        <w:t xml:space="preserve">TransDecoder v3.0.0 was used to predict encoded peptides based on </w:t>
      </w:r>
      <w:r w:rsidR="00B51BF9" w:rsidRPr="003E7C59">
        <w:rPr>
          <w:rFonts w:ascii="Arial" w:hAnsi="Arial" w:cs="Arial"/>
          <w:i/>
          <w:color w:val="000000" w:themeColor="text1"/>
          <w:sz w:val="22"/>
          <w:szCs w:val="22"/>
        </w:rPr>
        <w:t>C</w:t>
      </w:r>
      <w:r w:rsidR="00B51BF9" w:rsidRPr="003E7C59">
        <w:rPr>
          <w:rFonts w:ascii="Arial" w:hAnsi="Arial" w:cs="Arial"/>
          <w:iCs/>
          <w:color w:val="000000" w:themeColor="text1"/>
          <w:sz w:val="22"/>
          <w:szCs w:val="22"/>
        </w:rPr>
        <w:t>.</w:t>
      </w:r>
      <w:r w:rsidR="00B51BF9" w:rsidRPr="003E7C59">
        <w:rPr>
          <w:rFonts w:ascii="Arial" w:hAnsi="Arial" w:cs="Arial"/>
          <w:i/>
          <w:color w:val="000000" w:themeColor="text1"/>
          <w:sz w:val="22"/>
          <w:szCs w:val="22"/>
        </w:rPr>
        <w:t xml:space="preserve"> </w:t>
      </w:r>
      <w:proofErr w:type="gramStart"/>
      <w:r w:rsidR="00B51BF9" w:rsidRPr="003E7C59">
        <w:rPr>
          <w:rFonts w:ascii="Arial" w:hAnsi="Arial" w:cs="Arial"/>
          <w:i/>
          <w:color w:val="000000" w:themeColor="text1"/>
          <w:sz w:val="22"/>
          <w:szCs w:val="22"/>
        </w:rPr>
        <w:t>florida</w:t>
      </w:r>
      <w:proofErr w:type="gramEnd"/>
      <w:r w:rsidR="00B51BF9" w:rsidRPr="003E7C59">
        <w:rPr>
          <w:rFonts w:ascii="Arial" w:hAnsi="Arial" w:cs="Arial"/>
          <w:color w:val="000000" w:themeColor="text1"/>
          <w:sz w:val="22"/>
          <w:szCs w:val="22"/>
        </w:rPr>
        <w:t xml:space="preserve"> and </w:t>
      </w:r>
      <w:r w:rsidR="00B51BF9" w:rsidRPr="003E7C59">
        <w:rPr>
          <w:rFonts w:ascii="Arial" w:hAnsi="Arial" w:cs="Arial"/>
          <w:i/>
          <w:color w:val="000000" w:themeColor="text1"/>
          <w:sz w:val="22"/>
          <w:szCs w:val="22"/>
        </w:rPr>
        <w:t>C. kousa</w:t>
      </w:r>
      <w:r w:rsidR="00B51BF9" w:rsidRPr="003E7C59">
        <w:rPr>
          <w:rFonts w:ascii="Arial" w:hAnsi="Arial" w:cs="Arial"/>
          <w:color w:val="000000" w:themeColor="text1"/>
          <w:sz w:val="22"/>
          <w:szCs w:val="22"/>
        </w:rPr>
        <w:t xml:space="preserve"> transcriptomes. TransDecoder identified all open reading frames (ORFs) that were at least 50 amino acids long in the transcripts. These ORFs were then scanned for homology to known proteins using blastp (Altschul et al. 1990) against the UniProtKB/TrEMBL database (</w:t>
      </w:r>
      <w:r w:rsidR="00B51BF9" w:rsidRPr="003E7C59">
        <w:rPr>
          <w:rFonts w:ascii="Arial" w:hAnsi="Arial" w:cs="Arial"/>
          <w:color w:val="000000" w:themeColor="text1"/>
          <w:sz w:val="22"/>
          <w:szCs w:val="22"/>
          <w:shd w:val="clear" w:color="auto" w:fill="FFFFFF"/>
        </w:rPr>
        <w:t>Boutet et al. 2016</w:t>
      </w:r>
      <w:r w:rsidR="00B51BF9" w:rsidRPr="003E7C59">
        <w:rPr>
          <w:rFonts w:ascii="Arial" w:hAnsi="Arial" w:cs="Arial"/>
          <w:color w:val="000000" w:themeColor="text1"/>
          <w:sz w:val="22"/>
          <w:szCs w:val="22"/>
        </w:rPr>
        <w:t xml:space="preserve">) for plants and searched against Pfam (Finn et al., 2016) for conserved protein domains with HMMER v3.1b2 (Potter et al., 2018). TransDecoder </w:t>
      </w:r>
      <w:proofErr w:type="gramStart"/>
      <w:r w:rsidR="00B51BF9" w:rsidRPr="003E7C59">
        <w:rPr>
          <w:rFonts w:ascii="Arial" w:hAnsi="Arial" w:cs="Arial"/>
          <w:color w:val="000000" w:themeColor="text1"/>
          <w:sz w:val="22"/>
          <w:szCs w:val="22"/>
        </w:rPr>
        <w:t>was rerun</w:t>
      </w:r>
      <w:proofErr w:type="gramEnd"/>
      <w:r w:rsidR="00B51BF9" w:rsidRPr="003E7C59">
        <w:rPr>
          <w:rFonts w:ascii="Arial" w:hAnsi="Arial" w:cs="Arial"/>
          <w:color w:val="000000" w:themeColor="text1"/>
          <w:sz w:val="22"/>
          <w:szCs w:val="22"/>
        </w:rPr>
        <w:t xml:space="preserve"> with the outputs generated from blastp and HMMER to improve the prediction of coding regions. All predicted peptides </w:t>
      </w:r>
      <w:proofErr w:type="gramStart"/>
      <w:r w:rsidR="00B51BF9" w:rsidRPr="003E7C59">
        <w:rPr>
          <w:rFonts w:ascii="Arial" w:hAnsi="Arial" w:cs="Arial"/>
          <w:color w:val="000000" w:themeColor="text1"/>
          <w:sz w:val="22"/>
          <w:szCs w:val="22"/>
        </w:rPr>
        <w:t>were used</w:t>
      </w:r>
      <w:proofErr w:type="gramEnd"/>
      <w:r w:rsidR="00B51BF9" w:rsidRPr="003E7C59">
        <w:rPr>
          <w:rFonts w:ascii="Arial" w:hAnsi="Arial" w:cs="Arial"/>
          <w:color w:val="000000" w:themeColor="text1"/>
          <w:sz w:val="22"/>
          <w:szCs w:val="22"/>
        </w:rPr>
        <w:t xml:space="preserve"> on InterProScan 5.21-60.0 software to assign </w:t>
      </w:r>
      <w:r w:rsidR="001D2957" w:rsidRPr="003E7C59">
        <w:rPr>
          <w:rFonts w:ascii="Arial" w:hAnsi="Arial" w:cs="Arial"/>
          <w:color w:val="000000" w:themeColor="text1"/>
          <w:sz w:val="22"/>
          <w:szCs w:val="22"/>
          <w:highlight w:val="white"/>
        </w:rPr>
        <w:t>gene ontology (GO)</w:t>
      </w:r>
      <w:r w:rsidR="001D2957" w:rsidRPr="003E7C59">
        <w:rPr>
          <w:rFonts w:ascii="Arial" w:hAnsi="Arial" w:cs="Arial"/>
          <w:color w:val="000000" w:themeColor="text1"/>
          <w:sz w:val="22"/>
          <w:szCs w:val="22"/>
        </w:rPr>
        <w:t xml:space="preserve"> terms</w:t>
      </w:r>
      <w:r w:rsidR="00B51BF9" w:rsidRPr="003E7C59">
        <w:rPr>
          <w:rFonts w:ascii="Arial" w:hAnsi="Arial" w:cs="Arial"/>
          <w:color w:val="000000" w:themeColor="text1"/>
          <w:sz w:val="22"/>
          <w:szCs w:val="22"/>
        </w:rPr>
        <w:t xml:space="preserve">. Additionally, DEG transcripts </w:t>
      </w:r>
      <w:proofErr w:type="gramStart"/>
      <w:r w:rsidR="00B51BF9" w:rsidRPr="003E7C59">
        <w:rPr>
          <w:rFonts w:ascii="Arial" w:hAnsi="Arial" w:cs="Arial"/>
          <w:color w:val="000000" w:themeColor="text1"/>
          <w:sz w:val="22"/>
          <w:szCs w:val="22"/>
        </w:rPr>
        <w:t>were uploaded</w:t>
      </w:r>
      <w:proofErr w:type="gramEnd"/>
      <w:r w:rsidR="00B51BF9" w:rsidRPr="003E7C59">
        <w:rPr>
          <w:rFonts w:ascii="Arial" w:hAnsi="Arial" w:cs="Arial"/>
          <w:color w:val="000000" w:themeColor="text1"/>
          <w:sz w:val="22"/>
          <w:szCs w:val="22"/>
        </w:rPr>
        <w:t xml:space="preserve"> to the KAAS server for KEGG (</w:t>
      </w:r>
      <w:r w:rsidR="00B51BF9" w:rsidRPr="003E7C59">
        <w:rPr>
          <w:rFonts w:ascii="Arial" w:hAnsi="Arial" w:cs="Arial"/>
          <w:color w:val="000000" w:themeColor="text1"/>
          <w:sz w:val="22"/>
          <w:szCs w:val="22"/>
          <w:highlight w:val="white"/>
        </w:rPr>
        <w:t>Kyoto Encyclopedia of Genes and Genomes</w:t>
      </w:r>
      <w:r w:rsidR="00B51BF9" w:rsidRPr="003E7C59">
        <w:rPr>
          <w:rFonts w:ascii="Arial" w:hAnsi="Arial" w:cs="Arial"/>
          <w:color w:val="000000" w:themeColor="text1"/>
          <w:sz w:val="22"/>
          <w:szCs w:val="22"/>
        </w:rPr>
        <w:t xml:space="preserve">) ortholog assignments (Kanehisa and Goto, 2001). Finally, a custom database for the actin, elongation factor 1-alpha, GAPDH, and Cytochrome c oxidase I housekeeping genes in eudicots was used to pull out putative sequences in </w:t>
      </w:r>
      <w:r w:rsidR="00B51BF9" w:rsidRPr="003E7C59">
        <w:rPr>
          <w:rFonts w:ascii="Arial" w:hAnsi="Arial" w:cs="Arial"/>
          <w:i/>
          <w:color w:val="000000" w:themeColor="text1"/>
          <w:sz w:val="22"/>
          <w:szCs w:val="22"/>
        </w:rPr>
        <w:t>C.</w:t>
      </w:r>
      <w:r w:rsidR="00B51BF9" w:rsidRPr="003E7C59">
        <w:rPr>
          <w:rFonts w:ascii="Arial" w:hAnsi="Arial" w:cs="Arial"/>
          <w:color w:val="000000" w:themeColor="text1"/>
          <w:sz w:val="22"/>
          <w:szCs w:val="22"/>
        </w:rPr>
        <w:t xml:space="preserve"> </w:t>
      </w:r>
      <w:proofErr w:type="gramStart"/>
      <w:r w:rsidR="00B51BF9" w:rsidRPr="003E7C59">
        <w:rPr>
          <w:rFonts w:ascii="Arial" w:hAnsi="Arial" w:cs="Arial"/>
          <w:i/>
          <w:color w:val="000000" w:themeColor="text1"/>
          <w:sz w:val="22"/>
          <w:szCs w:val="22"/>
        </w:rPr>
        <w:t>florida</w:t>
      </w:r>
      <w:proofErr w:type="gramEnd"/>
      <w:r w:rsidR="00B51BF9" w:rsidRPr="003E7C59">
        <w:rPr>
          <w:rFonts w:ascii="Arial" w:hAnsi="Arial" w:cs="Arial"/>
          <w:color w:val="000000" w:themeColor="text1"/>
          <w:sz w:val="22"/>
          <w:szCs w:val="22"/>
        </w:rPr>
        <w:t xml:space="preserve"> and </w:t>
      </w:r>
      <w:r w:rsidR="00B51BF9" w:rsidRPr="003E7C59">
        <w:rPr>
          <w:rFonts w:ascii="Arial" w:hAnsi="Arial" w:cs="Arial"/>
          <w:i/>
          <w:color w:val="000000" w:themeColor="text1"/>
          <w:sz w:val="22"/>
          <w:szCs w:val="22"/>
        </w:rPr>
        <w:t>C</w:t>
      </w:r>
      <w:r w:rsidR="00B51BF9" w:rsidRPr="003E7C59">
        <w:rPr>
          <w:rFonts w:ascii="Arial" w:hAnsi="Arial" w:cs="Arial"/>
          <w:color w:val="000000" w:themeColor="text1"/>
          <w:sz w:val="22"/>
          <w:szCs w:val="22"/>
        </w:rPr>
        <w:t xml:space="preserve">. </w:t>
      </w:r>
      <w:r w:rsidR="00B51BF9" w:rsidRPr="003E7C59">
        <w:rPr>
          <w:rFonts w:ascii="Arial" w:hAnsi="Arial" w:cs="Arial"/>
          <w:i/>
          <w:color w:val="000000" w:themeColor="text1"/>
          <w:sz w:val="22"/>
          <w:szCs w:val="22"/>
        </w:rPr>
        <w:t>kousa</w:t>
      </w:r>
      <w:r w:rsidR="00B51BF9" w:rsidRPr="003E7C59">
        <w:rPr>
          <w:rFonts w:ascii="Arial" w:hAnsi="Arial" w:cs="Arial"/>
          <w:color w:val="000000" w:themeColor="text1"/>
          <w:sz w:val="22"/>
          <w:szCs w:val="22"/>
        </w:rPr>
        <w:t xml:space="preserve"> transcriptomes. </w:t>
      </w:r>
    </w:p>
    <w:p w14:paraId="759F223E" w14:textId="77777777" w:rsidR="00B51BF9" w:rsidRPr="003E7C59" w:rsidRDefault="00B51BF9" w:rsidP="006622F2">
      <w:pPr>
        <w:spacing w:line="360" w:lineRule="auto"/>
        <w:rPr>
          <w:rFonts w:ascii="Arial" w:hAnsi="Arial" w:cs="Arial"/>
          <w:color w:val="000000" w:themeColor="text1"/>
          <w:sz w:val="22"/>
          <w:szCs w:val="22"/>
        </w:rPr>
      </w:pPr>
    </w:p>
    <w:p w14:paraId="74F1A326" w14:textId="77777777" w:rsidR="00B51BF9" w:rsidRPr="003E7C59" w:rsidRDefault="00B51BF9" w:rsidP="006622F2">
      <w:pPr>
        <w:pStyle w:val="Heading4"/>
        <w:rPr>
          <w:rStyle w:val="SubtleEmphasis"/>
          <w:rFonts w:ascii="Arial" w:hAnsi="Arial" w:cs="Arial"/>
          <w:i/>
          <w:iCs/>
          <w:color w:val="000000" w:themeColor="text1"/>
          <w:sz w:val="22"/>
          <w:szCs w:val="22"/>
        </w:rPr>
      </w:pPr>
      <w:bookmarkStart w:id="55" w:name="_Toc117166840"/>
      <w:bookmarkStart w:id="56" w:name="_Toc121821926"/>
      <w:r w:rsidRPr="003E7C59">
        <w:rPr>
          <w:rStyle w:val="SubtleEmphasis"/>
          <w:rFonts w:ascii="Arial" w:hAnsi="Arial" w:cs="Arial"/>
          <w:i/>
          <w:iCs/>
          <w:color w:val="000000" w:themeColor="text1"/>
          <w:sz w:val="22"/>
          <w:szCs w:val="22"/>
        </w:rPr>
        <w:t>Gene Ontology enrichment analysis</w:t>
      </w:r>
      <w:bookmarkEnd w:id="55"/>
      <w:bookmarkEnd w:id="56"/>
    </w:p>
    <w:p w14:paraId="750CE81B" w14:textId="77777777" w:rsidR="00B51BF9" w:rsidRPr="003E7C59" w:rsidRDefault="00B51BF9" w:rsidP="006622F2">
      <w:pPr>
        <w:rPr>
          <w:rFonts w:ascii="Arial" w:hAnsi="Arial" w:cs="Arial"/>
          <w:color w:val="000000" w:themeColor="text1"/>
          <w:sz w:val="22"/>
          <w:szCs w:val="22"/>
        </w:rPr>
      </w:pPr>
    </w:p>
    <w:p w14:paraId="34869F70" w14:textId="59EB9668" w:rsidR="00D6142C"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highlight w:val="white"/>
        </w:rPr>
        <w:t xml:space="preserve">To gain insights into the functions of the DEGs, genes were annotated and analyzed through </w:t>
      </w:r>
      <w:r w:rsidR="001D2957" w:rsidRPr="003E7C59">
        <w:rPr>
          <w:rFonts w:ascii="Arial" w:hAnsi="Arial" w:cs="Arial"/>
          <w:color w:val="000000" w:themeColor="text1"/>
          <w:sz w:val="22"/>
          <w:szCs w:val="22"/>
          <w:highlight w:val="white"/>
        </w:rPr>
        <w:t xml:space="preserve">GO </w:t>
      </w:r>
      <w:r w:rsidRPr="003E7C59">
        <w:rPr>
          <w:rFonts w:ascii="Arial" w:hAnsi="Arial" w:cs="Arial"/>
          <w:color w:val="000000" w:themeColor="text1"/>
          <w:sz w:val="22"/>
          <w:szCs w:val="22"/>
          <w:highlight w:val="white"/>
        </w:rPr>
        <w:t xml:space="preserve">by AgriGO v2.0 (Tian et al., 2017) using </w:t>
      </w:r>
      <w:r w:rsidRPr="003E7C59">
        <w:rPr>
          <w:rFonts w:ascii="Arial" w:hAnsi="Arial" w:cs="Arial"/>
          <w:i/>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color w:val="000000" w:themeColor="text1"/>
          <w:sz w:val="22"/>
          <w:szCs w:val="22"/>
        </w:rPr>
        <w:t>florida</w:t>
      </w:r>
      <w:proofErr w:type="gramEnd"/>
      <w:r w:rsidRPr="003E7C59">
        <w:rPr>
          <w:rFonts w:ascii="Arial" w:hAnsi="Arial" w:cs="Arial"/>
          <w:color w:val="000000" w:themeColor="text1"/>
          <w:sz w:val="22"/>
          <w:szCs w:val="22"/>
        </w:rPr>
        <w:t xml:space="preserve"> or </w:t>
      </w:r>
      <w:r w:rsidRPr="003E7C59">
        <w:rPr>
          <w:rFonts w:ascii="Arial" w:hAnsi="Arial" w:cs="Arial"/>
          <w:i/>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color w:val="000000" w:themeColor="text1"/>
          <w:sz w:val="22"/>
          <w:szCs w:val="22"/>
        </w:rPr>
        <w:t>kousa</w:t>
      </w:r>
      <w:r w:rsidRPr="003E7C59">
        <w:rPr>
          <w:rFonts w:ascii="Arial" w:hAnsi="Arial" w:cs="Arial"/>
          <w:color w:val="000000" w:themeColor="text1"/>
          <w:sz w:val="22"/>
          <w:szCs w:val="22"/>
        </w:rPr>
        <w:t xml:space="preserve"> transcriptome (Yu et al. 2017). BiNGO v3.0.3 (Maere et al., 2005) and Cytoscape v3.3.0. (Shannon et al., 2003)</w:t>
      </w:r>
      <w:r w:rsidRPr="003E7C59">
        <w:rPr>
          <w:rFonts w:ascii="Arial" w:hAnsi="Arial" w:cs="Arial"/>
          <w:b/>
          <w:color w:val="000000" w:themeColor="text1"/>
          <w:sz w:val="22"/>
          <w:szCs w:val="22"/>
        </w:rPr>
        <w:t xml:space="preserve"> </w:t>
      </w:r>
      <w:proofErr w:type="gramStart"/>
      <w:r w:rsidRPr="003E7C59">
        <w:rPr>
          <w:rFonts w:ascii="Arial" w:hAnsi="Arial" w:cs="Arial"/>
          <w:color w:val="000000" w:themeColor="text1"/>
          <w:sz w:val="22"/>
          <w:szCs w:val="22"/>
        </w:rPr>
        <w:t>were used</w:t>
      </w:r>
      <w:proofErr w:type="gramEnd"/>
      <w:r w:rsidRPr="003E7C59">
        <w:rPr>
          <w:rFonts w:ascii="Arial" w:hAnsi="Arial" w:cs="Arial"/>
          <w:color w:val="000000" w:themeColor="text1"/>
          <w:sz w:val="22"/>
          <w:szCs w:val="22"/>
        </w:rPr>
        <w:t xml:space="preserve"> to calculate overrepresented GO terms in lists of up- and downregulated DEGs. Significant terms </w:t>
      </w:r>
      <w:proofErr w:type="gramStart"/>
      <w:r w:rsidRPr="003E7C59">
        <w:rPr>
          <w:rFonts w:ascii="Arial" w:hAnsi="Arial" w:cs="Arial"/>
          <w:color w:val="000000" w:themeColor="text1"/>
          <w:sz w:val="22"/>
          <w:szCs w:val="22"/>
        </w:rPr>
        <w:t>were selected</w:t>
      </w:r>
      <w:proofErr w:type="gramEnd"/>
      <w:r w:rsidRPr="003E7C59">
        <w:rPr>
          <w:rFonts w:ascii="Arial" w:hAnsi="Arial" w:cs="Arial"/>
          <w:color w:val="000000" w:themeColor="text1"/>
          <w:sz w:val="22"/>
          <w:szCs w:val="22"/>
        </w:rPr>
        <w:t xml:space="preserve"> at adjusted </w:t>
      </w:r>
      <w:r w:rsidRPr="003E7C59">
        <w:rPr>
          <w:rFonts w:ascii="Arial" w:hAnsi="Arial" w:cs="Arial"/>
          <w:i/>
          <w:iCs/>
          <w:color w:val="000000" w:themeColor="text1"/>
          <w:sz w:val="22"/>
          <w:szCs w:val="22"/>
        </w:rPr>
        <w:t>p-</w:t>
      </w:r>
      <w:r w:rsidRPr="003E7C59">
        <w:rPr>
          <w:rFonts w:ascii="Arial" w:hAnsi="Arial" w:cs="Arial"/>
          <w:color w:val="000000" w:themeColor="text1"/>
          <w:sz w:val="22"/>
          <w:szCs w:val="22"/>
        </w:rPr>
        <w:t xml:space="preserve">value &lt; 0.05 (corrected </w:t>
      </w:r>
      <w:r w:rsidRPr="003E7C59">
        <w:rPr>
          <w:rFonts w:ascii="Arial" w:hAnsi="Arial" w:cs="Arial"/>
          <w:i/>
          <w:iCs/>
          <w:color w:val="000000" w:themeColor="text1"/>
          <w:sz w:val="22"/>
          <w:szCs w:val="22"/>
        </w:rPr>
        <w:t>p-</w:t>
      </w:r>
      <w:r w:rsidRPr="003E7C59">
        <w:rPr>
          <w:rFonts w:ascii="Arial" w:hAnsi="Arial" w:cs="Arial"/>
          <w:color w:val="000000" w:themeColor="text1"/>
          <w:sz w:val="22"/>
          <w:szCs w:val="22"/>
        </w:rPr>
        <w:t xml:space="preserve">values using the Benjamini-Hochberg method). The </w:t>
      </w:r>
      <w:proofErr w:type="gramStart"/>
      <w:r w:rsidRPr="003E7C59">
        <w:rPr>
          <w:rFonts w:ascii="Arial" w:hAnsi="Arial" w:cs="Arial"/>
          <w:color w:val="000000" w:themeColor="text1"/>
          <w:sz w:val="22"/>
          <w:szCs w:val="22"/>
        </w:rPr>
        <w:t>transcriptome GO term annotations</w:t>
      </w:r>
      <w:proofErr w:type="gramEnd"/>
      <w:r w:rsidRPr="003E7C59">
        <w:rPr>
          <w:rFonts w:ascii="Arial" w:hAnsi="Arial" w:cs="Arial"/>
          <w:color w:val="000000" w:themeColor="text1"/>
          <w:sz w:val="22"/>
          <w:szCs w:val="22"/>
        </w:rPr>
        <w:t xml:space="preserve"> from InterProScan were used as organism annotations. </w:t>
      </w:r>
      <w:r w:rsidRPr="003E7C59">
        <w:rPr>
          <w:rFonts w:ascii="Arial" w:hAnsi="Arial" w:cs="Arial"/>
          <w:color w:val="000000" w:themeColor="text1"/>
          <w:sz w:val="22"/>
          <w:szCs w:val="22"/>
          <w:highlight w:val="white"/>
        </w:rPr>
        <w:t xml:space="preserve">The hypergeometric test and p-values </w:t>
      </w:r>
      <w:proofErr w:type="gramStart"/>
      <w:r w:rsidRPr="003E7C59">
        <w:rPr>
          <w:rFonts w:ascii="Arial" w:hAnsi="Arial" w:cs="Arial"/>
          <w:color w:val="000000" w:themeColor="text1"/>
          <w:sz w:val="22"/>
          <w:szCs w:val="22"/>
          <w:highlight w:val="white"/>
        </w:rPr>
        <w:t>were adjusted</w:t>
      </w:r>
      <w:proofErr w:type="gramEnd"/>
      <w:r w:rsidRPr="003E7C59">
        <w:rPr>
          <w:rFonts w:ascii="Arial" w:hAnsi="Arial" w:cs="Arial"/>
          <w:color w:val="000000" w:themeColor="text1"/>
          <w:sz w:val="22"/>
          <w:szCs w:val="22"/>
          <w:highlight w:val="white"/>
        </w:rPr>
        <w:t xml:space="preserve"> by </w:t>
      </w:r>
      <w:r w:rsidRPr="003E7C59">
        <w:rPr>
          <w:rFonts w:ascii="Arial" w:hAnsi="Arial" w:cs="Arial"/>
          <w:color w:val="000000" w:themeColor="text1"/>
          <w:sz w:val="22"/>
          <w:szCs w:val="22"/>
        </w:rPr>
        <w:t>Benjamini and</w:t>
      </w:r>
      <w:r w:rsidRPr="003E7C59">
        <w:rPr>
          <w:rFonts w:ascii="Arial" w:hAnsi="Arial" w:cs="Arial"/>
          <w:color w:val="000000" w:themeColor="text1"/>
          <w:sz w:val="22"/>
          <w:szCs w:val="22"/>
          <w:highlight w:val="white"/>
        </w:rPr>
        <w:t xml:space="preserve"> Hochberg method, </w:t>
      </w:r>
      <w:r w:rsidR="00AD141D" w:rsidRPr="003E7C59">
        <w:rPr>
          <w:rFonts w:ascii="Arial" w:hAnsi="Arial" w:cs="Arial"/>
          <w:color w:val="000000" w:themeColor="text1"/>
          <w:sz w:val="22"/>
          <w:szCs w:val="22"/>
          <w:highlight w:val="white"/>
        </w:rPr>
        <w:t xml:space="preserve">and </w:t>
      </w:r>
      <w:r w:rsidRPr="003E7C59">
        <w:rPr>
          <w:rFonts w:ascii="Arial" w:hAnsi="Arial" w:cs="Arial"/>
          <w:color w:val="000000" w:themeColor="text1"/>
          <w:sz w:val="22"/>
          <w:szCs w:val="22"/>
          <w:highlight w:val="white"/>
        </w:rPr>
        <w:t xml:space="preserve">the GO terms with </w:t>
      </w:r>
      <w:r w:rsidR="006A795C" w:rsidRPr="003E7C59">
        <w:rPr>
          <w:rFonts w:ascii="Arial" w:hAnsi="Arial" w:cs="Arial"/>
          <w:color w:val="000000" w:themeColor="text1"/>
          <w:sz w:val="22"/>
          <w:szCs w:val="22"/>
          <w:highlight w:val="white"/>
        </w:rPr>
        <w:t>false discovery rate (FDR)</w:t>
      </w:r>
      <w:r w:rsidRPr="003E7C59">
        <w:rPr>
          <w:rFonts w:ascii="Arial" w:hAnsi="Arial" w:cs="Arial"/>
          <w:color w:val="000000" w:themeColor="text1"/>
          <w:sz w:val="22"/>
          <w:szCs w:val="22"/>
          <w:highlight w:val="white"/>
        </w:rPr>
        <w:t xml:space="preserve"> &lt; 0.05 were regarded as significantly enriched. </w:t>
      </w:r>
      <w:r w:rsidRPr="003E7C59">
        <w:rPr>
          <w:rFonts w:ascii="Arial" w:hAnsi="Arial" w:cs="Arial"/>
          <w:color w:val="000000" w:themeColor="text1"/>
          <w:sz w:val="22"/>
          <w:szCs w:val="22"/>
        </w:rPr>
        <w:t xml:space="preserve">AgriGO v1.2 (Du et al., 2010) </w:t>
      </w:r>
      <w:proofErr w:type="gramStart"/>
      <w:r w:rsidRPr="003E7C59">
        <w:rPr>
          <w:rFonts w:ascii="Arial" w:hAnsi="Arial" w:cs="Arial"/>
          <w:color w:val="000000" w:themeColor="text1"/>
          <w:sz w:val="22"/>
          <w:szCs w:val="22"/>
        </w:rPr>
        <w:t>was used</w:t>
      </w:r>
      <w:proofErr w:type="gramEnd"/>
      <w:r w:rsidRPr="003E7C59">
        <w:rPr>
          <w:rFonts w:ascii="Arial" w:hAnsi="Arial" w:cs="Arial"/>
          <w:color w:val="000000" w:themeColor="text1"/>
          <w:sz w:val="22"/>
          <w:szCs w:val="22"/>
        </w:rPr>
        <w:t xml:space="preserve"> to perform </w:t>
      </w:r>
      <w:r w:rsidR="006A795C" w:rsidRPr="003E7C59">
        <w:rPr>
          <w:rFonts w:ascii="Arial" w:hAnsi="Arial" w:cs="Arial"/>
          <w:color w:val="000000" w:themeColor="text1"/>
          <w:sz w:val="22"/>
          <w:szCs w:val="22"/>
        </w:rPr>
        <w:t xml:space="preserve">a </w:t>
      </w:r>
      <w:r w:rsidRPr="003E7C59">
        <w:rPr>
          <w:rFonts w:ascii="Arial" w:hAnsi="Arial" w:cs="Arial"/>
          <w:color w:val="000000" w:themeColor="text1"/>
          <w:sz w:val="22"/>
          <w:szCs w:val="22"/>
        </w:rPr>
        <w:t xml:space="preserve">singular enrichment analysis of GO terms in the lists of DEGs. The </w:t>
      </w:r>
      <w:proofErr w:type="gramStart"/>
      <w:r w:rsidRPr="003E7C59">
        <w:rPr>
          <w:rFonts w:ascii="Arial" w:hAnsi="Arial" w:cs="Arial"/>
          <w:color w:val="000000" w:themeColor="text1"/>
          <w:sz w:val="22"/>
          <w:szCs w:val="22"/>
        </w:rPr>
        <w:t>transcriptome GO term annotations</w:t>
      </w:r>
      <w:proofErr w:type="gramEnd"/>
      <w:r w:rsidRPr="003E7C59">
        <w:rPr>
          <w:rFonts w:ascii="Arial" w:hAnsi="Arial" w:cs="Arial"/>
          <w:color w:val="000000" w:themeColor="text1"/>
          <w:sz w:val="22"/>
          <w:szCs w:val="22"/>
        </w:rPr>
        <w:t xml:space="preserve"> from InterProScan were used as customized annotations of background reference. The calculation used the hypergeometric statistical test method, the Yekutieli multi-test adjustment method for FDR correction under dependency, and a significance level of 0.05. Complete GO was selected </w:t>
      </w:r>
      <w:r w:rsidRPr="003E7C59">
        <w:rPr>
          <w:rFonts w:ascii="Arial" w:hAnsi="Arial" w:cs="Arial"/>
          <w:color w:val="000000" w:themeColor="text1"/>
          <w:sz w:val="22"/>
          <w:szCs w:val="22"/>
        </w:rPr>
        <w:lastRenderedPageBreak/>
        <w:t xml:space="preserve">as the Gene Ontology type. REVIGO (Supek et al., 2011) </w:t>
      </w:r>
      <w:proofErr w:type="gramStart"/>
      <w:r w:rsidRPr="003E7C59">
        <w:rPr>
          <w:rFonts w:ascii="Arial" w:hAnsi="Arial" w:cs="Arial"/>
          <w:color w:val="000000" w:themeColor="text1"/>
          <w:sz w:val="22"/>
          <w:szCs w:val="22"/>
        </w:rPr>
        <w:t>was used</w:t>
      </w:r>
      <w:proofErr w:type="gramEnd"/>
      <w:r w:rsidRPr="003E7C59">
        <w:rPr>
          <w:rFonts w:ascii="Arial" w:hAnsi="Arial" w:cs="Arial"/>
          <w:color w:val="000000" w:themeColor="text1"/>
          <w:sz w:val="22"/>
          <w:szCs w:val="22"/>
        </w:rPr>
        <w:t xml:space="preserve"> to summarize and visualize the results of AgriGO. </w:t>
      </w:r>
    </w:p>
    <w:p w14:paraId="3DF5EB4C" w14:textId="77777777" w:rsidR="00FA2989" w:rsidRPr="003E7C59" w:rsidRDefault="00FA2989" w:rsidP="006622F2">
      <w:pPr>
        <w:spacing w:line="360" w:lineRule="auto"/>
        <w:ind w:firstLine="720"/>
        <w:rPr>
          <w:rFonts w:ascii="Arial" w:hAnsi="Arial" w:cs="Arial"/>
          <w:color w:val="000000" w:themeColor="text1"/>
          <w:sz w:val="22"/>
          <w:szCs w:val="22"/>
        </w:rPr>
      </w:pPr>
    </w:p>
    <w:p w14:paraId="20D2DFF8" w14:textId="6213A109" w:rsidR="00B51BF9" w:rsidRPr="003E7C59" w:rsidRDefault="009424CE" w:rsidP="006622F2">
      <w:pPr>
        <w:pStyle w:val="Heading4"/>
        <w:spacing w:before="0"/>
        <w:rPr>
          <w:rStyle w:val="SubtleEmphasis"/>
          <w:rFonts w:ascii="Arial" w:hAnsi="Arial" w:cs="Arial"/>
          <w:i/>
          <w:iCs/>
          <w:color w:val="000000" w:themeColor="text1"/>
          <w:sz w:val="22"/>
          <w:szCs w:val="22"/>
        </w:rPr>
      </w:pPr>
      <w:bookmarkStart w:id="57" w:name="_Toc117166841"/>
      <w:bookmarkStart w:id="58" w:name="_Toc121821927"/>
      <w:r w:rsidRPr="003E7C59">
        <w:rPr>
          <w:rStyle w:val="SubtleEmphasis"/>
          <w:rFonts w:ascii="Arial" w:hAnsi="Arial" w:cs="Arial"/>
          <w:i/>
          <w:iCs/>
          <w:color w:val="000000" w:themeColor="text1"/>
          <w:sz w:val="22"/>
          <w:szCs w:val="22"/>
        </w:rPr>
        <w:t>P</w:t>
      </w:r>
      <w:r w:rsidR="00B51BF9" w:rsidRPr="003E7C59">
        <w:rPr>
          <w:rStyle w:val="SubtleEmphasis"/>
          <w:rFonts w:ascii="Arial" w:hAnsi="Arial" w:cs="Arial"/>
          <w:i/>
          <w:iCs/>
          <w:color w:val="000000" w:themeColor="text1"/>
          <w:sz w:val="22"/>
          <w:szCs w:val="22"/>
        </w:rPr>
        <w:t xml:space="preserve">hylogenetic </w:t>
      </w:r>
      <w:bookmarkEnd w:id="57"/>
      <w:r w:rsidR="00FA2989" w:rsidRPr="003E7C59">
        <w:rPr>
          <w:rStyle w:val="SubtleEmphasis"/>
          <w:rFonts w:ascii="Arial" w:hAnsi="Arial" w:cs="Arial"/>
          <w:i/>
          <w:iCs/>
          <w:color w:val="000000" w:themeColor="text1"/>
          <w:sz w:val="22"/>
          <w:szCs w:val="22"/>
        </w:rPr>
        <w:t>analysis</w:t>
      </w:r>
      <w:r w:rsidRPr="003E7C59">
        <w:rPr>
          <w:rStyle w:val="SubtleEmphasis"/>
          <w:rFonts w:ascii="Arial" w:hAnsi="Arial" w:cs="Arial"/>
          <w:i/>
          <w:iCs/>
          <w:color w:val="000000" w:themeColor="text1"/>
          <w:sz w:val="22"/>
          <w:szCs w:val="22"/>
        </w:rPr>
        <w:t xml:space="preserve"> and conserved motif identification</w:t>
      </w:r>
      <w:bookmarkEnd w:id="58"/>
    </w:p>
    <w:p w14:paraId="6B630A92" w14:textId="77777777" w:rsidR="00FA2989" w:rsidRPr="003E7C59" w:rsidRDefault="00FA2989" w:rsidP="006622F2">
      <w:pPr>
        <w:spacing w:line="360" w:lineRule="auto"/>
        <w:rPr>
          <w:rFonts w:ascii="Arial" w:hAnsi="Arial" w:cs="Arial"/>
          <w:color w:val="000000" w:themeColor="text1"/>
          <w:sz w:val="22"/>
          <w:szCs w:val="22"/>
        </w:rPr>
      </w:pPr>
    </w:p>
    <w:p w14:paraId="3BF0E84B" w14:textId="46B01003"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Phylogenic relationships of selected R2R3-MYB protein sequences associated with phenylpropanoid pathways from different plant species </w:t>
      </w:r>
      <w:proofErr w:type="gramStart"/>
      <w:r w:rsidRPr="003E7C59">
        <w:rPr>
          <w:rFonts w:ascii="Arial" w:hAnsi="Arial" w:cs="Arial"/>
          <w:color w:val="000000" w:themeColor="text1"/>
          <w:sz w:val="22"/>
          <w:szCs w:val="22"/>
        </w:rPr>
        <w:t>were inferred</w:t>
      </w:r>
      <w:proofErr w:type="gramEnd"/>
      <w:r w:rsidRPr="003E7C59">
        <w:rPr>
          <w:rFonts w:ascii="Arial" w:hAnsi="Arial" w:cs="Arial"/>
          <w:color w:val="000000" w:themeColor="text1"/>
          <w:sz w:val="22"/>
          <w:szCs w:val="22"/>
        </w:rPr>
        <w:t xml:space="preserve"> using the</w:t>
      </w:r>
      <w:r w:rsidR="00D969F3" w:rsidRPr="003E7C59">
        <w:rPr>
          <w:rFonts w:ascii="Arial" w:hAnsi="Arial" w:cs="Arial"/>
          <w:color w:val="000000" w:themeColor="text1"/>
          <w:sz w:val="22"/>
          <w:szCs w:val="22"/>
        </w:rPr>
        <w:t xml:space="preserve"> maximum likelihood method </w:t>
      </w:r>
      <w:r w:rsidRPr="003E7C59">
        <w:rPr>
          <w:rFonts w:ascii="Arial" w:hAnsi="Arial" w:cs="Arial"/>
          <w:color w:val="000000" w:themeColor="text1"/>
          <w:sz w:val="22"/>
          <w:szCs w:val="22"/>
        </w:rPr>
        <w:t xml:space="preserve">with </w:t>
      </w:r>
      <w:r w:rsidR="00D969F3" w:rsidRPr="003E7C59">
        <w:rPr>
          <w:rFonts w:ascii="Arial" w:hAnsi="Arial" w:cs="Arial"/>
          <w:color w:val="000000" w:themeColor="text1"/>
          <w:sz w:val="22"/>
          <w:szCs w:val="22"/>
        </w:rPr>
        <w:t>P</w:t>
      </w:r>
      <w:r w:rsidR="00CC6007" w:rsidRPr="003E7C59">
        <w:rPr>
          <w:rFonts w:ascii="Arial" w:hAnsi="Arial" w:cs="Arial"/>
          <w:color w:val="000000" w:themeColor="text1"/>
          <w:sz w:val="22"/>
          <w:szCs w:val="22"/>
        </w:rPr>
        <w:t>hy</w:t>
      </w:r>
      <w:r w:rsidR="00D969F3" w:rsidRPr="003E7C59">
        <w:rPr>
          <w:rFonts w:ascii="Arial" w:hAnsi="Arial" w:cs="Arial"/>
          <w:color w:val="000000" w:themeColor="text1"/>
          <w:sz w:val="22"/>
          <w:szCs w:val="22"/>
        </w:rPr>
        <w:t>ML v3.0</w:t>
      </w:r>
      <w:r w:rsidRPr="003E7C59">
        <w:rPr>
          <w:rFonts w:ascii="Arial" w:hAnsi="Arial" w:cs="Arial"/>
          <w:color w:val="000000" w:themeColor="text1"/>
          <w:sz w:val="22"/>
          <w:szCs w:val="22"/>
        </w:rPr>
        <w:t xml:space="preserve"> (</w:t>
      </w:r>
      <w:r w:rsidR="004C4748" w:rsidRPr="003E7C59">
        <w:rPr>
          <w:rFonts w:ascii="Arial" w:hAnsi="Arial" w:cs="Arial"/>
          <w:color w:val="222222"/>
          <w:sz w:val="22"/>
          <w:szCs w:val="22"/>
          <w:shd w:val="clear" w:color="auto" w:fill="FFFFFF"/>
        </w:rPr>
        <w:t>Guindon et al., 20</w:t>
      </w:r>
      <w:r w:rsidR="00A97166" w:rsidRPr="003E7C59">
        <w:rPr>
          <w:rFonts w:ascii="Arial" w:hAnsi="Arial" w:cs="Arial"/>
          <w:color w:val="222222"/>
          <w:sz w:val="22"/>
          <w:szCs w:val="22"/>
          <w:shd w:val="clear" w:color="auto" w:fill="FFFFFF"/>
        </w:rPr>
        <w:t>10</w:t>
      </w:r>
      <w:r w:rsidRPr="003E7C59">
        <w:rPr>
          <w:rFonts w:ascii="Arial" w:hAnsi="Arial" w:cs="Arial"/>
          <w:color w:val="000000" w:themeColor="text1"/>
          <w:sz w:val="22"/>
          <w:szCs w:val="22"/>
        </w:rPr>
        <w:t xml:space="preserve">). The evolutionary distances were computed using </w:t>
      </w:r>
      <w:r w:rsidR="00590CB9" w:rsidRPr="003E7C59">
        <w:rPr>
          <w:rFonts w:ascii="Arial" w:hAnsi="Arial" w:cs="Arial"/>
          <w:color w:val="000000" w:themeColor="text1"/>
          <w:sz w:val="22"/>
          <w:szCs w:val="22"/>
        </w:rPr>
        <w:t>parsimony</w:t>
      </w:r>
      <w:r w:rsidRPr="003E7C59">
        <w:rPr>
          <w:rFonts w:ascii="Arial" w:hAnsi="Arial" w:cs="Arial"/>
          <w:color w:val="000000" w:themeColor="text1"/>
          <w:sz w:val="22"/>
          <w:szCs w:val="22"/>
        </w:rPr>
        <w:t xml:space="preserve"> method (</w:t>
      </w:r>
      <w:r w:rsidR="006A2B42" w:rsidRPr="003E7C59">
        <w:rPr>
          <w:rFonts w:ascii="Arial" w:hAnsi="Arial" w:cs="Arial"/>
          <w:color w:val="000000" w:themeColor="text1"/>
          <w:sz w:val="22"/>
          <w:szCs w:val="22"/>
        </w:rPr>
        <w:t>Steel et al., 2000</w:t>
      </w:r>
      <w:r w:rsidRPr="003E7C59">
        <w:rPr>
          <w:rFonts w:ascii="Arial" w:hAnsi="Arial" w:cs="Arial"/>
          <w:color w:val="000000" w:themeColor="text1"/>
          <w:sz w:val="22"/>
          <w:szCs w:val="22"/>
        </w:rPr>
        <w:t>) and are in the units of the number of amino acid differences per site. This analysis involved 10</w:t>
      </w:r>
      <w:r w:rsidR="006A2B42" w:rsidRPr="003E7C59">
        <w:rPr>
          <w:rFonts w:ascii="Arial" w:hAnsi="Arial" w:cs="Arial"/>
          <w:color w:val="000000" w:themeColor="text1"/>
          <w:sz w:val="22"/>
          <w:szCs w:val="22"/>
        </w:rPr>
        <w:t>4</w:t>
      </w:r>
      <w:r w:rsidR="00167C4B" w:rsidRPr="003E7C59">
        <w:rPr>
          <w:rFonts w:ascii="Arial" w:hAnsi="Arial" w:cs="Arial"/>
          <w:color w:val="000000" w:themeColor="text1"/>
          <w:sz w:val="22"/>
          <w:szCs w:val="22"/>
        </w:rPr>
        <w:t xml:space="preserve"> translated</w:t>
      </w:r>
      <w:r w:rsidRPr="003E7C59">
        <w:rPr>
          <w:rFonts w:ascii="Arial" w:hAnsi="Arial" w:cs="Arial"/>
          <w:color w:val="000000" w:themeColor="text1"/>
          <w:sz w:val="22"/>
          <w:szCs w:val="22"/>
        </w:rPr>
        <w:t xml:space="preserve"> amino acid sequences and had 768 positions in the final dataset. All ambiguous positions </w:t>
      </w:r>
      <w:proofErr w:type="gramStart"/>
      <w:r w:rsidRPr="003E7C59">
        <w:rPr>
          <w:rFonts w:ascii="Arial" w:hAnsi="Arial" w:cs="Arial"/>
          <w:color w:val="000000" w:themeColor="text1"/>
          <w:sz w:val="22"/>
          <w:szCs w:val="22"/>
        </w:rPr>
        <w:t>were removed</w:t>
      </w:r>
      <w:proofErr w:type="gramEnd"/>
      <w:r w:rsidRPr="003E7C59">
        <w:rPr>
          <w:rFonts w:ascii="Arial" w:hAnsi="Arial" w:cs="Arial"/>
          <w:color w:val="000000" w:themeColor="text1"/>
          <w:sz w:val="22"/>
          <w:szCs w:val="22"/>
        </w:rPr>
        <w:t xml:space="preserve"> for each sequence pair (pairwise deletion option). Bootstrap values </w:t>
      </w:r>
      <w:proofErr w:type="gramStart"/>
      <w:r w:rsidRPr="003E7C59">
        <w:rPr>
          <w:rFonts w:ascii="Arial" w:hAnsi="Arial" w:cs="Arial"/>
          <w:color w:val="000000" w:themeColor="text1"/>
          <w:sz w:val="22"/>
          <w:szCs w:val="22"/>
        </w:rPr>
        <w:t>are shown</w:t>
      </w:r>
      <w:proofErr w:type="gramEnd"/>
      <w:r w:rsidRPr="003E7C59">
        <w:rPr>
          <w:rFonts w:ascii="Arial" w:hAnsi="Arial" w:cs="Arial"/>
          <w:color w:val="000000" w:themeColor="text1"/>
          <w:sz w:val="22"/>
          <w:szCs w:val="22"/>
        </w:rPr>
        <w:t xml:space="preserve"> as percentages (1000 replicates)</w:t>
      </w:r>
      <w:r w:rsidR="006A2B42" w:rsidRPr="003E7C59">
        <w:rPr>
          <w:rFonts w:ascii="Arial" w:hAnsi="Arial" w:cs="Arial"/>
          <w:color w:val="000000" w:themeColor="text1"/>
          <w:sz w:val="22"/>
          <w:szCs w:val="22"/>
        </w:rPr>
        <w:t>.</w:t>
      </w:r>
      <w:r w:rsidR="00B71EB4"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The species and accession numbers of labeled MYB proteins </w:t>
      </w:r>
      <w:proofErr w:type="gramStart"/>
      <w:r w:rsidRPr="003E7C59">
        <w:rPr>
          <w:rFonts w:ascii="Arial" w:hAnsi="Arial" w:cs="Arial"/>
          <w:color w:val="000000" w:themeColor="text1"/>
          <w:sz w:val="22"/>
          <w:szCs w:val="22"/>
        </w:rPr>
        <w:t>are provided</w:t>
      </w:r>
      <w:proofErr w:type="gramEnd"/>
      <w:r w:rsidRPr="003E7C59">
        <w:rPr>
          <w:rFonts w:ascii="Arial" w:hAnsi="Arial" w:cs="Arial"/>
          <w:color w:val="000000" w:themeColor="text1"/>
          <w:sz w:val="22"/>
          <w:szCs w:val="22"/>
        </w:rPr>
        <w:t xml:space="preserve"> in Table 1.2. Multiple expectation maximization for Motif Elicitation (MEME), an online bioinformatic tool (http://memesuite.org/), </w:t>
      </w:r>
      <w:proofErr w:type="gramStart"/>
      <w:r w:rsidRPr="003E7C59">
        <w:rPr>
          <w:rFonts w:ascii="Arial" w:hAnsi="Arial" w:cs="Arial"/>
          <w:color w:val="000000" w:themeColor="text1"/>
          <w:sz w:val="22"/>
          <w:szCs w:val="22"/>
        </w:rPr>
        <w:t>has been used</w:t>
      </w:r>
      <w:proofErr w:type="gramEnd"/>
      <w:r w:rsidRPr="003E7C59">
        <w:rPr>
          <w:rFonts w:ascii="Arial" w:hAnsi="Arial" w:cs="Arial"/>
          <w:color w:val="000000" w:themeColor="text1"/>
          <w:sz w:val="22"/>
          <w:szCs w:val="22"/>
        </w:rPr>
        <w:t xml:space="preserve"> to search for characterized distinctive motifs in MYB repressors, such as EAR with conserved sequence LxLxL and SID interacting motif containing GY/FDFLGL conserved sequence. The species and accession numbers of R2R3-MYB repressor proteins </w:t>
      </w:r>
      <w:proofErr w:type="gramStart"/>
      <w:r w:rsidRPr="003E7C59">
        <w:rPr>
          <w:rFonts w:ascii="Arial" w:hAnsi="Arial" w:cs="Arial"/>
          <w:color w:val="000000" w:themeColor="text1"/>
          <w:sz w:val="22"/>
          <w:szCs w:val="22"/>
        </w:rPr>
        <w:t>are given</w:t>
      </w:r>
      <w:proofErr w:type="gramEnd"/>
      <w:r w:rsidRPr="003E7C59">
        <w:rPr>
          <w:rFonts w:ascii="Arial" w:hAnsi="Arial" w:cs="Arial"/>
          <w:color w:val="000000" w:themeColor="text1"/>
          <w:sz w:val="22"/>
          <w:szCs w:val="22"/>
        </w:rPr>
        <w:t xml:space="preserve"> in Table 1.3.</w:t>
      </w:r>
    </w:p>
    <w:p w14:paraId="240C55A5" w14:textId="77777777" w:rsidR="00B51BF9" w:rsidRPr="003E7C59" w:rsidRDefault="00B51BF9" w:rsidP="006622F2">
      <w:pPr>
        <w:spacing w:line="360" w:lineRule="auto"/>
        <w:ind w:firstLine="720"/>
        <w:rPr>
          <w:rFonts w:ascii="Arial" w:hAnsi="Arial" w:cs="Arial"/>
          <w:color w:val="000000" w:themeColor="text1"/>
          <w:sz w:val="22"/>
          <w:szCs w:val="22"/>
        </w:rPr>
      </w:pPr>
    </w:p>
    <w:p w14:paraId="083E70F6"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59" w:name="_Toc117166842"/>
      <w:bookmarkStart w:id="60" w:name="_Toc121821928"/>
      <w:r w:rsidRPr="003E7C59">
        <w:rPr>
          <w:rStyle w:val="SubtleEmphasis"/>
          <w:rFonts w:ascii="Arial" w:hAnsi="Arial" w:cs="Arial"/>
          <w:i/>
          <w:iCs/>
          <w:color w:val="000000" w:themeColor="text1"/>
          <w:sz w:val="22"/>
          <w:szCs w:val="22"/>
        </w:rPr>
        <w:t>Reverse Transcription Quantitative PCR (RT-qPCR)</w:t>
      </w:r>
      <w:bookmarkEnd w:id="59"/>
      <w:bookmarkEnd w:id="60"/>
    </w:p>
    <w:p w14:paraId="765FF737" w14:textId="77777777" w:rsidR="00E26510" w:rsidRPr="003E7C59" w:rsidRDefault="00E26510" w:rsidP="006622F2">
      <w:pPr>
        <w:spacing w:line="360" w:lineRule="auto"/>
        <w:rPr>
          <w:rFonts w:ascii="Arial" w:hAnsi="Arial" w:cs="Arial"/>
          <w:color w:val="000000" w:themeColor="text1"/>
          <w:sz w:val="22"/>
          <w:szCs w:val="22"/>
        </w:rPr>
      </w:pPr>
    </w:p>
    <w:p w14:paraId="7C46CD7A" w14:textId="2BD5333D" w:rsidR="00B51BF9" w:rsidRPr="003E7C59" w:rsidRDefault="005A54E2"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Bracts were collected from three cultivars of </w:t>
      </w:r>
      <w:r w:rsidRPr="003E7C59">
        <w:rPr>
          <w:rFonts w:ascii="Arial" w:hAnsi="Arial" w:cs="Arial"/>
          <w:i/>
          <w:iCs/>
          <w:color w:val="000000" w:themeColor="text1"/>
          <w:sz w:val="22"/>
          <w:szCs w:val="22"/>
        </w:rPr>
        <w:t>C. florida</w:t>
      </w:r>
      <w:r w:rsidRPr="003E7C59">
        <w:rPr>
          <w:rFonts w:ascii="Arial" w:hAnsi="Arial" w:cs="Arial"/>
          <w:color w:val="000000" w:themeColor="text1"/>
          <w:sz w:val="22"/>
          <w:szCs w:val="22"/>
        </w:rPr>
        <w:t xml:space="preserve"> and two cultivars of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kousa </w:t>
      </w:r>
      <w:r w:rsidRPr="003E7C59">
        <w:rPr>
          <w:rFonts w:ascii="Arial" w:hAnsi="Arial" w:cs="Arial"/>
          <w:color w:val="000000" w:themeColor="text1"/>
          <w:sz w:val="22"/>
          <w:szCs w:val="22"/>
        </w:rPr>
        <w:t>one week after emergence, followed by bract collection two and four weeks after emergence</w:t>
      </w:r>
      <w:r w:rsidR="00B51BF9" w:rsidRPr="003E7C59">
        <w:rPr>
          <w:rFonts w:ascii="Arial" w:hAnsi="Arial" w:cs="Arial"/>
          <w:color w:val="000000" w:themeColor="text1"/>
          <w:sz w:val="22"/>
          <w:szCs w:val="22"/>
        </w:rPr>
        <w:t xml:space="preserve">. Samples </w:t>
      </w:r>
      <w:proofErr w:type="gramStart"/>
      <w:r w:rsidR="00B51BF9" w:rsidRPr="003E7C59">
        <w:rPr>
          <w:rFonts w:ascii="Arial" w:hAnsi="Arial" w:cs="Arial"/>
          <w:color w:val="000000" w:themeColor="text1"/>
          <w:sz w:val="22"/>
          <w:szCs w:val="22"/>
        </w:rPr>
        <w:t>were collected</w:t>
      </w:r>
      <w:proofErr w:type="gramEnd"/>
      <w:r w:rsidR="00B51BF9" w:rsidRPr="003E7C59">
        <w:rPr>
          <w:rFonts w:ascii="Arial" w:hAnsi="Arial" w:cs="Arial"/>
          <w:color w:val="000000" w:themeColor="text1"/>
          <w:sz w:val="22"/>
          <w:szCs w:val="22"/>
        </w:rPr>
        <w:t xml:space="preserve"> during the flowering period for three consecutive years (April 2019 – May 2021). Three biological replicates </w:t>
      </w:r>
      <w:proofErr w:type="gramStart"/>
      <w:r w:rsidR="00B51BF9" w:rsidRPr="003E7C59">
        <w:rPr>
          <w:rFonts w:ascii="Arial" w:hAnsi="Arial" w:cs="Arial"/>
          <w:color w:val="000000" w:themeColor="text1"/>
          <w:sz w:val="22"/>
          <w:szCs w:val="22"/>
        </w:rPr>
        <w:t>were used</w:t>
      </w:r>
      <w:proofErr w:type="gramEnd"/>
      <w:r w:rsidR="00B51BF9" w:rsidRPr="003E7C59">
        <w:rPr>
          <w:rFonts w:ascii="Arial" w:hAnsi="Arial" w:cs="Arial"/>
          <w:color w:val="000000" w:themeColor="text1"/>
          <w:sz w:val="22"/>
          <w:szCs w:val="22"/>
        </w:rPr>
        <w:t xml:space="preserve"> for each time point collection. </w:t>
      </w:r>
      <w:proofErr w:type="gramStart"/>
      <w:r w:rsidR="00B51BF9" w:rsidRPr="003E7C59">
        <w:rPr>
          <w:rFonts w:ascii="Arial" w:hAnsi="Arial" w:cs="Arial"/>
          <w:color w:val="000000" w:themeColor="text1"/>
          <w:sz w:val="22"/>
          <w:szCs w:val="22"/>
        </w:rPr>
        <w:t>cDNA</w:t>
      </w:r>
      <w:proofErr w:type="gramEnd"/>
      <w:r w:rsidR="00B51BF9" w:rsidRPr="003E7C59">
        <w:rPr>
          <w:rFonts w:ascii="Arial" w:hAnsi="Arial" w:cs="Arial"/>
          <w:color w:val="000000" w:themeColor="text1"/>
          <w:sz w:val="22"/>
          <w:szCs w:val="22"/>
        </w:rPr>
        <w:t xml:space="preserve"> was prepared from the total RNA extracted</w:t>
      </w:r>
      <w:sdt>
        <w:sdtPr>
          <w:rPr>
            <w:rFonts w:ascii="Arial" w:hAnsi="Arial" w:cs="Arial"/>
            <w:color w:val="000000" w:themeColor="text1"/>
            <w:sz w:val="22"/>
            <w:szCs w:val="22"/>
          </w:rPr>
          <w:tag w:val="goog_rdk_50"/>
          <w:id w:val="-1328902944"/>
        </w:sdtPr>
        <w:sdtEndPr/>
        <w:sdtContent>
          <w:r w:rsidR="00B51BF9" w:rsidRPr="003E7C59">
            <w:rPr>
              <w:rFonts w:ascii="Arial" w:hAnsi="Arial" w:cs="Arial"/>
              <w:color w:val="000000" w:themeColor="text1"/>
              <w:sz w:val="22"/>
              <w:szCs w:val="22"/>
            </w:rPr>
            <w:t xml:space="preserve"> from all samples</w:t>
          </w:r>
        </w:sdtContent>
      </w:sdt>
      <w:r w:rsidR="00B51BF9" w:rsidRPr="003E7C59">
        <w:rPr>
          <w:rFonts w:ascii="Arial" w:hAnsi="Arial" w:cs="Arial"/>
          <w:color w:val="000000" w:themeColor="text1"/>
          <w:sz w:val="22"/>
          <w:szCs w:val="22"/>
        </w:rPr>
        <w:t>, as previously described (GeneAll Biotechnology)</w:t>
      </w:r>
      <w:sdt>
        <w:sdtPr>
          <w:rPr>
            <w:rFonts w:ascii="Arial" w:hAnsi="Arial" w:cs="Arial"/>
            <w:color w:val="000000" w:themeColor="text1"/>
            <w:sz w:val="22"/>
            <w:szCs w:val="22"/>
          </w:rPr>
          <w:tag w:val="goog_rdk_52"/>
          <w:id w:val="1939565268"/>
        </w:sdtPr>
        <w:sdtEndPr/>
        <w:sdtContent>
          <w:r w:rsidR="00B51BF9" w:rsidRPr="003E7C59">
            <w:rPr>
              <w:rFonts w:ascii="Arial" w:hAnsi="Arial" w:cs="Arial"/>
              <w:color w:val="000000" w:themeColor="text1"/>
              <w:sz w:val="22"/>
              <w:szCs w:val="22"/>
            </w:rPr>
            <w:t xml:space="preserve">, </w:t>
          </w:r>
        </w:sdtContent>
      </w:sdt>
      <w:r w:rsidR="00B51BF9" w:rsidRPr="003E7C59">
        <w:rPr>
          <w:rFonts w:ascii="Arial" w:hAnsi="Arial" w:cs="Arial"/>
          <w:color w:val="000000" w:themeColor="text1"/>
          <w:sz w:val="22"/>
          <w:szCs w:val="22"/>
        </w:rPr>
        <w:t xml:space="preserve">using qScript ™ cDNA SuperMix (Quantabio, Beverly, MA, USA) according to the manufacturer's instructions. Primers for the </w:t>
      </w:r>
      <w:r w:rsidR="00A834A0" w:rsidRPr="003E7C59">
        <w:rPr>
          <w:rFonts w:ascii="Arial" w:hAnsi="Arial" w:cs="Arial"/>
          <w:color w:val="000000" w:themeColor="text1"/>
          <w:sz w:val="22"/>
          <w:szCs w:val="22"/>
        </w:rPr>
        <w:t>five</w:t>
      </w:r>
      <w:r w:rsidR="00B51BF9" w:rsidRPr="003E7C59">
        <w:rPr>
          <w:rFonts w:ascii="Arial" w:hAnsi="Arial" w:cs="Arial"/>
          <w:color w:val="000000" w:themeColor="text1"/>
          <w:sz w:val="22"/>
          <w:szCs w:val="22"/>
        </w:rPr>
        <w:t xml:space="preserve"> consistently up-or downregulated candidate regulatory and</w:t>
      </w:r>
      <w:r w:rsidR="005B0074" w:rsidRPr="003E7C59">
        <w:rPr>
          <w:rFonts w:ascii="Arial" w:hAnsi="Arial" w:cs="Arial"/>
          <w:color w:val="000000" w:themeColor="text1"/>
          <w:sz w:val="22"/>
          <w:szCs w:val="22"/>
        </w:rPr>
        <w:t xml:space="preserve"> five consistently up-or downregulated candidate</w:t>
      </w:r>
      <w:r w:rsidR="00B51BF9" w:rsidRPr="003E7C59">
        <w:rPr>
          <w:rFonts w:ascii="Arial" w:hAnsi="Arial" w:cs="Arial"/>
          <w:color w:val="000000" w:themeColor="text1"/>
          <w:sz w:val="22"/>
          <w:szCs w:val="22"/>
        </w:rPr>
        <w:t xml:space="preserve"> structural genes were designed based on </w:t>
      </w:r>
      <w:r w:rsidR="00B51BF9" w:rsidRPr="003E7C59">
        <w:rPr>
          <w:rFonts w:ascii="Arial" w:hAnsi="Arial" w:cs="Arial"/>
          <w:i/>
          <w:iCs/>
          <w:color w:val="000000" w:themeColor="text1"/>
          <w:sz w:val="22"/>
          <w:szCs w:val="22"/>
        </w:rPr>
        <w:t xml:space="preserve">C. </w:t>
      </w:r>
      <w:proofErr w:type="gramStart"/>
      <w:r w:rsidR="00B51BF9" w:rsidRPr="003E7C59">
        <w:rPr>
          <w:rFonts w:ascii="Arial" w:hAnsi="Arial" w:cs="Arial"/>
          <w:i/>
          <w:iCs/>
          <w:color w:val="000000" w:themeColor="text1"/>
          <w:sz w:val="22"/>
          <w:szCs w:val="22"/>
        </w:rPr>
        <w:t>florida</w:t>
      </w:r>
      <w:proofErr w:type="gramEnd"/>
      <w:r w:rsidR="00B51BF9" w:rsidRPr="003E7C59">
        <w:rPr>
          <w:rFonts w:ascii="Arial" w:hAnsi="Arial" w:cs="Arial"/>
          <w:color w:val="000000" w:themeColor="text1"/>
          <w:sz w:val="22"/>
          <w:szCs w:val="22"/>
        </w:rPr>
        <w:t xml:space="preserve"> and </w:t>
      </w:r>
      <w:r w:rsidR="00B51BF9" w:rsidRPr="003E7C59">
        <w:rPr>
          <w:rFonts w:ascii="Arial" w:hAnsi="Arial" w:cs="Arial"/>
          <w:i/>
          <w:iCs/>
          <w:color w:val="000000" w:themeColor="text1"/>
          <w:sz w:val="22"/>
          <w:szCs w:val="22"/>
        </w:rPr>
        <w:t>C. kousa</w:t>
      </w:r>
      <w:r w:rsidR="00B51BF9" w:rsidRPr="003E7C59">
        <w:rPr>
          <w:rFonts w:ascii="Arial" w:hAnsi="Arial" w:cs="Arial"/>
          <w:color w:val="000000" w:themeColor="text1"/>
          <w:sz w:val="22"/>
          <w:szCs w:val="22"/>
        </w:rPr>
        <w:t xml:space="preserve"> sequences, respectively (Table 1.1). Primers </w:t>
      </w:r>
      <w:proofErr w:type="gramStart"/>
      <w:r w:rsidR="00B51BF9" w:rsidRPr="003E7C59">
        <w:rPr>
          <w:rFonts w:ascii="Arial" w:hAnsi="Arial" w:cs="Arial"/>
          <w:color w:val="000000" w:themeColor="text1"/>
          <w:sz w:val="22"/>
          <w:szCs w:val="22"/>
        </w:rPr>
        <w:t>were designed</w:t>
      </w:r>
      <w:proofErr w:type="gramEnd"/>
      <w:r w:rsidR="00B51BF9" w:rsidRPr="003E7C59">
        <w:rPr>
          <w:rFonts w:ascii="Arial" w:hAnsi="Arial" w:cs="Arial"/>
          <w:color w:val="000000" w:themeColor="text1"/>
          <w:sz w:val="22"/>
          <w:szCs w:val="22"/>
        </w:rPr>
        <w:t xml:space="preserve"> using Primer-BLAST NCBI Genbank with amplification lengths between 70 and 200 bp (Table 1.1). Samples </w:t>
      </w:r>
      <w:proofErr w:type="gramStart"/>
      <w:r w:rsidR="00B51BF9" w:rsidRPr="003E7C59">
        <w:rPr>
          <w:rFonts w:ascii="Arial" w:hAnsi="Arial" w:cs="Arial"/>
          <w:color w:val="000000" w:themeColor="text1"/>
          <w:sz w:val="22"/>
          <w:szCs w:val="22"/>
        </w:rPr>
        <w:t>were subjected</w:t>
      </w:r>
      <w:proofErr w:type="gramEnd"/>
      <w:r w:rsidR="00B51BF9" w:rsidRPr="003E7C59">
        <w:rPr>
          <w:rFonts w:ascii="Arial" w:hAnsi="Arial" w:cs="Arial"/>
          <w:color w:val="000000" w:themeColor="text1"/>
          <w:sz w:val="22"/>
          <w:szCs w:val="22"/>
        </w:rPr>
        <w:t xml:space="preserve"> to PerfeCTa SYBR Green Fast Mix (Quantabio, Beverly, MA, USA). A reaction volume of 20 μl contained 1μl of previously diluted cDNA (1:10), </w:t>
      </w:r>
      <w:proofErr w:type="gramStart"/>
      <w:r w:rsidR="00B51BF9" w:rsidRPr="003E7C59">
        <w:rPr>
          <w:rFonts w:ascii="Arial" w:hAnsi="Arial" w:cs="Arial"/>
          <w:color w:val="000000" w:themeColor="text1"/>
          <w:sz w:val="22"/>
          <w:szCs w:val="22"/>
        </w:rPr>
        <w:t>2</w:t>
      </w:r>
      <w:proofErr w:type="gramEnd"/>
      <w:r w:rsidR="00B51BF9" w:rsidRPr="003E7C59">
        <w:rPr>
          <w:rFonts w:ascii="Arial" w:hAnsi="Arial" w:cs="Arial"/>
          <w:color w:val="000000" w:themeColor="text1"/>
          <w:sz w:val="22"/>
          <w:szCs w:val="22"/>
        </w:rPr>
        <w:t xml:space="preserve"> μl of gene-specific primers (1 μM each), and 12 μl of SYBR Green Fast Mix. RT-qPCR experiments were performed on QuantStudio™ 6 Flex (Applied Biosystems, Waltham, MA, USA), and the program </w:t>
      </w:r>
      <w:r w:rsidR="00B51BF9" w:rsidRPr="003E7C59">
        <w:rPr>
          <w:rFonts w:ascii="Arial" w:hAnsi="Arial" w:cs="Arial"/>
          <w:color w:val="000000" w:themeColor="text1"/>
          <w:sz w:val="22"/>
          <w:szCs w:val="22"/>
        </w:rPr>
        <w:lastRenderedPageBreak/>
        <w:t xml:space="preserve">was run for 40 cycles, each consisting of 15 s at 95 °C and 1 min at 60 °C. Expression levels of mRNAs of interest </w:t>
      </w:r>
      <w:proofErr w:type="gramStart"/>
      <w:r w:rsidR="00B51BF9" w:rsidRPr="003E7C59">
        <w:rPr>
          <w:rFonts w:ascii="Arial" w:hAnsi="Arial" w:cs="Arial"/>
          <w:color w:val="000000" w:themeColor="text1"/>
          <w:sz w:val="22"/>
          <w:szCs w:val="22"/>
        </w:rPr>
        <w:t>were normalized</w:t>
      </w:r>
      <w:proofErr w:type="gramEnd"/>
      <w:r w:rsidR="00B51BF9" w:rsidRPr="003E7C59">
        <w:rPr>
          <w:rFonts w:ascii="Arial" w:hAnsi="Arial" w:cs="Arial"/>
          <w:color w:val="000000" w:themeColor="text1"/>
          <w:sz w:val="22"/>
          <w:szCs w:val="22"/>
        </w:rPr>
        <w:t xml:space="preserve"> for the Glyceraldehyde 3-phosphate dehydrogenase (GAPDH) RNA levels. All samples </w:t>
      </w:r>
      <w:proofErr w:type="gramStart"/>
      <w:r w:rsidR="00B51BF9" w:rsidRPr="003E7C59">
        <w:rPr>
          <w:rFonts w:ascii="Arial" w:hAnsi="Arial" w:cs="Arial"/>
          <w:color w:val="000000" w:themeColor="text1"/>
          <w:sz w:val="22"/>
          <w:szCs w:val="22"/>
        </w:rPr>
        <w:t>were run</w:t>
      </w:r>
      <w:proofErr w:type="gramEnd"/>
      <w:r w:rsidR="00B51BF9" w:rsidRPr="003E7C59">
        <w:rPr>
          <w:rFonts w:ascii="Arial" w:hAnsi="Arial" w:cs="Arial"/>
          <w:color w:val="000000" w:themeColor="text1"/>
          <w:sz w:val="22"/>
          <w:szCs w:val="22"/>
        </w:rPr>
        <w:t xml:space="preserve"> in three technical replicates, and no-template controls were included in all plates. </w:t>
      </w:r>
      <w:sdt>
        <w:sdtPr>
          <w:rPr>
            <w:rFonts w:ascii="Arial" w:hAnsi="Arial" w:cs="Arial"/>
            <w:color w:val="000000" w:themeColor="text1"/>
            <w:sz w:val="22"/>
            <w:szCs w:val="22"/>
          </w:rPr>
          <w:tag w:val="goog_rdk_57"/>
          <w:id w:val="1215229793"/>
        </w:sdtPr>
        <w:sdtEndPr/>
        <w:sdtContent/>
      </w:sdt>
    </w:p>
    <w:p w14:paraId="4345C92A" w14:textId="77777777" w:rsidR="00B51BF9" w:rsidRPr="003E7C59" w:rsidRDefault="00B51BF9" w:rsidP="006622F2">
      <w:pPr>
        <w:pStyle w:val="Heading3"/>
        <w:spacing w:line="360" w:lineRule="auto"/>
        <w:rPr>
          <w:rFonts w:ascii="Arial" w:hAnsi="Arial" w:cs="Arial"/>
          <w:color w:val="000000" w:themeColor="text1"/>
          <w:sz w:val="22"/>
          <w:szCs w:val="22"/>
        </w:rPr>
      </w:pPr>
      <w:bookmarkStart w:id="61" w:name="_Toc117166843"/>
      <w:bookmarkStart w:id="62" w:name="_Toc121821929"/>
      <w:r w:rsidRPr="003E7C59">
        <w:rPr>
          <w:rFonts w:ascii="Arial" w:hAnsi="Arial" w:cs="Arial"/>
          <w:color w:val="000000" w:themeColor="text1"/>
          <w:sz w:val="22"/>
          <w:szCs w:val="22"/>
        </w:rPr>
        <w:t>Results</w:t>
      </w:r>
      <w:bookmarkEnd w:id="61"/>
      <w:bookmarkEnd w:id="62"/>
      <w:r w:rsidRPr="003E7C59">
        <w:rPr>
          <w:rFonts w:ascii="Arial" w:hAnsi="Arial" w:cs="Arial"/>
          <w:color w:val="000000" w:themeColor="text1"/>
          <w:sz w:val="22"/>
          <w:szCs w:val="22"/>
        </w:rPr>
        <w:t xml:space="preserve"> </w:t>
      </w:r>
    </w:p>
    <w:p w14:paraId="6743363C"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63" w:name="_Toc117166844"/>
      <w:bookmarkStart w:id="64" w:name="_Toc121821930"/>
      <w:r w:rsidRPr="003E7C59">
        <w:rPr>
          <w:rStyle w:val="SubtleEmphasis"/>
          <w:rFonts w:ascii="Arial" w:hAnsi="Arial" w:cs="Arial"/>
          <w:i/>
          <w:iCs/>
          <w:color w:val="000000" w:themeColor="text1"/>
          <w:sz w:val="22"/>
          <w:szCs w:val="22"/>
        </w:rPr>
        <w:t>Plant Materials Bract Color Variation</w:t>
      </w:r>
      <w:bookmarkEnd w:id="63"/>
      <w:bookmarkEnd w:id="64"/>
    </w:p>
    <w:p w14:paraId="18847DCE" w14:textId="77777777" w:rsidR="00B51BF9" w:rsidRPr="003E7C59" w:rsidRDefault="00B51BF9" w:rsidP="006622F2">
      <w:pPr>
        <w:pStyle w:val="Heading4"/>
        <w:rPr>
          <w:rStyle w:val="SubtleEmphasis"/>
          <w:rFonts w:ascii="Arial" w:hAnsi="Arial" w:cs="Arial"/>
          <w:i/>
          <w:iCs/>
          <w:color w:val="000000" w:themeColor="text1"/>
          <w:sz w:val="22"/>
          <w:szCs w:val="22"/>
        </w:rPr>
      </w:pPr>
      <w:r w:rsidRPr="003E7C59">
        <w:rPr>
          <w:rStyle w:val="SubtleEmphasis"/>
          <w:rFonts w:ascii="Arial" w:hAnsi="Arial" w:cs="Arial"/>
          <w:i/>
          <w:iCs/>
          <w:color w:val="000000" w:themeColor="text1"/>
          <w:sz w:val="22"/>
          <w:szCs w:val="22"/>
        </w:rPr>
        <w:t xml:space="preserve"> </w:t>
      </w:r>
    </w:p>
    <w:p w14:paraId="2DDB11CB" w14:textId="00D75479"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The variation in anthocyanins content and color intensity in flowering and Asian dogwood cultivars depended on the season, climate, and stage of plant development. Among </w:t>
      </w:r>
      <w:r w:rsidRPr="003E7C59">
        <w:rPr>
          <w:rFonts w:ascii="Arial" w:hAnsi="Arial" w:cs="Arial"/>
          <w:i/>
          <w:iCs/>
          <w:color w:val="000000" w:themeColor="text1"/>
          <w:sz w:val="22"/>
          <w:szCs w:val="22"/>
        </w:rPr>
        <w:t>C. florida</w:t>
      </w:r>
      <w:r w:rsidRPr="003E7C59">
        <w:rPr>
          <w:rFonts w:ascii="Arial" w:hAnsi="Arial" w:cs="Arial"/>
          <w:color w:val="000000" w:themeColor="text1"/>
          <w:sz w:val="22"/>
          <w:szCs w:val="22"/>
        </w:rPr>
        <w:t xml:space="preserve"> red-bracted cultivars used in this study, 'Cherokee Chief' mature bracts exhibited the deepest rose-red blooms with beige to pale green edges and highlights in the center (Figure 1.1. </w:t>
      </w:r>
      <w:r w:rsidR="00C203F6" w:rsidRPr="003E7C59">
        <w:rPr>
          <w:rFonts w:ascii="Arial" w:hAnsi="Arial" w:cs="Arial"/>
          <w:color w:val="000000" w:themeColor="text1"/>
          <w:sz w:val="22"/>
          <w:szCs w:val="22"/>
        </w:rPr>
        <w:t>B</w:t>
      </w:r>
      <w:r w:rsidRPr="003E7C59">
        <w:rPr>
          <w:rFonts w:ascii="Arial" w:hAnsi="Arial" w:cs="Arial"/>
          <w:color w:val="000000" w:themeColor="text1"/>
          <w:sz w:val="22"/>
          <w:szCs w:val="22"/>
        </w:rPr>
        <w:t xml:space="preserve">). 'Cherokee Brave' displayed reddish-pink bracts with a pale green center, which was prevalent in the early stages of development (Figure 1.1. </w:t>
      </w:r>
      <w:r w:rsidR="00C203F6" w:rsidRPr="003E7C59">
        <w:rPr>
          <w:rFonts w:ascii="Arial" w:hAnsi="Arial" w:cs="Arial"/>
          <w:color w:val="000000" w:themeColor="text1"/>
          <w:sz w:val="22"/>
          <w:szCs w:val="22"/>
        </w:rPr>
        <w:t>C</w:t>
      </w:r>
      <w:r w:rsidRPr="003E7C59">
        <w:rPr>
          <w:rFonts w:ascii="Arial" w:hAnsi="Arial" w:cs="Arial"/>
          <w:color w:val="000000" w:themeColor="text1"/>
          <w:sz w:val="22"/>
          <w:szCs w:val="22"/>
        </w:rPr>
        <w:t>). 'Cloud Nine' was the only pure white-bracted cultivar, which occasionally had dark purple</w:t>
      </w:r>
      <w:r w:rsidR="00C94072" w:rsidRPr="003E7C59">
        <w:rPr>
          <w:rFonts w:ascii="Arial" w:hAnsi="Arial" w:cs="Arial"/>
          <w:color w:val="000000" w:themeColor="text1"/>
          <w:sz w:val="22"/>
          <w:szCs w:val="22"/>
        </w:rPr>
        <w:t xml:space="preserve"> notches</w:t>
      </w:r>
      <w:r w:rsidRPr="003E7C59">
        <w:rPr>
          <w:rFonts w:ascii="Arial" w:hAnsi="Arial" w:cs="Arial"/>
          <w:color w:val="000000" w:themeColor="text1"/>
          <w:sz w:val="22"/>
          <w:szCs w:val="22"/>
        </w:rPr>
        <w:t xml:space="preserve"> </w:t>
      </w:r>
      <w:r w:rsidR="00C94072"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Figure 1.1. A). Asian dogwood cultivar 'Rosy Teacups' (Figure 1.1. E) </w:t>
      </w:r>
      <w:proofErr w:type="gramStart"/>
      <w:r w:rsidRPr="003E7C59">
        <w:rPr>
          <w:rFonts w:ascii="Arial" w:hAnsi="Arial" w:cs="Arial"/>
          <w:color w:val="000000" w:themeColor="text1"/>
          <w:sz w:val="22"/>
          <w:szCs w:val="22"/>
        </w:rPr>
        <w:t>manifested</w:t>
      </w:r>
      <w:proofErr w:type="gramEnd"/>
      <w:r w:rsidRPr="003E7C59">
        <w:rPr>
          <w:rFonts w:ascii="Arial" w:hAnsi="Arial" w:cs="Arial"/>
          <w:color w:val="000000" w:themeColor="text1"/>
          <w:sz w:val="22"/>
          <w:szCs w:val="22"/>
        </w:rPr>
        <w:t xml:space="preserve"> light to medium pink bracts, whereas 'Greensleeves' (Figure 1.1. D) </w:t>
      </w:r>
      <w:proofErr w:type="gramStart"/>
      <w:r w:rsidRPr="003E7C59">
        <w:rPr>
          <w:rFonts w:ascii="Arial" w:hAnsi="Arial" w:cs="Arial"/>
          <w:color w:val="000000" w:themeColor="text1"/>
          <w:sz w:val="22"/>
          <w:szCs w:val="22"/>
        </w:rPr>
        <w:t>produced</w:t>
      </w:r>
      <w:proofErr w:type="gramEnd"/>
      <w:r w:rsidRPr="003E7C59">
        <w:rPr>
          <w:rFonts w:ascii="Arial" w:hAnsi="Arial" w:cs="Arial"/>
          <w:color w:val="000000" w:themeColor="text1"/>
          <w:sz w:val="22"/>
          <w:szCs w:val="22"/>
        </w:rPr>
        <w:t xml:space="preserve"> white bracts with green to creamy highlights. </w:t>
      </w:r>
    </w:p>
    <w:p w14:paraId="484656F0" w14:textId="77777777" w:rsidR="00B51BF9" w:rsidRPr="003E7C59" w:rsidRDefault="00B51BF9" w:rsidP="006622F2">
      <w:pPr>
        <w:spacing w:line="360" w:lineRule="auto"/>
        <w:ind w:firstLine="720"/>
        <w:rPr>
          <w:rFonts w:ascii="Arial" w:hAnsi="Arial" w:cs="Arial"/>
          <w:color w:val="000000" w:themeColor="text1"/>
          <w:sz w:val="22"/>
          <w:szCs w:val="22"/>
        </w:rPr>
      </w:pPr>
    </w:p>
    <w:p w14:paraId="4D8205E3"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65" w:name="_Toc117166845"/>
      <w:bookmarkStart w:id="66" w:name="_Toc121821931"/>
      <w:r w:rsidRPr="003E7C59">
        <w:rPr>
          <w:rStyle w:val="SubtleEmphasis"/>
          <w:rFonts w:ascii="Arial" w:hAnsi="Arial" w:cs="Arial"/>
          <w:i/>
          <w:iCs/>
          <w:color w:val="000000" w:themeColor="text1"/>
          <w:sz w:val="22"/>
          <w:szCs w:val="22"/>
        </w:rPr>
        <w:t>RNA sequencing and alignment</w:t>
      </w:r>
      <w:bookmarkEnd w:id="65"/>
      <w:bookmarkEnd w:id="66"/>
      <w:r w:rsidRPr="003E7C59">
        <w:rPr>
          <w:rStyle w:val="SubtleEmphasis"/>
          <w:rFonts w:ascii="Arial" w:hAnsi="Arial" w:cs="Arial"/>
          <w:i/>
          <w:iCs/>
          <w:color w:val="000000" w:themeColor="text1"/>
          <w:sz w:val="22"/>
          <w:szCs w:val="22"/>
        </w:rPr>
        <w:t xml:space="preserve"> </w:t>
      </w:r>
    </w:p>
    <w:p w14:paraId="1028A0FF" w14:textId="77777777" w:rsidR="00B51BF9" w:rsidRPr="003E7C59" w:rsidRDefault="00B51BF9" w:rsidP="006622F2">
      <w:pPr>
        <w:rPr>
          <w:rFonts w:ascii="Arial" w:hAnsi="Arial" w:cs="Arial"/>
          <w:color w:val="000000" w:themeColor="text1"/>
          <w:sz w:val="22"/>
          <w:szCs w:val="22"/>
        </w:rPr>
      </w:pPr>
    </w:p>
    <w:p w14:paraId="01B50DB7" w14:textId="02E1C713"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RNA-Seq was performed with individual libraries for each set of bracts collected from each tree, yielding </w:t>
      </w:r>
      <w:sdt>
        <w:sdtPr>
          <w:rPr>
            <w:rFonts w:ascii="Arial" w:hAnsi="Arial" w:cs="Arial"/>
            <w:color w:val="000000" w:themeColor="text1"/>
            <w:sz w:val="22"/>
            <w:szCs w:val="22"/>
          </w:rPr>
          <w:tag w:val="goog_rdk_61"/>
          <w:id w:val="101768097"/>
        </w:sdtPr>
        <w:sdtEndPr/>
        <w:sdtContent/>
      </w:sdt>
      <w:r w:rsidRPr="003E7C59">
        <w:rPr>
          <w:rFonts w:ascii="Calibri" w:hAnsi="Calibri" w:cs="Calibri"/>
          <w:color w:val="000000" w:themeColor="text1"/>
          <w:sz w:val="22"/>
          <w:szCs w:val="22"/>
        </w:rPr>
        <w:t>﻿</w:t>
      </w:r>
      <w:r w:rsidRPr="003E7C59">
        <w:rPr>
          <w:rFonts w:ascii="Cambria Math" w:eastAsia="Cambria Math" w:hAnsi="Cambria Math" w:cs="Cambria Math"/>
          <w:color w:val="000000" w:themeColor="text1"/>
          <w:sz w:val="22"/>
          <w:szCs w:val="22"/>
        </w:rPr>
        <w:t>∼</w:t>
      </w:r>
      <w:r w:rsidRPr="003E7C59">
        <w:rPr>
          <w:rFonts w:ascii="Arial" w:hAnsi="Arial" w:cs="Arial"/>
          <w:color w:val="000000" w:themeColor="text1"/>
          <w:sz w:val="22"/>
          <w:szCs w:val="22"/>
        </w:rPr>
        <w:t xml:space="preserve">28 million </w:t>
      </w:r>
      <w:proofErr w:type="gramStart"/>
      <w:r w:rsidRPr="003E7C59">
        <w:rPr>
          <w:rFonts w:ascii="Arial" w:hAnsi="Arial" w:cs="Arial"/>
          <w:color w:val="000000" w:themeColor="text1"/>
          <w:sz w:val="22"/>
          <w:szCs w:val="22"/>
        </w:rPr>
        <w:t xml:space="preserve">to </w:t>
      </w:r>
      <w:r w:rsidRPr="003E7C59">
        <w:rPr>
          <w:rFonts w:ascii="Calibri" w:hAnsi="Calibri" w:cs="Calibri"/>
          <w:color w:val="000000" w:themeColor="text1"/>
          <w:sz w:val="22"/>
          <w:szCs w:val="22"/>
        </w:rPr>
        <w:t>﻿</w:t>
      </w:r>
      <w:r w:rsidRPr="003E7C59">
        <w:rPr>
          <w:rFonts w:ascii="Cambria Math" w:eastAsia="Cambria Math" w:hAnsi="Cambria Math" w:cs="Cambria Math"/>
          <w:color w:val="000000" w:themeColor="text1"/>
          <w:sz w:val="22"/>
          <w:szCs w:val="22"/>
        </w:rPr>
        <w:t>∼</w:t>
      </w:r>
      <w:proofErr w:type="gramEnd"/>
      <w:r w:rsidRPr="003E7C59">
        <w:rPr>
          <w:rFonts w:ascii="Arial" w:hAnsi="Arial" w:cs="Arial"/>
          <w:color w:val="000000" w:themeColor="text1"/>
          <w:sz w:val="22"/>
          <w:szCs w:val="22"/>
        </w:rPr>
        <w:t xml:space="preserve"> 39.2 million raw reads per library. After the adaptor and low-quality sequences trimming, </w:t>
      </w:r>
      <w:sdt>
        <w:sdtPr>
          <w:rPr>
            <w:rFonts w:ascii="Arial" w:hAnsi="Arial" w:cs="Arial"/>
            <w:color w:val="000000" w:themeColor="text1"/>
            <w:sz w:val="22"/>
            <w:szCs w:val="22"/>
          </w:rPr>
          <w:tag w:val="goog_rdk_63"/>
          <w:id w:val="1379507141"/>
        </w:sdtPr>
        <w:sdtEndPr/>
        <w:sdtContent>
          <w:r w:rsidRPr="003E7C59">
            <w:rPr>
              <w:rFonts w:ascii="Arial" w:hAnsi="Arial" w:cs="Arial"/>
              <w:color w:val="000000" w:themeColor="text1"/>
              <w:sz w:val="22"/>
              <w:szCs w:val="22"/>
            </w:rPr>
            <w:t xml:space="preserve">more than </w:t>
          </w:r>
        </w:sdtContent>
      </w:sdt>
      <w:r w:rsidRPr="003E7C59">
        <w:rPr>
          <w:rFonts w:ascii="Arial" w:hAnsi="Arial" w:cs="Arial"/>
          <w:color w:val="000000" w:themeColor="text1"/>
          <w:sz w:val="22"/>
          <w:szCs w:val="22"/>
        </w:rPr>
        <w:t xml:space="preserve">71% and 74% of total clean reads </w:t>
      </w:r>
      <w:proofErr w:type="gramStart"/>
      <w:r w:rsidRPr="003E7C59">
        <w:rPr>
          <w:rFonts w:ascii="Arial" w:hAnsi="Arial" w:cs="Arial"/>
          <w:color w:val="000000" w:themeColor="text1"/>
          <w:sz w:val="22"/>
          <w:szCs w:val="22"/>
        </w:rPr>
        <w:t>were successfully mapped</w:t>
      </w:r>
      <w:proofErr w:type="gramEnd"/>
      <w:r w:rsidRPr="003E7C59">
        <w:rPr>
          <w:rFonts w:ascii="Arial" w:hAnsi="Arial" w:cs="Arial"/>
          <w:color w:val="000000" w:themeColor="text1"/>
          <w:sz w:val="22"/>
          <w:szCs w:val="22"/>
        </w:rPr>
        <w:t xml:space="preserve"> to flowering and Asian dogwood transcriptomes, respectively</w:t>
      </w:r>
      <w:r w:rsidR="004E01C3"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(Supplementary Table 1.1.).  </w:t>
      </w:r>
    </w:p>
    <w:p w14:paraId="19DBC601" w14:textId="77777777" w:rsidR="00B51BF9" w:rsidRPr="003E7C59" w:rsidRDefault="00B51BF9" w:rsidP="006622F2">
      <w:pPr>
        <w:spacing w:line="360" w:lineRule="auto"/>
        <w:rPr>
          <w:rFonts w:ascii="Arial" w:hAnsi="Arial" w:cs="Arial"/>
          <w:i/>
          <w:iCs/>
          <w:color w:val="000000" w:themeColor="text1"/>
          <w:sz w:val="22"/>
          <w:szCs w:val="22"/>
        </w:rPr>
      </w:pPr>
    </w:p>
    <w:p w14:paraId="1F47C166"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67" w:name="_Toc117166846"/>
      <w:bookmarkStart w:id="68" w:name="_Toc121821932"/>
      <w:r w:rsidRPr="003E7C59">
        <w:rPr>
          <w:rStyle w:val="SubtleEmphasis"/>
          <w:rFonts w:ascii="Arial" w:hAnsi="Arial" w:cs="Arial"/>
          <w:i/>
          <w:iCs/>
          <w:color w:val="000000" w:themeColor="text1"/>
          <w:sz w:val="22"/>
          <w:szCs w:val="22"/>
        </w:rPr>
        <w:t>DEGs Involved in Anthocyanin Biosynthesis Pathway</w:t>
      </w:r>
      <w:bookmarkEnd w:id="67"/>
      <w:bookmarkEnd w:id="68"/>
    </w:p>
    <w:p w14:paraId="1ED336E8" w14:textId="77777777" w:rsidR="00B51BF9" w:rsidRPr="003E7C59" w:rsidRDefault="00B51BF9" w:rsidP="006622F2">
      <w:pPr>
        <w:rPr>
          <w:rFonts w:ascii="Arial" w:hAnsi="Arial" w:cs="Arial"/>
          <w:color w:val="000000" w:themeColor="text1"/>
          <w:sz w:val="22"/>
          <w:szCs w:val="22"/>
        </w:rPr>
      </w:pPr>
    </w:p>
    <w:p w14:paraId="0989FDC1" w14:textId="258DC346" w:rsidR="00940966" w:rsidRPr="003E7C59" w:rsidRDefault="00860B92"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A</w:t>
      </w:r>
      <w:r w:rsidR="00B51BF9" w:rsidRPr="003E7C59">
        <w:rPr>
          <w:rFonts w:ascii="Arial" w:hAnsi="Arial" w:cs="Arial"/>
          <w:color w:val="000000" w:themeColor="text1"/>
          <w:sz w:val="22"/>
          <w:szCs w:val="22"/>
        </w:rPr>
        <w:t>nalysis</w:t>
      </w:r>
      <w:r w:rsidRPr="003E7C59">
        <w:rPr>
          <w:rFonts w:ascii="Arial" w:hAnsi="Arial" w:cs="Arial"/>
          <w:color w:val="000000" w:themeColor="text1"/>
          <w:sz w:val="22"/>
          <w:szCs w:val="22"/>
        </w:rPr>
        <w:t xml:space="preserve"> of differential gene expression</w:t>
      </w:r>
      <w:r w:rsidR="00ED16D1" w:rsidRPr="003E7C59">
        <w:rPr>
          <w:rFonts w:ascii="Arial" w:hAnsi="Arial" w:cs="Arial"/>
          <w:color w:val="000000" w:themeColor="text1"/>
          <w:sz w:val="22"/>
          <w:szCs w:val="22"/>
        </w:rPr>
        <w:t xml:space="preserve"> bet</w:t>
      </w:r>
      <w:r w:rsidR="00662845" w:rsidRPr="003E7C59">
        <w:rPr>
          <w:rFonts w:ascii="Arial" w:hAnsi="Arial" w:cs="Arial"/>
          <w:color w:val="000000" w:themeColor="text1"/>
          <w:sz w:val="22"/>
          <w:szCs w:val="22"/>
        </w:rPr>
        <w:t>ween cultivars</w:t>
      </w:r>
      <w:r w:rsidR="00B51BF9" w:rsidRPr="003E7C59">
        <w:rPr>
          <w:rFonts w:ascii="Arial" w:hAnsi="Arial" w:cs="Arial"/>
          <w:color w:val="000000" w:themeColor="text1"/>
          <w:sz w:val="22"/>
          <w:szCs w:val="22"/>
        </w:rPr>
        <w:t xml:space="preserve"> identified 1156 DEGs in </w:t>
      </w:r>
      <w:r w:rsidR="00B51BF9" w:rsidRPr="003E7C59">
        <w:rPr>
          <w:rFonts w:ascii="Arial" w:hAnsi="Arial" w:cs="Arial"/>
          <w:i/>
          <w:iCs/>
          <w:color w:val="000000" w:themeColor="text1"/>
          <w:sz w:val="22"/>
          <w:szCs w:val="22"/>
        </w:rPr>
        <w:t xml:space="preserve">C. </w:t>
      </w:r>
      <w:proofErr w:type="gramStart"/>
      <w:r w:rsidR="00B51BF9" w:rsidRPr="003E7C59">
        <w:rPr>
          <w:rFonts w:ascii="Arial" w:hAnsi="Arial" w:cs="Arial"/>
          <w:i/>
          <w:iCs/>
          <w:color w:val="000000" w:themeColor="text1"/>
          <w:sz w:val="22"/>
          <w:szCs w:val="22"/>
        </w:rPr>
        <w:t>florida</w:t>
      </w:r>
      <w:proofErr w:type="gramEnd"/>
      <w:r w:rsidR="00B51BF9" w:rsidRPr="003E7C59">
        <w:rPr>
          <w:rFonts w:ascii="Arial" w:hAnsi="Arial" w:cs="Arial"/>
          <w:i/>
          <w:iCs/>
          <w:color w:val="000000" w:themeColor="text1"/>
          <w:sz w:val="22"/>
          <w:szCs w:val="22"/>
        </w:rPr>
        <w:t>,</w:t>
      </w:r>
      <w:r w:rsidR="00B51BF9" w:rsidRPr="003E7C59">
        <w:rPr>
          <w:rFonts w:ascii="Arial" w:hAnsi="Arial" w:cs="Arial"/>
          <w:color w:val="000000" w:themeColor="text1"/>
          <w:sz w:val="22"/>
          <w:szCs w:val="22"/>
        </w:rPr>
        <w:t xml:space="preserve"> of which 615 were upregulated, and 541 were downregulated. (Supplementary Table 1.2.). In </w:t>
      </w:r>
      <w:r w:rsidR="00B51BF9" w:rsidRPr="003E7C59">
        <w:rPr>
          <w:rFonts w:ascii="Arial" w:hAnsi="Arial" w:cs="Arial"/>
          <w:i/>
          <w:iCs/>
          <w:color w:val="000000" w:themeColor="text1"/>
          <w:sz w:val="22"/>
          <w:szCs w:val="22"/>
        </w:rPr>
        <w:t>C. kousa</w:t>
      </w:r>
      <w:r w:rsidR="00B51BF9" w:rsidRPr="003E7C59">
        <w:rPr>
          <w:rFonts w:ascii="Arial" w:hAnsi="Arial" w:cs="Arial"/>
          <w:color w:val="000000" w:themeColor="text1"/>
          <w:sz w:val="22"/>
          <w:szCs w:val="22"/>
        </w:rPr>
        <w:t xml:space="preserve">, 1396 </w:t>
      </w:r>
      <w:r w:rsidR="00662845" w:rsidRPr="003E7C59">
        <w:rPr>
          <w:rFonts w:ascii="Arial" w:hAnsi="Arial" w:cs="Arial"/>
          <w:color w:val="000000" w:themeColor="text1"/>
          <w:sz w:val="22"/>
          <w:szCs w:val="22"/>
        </w:rPr>
        <w:t xml:space="preserve">DEGs </w:t>
      </w:r>
      <w:proofErr w:type="gramStart"/>
      <w:r w:rsidR="00B51BF9" w:rsidRPr="003E7C59">
        <w:rPr>
          <w:rFonts w:ascii="Arial" w:hAnsi="Arial" w:cs="Arial"/>
          <w:color w:val="000000" w:themeColor="text1"/>
          <w:sz w:val="22"/>
          <w:szCs w:val="22"/>
        </w:rPr>
        <w:t>were identified</w:t>
      </w:r>
      <w:proofErr w:type="gramEnd"/>
      <w:r w:rsidR="00B51BF9" w:rsidRPr="003E7C59">
        <w:rPr>
          <w:rFonts w:ascii="Arial" w:hAnsi="Arial" w:cs="Arial"/>
          <w:color w:val="000000" w:themeColor="text1"/>
          <w:sz w:val="22"/>
          <w:szCs w:val="22"/>
        </w:rPr>
        <w:t xml:space="preserve"> as DEGs,</w:t>
      </w:r>
      <w:r w:rsidR="008154AB" w:rsidRPr="003E7C59">
        <w:rPr>
          <w:rFonts w:ascii="Arial" w:hAnsi="Arial" w:cs="Arial"/>
          <w:color w:val="000000" w:themeColor="text1"/>
          <w:sz w:val="22"/>
          <w:szCs w:val="22"/>
        </w:rPr>
        <w:t xml:space="preserve"> with</w:t>
      </w:r>
      <w:r w:rsidR="00B51BF9" w:rsidRPr="003E7C59">
        <w:rPr>
          <w:rFonts w:ascii="Arial" w:hAnsi="Arial" w:cs="Arial"/>
          <w:color w:val="000000" w:themeColor="text1"/>
          <w:sz w:val="22"/>
          <w:szCs w:val="22"/>
        </w:rPr>
        <w:t xml:space="preserve"> 753</w:t>
      </w:r>
      <w:r w:rsidR="008154AB" w:rsidRPr="003E7C59">
        <w:rPr>
          <w:rFonts w:ascii="Arial" w:hAnsi="Arial" w:cs="Arial"/>
          <w:color w:val="000000" w:themeColor="text1"/>
          <w:sz w:val="22"/>
          <w:szCs w:val="22"/>
        </w:rPr>
        <w:t xml:space="preserve"> </w:t>
      </w:r>
      <w:r w:rsidR="00B51BF9" w:rsidRPr="003E7C59">
        <w:rPr>
          <w:rFonts w:ascii="Arial" w:hAnsi="Arial" w:cs="Arial"/>
          <w:color w:val="000000" w:themeColor="text1"/>
          <w:sz w:val="22"/>
          <w:szCs w:val="22"/>
        </w:rPr>
        <w:t>upregulated, and 643</w:t>
      </w:r>
      <w:r w:rsidR="008154AB" w:rsidRPr="003E7C59">
        <w:rPr>
          <w:rFonts w:ascii="Arial" w:hAnsi="Arial" w:cs="Arial"/>
          <w:color w:val="000000" w:themeColor="text1"/>
          <w:sz w:val="22"/>
          <w:szCs w:val="22"/>
        </w:rPr>
        <w:t xml:space="preserve"> </w:t>
      </w:r>
      <w:r w:rsidR="00B51BF9" w:rsidRPr="003E7C59">
        <w:rPr>
          <w:rFonts w:ascii="Arial" w:hAnsi="Arial" w:cs="Arial"/>
          <w:color w:val="000000" w:themeColor="text1"/>
          <w:sz w:val="22"/>
          <w:szCs w:val="22"/>
        </w:rPr>
        <w:t>downregulated (Supplementary Table 1.3.) based on a log2 fold change direction (log</w:t>
      </w:r>
      <w:r w:rsidR="00B51BF9" w:rsidRPr="003E7C59">
        <w:rPr>
          <w:rFonts w:ascii="Arial" w:hAnsi="Arial" w:cs="Arial"/>
          <w:color w:val="000000" w:themeColor="text1"/>
          <w:sz w:val="22"/>
          <w:szCs w:val="22"/>
          <w:vertAlign w:val="subscript"/>
        </w:rPr>
        <w:t>2</w:t>
      </w:r>
      <w:r w:rsidR="00B51BF9" w:rsidRPr="003E7C59">
        <w:rPr>
          <w:rFonts w:ascii="Arial" w:eastAsia="Gungsuh" w:hAnsi="Arial" w:cs="Arial"/>
          <w:color w:val="000000" w:themeColor="text1"/>
          <w:sz w:val="22"/>
          <w:szCs w:val="22"/>
        </w:rPr>
        <w:t xml:space="preserve">FC) ≥ 1 </w:t>
      </w:r>
      <w:r w:rsidR="00460253" w:rsidRPr="003E7C59">
        <w:rPr>
          <w:rFonts w:ascii="Arial" w:eastAsia="Gungsuh" w:hAnsi="Arial" w:cs="Arial"/>
          <w:color w:val="000000" w:themeColor="text1"/>
          <w:sz w:val="22"/>
          <w:szCs w:val="22"/>
        </w:rPr>
        <w:t xml:space="preserve">and </w:t>
      </w:r>
      <w:r w:rsidR="00B51BF9" w:rsidRPr="003E7C59">
        <w:rPr>
          <w:rFonts w:ascii="Arial" w:eastAsia="Gungsuh" w:hAnsi="Arial" w:cs="Arial"/>
          <w:color w:val="000000" w:themeColor="text1"/>
          <w:sz w:val="22"/>
          <w:szCs w:val="22"/>
        </w:rPr>
        <w:t xml:space="preserve">FDR ≤ 0.05. The sample distances </w:t>
      </w:r>
      <w:proofErr w:type="gramStart"/>
      <w:r w:rsidR="00B51BF9" w:rsidRPr="003E7C59">
        <w:rPr>
          <w:rFonts w:ascii="Arial" w:eastAsia="Gungsuh" w:hAnsi="Arial" w:cs="Arial"/>
          <w:color w:val="000000" w:themeColor="text1"/>
          <w:sz w:val="22"/>
          <w:szCs w:val="22"/>
        </w:rPr>
        <w:t>were represented</w:t>
      </w:r>
      <w:proofErr w:type="gramEnd"/>
      <w:r w:rsidR="00B51BF9" w:rsidRPr="003E7C59">
        <w:rPr>
          <w:rFonts w:ascii="Arial" w:eastAsia="Gungsuh" w:hAnsi="Arial" w:cs="Arial"/>
          <w:color w:val="000000" w:themeColor="text1"/>
          <w:sz w:val="22"/>
          <w:szCs w:val="22"/>
        </w:rPr>
        <w:t xml:space="preserve"> using t-SNE plots and heatmaps to evaluate the overall transcriptomes of three flowering dogwoods (Figure 1.2. A-B) and two Asian dogwood genotypes (Figure 1.2. C-D). The </w:t>
      </w:r>
      <w:proofErr w:type="gramStart"/>
      <w:r w:rsidR="00B51BF9" w:rsidRPr="003E7C59">
        <w:rPr>
          <w:rFonts w:ascii="Arial" w:eastAsia="Gungsuh" w:hAnsi="Arial" w:cs="Arial"/>
          <w:color w:val="000000" w:themeColor="text1"/>
          <w:sz w:val="22"/>
          <w:szCs w:val="22"/>
        </w:rPr>
        <w:t>13 transcriptome</w:t>
      </w:r>
      <w:proofErr w:type="gramEnd"/>
      <w:r w:rsidR="00B51BF9" w:rsidRPr="003E7C59">
        <w:rPr>
          <w:rFonts w:ascii="Arial" w:eastAsia="Gungsuh" w:hAnsi="Arial" w:cs="Arial"/>
          <w:color w:val="000000" w:themeColor="text1"/>
          <w:sz w:val="22"/>
          <w:szCs w:val="22"/>
        </w:rPr>
        <w:t xml:space="preserve"> profiles were separated into five </w:t>
      </w:r>
      <w:r w:rsidR="00B51BF9" w:rsidRPr="003E7C59">
        <w:rPr>
          <w:rFonts w:ascii="Arial" w:eastAsia="Gungsuh" w:hAnsi="Arial" w:cs="Arial"/>
          <w:color w:val="000000" w:themeColor="text1"/>
          <w:sz w:val="22"/>
          <w:szCs w:val="22"/>
        </w:rPr>
        <w:lastRenderedPageBreak/>
        <w:t xml:space="preserve">groups </w:t>
      </w:r>
      <w:r w:rsidR="00B51BF9" w:rsidRPr="003E7C59">
        <w:rPr>
          <w:rFonts w:ascii="Arial" w:hAnsi="Arial" w:cs="Arial"/>
          <w:color w:val="000000" w:themeColor="text1"/>
          <w:sz w:val="22"/>
          <w:szCs w:val="22"/>
        </w:rPr>
        <w:t xml:space="preserve">correlated with bract color and cultivar when reads were mapped to either </w:t>
      </w:r>
      <w:r w:rsidR="00B51BF9" w:rsidRPr="003E7C59">
        <w:rPr>
          <w:rFonts w:ascii="Arial" w:hAnsi="Arial" w:cs="Arial"/>
          <w:i/>
          <w:iCs/>
          <w:color w:val="000000" w:themeColor="text1"/>
          <w:sz w:val="22"/>
          <w:szCs w:val="22"/>
        </w:rPr>
        <w:t>C. florida</w:t>
      </w:r>
      <w:r w:rsidR="00B51BF9" w:rsidRPr="003E7C59">
        <w:rPr>
          <w:rFonts w:ascii="Arial" w:hAnsi="Arial" w:cs="Arial"/>
          <w:color w:val="000000" w:themeColor="text1"/>
          <w:sz w:val="22"/>
          <w:szCs w:val="22"/>
        </w:rPr>
        <w:t xml:space="preserve"> or </w:t>
      </w:r>
      <w:r w:rsidR="00B51BF9" w:rsidRPr="003E7C59">
        <w:rPr>
          <w:rFonts w:ascii="Arial" w:hAnsi="Arial" w:cs="Arial"/>
          <w:i/>
          <w:iCs/>
          <w:color w:val="000000" w:themeColor="text1"/>
          <w:sz w:val="22"/>
          <w:szCs w:val="22"/>
        </w:rPr>
        <w:t>C. kousa</w:t>
      </w:r>
      <w:r w:rsidR="00B51BF9" w:rsidRPr="003E7C59">
        <w:rPr>
          <w:rFonts w:ascii="Arial" w:hAnsi="Arial" w:cs="Arial"/>
          <w:color w:val="000000" w:themeColor="text1"/>
          <w:sz w:val="22"/>
          <w:szCs w:val="22"/>
        </w:rPr>
        <w:t xml:space="preserve"> transcriptome. Therefore, the following clusters were formed: 'Cherokee Chief' (red bracted), 'Cherokee Brave' (red bracted), 'Cloud Nine' (white bracted), 'Greensleeves' (light to medium green), and 'Rosy Teacups' (light to medium pink). GO enrichment analysis was applied to identify the functions and biological pathways involved in the DEGs. Moreover, DEGs for both species were employed for the KEGG pathway enrichment AgriGO v2.0 analysis (Tian et al., 2017)</w:t>
      </w:r>
      <w:proofErr w:type="gramStart"/>
      <w:r w:rsidR="00B51BF9" w:rsidRPr="003E7C59">
        <w:rPr>
          <w:rFonts w:ascii="Arial" w:hAnsi="Arial" w:cs="Arial"/>
          <w:color w:val="000000" w:themeColor="text1"/>
          <w:sz w:val="22"/>
          <w:szCs w:val="22"/>
        </w:rPr>
        <w:t>,</w:t>
      </w:r>
      <w:proofErr w:type="gramEnd"/>
      <w:r w:rsidR="00B51BF9" w:rsidRPr="003E7C59">
        <w:rPr>
          <w:rFonts w:ascii="Arial" w:hAnsi="Arial" w:cs="Arial"/>
          <w:color w:val="000000" w:themeColor="text1"/>
          <w:sz w:val="22"/>
          <w:szCs w:val="22"/>
        </w:rPr>
        <w:t xml:space="preserve"> yielding significant GO terms (FDR &lt; 0.05) involved in pathways such as plant hormone signal transduction, metabolic pathways, and membrane transporters belonging to MATE (</w:t>
      </w:r>
      <w:sdt>
        <w:sdtPr>
          <w:rPr>
            <w:rFonts w:ascii="Arial" w:hAnsi="Arial" w:cs="Arial"/>
            <w:color w:val="000000" w:themeColor="text1"/>
            <w:sz w:val="22"/>
            <w:szCs w:val="22"/>
          </w:rPr>
          <w:tag w:val="goog_rdk_67"/>
          <w:id w:val="1892691643"/>
        </w:sdtPr>
        <w:sdtEndPr/>
        <w:sdtContent/>
      </w:sdt>
      <w:sdt>
        <w:sdtPr>
          <w:rPr>
            <w:rFonts w:ascii="Arial" w:hAnsi="Arial" w:cs="Arial"/>
            <w:color w:val="000000" w:themeColor="text1"/>
            <w:sz w:val="22"/>
            <w:szCs w:val="22"/>
          </w:rPr>
          <w:tag w:val="goog_rdk_68"/>
          <w:id w:val="-25955637"/>
        </w:sdtPr>
        <w:sdtEndPr/>
        <w:sdtContent/>
      </w:sdt>
      <w:r w:rsidR="00B51BF9" w:rsidRPr="003E7C59">
        <w:rPr>
          <w:rFonts w:ascii="Arial" w:hAnsi="Arial" w:cs="Arial"/>
          <w:color w:val="000000" w:themeColor="text1"/>
          <w:sz w:val="22"/>
          <w:szCs w:val="22"/>
        </w:rPr>
        <w:t>Multidrug and Toxic Compound Extrusion)</w:t>
      </w:r>
      <w:r w:rsidR="00E6464B" w:rsidRPr="003E7C59">
        <w:rPr>
          <w:rFonts w:ascii="Arial" w:hAnsi="Arial" w:cs="Arial"/>
          <w:color w:val="000000" w:themeColor="text1"/>
          <w:sz w:val="22"/>
          <w:szCs w:val="22"/>
        </w:rPr>
        <w:t xml:space="preserve">. </w:t>
      </w:r>
      <w:r w:rsidR="00B51BF9" w:rsidRPr="003E7C59">
        <w:rPr>
          <w:rFonts w:ascii="Arial" w:hAnsi="Arial" w:cs="Arial"/>
          <w:color w:val="000000" w:themeColor="text1"/>
          <w:sz w:val="22"/>
          <w:szCs w:val="22"/>
        </w:rPr>
        <w:t>This paper's focus was to understand better phenylpropanoid metabolism regulation, mainly anthocyanin</w:t>
      </w:r>
      <w:r w:rsidR="00307084" w:rsidRPr="003E7C59">
        <w:rPr>
          <w:rFonts w:ascii="Arial" w:hAnsi="Arial" w:cs="Arial"/>
          <w:color w:val="000000" w:themeColor="text1"/>
          <w:sz w:val="22"/>
          <w:szCs w:val="22"/>
        </w:rPr>
        <w:t>,</w:t>
      </w:r>
      <w:r w:rsidR="00B51BF9" w:rsidRPr="003E7C59">
        <w:rPr>
          <w:rFonts w:ascii="Arial" w:hAnsi="Arial" w:cs="Arial"/>
          <w:color w:val="000000" w:themeColor="text1"/>
          <w:sz w:val="22"/>
          <w:szCs w:val="22"/>
        </w:rPr>
        <w:t xml:space="preserve"> </w:t>
      </w:r>
      <w:r w:rsidR="00307084" w:rsidRPr="003E7C59">
        <w:rPr>
          <w:rFonts w:ascii="Arial" w:hAnsi="Arial" w:cs="Arial"/>
          <w:color w:val="000000" w:themeColor="text1"/>
          <w:sz w:val="22"/>
          <w:szCs w:val="22"/>
        </w:rPr>
        <w:t xml:space="preserve">and proanthocyanidin </w:t>
      </w:r>
      <w:r w:rsidR="00B51BF9" w:rsidRPr="003E7C59">
        <w:rPr>
          <w:rFonts w:ascii="Arial" w:hAnsi="Arial" w:cs="Arial"/>
          <w:color w:val="000000" w:themeColor="text1"/>
          <w:sz w:val="22"/>
          <w:szCs w:val="22"/>
        </w:rPr>
        <w:t xml:space="preserve">regulation; </w:t>
      </w:r>
      <w:proofErr w:type="gramStart"/>
      <w:r w:rsidR="00B51BF9" w:rsidRPr="003E7C59">
        <w:rPr>
          <w:rFonts w:ascii="Arial" w:hAnsi="Arial" w:cs="Arial"/>
          <w:color w:val="000000" w:themeColor="text1"/>
          <w:sz w:val="22"/>
          <w:szCs w:val="22"/>
        </w:rPr>
        <w:t>hence</w:t>
      </w:r>
      <w:proofErr w:type="gramEnd"/>
      <w:r w:rsidR="00B51BF9" w:rsidRPr="003E7C59">
        <w:rPr>
          <w:rFonts w:ascii="Arial" w:hAnsi="Arial" w:cs="Arial"/>
          <w:color w:val="000000" w:themeColor="text1"/>
          <w:sz w:val="22"/>
          <w:szCs w:val="22"/>
        </w:rPr>
        <w:t xml:space="preserve"> MYB TF as key regulators were further studied. The seven candidates </w:t>
      </w:r>
      <w:r w:rsidR="00B51BF9" w:rsidRPr="003E7C59">
        <w:rPr>
          <w:rFonts w:ascii="Arial" w:hAnsi="Arial" w:cs="Arial"/>
          <w:i/>
          <w:iCs/>
          <w:color w:val="000000" w:themeColor="text1"/>
          <w:sz w:val="22"/>
          <w:szCs w:val="22"/>
        </w:rPr>
        <w:t>R2R3-MYB</w:t>
      </w:r>
      <w:r w:rsidR="00B51BF9" w:rsidRPr="003E7C59">
        <w:rPr>
          <w:rFonts w:ascii="Arial" w:hAnsi="Arial" w:cs="Arial"/>
          <w:color w:val="000000" w:themeColor="text1"/>
          <w:sz w:val="22"/>
          <w:szCs w:val="22"/>
        </w:rPr>
        <w:t xml:space="preserve"> genes were identified as differentially expressed at an adjusted p-value or FDR &lt; 0.05 when comparing </w:t>
      </w:r>
      <w:r w:rsidR="00B51BF9" w:rsidRPr="003E7C59">
        <w:rPr>
          <w:rFonts w:ascii="Arial" w:hAnsi="Arial" w:cs="Arial"/>
          <w:i/>
          <w:iCs/>
          <w:color w:val="000000" w:themeColor="text1"/>
          <w:sz w:val="22"/>
          <w:szCs w:val="22"/>
        </w:rPr>
        <w:t>C</w:t>
      </w:r>
      <w:r w:rsidR="00B51BF9" w:rsidRPr="003E7C59">
        <w:rPr>
          <w:rFonts w:ascii="Arial" w:hAnsi="Arial" w:cs="Arial"/>
          <w:color w:val="000000" w:themeColor="text1"/>
          <w:sz w:val="22"/>
          <w:szCs w:val="22"/>
        </w:rPr>
        <w:t xml:space="preserve">. </w:t>
      </w:r>
      <w:proofErr w:type="gramStart"/>
      <w:r w:rsidR="00B51BF9" w:rsidRPr="003E7C59">
        <w:rPr>
          <w:rFonts w:ascii="Arial" w:hAnsi="Arial" w:cs="Arial"/>
          <w:i/>
          <w:iCs/>
          <w:color w:val="000000" w:themeColor="text1"/>
          <w:sz w:val="22"/>
          <w:szCs w:val="22"/>
        </w:rPr>
        <w:t>florida</w:t>
      </w:r>
      <w:proofErr w:type="gramEnd"/>
      <w:r w:rsidR="00B51BF9" w:rsidRPr="003E7C59">
        <w:rPr>
          <w:rFonts w:ascii="Arial" w:hAnsi="Arial" w:cs="Arial"/>
          <w:color w:val="000000" w:themeColor="text1"/>
          <w:sz w:val="22"/>
          <w:szCs w:val="22"/>
        </w:rPr>
        <w:t xml:space="preserve"> red and white-bracted cultivars and </w:t>
      </w:r>
      <w:r w:rsidR="00B51BF9" w:rsidRPr="003E7C59">
        <w:rPr>
          <w:rFonts w:ascii="Arial" w:hAnsi="Arial" w:cs="Arial"/>
          <w:i/>
          <w:iCs/>
          <w:color w:val="000000" w:themeColor="text1"/>
          <w:sz w:val="22"/>
          <w:szCs w:val="22"/>
        </w:rPr>
        <w:t>C</w:t>
      </w:r>
      <w:r w:rsidR="00B51BF9" w:rsidRPr="003E7C59">
        <w:rPr>
          <w:rFonts w:ascii="Arial" w:hAnsi="Arial" w:cs="Arial"/>
          <w:color w:val="000000" w:themeColor="text1"/>
          <w:sz w:val="22"/>
          <w:szCs w:val="22"/>
        </w:rPr>
        <w:t xml:space="preserve">. </w:t>
      </w:r>
      <w:r w:rsidR="00B51BF9" w:rsidRPr="003E7C59">
        <w:rPr>
          <w:rFonts w:ascii="Arial" w:hAnsi="Arial" w:cs="Arial"/>
          <w:i/>
          <w:iCs/>
          <w:color w:val="000000" w:themeColor="text1"/>
          <w:sz w:val="22"/>
          <w:szCs w:val="22"/>
        </w:rPr>
        <w:t xml:space="preserve">kousa </w:t>
      </w:r>
      <w:r w:rsidR="00B51BF9" w:rsidRPr="003E7C59">
        <w:rPr>
          <w:rFonts w:ascii="Arial" w:hAnsi="Arial" w:cs="Arial"/>
          <w:color w:val="000000" w:themeColor="text1"/>
          <w:sz w:val="22"/>
          <w:szCs w:val="22"/>
        </w:rPr>
        <w:t xml:space="preserve">pink and light green-bracted cultivars. Candidate genes designated as </w:t>
      </w:r>
      <w:r w:rsidR="00B51BF9" w:rsidRPr="003E7C59">
        <w:rPr>
          <w:rFonts w:ascii="Arial" w:hAnsi="Arial" w:cs="Arial"/>
          <w:i/>
          <w:iCs/>
          <w:color w:val="000000" w:themeColor="text1"/>
          <w:sz w:val="22"/>
          <w:szCs w:val="22"/>
        </w:rPr>
        <w:t>CfMYB1 80</w:t>
      </w:r>
      <w:r w:rsidR="00B51BF9" w:rsidRPr="003E7C59">
        <w:rPr>
          <w:rFonts w:ascii="Arial" w:hAnsi="Arial" w:cs="Arial"/>
          <w:color w:val="000000" w:themeColor="text1"/>
          <w:sz w:val="22"/>
          <w:szCs w:val="22"/>
        </w:rPr>
        <w:t xml:space="preserve">, </w:t>
      </w:r>
      <w:r w:rsidR="00B51BF9" w:rsidRPr="003E7C59">
        <w:rPr>
          <w:rFonts w:ascii="Arial" w:hAnsi="Arial" w:cs="Arial"/>
          <w:i/>
          <w:iCs/>
          <w:color w:val="000000" w:themeColor="text1"/>
          <w:sz w:val="22"/>
          <w:szCs w:val="22"/>
        </w:rPr>
        <w:t>CfMYB2</w:t>
      </w:r>
      <w:r w:rsidR="00B51BF9" w:rsidRPr="003E7C59">
        <w:rPr>
          <w:rFonts w:ascii="Arial" w:hAnsi="Arial" w:cs="Arial"/>
          <w:color w:val="000000" w:themeColor="text1"/>
          <w:sz w:val="22"/>
          <w:szCs w:val="22"/>
        </w:rPr>
        <w:t xml:space="preserve">, </w:t>
      </w:r>
      <w:r w:rsidR="00B51BF9" w:rsidRPr="003E7C59">
        <w:rPr>
          <w:rFonts w:ascii="Arial" w:hAnsi="Arial" w:cs="Arial"/>
          <w:i/>
          <w:iCs/>
          <w:color w:val="000000" w:themeColor="text1"/>
          <w:sz w:val="22"/>
          <w:szCs w:val="22"/>
        </w:rPr>
        <w:t>CfMYB3</w:t>
      </w:r>
      <w:r w:rsidR="00B51BF9" w:rsidRPr="003E7C59">
        <w:rPr>
          <w:rFonts w:ascii="Arial" w:hAnsi="Arial" w:cs="Arial"/>
          <w:color w:val="000000" w:themeColor="text1"/>
          <w:sz w:val="22"/>
          <w:szCs w:val="22"/>
        </w:rPr>
        <w:t xml:space="preserve">, </w:t>
      </w:r>
      <w:r w:rsidR="00B51BF9" w:rsidRPr="003E7C59">
        <w:rPr>
          <w:rFonts w:ascii="Arial" w:hAnsi="Arial" w:cs="Arial"/>
          <w:i/>
          <w:iCs/>
          <w:color w:val="000000" w:themeColor="text1"/>
          <w:sz w:val="22"/>
          <w:szCs w:val="22"/>
        </w:rPr>
        <w:t>CfMYB5</w:t>
      </w:r>
      <w:r w:rsidR="00B51BF9" w:rsidRPr="003E7C59">
        <w:rPr>
          <w:rFonts w:ascii="Arial" w:hAnsi="Arial" w:cs="Arial"/>
          <w:color w:val="000000" w:themeColor="text1"/>
          <w:sz w:val="22"/>
          <w:szCs w:val="22"/>
        </w:rPr>
        <w:t xml:space="preserve"> 78,</w:t>
      </w:r>
      <w:r w:rsidR="00B51BF9" w:rsidRPr="003E7C59">
        <w:rPr>
          <w:rFonts w:ascii="Arial" w:hAnsi="Arial" w:cs="Arial"/>
          <w:i/>
          <w:iCs/>
          <w:color w:val="000000" w:themeColor="text1"/>
          <w:sz w:val="22"/>
          <w:szCs w:val="22"/>
        </w:rPr>
        <w:t xml:space="preserve"> CkMYB1</w:t>
      </w:r>
      <w:r w:rsidR="00B51BF9" w:rsidRPr="003E7C59">
        <w:rPr>
          <w:rFonts w:ascii="Arial" w:hAnsi="Arial" w:cs="Arial"/>
          <w:color w:val="000000" w:themeColor="text1"/>
          <w:sz w:val="22"/>
          <w:szCs w:val="22"/>
        </w:rPr>
        <w:t xml:space="preserve">, and </w:t>
      </w:r>
      <w:r w:rsidR="00B51BF9" w:rsidRPr="003E7C59">
        <w:rPr>
          <w:rFonts w:ascii="Arial" w:hAnsi="Arial" w:cs="Arial"/>
          <w:i/>
          <w:iCs/>
          <w:color w:val="000000" w:themeColor="text1"/>
          <w:sz w:val="22"/>
          <w:szCs w:val="22"/>
        </w:rPr>
        <w:t>CkMYB</w:t>
      </w:r>
      <w:r w:rsidR="00B51BF9" w:rsidRPr="003E7C59">
        <w:rPr>
          <w:rFonts w:ascii="Arial" w:hAnsi="Arial" w:cs="Arial"/>
          <w:color w:val="000000" w:themeColor="text1"/>
          <w:sz w:val="22"/>
          <w:szCs w:val="22"/>
        </w:rPr>
        <w:t xml:space="preserve">2 were identified as downregulated in </w:t>
      </w:r>
      <w:r w:rsidR="00B51BF9" w:rsidRPr="003E7C59">
        <w:rPr>
          <w:rFonts w:ascii="Arial" w:hAnsi="Arial" w:cs="Arial"/>
          <w:i/>
          <w:color w:val="000000" w:themeColor="text1"/>
          <w:sz w:val="22"/>
          <w:szCs w:val="22"/>
        </w:rPr>
        <w:t>C</w:t>
      </w:r>
      <w:r w:rsidR="00B51BF9" w:rsidRPr="003E7C59">
        <w:rPr>
          <w:rFonts w:ascii="Arial" w:hAnsi="Arial" w:cs="Arial"/>
          <w:color w:val="000000" w:themeColor="text1"/>
          <w:sz w:val="22"/>
          <w:szCs w:val="22"/>
        </w:rPr>
        <w:t xml:space="preserve">. </w:t>
      </w:r>
      <w:r w:rsidR="00B51BF9" w:rsidRPr="003E7C59">
        <w:rPr>
          <w:rFonts w:ascii="Arial" w:hAnsi="Arial" w:cs="Arial"/>
          <w:i/>
          <w:color w:val="000000" w:themeColor="text1"/>
          <w:sz w:val="22"/>
          <w:szCs w:val="22"/>
        </w:rPr>
        <w:t>florida</w:t>
      </w:r>
      <w:r w:rsidR="00B51BF9" w:rsidRPr="003E7C59">
        <w:rPr>
          <w:rFonts w:ascii="Arial" w:hAnsi="Arial" w:cs="Arial"/>
          <w:color w:val="000000" w:themeColor="text1"/>
          <w:sz w:val="22"/>
          <w:szCs w:val="22"/>
        </w:rPr>
        <w:t xml:space="preserve"> and </w:t>
      </w:r>
      <w:r w:rsidR="00B51BF9" w:rsidRPr="003E7C59">
        <w:rPr>
          <w:rFonts w:ascii="Arial" w:hAnsi="Arial" w:cs="Arial"/>
          <w:i/>
          <w:color w:val="000000" w:themeColor="text1"/>
          <w:sz w:val="22"/>
          <w:szCs w:val="22"/>
        </w:rPr>
        <w:t>C</w:t>
      </w:r>
      <w:r w:rsidR="00B51BF9" w:rsidRPr="003E7C59">
        <w:rPr>
          <w:rFonts w:ascii="Arial" w:hAnsi="Arial" w:cs="Arial"/>
          <w:color w:val="000000" w:themeColor="text1"/>
          <w:sz w:val="22"/>
          <w:szCs w:val="22"/>
        </w:rPr>
        <w:t xml:space="preserve">. </w:t>
      </w:r>
      <w:r w:rsidR="00B51BF9" w:rsidRPr="003E7C59">
        <w:rPr>
          <w:rFonts w:ascii="Arial" w:hAnsi="Arial" w:cs="Arial"/>
          <w:i/>
          <w:color w:val="000000" w:themeColor="text1"/>
          <w:sz w:val="22"/>
          <w:szCs w:val="22"/>
        </w:rPr>
        <w:t xml:space="preserve">kousa </w:t>
      </w:r>
      <w:r w:rsidR="00B51BF9" w:rsidRPr="003E7C59">
        <w:rPr>
          <w:rFonts w:ascii="Arial" w:hAnsi="Arial" w:cs="Arial"/>
          <w:color w:val="000000" w:themeColor="text1"/>
          <w:sz w:val="22"/>
          <w:szCs w:val="22"/>
        </w:rPr>
        <w:t xml:space="preserve">using RNA-Seq. Additionally, </w:t>
      </w:r>
      <w:r w:rsidR="00307084" w:rsidRPr="003E7C59">
        <w:rPr>
          <w:rFonts w:ascii="Arial" w:hAnsi="Arial" w:cs="Arial"/>
          <w:color w:val="000000" w:themeColor="text1"/>
          <w:sz w:val="22"/>
          <w:szCs w:val="22"/>
        </w:rPr>
        <w:t>s</w:t>
      </w:r>
      <w:r w:rsidR="00B51BF9" w:rsidRPr="003E7C59">
        <w:rPr>
          <w:rFonts w:ascii="Arial" w:hAnsi="Arial" w:cs="Arial"/>
          <w:color w:val="000000" w:themeColor="text1"/>
          <w:sz w:val="22"/>
          <w:szCs w:val="22"/>
        </w:rPr>
        <w:t xml:space="preserve">tructural genes </w:t>
      </w:r>
      <w:r w:rsidR="00B51BF9" w:rsidRPr="003E7C59">
        <w:rPr>
          <w:rFonts w:ascii="Arial" w:hAnsi="Arial" w:cs="Arial"/>
          <w:i/>
          <w:color w:val="000000" w:themeColor="text1"/>
          <w:sz w:val="22"/>
          <w:szCs w:val="22"/>
        </w:rPr>
        <w:t>CHI</w:t>
      </w:r>
      <w:r w:rsidR="00B51BF9" w:rsidRPr="003E7C59">
        <w:rPr>
          <w:rFonts w:ascii="Arial" w:hAnsi="Arial" w:cs="Arial"/>
          <w:color w:val="000000" w:themeColor="text1"/>
          <w:sz w:val="22"/>
          <w:szCs w:val="22"/>
        </w:rPr>
        <w:t xml:space="preserve">, </w:t>
      </w:r>
      <w:r w:rsidR="00B51BF9" w:rsidRPr="003E7C59">
        <w:rPr>
          <w:rFonts w:ascii="Arial" w:hAnsi="Arial" w:cs="Arial"/>
          <w:i/>
          <w:color w:val="000000" w:themeColor="text1"/>
          <w:sz w:val="22"/>
          <w:szCs w:val="22"/>
        </w:rPr>
        <w:t>CHS</w:t>
      </w:r>
      <w:r w:rsidR="00B51BF9" w:rsidRPr="003E7C59">
        <w:rPr>
          <w:rFonts w:ascii="Arial" w:hAnsi="Arial" w:cs="Arial"/>
          <w:color w:val="000000" w:themeColor="text1"/>
          <w:sz w:val="22"/>
          <w:szCs w:val="22"/>
        </w:rPr>
        <w:t xml:space="preserve">, and </w:t>
      </w:r>
      <w:r w:rsidR="00B51BF9" w:rsidRPr="003E7C59">
        <w:rPr>
          <w:rFonts w:ascii="Arial" w:hAnsi="Arial" w:cs="Arial"/>
          <w:i/>
          <w:color w:val="000000" w:themeColor="text1"/>
          <w:sz w:val="22"/>
          <w:szCs w:val="22"/>
        </w:rPr>
        <w:t>F3'H</w:t>
      </w:r>
      <w:r w:rsidR="00B51BF9" w:rsidRPr="003E7C59">
        <w:rPr>
          <w:rFonts w:ascii="Arial" w:hAnsi="Arial" w:cs="Arial"/>
          <w:color w:val="000000" w:themeColor="text1"/>
          <w:sz w:val="22"/>
          <w:szCs w:val="22"/>
        </w:rPr>
        <w:t xml:space="preserve"> were downregulated in </w:t>
      </w:r>
      <w:r w:rsidR="00B51BF9" w:rsidRPr="003E7C59">
        <w:rPr>
          <w:rFonts w:ascii="Arial" w:hAnsi="Arial" w:cs="Arial"/>
          <w:i/>
          <w:color w:val="000000" w:themeColor="text1"/>
          <w:sz w:val="22"/>
          <w:szCs w:val="22"/>
        </w:rPr>
        <w:t>C</w:t>
      </w:r>
      <w:r w:rsidR="00B51BF9" w:rsidRPr="003E7C59">
        <w:rPr>
          <w:rFonts w:ascii="Arial" w:hAnsi="Arial" w:cs="Arial"/>
          <w:color w:val="000000" w:themeColor="text1"/>
          <w:sz w:val="22"/>
          <w:szCs w:val="22"/>
        </w:rPr>
        <w:t xml:space="preserve">. </w:t>
      </w:r>
      <w:r w:rsidR="00B51BF9" w:rsidRPr="003E7C59">
        <w:rPr>
          <w:rFonts w:ascii="Arial" w:hAnsi="Arial" w:cs="Arial"/>
          <w:i/>
          <w:color w:val="000000" w:themeColor="text1"/>
          <w:sz w:val="22"/>
          <w:szCs w:val="22"/>
        </w:rPr>
        <w:t xml:space="preserve">florida </w:t>
      </w:r>
      <w:r w:rsidR="00B51BF9" w:rsidRPr="003E7C59">
        <w:rPr>
          <w:rFonts w:ascii="Arial" w:hAnsi="Arial" w:cs="Arial"/>
          <w:color w:val="000000" w:themeColor="text1"/>
          <w:sz w:val="22"/>
          <w:szCs w:val="22"/>
        </w:rPr>
        <w:t xml:space="preserve">and </w:t>
      </w:r>
      <w:r w:rsidR="00B51BF9" w:rsidRPr="003E7C59">
        <w:rPr>
          <w:rFonts w:ascii="Arial" w:hAnsi="Arial" w:cs="Arial"/>
          <w:i/>
          <w:color w:val="000000" w:themeColor="text1"/>
          <w:sz w:val="22"/>
          <w:szCs w:val="22"/>
        </w:rPr>
        <w:t>C</w:t>
      </w:r>
      <w:r w:rsidR="00B51BF9" w:rsidRPr="003E7C59">
        <w:rPr>
          <w:rFonts w:ascii="Arial" w:hAnsi="Arial" w:cs="Arial"/>
          <w:color w:val="000000" w:themeColor="text1"/>
          <w:sz w:val="22"/>
          <w:szCs w:val="22"/>
        </w:rPr>
        <w:t xml:space="preserve">. </w:t>
      </w:r>
      <w:r w:rsidR="00B51BF9" w:rsidRPr="003E7C59">
        <w:rPr>
          <w:rFonts w:ascii="Arial" w:hAnsi="Arial" w:cs="Arial"/>
          <w:i/>
          <w:color w:val="000000" w:themeColor="text1"/>
          <w:sz w:val="22"/>
          <w:szCs w:val="22"/>
        </w:rPr>
        <w:t>kousa,</w:t>
      </w:r>
      <w:r w:rsidR="00B51BF9" w:rsidRPr="003E7C59">
        <w:rPr>
          <w:rFonts w:ascii="Arial" w:hAnsi="Arial" w:cs="Arial"/>
          <w:color w:val="000000" w:themeColor="text1"/>
          <w:sz w:val="22"/>
          <w:szCs w:val="22"/>
        </w:rPr>
        <w:t xml:space="preserve"> respectively. </w:t>
      </w:r>
    </w:p>
    <w:p w14:paraId="4A891ADD" w14:textId="77777777" w:rsidR="00FA2989" w:rsidRPr="003E7C59" w:rsidRDefault="00FA2989" w:rsidP="006622F2">
      <w:pPr>
        <w:spacing w:line="360" w:lineRule="auto"/>
        <w:ind w:firstLine="720"/>
        <w:rPr>
          <w:rFonts w:ascii="Arial" w:hAnsi="Arial" w:cs="Arial"/>
          <w:color w:val="000000" w:themeColor="text1"/>
          <w:sz w:val="22"/>
          <w:szCs w:val="22"/>
        </w:rPr>
      </w:pPr>
    </w:p>
    <w:p w14:paraId="4AECB8B4" w14:textId="4F40CAC2" w:rsidR="00FA2989" w:rsidRPr="003E7C59" w:rsidRDefault="00FA2989" w:rsidP="006622F2">
      <w:pPr>
        <w:pStyle w:val="Heading4"/>
        <w:rPr>
          <w:rStyle w:val="SubtleEmphasis"/>
          <w:rFonts w:ascii="Arial" w:hAnsi="Arial" w:cs="Arial"/>
          <w:i/>
          <w:iCs/>
          <w:color w:val="000000" w:themeColor="text1"/>
          <w:sz w:val="22"/>
          <w:szCs w:val="22"/>
        </w:rPr>
      </w:pPr>
      <w:bookmarkStart w:id="69" w:name="_Toc121821933"/>
      <w:r w:rsidRPr="003E7C59">
        <w:rPr>
          <w:rStyle w:val="SubtleEmphasis"/>
          <w:rFonts w:ascii="Arial" w:hAnsi="Arial" w:cs="Arial"/>
          <w:i/>
          <w:iCs/>
          <w:color w:val="000000" w:themeColor="text1"/>
          <w:sz w:val="22"/>
          <w:szCs w:val="22"/>
        </w:rPr>
        <w:t xml:space="preserve">Protein function prediction and phylogenetic </w:t>
      </w:r>
      <w:r w:rsidR="00106FB3" w:rsidRPr="003E7C59">
        <w:rPr>
          <w:rStyle w:val="SubtleEmphasis"/>
          <w:rFonts w:ascii="Arial" w:hAnsi="Arial" w:cs="Arial"/>
          <w:i/>
          <w:iCs/>
          <w:color w:val="000000" w:themeColor="text1"/>
          <w:sz w:val="22"/>
          <w:szCs w:val="22"/>
        </w:rPr>
        <w:t>analysis</w:t>
      </w:r>
      <w:bookmarkEnd w:id="69"/>
    </w:p>
    <w:p w14:paraId="153BA761" w14:textId="156E616C" w:rsidR="00B51BF9" w:rsidRPr="003E7C59" w:rsidRDefault="00B51BF9" w:rsidP="006622F2">
      <w:pPr>
        <w:rPr>
          <w:rFonts w:ascii="Arial" w:hAnsi="Arial" w:cs="Arial"/>
          <w:color w:val="000000" w:themeColor="text1"/>
          <w:sz w:val="22"/>
          <w:szCs w:val="22"/>
        </w:rPr>
      </w:pPr>
    </w:p>
    <w:p w14:paraId="716C5EAC" w14:textId="7EE96E17" w:rsidR="009424CE" w:rsidRPr="003E7C59" w:rsidRDefault="0055551C"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InterPro database (Jones et al., 2014) </w:t>
      </w:r>
      <w:proofErr w:type="gramStart"/>
      <w:r w:rsidRPr="003E7C59">
        <w:rPr>
          <w:rFonts w:ascii="Arial" w:hAnsi="Arial" w:cs="Arial"/>
          <w:color w:val="000000" w:themeColor="text1"/>
          <w:sz w:val="22"/>
          <w:szCs w:val="22"/>
        </w:rPr>
        <w:t>was used</w:t>
      </w:r>
      <w:proofErr w:type="gramEnd"/>
      <w:r w:rsidRPr="003E7C59">
        <w:rPr>
          <w:rFonts w:ascii="Arial" w:hAnsi="Arial" w:cs="Arial"/>
          <w:color w:val="000000" w:themeColor="text1"/>
          <w:sz w:val="22"/>
          <w:szCs w:val="22"/>
        </w:rPr>
        <w:t xml:space="preserve"> for protein and domain sequence classification. Myb-like DNA binding domains </w:t>
      </w:r>
      <w:proofErr w:type="gramStart"/>
      <w:r w:rsidRPr="003E7C59">
        <w:rPr>
          <w:rFonts w:ascii="Arial" w:hAnsi="Arial" w:cs="Arial"/>
          <w:color w:val="000000" w:themeColor="text1"/>
          <w:sz w:val="22"/>
          <w:szCs w:val="22"/>
        </w:rPr>
        <w:t>were detected</w:t>
      </w:r>
      <w:proofErr w:type="gramEnd"/>
      <w:r w:rsidRPr="003E7C59">
        <w:rPr>
          <w:rFonts w:ascii="Arial" w:hAnsi="Arial" w:cs="Arial"/>
          <w:color w:val="000000" w:themeColor="text1"/>
          <w:sz w:val="22"/>
          <w:szCs w:val="22"/>
        </w:rPr>
        <w:t xml:space="preserve"> in CfMYB1, CfMYB2, CfMYB3, CfMYB5, CkMYB1, and CkMYB2 protein sequences (Figure 1.3). All six sequences belonged to Pfam clan CLO123, which contains a diverse range of DNA-binding domains with a bHLH motif (Finn et al., 2016). Interestingly, the myb-like DNA binding domain </w:t>
      </w:r>
      <w:proofErr w:type="gramStart"/>
      <w:r w:rsidRPr="003E7C59">
        <w:rPr>
          <w:rFonts w:ascii="Arial" w:hAnsi="Arial" w:cs="Arial"/>
          <w:color w:val="000000" w:themeColor="text1"/>
          <w:sz w:val="22"/>
          <w:szCs w:val="22"/>
        </w:rPr>
        <w:t>was not detected</w:t>
      </w:r>
      <w:proofErr w:type="gramEnd"/>
      <w:r w:rsidRPr="003E7C59">
        <w:rPr>
          <w:rFonts w:ascii="Arial" w:hAnsi="Arial" w:cs="Arial"/>
          <w:color w:val="000000" w:themeColor="text1"/>
          <w:sz w:val="22"/>
          <w:szCs w:val="22"/>
        </w:rPr>
        <w:t xml:space="preserve"> in CfMYB6; therefore, this sequence was not included in further studies.  </w:t>
      </w:r>
    </w:p>
    <w:p w14:paraId="5C3172BF" w14:textId="77777777" w:rsidR="0055551C" w:rsidRPr="003E7C59" w:rsidRDefault="0055551C" w:rsidP="006622F2">
      <w:pPr>
        <w:spacing w:line="360" w:lineRule="auto"/>
        <w:ind w:firstLine="720"/>
        <w:rPr>
          <w:rFonts w:ascii="Arial" w:hAnsi="Arial" w:cs="Arial"/>
          <w:color w:val="000000" w:themeColor="text1"/>
          <w:sz w:val="22"/>
          <w:szCs w:val="22"/>
        </w:rPr>
      </w:pPr>
    </w:p>
    <w:p w14:paraId="0223076C" w14:textId="66B77F6F"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Phylogenetic analysis of R2R3-MYB TF involved in regulating phenylpropanoid-derived compounds, such as monolignols, anthocyanins, proanthocyanidins, </w:t>
      </w:r>
      <w:r w:rsidR="00E47AB8" w:rsidRPr="003E7C59">
        <w:rPr>
          <w:rFonts w:ascii="Arial" w:hAnsi="Arial" w:cs="Arial"/>
          <w:color w:val="000000" w:themeColor="text1"/>
          <w:sz w:val="22"/>
          <w:szCs w:val="22"/>
        </w:rPr>
        <w:t>flavanols</w:t>
      </w:r>
      <w:r w:rsidRPr="003E7C59">
        <w:rPr>
          <w:rFonts w:ascii="Arial" w:hAnsi="Arial" w:cs="Arial"/>
          <w:color w:val="000000" w:themeColor="text1"/>
          <w:sz w:val="22"/>
          <w:szCs w:val="22"/>
        </w:rPr>
        <w:t xml:space="preserve">, and isoflavonoids, was conducted to infer candidate roles of identified </w:t>
      </w:r>
      <w:r w:rsidRPr="003E7C59">
        <w:rPr>
          <w:rFonts w:ascii="Arial" w:hAnsi="Arial" w:cs="Arial"/>
          <w:i/>
          <w:iCs/>
          <w:color w:val="000000" w:themeColor="text1"/>
          <w:sz w:val="22"/>
          <w:szCs w:val="22"/>
        </w:rPr>
        <w:t>C. florida</w:t>
      </w:r>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 kousa</w:t>
      </w:r>
      <w:r w:rsidRPr="003E7C59">
        <w:rPr>
          <w:rFonts w:ascii="Arial" w:hAnsi="Arial" w:cs="Arial"/>
          <w:color w:val="000000" w:themeColor="text1"/>
          <w:sz w:val="22"/>
          <w:szCs w:val="22"/>
        </w:rPr>
        <w:t xml:space="preserve"> R2R3-MYB genes (Figure 1.</w:t>
      </w:r>
      <w:r w:rsidR="005355AC" w:rsidRPr="003E7C59">
        <w:rPr>
          <w:rFonts w:ascii="Arial" w:hAnsi="Arial" w:cs="Arial"/>
          <w:color w:val="000000" w:themeColor="text1"/>
          <w:sz w:val="22"/>
          <w:szCs w:val="22"/>
        </w:rPr>
        <w:t>4</w:t>
      </w:r>
      <w:r w:rsidRPr="003E7C59">
        <w:rPr>
          <w:rFonts w:ascii="Arial" w:hAnsi="Arial" w:cs="Arial"/>
          <w:color w:val="000000" w:themeColor="text1"/>
          <w:sz w:val="22"/>
          <w:szCs w:val="22"/>
        </w:rPr>
        <w:t>). CfMYB1</w:t>
      </w:r>
      <w:r w:rsidR="00A8446F"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and CkMYB1 protein sequences belonged to subgroup 5, to which activators of anthocyanin and proanthocyanidin synthesis are classified. All of these activators harbor R3 repeat [D/E</w:t>
      </w:r>
      <w:proofErr w:type="gramStart"/>
      <w:r w:rsidRPr="003E7C59">
        <w:rPr>
          <w:rFonts w:ascii="Arial" w:hAnsi="Arial" w:cs="Arial"/>
          <w:color w:val="000000" w:themeColor="text1"/>
          <w:sz w:val="22"/>
          <w:szCs w:val="22"/>
        </w:rPr>
        <w:t>]Lx2</w:t>
      </w:r>
      <w:proofErr w:type="gramEnd"/>
      <w:r w:rsidRPr="003E7C59">
        <w:rPr>
          <w:rFonts w:ascii="Arial" w:hAnsi="Arial" w:cs="Arial"/>
          <w:color w:val="000000" w:themeColor="text1"/>
          <w:sz w:val="22"/>
          <w:szCs w:val="22"/>
        </w:rPr>
        <w:t>[R/K]x3Lx6Lx3R, which is an interacting bHLH motif (Grotewold et al., 2000; Zimmerman et al., 2004).</w:t>
      </w:r>
      <w:r w:rsidR="00940966"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CfMYB2, CfMYB3, and CkMYB2 protein sequences clustered in subgroup 4 (Figure 1.</w:t>
      </w:r>
      <w:r w:rsidR="00FE5E23" w:rsidRPr="003E7C59">
        <w:rPr>
          <w:rFonts w:ascii="Arial" w:hAnsi="Arial" w:cs="Arial"/>
          <w:color w:val="000000" w:themeColor="text1"/>
          <w:sz w:val="22"/>
          <w:szCs w:val="22"/>
        </w:rPr>
        <w:t>4</w:t>
      </w:r>
      <w:r w:rsidRPr="003E7C59">
        <w:rPr>
          <w:rFonts w:ascii="Arial" w:hAnsi="Arial" w:cs="Arial"/>
          <w:color w:val="000000" w:themeColor="text1"/>
          <w:sz w:val="22"/>
          <w:szCs w:val="22"/>
        </w:rPr>
        <w:t xml:space="preserve">). Most MYB protein repressors negatively </w:t>
      </w:r>
      <w:r w:rsidRPr="003E7C59">
        <w:rPr>
          <w:rFonts w:ascii="Arial" w:hAnsi="Arial" w:cs="Arial"/>
          <w:color w:val="000000" w:themeColor="text1"/>
          <w:sz w:val="22"/>
          <w:szCs w:val="22"/>
        </w:rPr>
        <w:lastRenderedPageBreak/>
        <w:t>regulate phenylpropanoid metabolism and belong to subgroup 4. In contrast</w:t>
      </w:r>
      <w:r w:rsidR="00D16C3D" w:rsidRPr="003E7C59">
        <w:rPr>
          <w:rFonts w:ascii="Arial" w:hAnsi="Arial" w:cs="Arial"/>
          <w:color w:val="000000" w:themeColor="text1"/>
          <w:sz w:val="22"/>
          <w:szCs w:val="22"/>
        </w:rPr>
        <w:t xml:space="preserve"> to R2R3-MYB TFs</w:t>
      </w:r>
      <w:r w:rsidR="005825C5" w:rsidRPr="003E7C59">
        <w:rPr>
          <w:rFonts w:ascii="Arial" w:hAnsi="Arial" w:cs="Arial"/>
          <w:color w:val="000000" w:themeColor="text1"/>
          <w:sz w:val="22"/>
          <w:szCs w:val="22"/>
        </w:rPr>
        <w:t xml:space="preserve"> of subgroup 5</w:t>
      </w:r>
      <w:r w:rsidRPr="003E7C59">
        <w:rPr>
          <w:rFonts w:ascii="Arial" w:hAnsi="Arial" w:cs="Arial"/>
          <w:color w:val="000000" w:themeColor="text1"/>
          <w:sz w:val="22"/>
          <w:szCs w:val="22"/>
        </w:rPr>
        <w:t xml:space="preserve">, </w:t>
      </w:r>
      <w:r w:rsidR="005825C5" w:rsidRPr="003E7C59">
        <w:rPr>
          <w:rFonts w:ascii="Arial" w:hAnsi="Arial" w:cs="Arial"/>
          <w:color w:val="000000" w:themeColor="text1"/>
          <w:sz w:val="22"/>
          <w:szCs w:val="22"/>
        </w:rPr>
        <w:t xml:space="preserve">the </w:t>
      </w:r>
      <w:r w:rsidRPr="003E7C59">
        <w:rPr>
          <w:rFonts w:ascii="Arial" w:hAnsi="Arial" w:cs="Arial"/>
          <w:color w:val="000000" w:themeColor="text1"/>
          <w:sz w:val="22"/>
          <w:szCs w:val="22"/>
        </w:rPr>
        <w:t>C-terminal of these proteins contains either C1 GDIP or C2 EAR conserved motifs (Jin et al., 2000).</w:t>
      </w:r>
      <w:r w:rsidR="00C37DE3"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MEME, an online tool, </w:t>
      </w:r>
      <w:proofErr w:type="gramStart"/>
      <w:r w:rsidRPr="003E7C59">
        <w:rPr>
          <w:rFonts w:ascii="Arial" w:hAnsi="Arial" w:cs="Arial"/>
          <w:color w:val="000000" w:themeColor="text1"/>
          <w:sz w:val="22"/>
          <w:szCs w:val="22"/>
        </w:rPr>
        <w:t>was used</w:t>
      </w:r>
      <w:proofErr w:type="gramEnd"/>
      <w:r w:rsidRPr="003E7C59">
        <w:rPr>
          <w:rFonts w:ascii="Arial" w:hAnsi="Arial" w:cs="Arial"/>
          <w:color w:val="000000" w:themeColor="text1"/>
          <w:sz w:val="22"/>
          <w:szCs w:val="22"/>
        </w:rPr>
        <w:t xml:space="preserve"> to search for GDIP and EAR moti</w:t>
      </w:r>
      <w:r w:rsidR="00917519" w:rsidRPr="003E7C59">
        <w:rPr>
          <w:rFonts w:ascii="Arial" w:hAnsi="Arial" w:cs="Arial"/>
          <w:color w:val="000000" w:themeColor="text1"/>
          <w:sz w:val="22"/>
          <w:szCs w:val="22"/>
        </w:rPr>
        <w:t>fs</w:t>
      </w:r>
      <w:r w:rsidRPr="003E7C59">
        <w:rPr>
          <w:rFonts w:ascii="Arial" w:hAnsi="Arial" w:cs="Arial"/>
          <w:color w:val="000000" w:themeColor="text1"/>
          <w:sz w:val="22"/>
          <w:szCs w:val="22"/>
        </w:rPr>
        <w:t xml:space="preserve"> (Figure 1.</w:t>
      </w:r>
      <w:r w:rsidR="00FE5E23" w:rsidRPr="003E7C59">
        <w:rPr>
          <w:rFonts w:ascii="Arial" w:hAnsi="Arial" w:cs="Arial"/>
          <w:color w:val="000000" w:themeColor="text1"/>
          <w:sz w:val="22"/>
          <w:szCs w:val="22"/>
        </w:rPr>
        <w:t>5</w:t>
      </w:r>
      <w:r w:rsidRPr="003E7C59">
        <w:rPr>
          <w:rFonts w:ascii="Arial" w:hAnsi="Arial" w:cs="Arial"/>
          <w:color w:val="000000" w:themeColor="text1"/>
          <w:sz w:val="22"/>
          <w:szCs w:val="22"/>
        </w:rPr>
        <w:t xml:space="preserve">. A). CfMYB2, CfMYB3 in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CkMYB2 in </w:t>
      </w:r>
      <w:r w:rsidRPr="003E7C59">
        <w:rPr>
          <w:rFonts w:ascii="Arial" w:hAnsi="Arial" w:cs="Arial"/>
          <w:i/>
          <w:iCs/>
          <w:color w:val="000000" w:themeColor="text1"/>
          <w:sz w:val="22"/>
          <w:szCs w:val="22"/>
        </w:rPr>
        <w:t>C. kousa</w:t>
      </w:r>
      <w:r w:rsidRPr="003E7C59">
        <w:rPr>
          <w:rFonts w:ascii="Arial" w:hAnsi="Arial" w:cs="Arial"/>
          <w:color w:val="000000" w:themeColor="text1"/>
          <w:sz w:val="22"/>
          <w:szCs w:val="22"/>
        </w:rPr>
        <w:t xml:space="preserve"> contained EAR pdLNLD/ELxiG/S motif located at C-terminal behind MYB R repeat (Figure 1.4. B). </w:t>
      </w:r>
      <w:r w:rsidR="00F8447B" w:rsidRPr="003E7C59">
        <w:rPr>
          <w:rFonts w:ascii="Arial" w:hAnsi="Arial" w:cs="Arial"/>
          <w:color w:val="000000" w:themeColor="text1"/>
          <w:sz w:val="22"/>
          <w:szCs w:val="22"/>
        </w:rPr>
        <w:t xml:space="preserve">CfMYB5 clustered with AtMYB85 and PtMYB1protein sequences, and both protein sequences are involved in </w:t>
      </w:r>
      <w:r w:rsidR="00514326" w:rsidRPr="003E7C59">
        <w:rPr>
          <w:rFonts w:ascii="Arial" w:hAnsi="Arial" w:cs="Arial"/>
          <w:color w:val="000000" w:themeColor="text1"/>
          <w:sz w:val="22"/>
          <w:szCs w:val="22"/>
        </w:rPr>
        <w:t>monolignol</w:t>
      </w:r>
      <w:r w:rsidR="009F5AEA" w:rsidRPr="003E7C59">
        <w:rPr>
          <w:rFonts w:ascii="Arial" w:hAnsi="Arial" w:cs="Arial"/>
          <w:color w:val="000000" w:themeColor="text1"/>
          <w:sz w:val="22"/>
          <w:szCs w:val="22"/>
        </w:rPr>
        <w:t xml:space="preserve"> synthesis </w:t>
      </w:r>
      <w:r w:rsidR="00F8447B" w:rsidRPr="003E7C59">
        <w:rPr>
          <w:rFonts w:ascii="Arial" w:hAnsi="Arial" w:cs="Arial"/>
          <w:color w:val="000000" w:themeColor="text1"/>
          <w:sz w:val="22"/>
          <w:szCs w:val="22"/>
        </w:rPr>
        <w:t>(Figure 1.</w:t>
      </w:r>
      <w:r w:rsidR="00FE5E23" w:rsidRPr="003E7C59">
        <w:rPr>
          <w:rFonts w:ascii="Arial" w:hAnsi="Arial" w:cs="Arial"/>
          <w:color w:val="000000" w:themeColor="text1"/>
          <w:sz w:val="22"/>
          <w:szCs w:val="22"/>
        </w:rPr>
        <w:t>4</w:t>
      </w:r>
      <w:r w:rsidR="00F8447B" w:rsidRPr="003E7C59">
        <w:rPr>
          <w:rFonts w:ascii="Arial" w:hAnsi="Arial" w:cs="Arial"/>
          <w:color w:val="000000" w:themeColor="text1"/>
          <w:sz w:val="22"/>
          <w:szCs w:val="22"/>
        </w:rPr>
        <w:t>).</w:t>
      </w:r>
    </w:p>
    <w:p w14:paraId="14E073B5" w14:textId="77777777" w:rsidR="00B51BF9" w:rsidRPr="003E7C59" w:rsidRDefault="00B51BF9" w:rsidP="006622F2">
      <w:pPr>
        <w:spacing w:line="360" w:lineRule="auto"/>
        <w:rPr>
          <w:rFonts w:ascii="Arial" w:hAnsi="Arial" w:cs="Arial"/>
          <w:color w:val="000000" w:themeColor="text1"/>
          <w:sz w:val="22"/>
          <w:szCs w:val="22"/>
        </w:rPr>
      </w:pPr>
    </w:p>
    <w:p w14:paraId="01C3A673" w14:textId="77777777" w:rsidR="00B51BF9" w:rsidRPr="003E7C59" w:rsidRDefault="00B51BF9" w:rsidP="006622F2">
      <w:pPr>
        <w:pStyle w:val="Heading4"/>
        <w:rPr>
          <w:rStyle w:val="SubtleEmphasis"/>
          <w:rFonts w:ascii="Arial" w:hAnsi="Arial" w:cs="Arial"/>
          <w:i/>
          <w:iCs/>
          <w:color w:val="000000" w:themeColor="text1"/>
          <w:sz w:val="22"/>
          <w:szCs w:val="22"/>
        </w:rPr>
      </w:pPr>
      <w:bookmarkStart w:id="70" w:name="_Toc117166848"/>
      <w:bookmarkStart w:id="71" w:name="_Toc121821934"/>
      <w:r w:rsidRPr="003E7C59">
        <w:rPr>
          <w:rStyle w:val="SubtleEmphasis"/>
          <w:rFonts w:ascii="Arial" w:hAnsi="Arial" w:cs="Arial"/>
          <w:i/>
          <w:iCs/>
          <w:color w:val="000000" w:themeColor="text1"/>
          <w:sz w:val="22"/>
          <w:szCs w:val="22"/>
        </w:rPr>
        <w:t>Validation of RNA-Seq by RT-qPCR</w:t>
      </w:r>
      <w:bookmarkEnd w:id="70"/>
      <w:bookmarkEnd w:id="71"/>
      <w:r w:rsidRPr="003E7C59">
        <w:rPr>
          <w:rStyle w:val="SubtleEmphasis"/>
          <w:rFonts w:ascii="Arial" w:hAnsi="Arial" w:cs="Arial"/>
          <w:i/>
          <w:iCs/>
          <w:color w:val="000000" w:themeColor="text1"/>
          <w:sz w:val="22"/>
          <w:szCs w:val="22"/>
        </w:rPr>
        <w:t xml:space="preserve"> </w:t>
      </w:r>
    </w:p>
    <w:p w14:paraId="49D53D07" w14:textId="77777777" w:rsidR="00B51BF9" w:rsidRPr="003E7C59" w:rsidRDefault="00B51BF9" w:rsidP="006622F2">
      <w:pPr>
        <w:rPr>
          <w:rFonts w:ascii="Arial" w:hAnsi="Arial" w:cs="Arial"/>
          <w:i/>
          <w:iCs/>
          <w:color w:val="000000" w:themeColor="text1"/>
          <w:sz w:val="22"/>
          <w:szCs w:val="22"/>
        </w:rPr>
      </w:pPr>
    </w:p>
    <w:p w14:paraId="149318AE" w14:textId="18B58E66"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Bracts </w:t>
      </w:r>
      <w:proofErr w:type="gramStart"/>
      <w:r w:rsidRPr="003E7C59">
        <w:rPr>
          <w:rFonts w:ascii="Arial" w:hAnsi="Arial" w:cs="Arial"/>
          <w:color w:val="000000" w:themeColor="text1"/>
          <w:sz w:val="22"/>
          <w:szCs w:val="22"/>
        </w:rPr>
        <w:t>were collected</w:t>
      </w:r>
      <w:proofErr w:type="gramEnd"/>
      <w:r w:rsidRPr="003E7C59">
        <w:rPr>
          <w:rFonts w:ascii="Arial" w:hAnsi="Arial" w:cs="Arial"/>
          <w:color w:val="000000" w:themeColor="text1"/>
          <w:sz w:val="22"/>
          <w:szCs w:val="22"/>
        </w:rPr>
        <w:t xml:space="preserve"> throughout development </w:t>
      </w:r>
      <w:sdt>
        <w:sdtPr>
          <w:rPr>
            <w:rFonts w:ascii="Arial" w:hAnsi="Arial" w:cs="Arial"/>
            <w:color w:val="000000" w:themeColor="text1"/>
            <w:sz w:val="22"/>
            <w:szCs w:val="22"/>
          </w:rPr>
          <w:tag w:val="goog_rdk_76"/>
          <w:id w:val="-129090474"/>
        </w:sdtPr>
        <w:sdtEndPr/>
        <w:sdtContent>
          <w:r w:rsidRPr="003E7C59">
            <w:rPr>
              <w:rFonts w:ascii="Arial" w:hAnsi="Arial" w:cs="Arial"/>
              <w:color w:val="000000" w:themeColor="text1"/>
              <w:sz w:val="22"/>
              <w:szCs w:val="22"/>
            </w:rPr>
            <w:t>for more detailed analyses of</w:t>
          </w:r>
        </w:sdtContent>
      </w:sdt>
      <w:r w:rsidRPr="003E7C59">
        <w:rPr>
          <w:rFonts w:ascii="Arial" w:hAnsi="Arial" w:cs="Arial"/>
          <w:color w:val="000000" w:themeColor="text1"/>
          <w:sz w:val="22"/>
          <w:szCs w:val="22"/>
        </w:rPr>
        <w:t xml:space="preserve"> </w:t>
      </w:r>
      <w:sdt>
        <w:sdtPr>
          <w:rPr>
            <w:rFonts w:ascii="Arial" w:hAnsi="Arial" w:cs="Arial"/>
            <w:color w:val="000000" w:themeColor="text1"/>
            <w:sz w:val="22"/>
            <w:szCs w:val="22"/>
          </w:rPr>
          <w:tag w:val="goog_rdk_78"/>
          <w:id w:val="1168749139"/>
        </w:sdtPr>
        <w:sdtEndPr/>
        <w:sdtContent>
          <w:r w:rsidRPr="003E7C59">
            <w:rPr>
              <w:rFonts w:ascii="Arial" w:hAnsi="Arial" w:cs="Arial"/>
              <w:color w:val="000000" w:themeColor="text1"/>
              <w:sz w:val="22"/>
              <w:szCs w:val="22"/>
            </w:rPr>
            <w:t xml:space="preserve">candidate genes </w:t>
          </w:r>
        </w:sdtContent>
      </w:sdt>
      <w:r w:rsidRPr="003E7C59">
        <w:rPr>
          <w:rFonts w:ascii="Arial" w:hAnsi="Arial" w:cs="Arial"/>
          <w:color w:val="000000" w:themeColor="text1"/>
          <w:sz w:val="22"/>
          <w:szCs w:val="22"/>
        </w:rPr>
        <w:t xml:space="preserve">in the phenylpropanoid metabolism. </w:t>
      </w:r>
      <w:r w:rsidR="00D55019" w:rsidRPr="003E7C59">
        <w:rPr>
          <w:rFonts w:ascii="Arial" w:hAnsi="Arial" w:cs="Arial"/>
          <w:color w:val="000000" w:themeColor="text1"/>
          <w:sz w:val="22"/>
          <w:szCs w:val="22"/>
        </w:rPr>
        <w:t>F</w:t>
      </w:r>
      <w:r w:rsidRPr="003E7C59">
        <w:rPr>
          <w:rFonts w:ascii="Arial" w:hAnsi="Arial" w:cs="Arial"/>
          <w:color w:val="000000" w:themeColor="text1"/>
          <w:sz w:val="22"/>
          <w:szCs w:val="22"/>
        </w:rPr>
        <w:t xml:space="preserve">ive R2R3-MYB TFs belonging to subgroups 4 and 5, and five structural genes involved in the flavonoid pathway, </w:t>
      </w:r>
      <w:proofErr w:type="gramStart"/>
      <w:r w:rsidRPr="003E7C59">
        <w:rPr>
          <w:rFonts w:ascii="Arial" w:hAnsi="Arial" w:cs="Arial"/>
          <w:color w:val="000000" w:themeColor="text1"/>
          <w:sz w:val="22"/>
          <w:szCs w:val="22"/>
        </w:rPr>
        <w:t>were selected</w:t>
      </w:r>
      <w:proofErr w:type="gramEnd"/>
      <w:r w:rsidRPr="003E7C59">
        <w:rPr>
          <w:rFonts w:ascii="Arial" w:hAnsi="Arial" w:cs="Arial"/>
          <w:color w:val="000000" w:themeColor="text1"/>
          <w:sz w:val="22"/>
          <w:szCs w:val="22"/>
        </w:rPr>
        <w:t xml:space="preserve"> for RT-qPCR </w:t>
      </w:r>
      <w:sdt>
        <w:sdtPr>
          <w:rPr>
            <w:rFonts w:ascii="Arial" w:hAnsi="Arial" w:cs="Arial"/>
            <w:color w:val="000000" w:themeColor="text1"/>
            <w:sz w:val="22"/>
            <w:szCs w:val="22"/>
          </w:rPr>
          <w:tag w:val="goog_rdk_79"/>
          <w:id w:val="-1874606320"/>
        </w:sdtPr>
        <w:sdtEndPr/>
        <w:sdtContent>
          <w:r w:rsidRPr="003E7C59">
            <w:rPr>
              <w:rFonts w:ascii="Arial" w:hAnsi="Arial" w:cs="Arial"/>
              <w:color w:val="000000" w:themeColor="text1"/>
              <w:sz w:val="22"/>
              <w:szCs w:val="22"/>
            </w:rPr>
            <w:t xml:space="preserve">based </w:t>
          </w:r>
          <w:sdt>
            <w:sdtPr>
              <w:rPr>
                <w:rFonts w:ascii="Arial" w:hAnsi="Arial" w:cs="Arial"/>
                <w:color w:val="000000" w:themeColor="text1"/>
                <w:sz w:val="22"/>
                <w:szCs w:val="22"/>
              </w:rPr>
              <w:tag w:val="goog_rdk_80"/>
              <w:id w:val="2049262653"/>
            </w:sdtPr>
            <w:sdtEndPr/>
            <w:sdtContent/>
          </w:sdt>
          <w:r w:rsidRPr="003E7C59">
            <w:rPr>
              <w:rFonts w:ascii="Arial" w:hAnsi="Arial" w:cs="Arial"/>
              <w:color w:val="000000" w:themeColor="text1"/>
              <w:sz w:val="22"/>
              <w:szCs w:val="22"/>
            </w:rPr>
            <w:t>on</w:t>
          </w:r>
        </w:sdtContent>
      </w:sdt>
      <w:r w:rsidRPr="003E7C59">
        <w:rPr>
          <w:rFonts w:ascii="Arial" w:hAnsi="Arial" w:cs="Arial"/>
          <w:color w:val="000000" w:themeColor="text1"/>
          <w:sz w:val="22"/>
          <w:szCs w:val="22"/>
        </w:rPr>
        <w:t xml:space="preserve"> differential gene expression analysis. RT-qPCR showed a similar relative expression pattern to the RNA-seq data with few exceptions (Figure 1.</w:t>
      </w:r>
      <w:r w:rsidR="005355AC" w:rsidRPr="003E7C59">
        <w:rPr>
          <w:rFonts w:ascii="Arial" w:hAnsi="Arial" w:cs="Arial"/>
          <w:color w:val="000000" w:themeColor="text1"/>
          <w:sz w:val="22"/>
          <w:szCs w:val="22"/>
        </w:rPr>
        <w:t>6</w:t>
      </w:r>
      <w:r w:rsidR="00776D9C" w:rsidRPr="003E7C59">
        <w:rPr>
          <w:rFonts w:ascii="Arial" w:hAnsi="Arial" w:cs="Arial"/>
          <w:color w:val="000000" w:themeColor="text1"/>
          <w:sz w:val="22"/>
          <w:szCs w:val="22"/>
        </w:rPr>
        <w:t xml:space="preserve">; </w:t>
      </w:r>
      <w:r w:rsidR="00134C35" w:rsidRPr="003E7C59">
        <w:rPr>
          <w:rFonts w:ascii="Arial" w:hAnsi="Arial" w:cs="Arial"/>
          <w:color w:val="000000" w:themeColor="text1"/>
          <w:sz w:val="22"/>
          <w:szCs w:val="22"/>
        </w:rPr>
        <w:t>Figure 1.</w:t>
      </w:r>
      <w:r w:rsidR="005355AC" w:rsidRPr="003E7C59">
        <w:rPr>
          <w:rFonts w:ascii="Arial" w:hAnsi="Arial" w:cs="Arial"/>
          <w:color w:val="000000" w:themeColor="text1"/>
          <w:sz w:val="22"/>
          <w:szCs w:val="22"/>
        </w:rPr>
        <w:t>7</w:t>
      </w:r>
      <w:r w:rsidRPr="003E7C59">
        <w:rPr>
          <w:rFonts w:ascii="Arial" w:hAnsi="Arial" w:cs="Arial"/>
          <w:color w:val="000000" w:themeColor="text1"/>
          <w:sz w:val="22"/>
          <w:szCs w:val="22"/>
        </w:rPr>
        <w:t xml:space="preserve">). Relative expression levels of </w:t>
      </w:r>
      <w:r w:rsidRPr="003E7C59">
        <w:rPr>
          <w:rFonts w:ascii="Arial" w:hAnsi="Arial" w:cs="Arial"/>
          <w:i/>
          <w:color w:val="000000" w:themeColor="text1"/>
          <w:sz w:val="22"/>
          <w:szCs w:val="22"/>
        </w:rPr>
        <w:t xml:space="preserve">CfMYB1 80 </w:t>
      </w:r>
      <w:proofErr w:type="gramStart"/>
      <w:r w:rsidRPr="003E7C59">
        <w:rPr>
          <w:rFonts w:ascii="Arial" w:hAnsi="Arial" w:cs="Arial"/>
          <w:color w:val="000000" w:themeColor="text1"/>
          <w:sz w:val="22"/>
          <w:szCs w:val="22"/>
        </w:rPr>
        <w:t xml:space="preserve">were </w:t>
      </w:r>
      <w:sdt>
        <w:sdtPr>
          <w:rPr>
            <w:rFonts w:ascii="Arial" w:hAnsi="Arial" w:cs="Arial"/>
            <w:color w:val="000000" w:themeColor="text1"/>
            <w:sz w:val="22"/>
            <w:szCs w:val="22"/>
          </w:rPr>
          <w:tag w:val="goog_rdk_82"/>
          <w:id w:val="1839569953"/>
        </w:sdtPr>
        <w:sdtEndPr/>
        <w:sdtContent>
          <w:r w:rsidRPr="003E7C59">
            <w:rPr>
              <w:rFonts w:ascii="Arial" w:hAnsi="Arial" w:cs="Arial"/>
              <w:color w:val="000000" w:themeColor="text1"/>
              <w:sz w:val="22"/>
              <w:szCs w:val="22"/>
            </w:rPr>
            <w:t>increased</w:t>
          </w:r>
          <w:proofErr w:type="gramEnd"/>
          <w:r w:rsidRPr="003E7C59">
            <w:rPr>
              <w:rFonts w:ascii="Arial" w:hAnsi="Arial" w:cs="Arial"/>
              <w:color w:val="000000" w:themeColor="text1"/>
              <w:sz w:val="22"/>
              <w:szCs w:val="22"/>
            </w:rPr>
            <w:t xml:space="preserve"> </w:t>
          </w:r>
        </w:sdtContent>
      </w:sdt>
      <w:r w:rsidRPr="003E7C59">
        <w:rPr>
          <w:rFonts w:ascii="Arial" w:hAnsi="Arial" w:cs="Arial"/>
          <w:color w:val="000000" w:themeColor="text1"/>
          <w:sz w:val="22"/>
          <w:szCs w:val="22"/>
        </w:rPr>
        <w:t xml:space="preserve">in bracts of 'Cherokee Chief' when two and four weeks </w:t>
      </w:r>
      <w:r w:rsidR="00A820C3" w:rsidRPr="003E7C59">
        <w:rPr>
          <w:rFonts w:ascii="Arial" w:hAnsi="Arial" w:cs="Arial"/>
          <w:color w:val="000000" w:themeColor="text1"/>
          <w:sz w:val="22"/>
          <w:szCs w:val="22"/>
        </w:rPr>
        <w:t>old but</w:t>
      </w:r>
      <w:r w:rsidRPr="003E7C59">
        <w:rPr>
          <w:rFonts w:ascii="Arial" w:hAnsi="Arial" w:cs="Arial"/>
          <w:color w:val="000000" w:themeColor="text1"/>
          <w:sz w:val="22"/>
          <w:szCs w:val="22"/>
        </w:rPr>
        <w:t xml:space="preserve"> were decreased in bracts of 'Cherokee Brave' at the same ages. </w:t>
      </w:r>
      <w:r w:rsidRPr="003E7C59">
        <w:rPr>
          <w:rFonts w:ascii="Arial" w:hAnsi="Arial" w:cs="Arial"/>
          <w:i/>
          <w:color w:val="000000" w:themeColor="text1"/>
          <w:sz w:val="22"/>
          <w:szCs w:val="22"/>
        </w:rPr>
        <w:t>CfMYB2</w:t>
      </w:r>
      <w:r w:rsidRPr="003E7C59">
        <w:rPr>
          <w:rFonts w:ascii="Arial" w:hAnsi="Arial" w:cs="Arial"/>
          <w:color w:val="000000" w:themeColor="text1"/>
          <w:sz w:val="22"/>
          <w:szCs w:val="22"/>
        </w:rPr>
        <w:t xml:space="preserve"> relative gene expression levels </w:t>
      </w:r>
      <w:proofErr w:type="gramStart"/>
      <w:r w:rsidRPr="003E7C59">
        <w:rPr>
          <w:rFonts w:ascii="Arial" w:hAnsi="Arial" w:cs="Arial"/>
          <w:color w:val="000000" w:themeColor="text1"/>
          <w:sz w:val="22"/>
          <w:szCs w:val="22"/>
        </w:rPr>
        <w:t>were increased</w:t>
      </w:r>
      <w:proofErr w:type="gramEnd"/>
      <w:r w:rsidRPr="003E7C59">
        <w:rPr>
          <w:rFonts w:ascii="Arial" w:hAnsi="Arial" w:cs="Arial"/>
          <w:color w:val="000000" w:themeColor="text1"/>
          <w:sz w:val="22"/>
          <w:szCs w:val="22"/>
        </w:rPr>
        <w:t xml:space="preserve"> in bracts of 'Cloud Nine' when </w:t>
      </w:r>
      <w:r w:rsidR="000D3098" w:rsidRPr="003E7C59">
        <w:rPr>
          <w:rFonts w:ascii="Arial" w:hAnsi="Arial" w:cs="Arial"/>
          <w:color w:val="000000" w:themeColor="text1"/>
          <w:sz w:val="22"/>
          <w:szCs w:val="22"/>
        </w:rPr>
        <w:t>two</w:t>
      </w:r>
      <w:r w:rsidRPr="003E7C59">
        <w:rPr>
          <w:rFonts w:ascii="Arial" w:hAnsi="Arial" w:cs="Arial"/>
          <w:color w:val="000000" w:themeColor="text1"/>
          <w:sz w:val="22"/>
          <w:szCs w:val="22"/>
        </w:rPr>
        <w:t xml:space="preserve"> weeks old, whereas expression levels of </w:t>
      </w:r>
      <w:r w:rsidRPr="003E7C59">
        <w:rPr>
          <w:rFonts w:ascii="Arial" w:hAnsi="Arial" w:cs="Arial"/>
          <w:i/>
          <w:color w:val="000000" w:themeColor="text1"/>
          <w:sz w:val="22"/>
          <w:szCs w:val="22"/>
        </w:rPr>
        <w:t xml:space="preserve">CfMYB3 </w:t>
      </w:r>
      <w:r w:rsidRPr="003E7C59">
        <w:rPr>
          <w:rFonts w:ascii="Arial" w:hAnsi="Arial" w:cs="Arial"/>
          <w:iCs/>
          <w:color w:val="000000" w:themeColor="text1"/>
          <w:sz w:val="22"/>
          <w:szCs w:val="22"/>
        </w:rPr>
        <w:t xml:space="preserve">were significantly up when </w:t>
      </w:r>
      <w:r w:rsidR="000D3098" w:rsidRPr="003E7C59">
        <w:rPr>
          <w:rFonts w:ascii="Arial" w:hAnsi="Arial" w:cs="Arial"/>
          <w:iCs/>
          <w:color w:val="000000" w:themeColor="text1"/>
          <w:sz w:val="22"/>
          <w:szCs w:val="22"/>
        </w:rPr>
        <w:t>four</w:t>
      </w:r>
      <w:r w:rsidRPr="003E7C59">
        <w:rPr>
          <w:rFonts w:ascii="Arial" w:hAnsi="Arial" w:cs="Arial"/>
          <w:iCs/>
          <w:color w:val="000000" w:themeColor="text1"/>
          <w:sz w:val="22"/>
          <w:szCs w:val="22"/>
        </w:rPr>
        <w:t xml:space="preserve"> weeks old. Therefore,</w:t>
      </w:r>
      <w:r w:rsidR="00CB669C" w:rsidRPr="003E7C59">
        <w:rPr>
          <w:rFonts w:ascii="Arial" w:hAnsi="Arial" w:cs="Arial"/>
          <w:iCs/>
          <w:color w:val="000000" w:themeColor="text1"/>
          <w:sz w:val="22"/>
          <w:szCs w:val="22"/>
        </w:rPr>
        <w:t xml:space="preserve"> </w:t>
      </w:r>
      <w:r w:rsidR="00A820C3" w:rsidRPr="003E7C59">
        <w:rPr>
          <w:rFonts w:ascii="Arial" w:hAnsi="Arial" w:cs="Arial"/>
          <w:iCs/>
          <w:color w:val="000000" w:themeColor="text1"/>
          <w:sz w:val="22"/>
          <w:szCs w:val="22"/>
        </w:rPr>
        <w:t>this suggested</w:t>
      </w:r>
      <w:r w:rsidRPr="003E7C59">
        <w:rPr>
          <w:rFonts w:ascii="Arial" w:hAnsi="Arial" w:cs="Arial"/>
          <w:iCs/>
          <w:color w:val="000000" w:themeColor="text1"/>
          <w:sz w:val="22"/>
          <w:szCs w:val="22"/>
        </w:rPr>
        <w:t xml:space="preserve"> that their role in anthocyanin synthesis suppression. </w:t>
      </w:r>
      <w:r w:rsidRPr="003E7C59">
        <w:rPr>
          <w:rFonts w:ascii="Arial" w:hAnsi="Arial" w:cs="Arial"/>
          <w:i/>
          <w:color w:val="000000" w:themeColor="text1"/>
          <w:sz w:val="22"/>
          <w:szCs w:val="22"/>
        </w:rPr>
        <w:t xml:space="preserve">CkMYB1 </w:t>
      </w:r>
      <w:r w:rsidRPr="003E7C59">
        <w:rPr>
          <w:rFonts w:ascii="Arial" w:hAnsi="Arial" w:cs="Arial"/>
          <w:iCs/>
          <w:color w:val="000000" w:themeColor="text1"/>
          <w:sz w:val="22"/>
          <w:szCs w:val="22"/>
        </w:rPr>
        <w:t>was</w:t>
      </w:r>
      <w:r w:rsidRPr="003E7C59">
        <w:rPr>
          <w:rFonts w:ascii="Arial" w:hAnsi="Arial" w:cs="Arial"/>
          <w:color w:val="000000" w:themeColor="text1"/>
          <w:sz w:val="22"/>
          <w:szCs w:val="22"/>
        </w:rPr>
        <w:t xml:space="preserve"> upregulated in bracts of 'Rosy Teacups' when two and four weeks old. However, relative gene expression levels of </w:t>
      </w:r>
      <w:r w:rsidRPr="003E7C59">
        <w:rPr>
          <w:rFonts w:ascii="Arial" w:hAnsi="Arial" w:cs="Arial"/>
          <w:i/>
          <w:iCs/>
          <w:color w:val="000000" w:themeColor="text1"/>
          <w:sz w:val="22"/>
          <w:szCs w:val="22"/>
        </w:rPr>
        <w:t xml:space="preserve">CkMYB2 </w:t>
      </w:r>
      <w:proofErr w:type="gramStart"/>
      <w:r w:rsidRPr="003E7C59">
        <w:rPr>
          <w:rFonts w:ascii="Arial" w:hAnsi="Arial" w:cs="Arial"/>
          <w:color w:val="000000" w:themeColor="text1"/>
          <w:sz w:val="22"/>
          <w:szCs w:val="22"/>
        </w:rPr>
        <w:t>were increased</w:t>
      </w:r>
      <w:proofErr w:type="gramEnd"/>
      <w:r w:rsidRPr="003E7C59">
        <w:rPr>
          <w:rFonts w:ascii="Arial" w:hAnsi="Arial" w:cs="Arial"/>
          <w:color w:val="000000" w:themeColor="text1"/>
          <w:sz w:val="22"/>
          <w:szCs w:val="22"/>
        </w:rPr>
        <w:t xml:space="preserve"> in 'Greensleeves' and 'Rosy Teacups' when two weeks old. </w:t>
      </w:r>
    </w:p>
    <w:p w14:paraId="08249C80" w14:textId="77777777" w:rsidR="00EC16C3" w:rsidRPr="003E7C59" w:rsidRDefault="00EC16C3" w:rsidP="006622F2">
      <w:pPr>
        <w:spacing w:line="360" w:lineRule="auto"/>
        <w:ind w:firstLine="720"/>
        <w:rPr>
          <w:rFonts w:ascii="Arial" w:hAnsi="Arial" w:cs="Arial"/>
          <w:color w:val="000000" w:themeColor="text1"/>
          <w:sz w:val="22"/>
          <w:szCs w:val="22"/>
        </w:rPr>
      </w:pPr>
    </w:p>
    <w:p w14:paraId="6A267B3D" w14:textId="7F948BE0"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72" w:name="_Toc117166849"/>
      <w:bookmarkStart w:id="73" w:name="_Toc121821935"/>
      <w:r w:rsidRPr="003E7C59">
        <w:rPr>
          <w:rFonts w:ascii="Arial" w:hAnsi="Arial" w:cs="Arial"/>
          <w:color w:val="000000" w:themeColor="text1"/>
          <w:sz w:val="22"/>
          <w:szCs w:val="22"/>
        </w:rPr>
        <w:t>Discussion</w:t>
      </w:r>
      <w:bookmarkEnd w:id="72"/>
      <w:bookmarkEnd w:id="73"/>
      <w:r w:rsidRPr="003E7C59">
        <w:rPr>
          <w:rFonts w:ascii="Arial" w:hAnsi="Arial" w:cs="Arial"/>
          <w:color w:val="000000" w:themeColor="text1"/>
          <w:sz w:val="22"/>
          <w:szCs w:val="22"/>
        </w:rPr>
        <w:t xml:space="preserve"> </w:t>
      </w:r>
    </w:p>
    <w:p w14:paraId="00C7051E"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p>
    <w:p w14:paraId="0F40CBB7" w14:textId="5633151A"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Ornamental plants are an economically vital component of agriculture and horticulture. Aesthetically important traits such as leaf morphology, flower color, size and scent, bark color, and plant habitat improve the living ambiance and enhance cultivating sentiment (Linde et al., 2007; Wadl et al., 2011; Zheng et al., 2021). The whole-genome sequences and draft genome sequences of 69 ornamental plants </w:t>
      </w:r>
      <w:proofErr w:type="gramStart"/>
      <w:r w:rsidRPr="003E7C59">
        <w:rPr>
          <w:rFonts w:ascii="Arial" w:hAnsi="Arial" w:cs="Arial"/>
          <w:color w:val="000000" w:themeColor="text1"/>
          <w:sz w:val="22"/>
          <w:szCs w:val="22"/>
        </w:rPr>
        <w:t>were published</w:t>
      </w:r>
      <w:proofErr w:type="gramEnd"/>
      <w:r w:rsidRPr="003E7C59">
        <w:rPr>
          <w:rFonts w:ascii="Arial" w:hAnsi="Arial" w:cs="Arial"/>
          <w:color w:val="000000" w:themeColor="text1"/>
          <w:sz w:val="22"/>
          <w:szCs w:val="22"/>
        </w:rPr>
        <w:t xml:space="preserve"> since 2012 until the end of 2020 (Zheng et al., 2021). However, less than 20 are ornamental trees</w:t>
      </w:r>
      <w:r w:rsidR="004122EC"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and among them, </w:t>
      </w:r>
      <w:r w:rsidR="00CB669C" w:rsidRPr="003E7C59">
        <w:rPr>
          <w:rFonts w:ascii="Arial" w:hAnsi="Arial" w:cs="Arial"/>
          <w:color w:val="000000" w:themeColor="text1"/>
          <w:sz w:val="22"/>
          <w:szCs w:val="22"/>
        </w:rPr>
        <w:t xml:space="preserve">and </w:t>
      </w:r>
      <w:r w:rsidRPr="003E7C59">
        <w:rPr>
          <w:rFonts w:ascii="Arial" w:hAnsi="Arial" w:cs="Arial"/>
          <w:color w:val="000000" w:themeColor="text1"/>
          <w:sz w:val="22"/>
          <w:szCs w:val="22"/>
        </w:rPr>
        <w:t xml:space="preserve">only a few produced red, pink, or violet blooms, such as </w:t>
      </w:r>
      <w:r w:rsidRPr="003E7C59">
        <w:rPr>
          <w:rFonts w:ascii="Arial" w:hAnsi="Arial" w:cs="Arial"/>
          <w:i/>
          <w:iCs/>
          <w:color w:val="000000" w:themeColor="text1"/>
          <w:sz w:val="22"/>
          <w:szCs w:val="22"/>
        </w:rPr>
        <w:t>Prunus</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mume</w:t>
      </w:r>
      <w:r w:rsidR="004122EC" w:rsidRPr="003E7C59">
        <w:rPr>
          <w:rFonts w:ascii="Arial" w:hAnsi="Arial" w:cs="Arial"/>
          <w:color w:val="000000" w:themeColor="text1"/>
          <w:sz w:val="22"/>
          <w:szCs w:val="22"/>
        </w:rPr>
        <w:t xml:space="preserve"> Siebold</w:t>
      </w:r>
      <w:r w:rsidR="009C0354" w:rsidRPr="003E7C59">
        <w:rPr>
          <w:rFonts w:ascii="Arial" w:hAnsi="Arial" w:cs="Arial"/>
          <w:color w:val="000000" w:themeColor="text1"/>
          <w:sz w:val="22"/>
          <w:szCs w:val="22"/>
        </w:rPr>
        <w:t xml:space="preserve"> &amp; Zucc.</w:t>
      </w:r>
      <w:r w:rsidRPr="003E7C59">
        <w:rPr>
          <w:rFonts w:ascii="Arial" w:hAnsi="Arial" w:cs="Arial"/>
          <w:color w:val="000000" w:themeColor="text1"/>
          <w:sz w:val="22"/>
          <w:szCs w:val="22"/>
        </w:rPr>
        <w:t xml:space="preserve"> (Zhang et al., 2012), </w:t>
      </w:r>
      <w:r w:rsidRPr="003E7C59">
        <w:rPr>
          <w:rFonts w:ascii="Arial" w:hAnsi="Arial" w:cs="Arial"/>
          <w:i/>
          <w:iCs/>
          <w:color w:val="000000" w:themeColor="text1"/>
          <w:sz w:val="22"/>
          <w:szCs w:val="22"/>
        </w:rPr>
        <w:t>P</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serrulate </w:t>
      </w:r>
      <w:r w:rsidR="00312FF1" w:rsidRPr="003E7C59">
        <w:rPr>
          <w:rFonts w:ascii="Arial" w:hAnsi="Arial" w:cs="Arial"/>
          <w:color w:val="000000" w:themeColor="text1"/>
          <w:sz w:val="22"/>
          <w:szCs w:val="22"/>
        </w:rPr>
        <w:t>Franch</w:t>
      </w:r>
      <w:r w:rsidRPr="003E7C59">
        <w:rPr>
          <w:rFonts w:ascii="Arial" w:hAnsi="Arial" w:cs="Arial"/>
          <w:color w:val="000000" w:themeColor="text1"/>
          <w:sz w:val="22"/>
          <w:szCs w:val="22"/>
        </w:rPr>
        <w:t>.</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(Yi et al., 2020)</w:t>
      </w:r>
      <w:r w:rsidRPr="003E7C59">
        <w:rPr>
          <w:rFonts w:ascii="Arial" w:hAnsi="Arial" w:cs="Arial"/>
          <w:i/>
          <w:iCs/>
          <w:color w:val="000000" w:themeColor="text1"/>
          <w:sz w:val="22"/>
          <w:szCs w:val="22"/>
        </w:rPr>
        <w:t>, P</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yedoensis</w:t>
      </w:r>
      <w:r w:rsidRPr="003E7C59">
        <w:rPr>
          <w:rStyle w:val="Heading1Char"/>
          <w:rFonts w:ascii="Arial" w:eastAsiaTheme="majorEastAsia" w:hAnsi="Arial" w:cs="Arial"/>
          <w:b w:val="0"/>
          <w:bCs/>
          <w:i/>
          <w:iCs/>
          <w:color w:val="000000" w:themeColor="text1"/>
          <w:sz w:val="22"/>
          <w:szCs w:val="22"/>
        </w:rPr>
        <w:t xml:space="preserve"> </w:t>
      </w:r>
      <w:r w:rsidRPr="003E7C59">
        <w:rPr>
          <w:rStyle w:val="Emphasis"/>
          <w:rFonts w:ascii="Arial" w:eastAsiaTheme="majorEastAsia" w:hAnsi="Arial" w:cs="Arial"/>
          <w:i w:val="0"/>
          <w:iCs w:val="0"/>
          <w:color w:val="000000" w:themeColor="text1"/>
          <w:sz w:val="22"/>
          <w:szCs w:val="22"/>
        </w:rPr>
        <w:t>Matsumura</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(Baek et al., 2018), </w:t>
      </w:r>
      <w:r w:rsidRPr="003E7C59">
        <w:rPr>
          <w:rFonts w:ascii="Arial" w:hAnsi="Arial" w:cs="Arial"/>
          <w:i/>
          <w:iCs/>
          <w:color w:val="000000" w:themeColor="text1"/>
          <w:sz w:val="22"/>
          <w:szCs w:val="22"/>
        </w:rPr>
        <w:t xml:space="preserve">Cercis canadensis </w:t>
      </w:r>
      <w:r w:rsidRPr="003E7C59">
        <w:rPr>
          <w:rFonts w:ascii="Arial" w:hAnsi="Arial" w:cs="Arial"/>
          <w:color w:val="000000" w:themeColor="text1"/>
          <w:sz w:val="22"/>
          <w:szCs w:val="22"/>
        </w:rPr>
        <w:t>L.</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(Stai et al., 2019), </w:t>
      </w:r>
      <w:r w:rsidRPr="003E7C59">
        <w:rPr>
          <w:rFonts w:ascii="Arial" w:hAnsi="Arial" w:cs="Arial"/>
          <w:i/>
          <w:iCs/>
          <w:color w:val="000000" w:themeColor="text1"/>
          <w:sz w:val="22"/>
          <w:szCs w:val="22"/>
        </w:rPr>
        <w:t xml:space="preserve">Osmanthus fragrans </w:t>
      </w:r>
      <w:r w:rsidRPr="003E7C59">
        <w:rPr>
          <w:rFonts w:ascii="Arial" w:hAnsi="Arial" w:cs="Arial"/>
          <w:color w:val="000000" w:themeColor="text1"/>
          <w:sz w:val="22"/>
          <w:szCs w:val="22"/>
        </w:rPr>
        <w:t>Lour.</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(Yang et al., 2018), </w:t>
      </w:r>
      <w:r w:rsidRPr="003E7C59">
        <w:rPr>
          <w:rFonts w:ascii="Arial" w:hAnsi="Arial" w:cs="Arial"/>
          <w:i/>
          <w:iCs/>
          <w:color w:val="000000" w:themeColor="text1"/>
          <w:sz w:val="22"/>
          <w:szCs w:val="22"/>
        </w:rPr>
        <w:t xml:space="preserve">Handroanthus impetiginosus </w:t>
      </w:r>
      <w:r w:rsidRPr="003E7C59">
        <w:rPr>
          <w:rFonts w:ascii="Arial" w:hAnsi="Arial" w:cs="Arial"/>
          <w:color w:val="000000" w:themeColor="text1"/>
          <w:sz w:val="22"/>
          <w:szCs w:val="22"/>
        </w:rPr>
        <w:t xml:space="preserve">Mart. Ex DC (Silva-Junoir et al., 2018) and </w:t>
      </w:r>
      <w:r w:rsidRPr="003E7C59">
        <w:rPr>
          <w:rFonts w:ascii="Arial" w:hAnsi="Arial" w:cs="Arial"/>
          <w:i/>
          <w:iCs/>
          <w:color w:val="000000" w:themeColor="text1"/>
          <w:sz w:val="22"/>
          <w:szCs w:val="22"/>
        </w:rPr>
        <w:t xml:space="preserve">Bombax ceiba </w:t>
      </w:r>
      <w:r w:rsidRPr="003E7C59">
        <w:rPr>
          <w:rFonts w:ascii="Arial" w:hAnsi="Arial" w:cs="Arial"/>
          <w:color w:val="000000" w:themeColor="text1"/>
          <w:sz w:val="22"/>
          <w:szCs w:val="22"/>
        </w:rPr>
        <w:t>L.</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w:t>
      </w:r>
      <w:proofErr w:type="gramStart"/>
      <w:r w:rsidRPr="003E7C59">
        <w:rPr>
          <w:rFonts w:ascii="Arial" w:hAnsi="Arial" w:cs="Arial"/>
          <w:color w:val="000000" w:themeColor="text1"/>
          <w:sz w:val="22"/>
          <w:szCs w:val="22"/>
        </w:rPr>
        <w:t>Gao et al</w:t>
      </w:r>
      <w:proofErr w:type="gramEnd"/>
      <w:r w:rsidRPr="003E7C59">
        <w:rPr>
          <w:rFonts w:ascii="Arial" w:hAnsi="Arial" w:cs="Arial"/>
          <w:color w:val="000000" w:themeColor="text1"/>
          <w:sz w:val="22"/>
          <w:szCs w:val="22"/>
        </w:rPr>
        <w:t xml:space="preserve">., 2018). </w:t>
      </w:r>
      <w:r w:rsidRPr="003E7C59">
        <w:rPr>
          <w:rFonts w:ascii="Arial" w:hAnsi="Arial" w:cs="Arial"/>
          <w:color w:val="000000" w:themeColor="text1"/>
          <w:sz w:val="22"/>
          <w:szCs w:val="22"/>
        </w:rPr>
        <w:lastRenderedPageBreak/>
        <w:t xml:space="preserve">Moreover, candidate genes controlling anthocyanin synthesis, an essential pigment for flower and leaf color, </w:t>
      </w:r>
      <w:proofErr w:type="gramStart"/>
      <w:r w:rsidRPr="003E7C59">
        <w:rPr>
          <w:rFonts w:ascii="Arial" w:hAnsi="Arial" w:cs="Arial"/>
          <w:color w:val="000000" w:themeColor="text1"/>
          <w:sz w:val="22"/>
          <w:szCs w:val="22"/>
        </w:rPr>
        <w:t>have not been identified</w:t>
      </w:r>
      <w:proofErr w:type="gramEnd"/>
      <w:r w:rsidRPr="003E7C59">
        <w:rPr>
          <w:rFonts w:ascii="Arial" w:hAnsi="Arial" w:cs="Arial"/>
          <w:color w:val="000000" w:themeColor="text1"/>
          <w:sz w:val="22"/>
          <w:szCs w:val="22"/>
        </w:rPr>
        <w:t xml:space="preserve"> in most ornamental woody plants. Recently, the anthocyanin profile has been determined in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canadensis </w:t>
      </w:r>
      <w:r w:rsidRPr="003E7C59">
        <w:rPr>
          <w:rFonts w:ascii="Arial" w:hAnsi="Arial" w:cs="Arial"/>
          <w:color w:val="000000" w:themeColor="text1"/>
          <w:sz w:val="22"/>
          <w:szCs w:val="22"/>
        </w:rPr>
        <w:t xml:space="preserve">but not the gene machinery orchestrating its production (Veazie et al., 2017). </w:t>
      </w:r>
      <w:proofErr w:type="gramStart"/>
      <w:r w:rsidRPr="003E7C59">
        <w:rPr>
          <w:rFonts w:ascii="Arial" w:hAnsi="Arial" w:cs="Arial"/>
          <w:color w:val="000000" w:themeColor="text1"/>
          <w:sz w:val="22"/>
          <w:szCs w:val="22"/>
        </w:rPr>
        <w:t>R2R3-MYB TFs fine-tune flavonoid production and their biological functions, such as involvement in developmental and cell differentiation processes, response to environmental stress, and metabolite biosynthesis, and they have been functionally characterized in cereals, vegetables, fruit, and ornamental crops (Du et al., 2009; Dubos et al., 2010; Liu et al., 2015; Wang et al., 2019; Zhang et al., 2019; Ding et al., 2020; Gong et al., 2020; Yan et al., 2020; Yan Yan et al., 2020).</w:t>
      </w:r>
      <w:proofErr w:type="gramEnd"/>
      <w:r w:rsidRPr="003E7C59">
        <w:rPr>
          <w:rFonts w:ascii="Arial" w:hAnsi="Arial" w:cs="Arial"/>
          <w:color w:val="000000" w:themeColor="text1"/>
          <w:sz w:val="22"/>
          <w:szCs w:val="22"/>
        </w:rPr>
        <w:t xml:space="preserve"> </w:t>
      </w:r>
      <w:proofErr w:type="gramStart"/>
      <w:r w:rsidR="005B065F" w:rsidRPr="003E7C59">
        <w:rPr>
          <w:rFonts w:ascii="Arial" w:hAnsi="Arial" w:cs="Arial"/>
          <w:color w:val="000000" w:themeColor="text1"/>
          <w:sz w:val="22"/>
          <w:szCs w:val="22"/>
        </w:rPr>
        <w:t>N</w:t>
      </w:r>
      <w:r w:rsidRPr="003E7C59">
        <w:rPr>
          <w:rFonts w:ascii="Arial" w:hAnsi="Arial" w:cs="Arial"/>
          <w:color w:val="000000" w:themeColor="text1"/>
          <w:sz w:val="22"/>
          <w:szCs w:val="22"/>
        </w:rPr>
        <w:t xml:space="preserve">umerous R2R3-MYB TF (61) have been identified in herbaceous ornamental plants such as </w:t>
      </w:r>
      <w:r w:rsidRPr="003E7C59">
        <w:rPr>
          <w:rFonts w:ascii="Arial" w:hAnsi="Arial" w:cs="Arial"/>
          <w:i/>
          <w:iCs/>
          <w:color w:val="000000" w:themeColor="text1"/>
          <w:sz w:val="22"/>
          <w:szCs w:val="22"/>
        </w:rPr>
        <w:t>Petunia</w:t>
      </w:r>
      <w:r w:rsidRPr="003E7C59">
        <w:rPr>
          <w:rFonts w:ascii="Arial" w:hAnsi="Arial" w:cs="Arial"/>
          <w:color w:val="000000" w:themeColor="text1"/>
          <w:sz w:val="22"/>
          <w:szCs w:val="22"/>
        </w:rPr>
        <w:t xml:space="preserve"> sp. (Quattrocchio et al., 1999; Albert et al., 2009; Albert et al., 2011), </w:t>
      </w:r>
      <w:r w:rsidRPr="003E7C59">
        <w:rPr>
          <w:rFonts w:ascii="Arial" w:hAnsi="Arial" w:cs="Arial"/>
          <w:i/>
          <w:iCs/>
          <w:color w:val="000000" w:themeColor="text1"/>
          <w:sz w:val="22"/>
          <w:szCs w:val="22"/>
        </w:rPr>
        <w:t>Rosa</w:t>
      </w:r>
      <w:r w:rsidRPr="003E7C59">
        <w:rPr>
          <w:rFonts w:ascii="Arial" w:hAnsi="Arial" w:cs="Arial"/>
          <w:color w:val="000000" w:themeColor="text1"/>
          <w:sz w:val="22"/>
          <w:szCs w:val="22"/>
        </w:rPr>
        <w:t xml:space="preserve"> sp. (Lin-Wang et al., 2010), </w:t>
      </w:r>
      <w:r w:rsidRPr="003E7C59">
        <w:rPr>
          <w:rFonts w:ascii="Arial" w:hAnsi="Arial" w:cs="Arial"/>
          <w:i/>
          <w:iCs/>
          <w:color w:val="000000" w:themeColor="text1"/>
          <w:sz w:val="22"/>
          <w:szCs w:val="22"/>
        </w:rPr>
        <w:t>Lilium</w:t>
      </w:r>
      <w:r w:rsidRPr="003E7C59">
        <w:rPr>
          <w:rFonts w:ascii="Arial" w:hAnsi="Arial" w:cs="Arial"/>
          <w:color w:val="000000" w:themeColor="text1"/>
          <w:sz w:val="22"/>
          <w:szCs w:val="22"/>
        </w:rPr>
        <w:t xml:space="preserve"> sp. (Nakatsuka et al., 2009; Yamagishi et al., 2010, 2011, 2012, 2016), </w:t>
      </w:r>
      <w:r w:rsidRPr="003E7C59">
        <w:rPr>
          <w:rFonts w:ascii="Arial" w:hAnsi="Arial" w:cs="Arial"/>
          <w:i/>
          <w:iCs/>
          <w:color w:val="000000" w:themeColor="text1"/>
          <w:sz w:val="22"/>
          <w:szCs w:val="22"/>
        </w:rPr>
        <w:t>Antirrhinum</w:t>
      </w:r>
      <w:r w:rsidRPr="003E7C59">
        <w:rPr>
          <w:rFonts w:ascii="Arial" w:hAnsi="Arial" w:cs="Arial"/>
          <w:color w:val="000000" w:themeColor="text1"/>
          <w:sz w:val="22"/>
          <w:szCs w:val="22"/>
        </w:rPr>
        <w:t xml:space="preserve"> sp. (Martin et al., 1991; Moyano and Martinez-Garcia, 1996; Schwinn et al., 2006; Shang et al., 2011), </w:t>
      </w:r>
      <w:r w:rsidRPr="003E7C59">
        <w:rPr>
          <w:rFonts w:ascii="Arial" w:hAnsi="Arial" w:cs="Arial"/>
          <w:i/>
          <w:iCs/>
          <w:color w:val="000000" w:themeColor="text1"/>
          <w:sz w:val="22"/>
          <w:szCs w:val="22"/>
        </w:rPr>
        <w:t>Gerbera</w:t>
      </w:r>
      <w:r w:rsidRPr="003E7C59">
        <w:rPr>
          <w:rFonts w:ascii="Arial" w:hAnsi="Arial" w:cs="Arial"/>
          <w:color w:val="000000" w:themeColor="text1"/>
          <w:sz w:val="22"/>
          <w:szCs w:val="22"/>
        </w:rPr>
        <w:t xml:space="preserve"> sp. (Elomaa et al., 2003) and only one in a woody plant, </w:t>
      </w:r>
      <w:r w:rsidRPr="003E7C59">
        <w:rPr>
          <w:rFonts w:ascii="Arial" w:hAnsi="Arial" w:cs="Arial"/>
          <w:i/>
          <w:iCs/>
          <w:color w:val="000000" w:themeColor="text1"/>
          <w:sz w:val="22"/>
          <w:szCs w:val="22"/>
        </w:rPr>
        <w:t>P</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meme </w:t>
      </w:r>
      <w:r w:rsidRPr="003E7C59">
        <w:rPr>
          <w:rFonts w:ascii="Arial" w:hAnsi="Arial" w:cs="Arial"/>
          <w:color w:val="000000" w:themeColor="text1"/>
          <w:sz w:val="22"/>
          <w:szCs w:val="22"/>
        </w:rPr>
        <w:t>(Zhang et al., 2017).</w:t>
      </w:r>
      <w:proofErr w:type="gramEnd"/>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Cornus</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and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w:t>
      </w:r>
      <w:r w:rsidRPr="003E7C59">
        <w:rPr>
          <w:rFonts w:ascii="Arial" w:hAnsi="Arial" w:cs="Arial"/>
          <w:i/>
          <w:iCs/>
          <w:color w:val="000000" w:themeColor="text1"/>
          <w:sz w:val="22"/>
          <w:szCs w:val="22"/>
        </w:rPr>
        <w:t xml:space="preserve"> kousa </w:t>
      </w:r>
      <w:r w:rsidRPr="003E7C59">
        <w:rPr>
          <w:rFonts w:ascii="Arial" w:hAnsi="Arial" w:cs="Arial"/>
          <w:color w:val="000000" w:themeColor="text1"/>
          <w:sz w:val="22"/>
          <w:szCs w:val="22"/>
        </w:rPr>
        <w:t xml:space="preserve">are culturally and economically crucial ornamental trees for a few states in the US. </w:t>
      </w:r>
      <w:r w:rsidRPr="003E7C59">
        <w:rPr>
          <w:rFonts w:ascii="Arial" w:hAnsi="Arial" w:cs="Arial"/>
          <w:color w:val="000000" w:themeColor="text1"/>
          <w:sz w:val="22"/>
          <w:szCs w:val="22"/>
          <w:shd w:val="clear" w:color="auto" w:fill="FCFCFC"/>
        </w:rPr>
        <w:t xml:space="preserve">However, to our knowledge, structural and regulatory </w:t>
      </w:r>
      <w:r w:rsidRPr="003E7C59">
        <w:rPr>
          <w:rFonts w:ascii="Arial" w:hAnsi="Arial" w:cs="Arial"/>
          <w:color w:val="000000" w:themeColor="text1"/>
          <w:sz w:val="22"/>
          <w:szCs w:val="22"/>
        </w:rPr>
        <w:t>genes controlling</w:t>
      </w:r>
      <w:sdt>
        <w:sdtPr>
          <w:rPr>
            <w:rFonts w:ascii="Arial" w:hAnsi="Arial" w:cs="Arial"/>
            <w:color w:val="000000" w:themeColor="text1"/>
            <w:sz w:val="22"/>
            <w:szCs w:val="22"/>
          </w:rPr>
          <w:tag w:val="goog_rdk_24"/>
          <w:id w:val="-539209069"/>
          <w:placeholder>
            <w:docPart w:val="1529C1AAF6329D49B3C42E01A20D6D88"/>
          </w:placeholder>
        </w:sdtPr>
        <w:sdtEndPr/>
        <w:sdtContent>
          <w:r w:rsidRPr="003E7C59">
            <w:rPr>
              <w:rFonts w:ascii="Arial" w:hAnsi="Arial" w:cs="Arial"/>
              <w:color w:val="000000" w:themeColor="text1"/>
              <w:sz w:val="22"/>
              <w:szCs w:val="22"/>
            </w:rPr>
            <w:t xml:space="preserve"> the</w:t>
          </w:r>
        </w:sdtContent>
      </w:sdt>
      <w:r w:rsidRPr="003E7C59">
        <w:rPr>
          <w:rFonts w:ascii="Arial" w:hAnsi="Arial" w:cs="Arial"/>
          <w:color w:val="000000" w:themeColor="text1"/>
          <w:sz w:val="22"/>
          <w:szCs w:val="22"/>
        </w:rPr>
        <w:t xml:space="preserve"> anthocyanins and other phenylpropanoid-derived compounds biosynthesis in flowering and Asian dogwood </w:t>
      </w:r>
      <w:proofErr w:type="gramStart"/>
      <w:r w:rsidRPr="003E7C59">
        <w:rPr>
          <w:rFonts w:ascii="Arial" w:hAnsi="Arial" w:cs="Arial"/>
          <w:color w:val="000000" w:themeColor="text1"/>
          <w:sz w:val="22"/>
          <w:szCs w:val="22"/>
        </w:rPr>
        <w:t>have not been reported</w:t>
      </w:r>
      <w:proofErr w:type="gramEnd"/>
      <w:r w:rsidRPr="003E7C59">
        <w:rPr>
          <w:rFonts w:ascii="Arial" w:hAnsi="Arial" w:cs="Arial"/>
          <w:color w:val="000000" w:themeColor="text1"/>
          <w:sz w:val="22"/>
          <w:szCs w:val="22"/>
        </w:rPr>
        <w:t xml:space="preserve"> yet. </w:t>
      </w:r>
    </w:p>
    <w:p w14:paraId="43D3D969" w14:textId="77777777" w:rsidR="00B51BF9" w:rsidRPr="003E7C59" w:rsidRDefault="00B51BF9" w:rsidP="006622F2">
      <w:pPr>
        <w:spacing w:line="360" w:lineRule="auto"/>
        <w:ind w:firstLine="720"/>
        <w:rPr>
          <w:rFonts w:ascii="Arial" w:hAnsi="Arial" w:cs="Arial"/>
          <w:color w:val="000000" w:themeColor="text1"/>
          <w:sz w:val="22"/>
          <w:szCs w:val="22"/>
        </w:rPr>
      </w:pPr>
    </w:p>
    <w:p w14:paraId="3148783F" w14:textId="71E02E50"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Our transcriptome study aimed to identify important genes involved in phenylpropanoid metabolite biosynthesis, particularly anthocyanin and proanthocyanidins production, using RNA-Seq and RT-qPCR for validation. Five R2R3-MYB TFs were detected as downregulated in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only two in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kousa</w:t>
      </w:r>
      <w:r w:rsidR="00A9397D" w:rsidRPr="003E7C59">
        <w:rPr>
          <w:rFonts w:ascii="Arial" w:hAnsi="Arial" w:cs="Arial"/>
          <w:color w:val="000000" w:themeColor="text1"/>
          <w:sz w:val="22"/>
          <w:szCs w:val="22"/>
        </w:rPr>
        <w:t>. Genome</w:t>
      </w:r>
      <w:r w:rsidR="006C7AB2" w:rsidRPr="003E7C59">
        <w:rPr>
          <w:rFonts w:ascii="Arial" w:hAnsi="Arial" w:cs="Arial"/>
          <w:color w:val="000000" w:themeColor="text1"/>
          <w:sz w:val="22"/>
          <w:szCs w:val="22"/>
        </w:rPr>
        <w:t>-</w:t>
      </w:r>
      <w:r w:rsidR="00A9397D" w:rsidRPr="003E7C59">
        <w:rPr>
          <w:rFonts w:ascii="Arial" w:hAnsi="Arial" w:cs="Arial"/>
          <w:color w:val="000000" w:themeColor="text1"/>
          <w:sz w:val="22"/>
          <w:szCs w:val="22"/>
        </w:rPr>
        <w:t xml:space="preserve">wide studies </w:t>
      </w:r>
      <w:r w:rsidR="00815CC2" w:rsidRPr="003E7C59">
        <w:rPr>
          <w:rFonts w:ascii="Arial" w:hAnsi="Arial" w:cs="Arial"/>
          <w:color w:val="000000" w:themeColor="text1"/>
          <w:sz w:val="22"/>
          <w:szCs w:val="22"/>
        </w:rPr>
        <w:t xml:space="preserve">identified </w:t>
      </w:r>
      <w:r w:rsidR="003460A2" w:rsidRPr="003E7C59">
        <w:rPr>
          <w:rFonts w:ascii="Arial" w:hAnsi="Arial" w:cs="Arial"/>
          <w:color w:val="000000" w:themeColor="text1"/>
          <w:sz w:val="22"/>
          <w:szCs w:val="22"/>
        </w:rPr>
        <w:t xml:space="preserve">a </w:t>
      </w:r>
      <w:r w:rsidR="00815CC2" w:rsidRPr="003E7C59">
        <w:rPr>
          <w:rFonts w:ascii="Arial" w:hAnsi="Arial" w:cs="Arial"/>
          <w:color w:val="000000" w:themeColor="text1"/>
          <w:sz w:val="22"/>
          <w:szCs w:val="22"/>
        </w:rPr>
        <w:t>different number of R2R3-MYB genes in</w:t>
      </w:r>
      <w:r w:rsidRPr="003E7C59">
        <w:rPr>
          <w:rFonts w:ascii="Arial" w:hAnsi="Arial" w:cs="Arial"/>
          <w:color w:val="000000" w:themeColor="text1"/>
          <w:sz w:val="22"/>
          <w:szCs w:val="22"/>
        </w:rPr>
        <w:t xml:space="preserve"> other plant species</w:t>
      </w:r>
      <w:r w:rsidR="003460A2"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such as 126 genes in </w:t>
      </w:r>
      <w:r w:rsidRPr="003E7C59">
        <w:rPr>
          <w:rFonts w:ascii="Arial" w:hAnsi="Arial" w:cs="Arial"/>
          <w:i/>
          <w:iCs/>
          <w:color w:val="000000" w:themeColor="text1"/>
          <w:sz w:val="22"/>
          <w:szCs w:val="22"/>
        </w:rPr>
        <w:t>A</w:t>
      </w:r>
      <w:r w:rsidRPr="003E7C59">
        <w:rPr>
          <w:rFonts w:ascii="Arial" w:hAnsi="Arial" w:cs="Arial"/>
          <w:i/>
          <w:color w:val="000000" w:themeColor="text1"/>
          <w:sz w:val="22"/>
          <w:szCs w:val="22"/>
        </w:rPr>
        <w:t xml:space="preserve">. </w:t>
      </w:r>
      <w:r w:rsidRPr="003E7C59">
        <w:rPr>
          <w:rFonts w:ascii="Arial" w:hAnsi="Arial" w:cs="Arial"/>
          <w:i/>
          <w:iCs/>
          <w:color w:val="000000" w:themeColor="text1"/>
          <w:sz w:val="22"/>
          <w:szCs w:val="22"/>
        </w:rPr>
        <w:t>thaliana</w:t>
      </w:r>
      <w:r w:rsidRPr="003E7C59">
        <w:rPr>
          <w:rFonts w:ascii="Arial" w:hAnsi="Arial" w:cs="Arial"/>
          <w:color w:val="000000" w:themeColor="text1"/>
          <w:sz w:val="22"/>
          <w:szCs w:val="22"/>
        </w:rPr>
        <w:t xml:space="preserve"> (Stracke et al., 2001), 192 in </w:t>
      </w:r>
      <w:r w:rsidRPr="003E7C59">
        <w:rPr>
          <w:rFonts w:ascii="Arial" w:hAnsi="Arial" w:cs="Arial"/>
          <w:i/>
          <w:iCs/>
          <w:color w:val="000000" w:themeColor="text1"/>
          <w:sz w:val="22"/>
          <w:szCs w:val="22"/>
        </w:rPr>
        <w:t xml:space="preserve">Populus </w:t>
      </w:r>
      <w:r w:rsidRPr="003E7C59">
        <w:rPr>
          <w:rFonts w:ascii="Arial" w:hAnsi="Arial" w:cs="Arial"/>
          <w:color w:val="000000" w:themeColor="text1"/>
          <w:sz w:val="22"/>
          <w:szCs w:val="22"/>
        </w:rPr>
        <w:t xml:space="preserve">(Wilkins et al., 2009), 244 in soybean (Du et al., 2012), and 406 in </w:t>
      </w:r>
      <w:r w:rsidRPr="003E7C59">
        <w:rPr>
          <w:rFonts w:ascii="Arial" w:hAnsi="Arial" w:cs="Arial"/>
          <w:i/>
          <w:iCs/>
          <w:color w:val="000000" w:themeColor="text1"/>
          <w:sz w:val="22"/>
          <w:szCs w:val="22"/>
        </w:rPr>
        <w:t xml:space="preserve">Gossypium hirsutum </w:t>
      </w:r>
      <w:r w:rsidR="00C8383F" w:rsidRPr="003E7C59">
        <w:rPr>
          <w:rFonts w:ascii="Arial" w:hAnsi="Arial" w:cs="Arial"/>
          <w:color w:val="000000" w:themeColor="text1"/>
          <w:sz w:val="22"/>
          <w:szCs w:val="22"/>
        </w:rPr>
        <w:t xml:space="preserve">L. </w:t>
      </w:r>
      <w:r w:rsidRPr="003E7C59">
        <w:rPr>
          <w:rFonts w:ascii="Arial" w:hAnsi="Arial" w:cs="Arial"/>
          <w:color w:val="000000" w:themeColor="text1"/>
          <w:sz w:val="22"/>
          <w:szCs w:val="22"/>
        </w:rPr>
        <w:t xml:space="preserve">(Wong et al., 2019). </w:t>
      </w:r>
      <w:r w:rsidR="007178FE" w:rsidRPr="003E7C59">
        <w:rPr>
          <w:rFonts w:ascii="Arial" w:hAnsi="Arial" w:cs="Arial"/>
          <w:color w:val="000000" w:themeColor="text1"/>
          <w:sz w:val="22"/>
          <w:szCs w:val="22"/>
        </w:rPr>
        <w:t>Thus, g</w:t>
      </w:r>
      <w:r w:rsidRPr="003E7C59">
        <w:rPr>
          <w:rFonts w:ascii="Arial" w:hAnsi="Arial" w:cs="Arial"/>
          <w:color w:val="000000" w:themeColor="text1"/>
          <w:sz w:val="22"/>
          <w:szCs w:val="22"/>
        </w:rPr>
        <w:t xml:space="preserve">enome unavailability and mapping to a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and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kousa</w:t>
      </w:r>
      <w:r w:rsidRPr="003E7C59">
        <w:rPr>
          <w:rFonts w:ascii="Arial" w:hAnsi="Arial" w:cs="Arial"/>
          <w:color w:val="000000" w:themeColor="text1"/>
          <w:sz w:val="22"/>
          <w:szCs w:val="22"/>
        </w:rPr>
        <w:t xml:space="preserve"> leaf transcriptome</w:t>
      </w:r>
      <w:r w:rsidR="00925CD3" w:rsidRPr="003E7C59">
        <w:rPr>
          <w:rFonts w:ascii="Arial" w:hAnsi="Arial" w:cs="Arial"/>
          <w:color w:val="000000" w:themeColor="text1"/>
          <w:sz w:val="22"/>
          <w:szCs w:val="22"/>
        </w:rPr>
        <w:t xml:space="preserve"> probably</w:t>
      </w:r>
      <w:r w:rsidRPr="003E7C59">
        <w:rPr>
          <w:rFonts w:ascii="Arial" w:hAnsi="Arial" w:cs="Arial"/>
          <w:color w:val="000000" w:themeColor="text1"/>
          <w:sz w:val="22"/>
          <w:szCs w:val="22"/>
        </w:rPr>
        <w:t xml:space="preserve"> </w:t>
      </w:r>
      <w:r w:rsidR="007178FE" w:rsidRPr="003E7C59">
        <w:rPr>
          <w:rFonts w:ascii="Arial" w:hAnsi="Arial" w:cs="Arial"/>
          <w:color w:val="000000" w:themeColor="text1"/>
          <w:sz w:val="22"/>
          <w:szCs w:val="22"/>
        </w:rPr>
        <w:t>hindered</w:t>
      </w:r>
      <w:r w:rsidRPr="003E7C59">
        <w:rPr>
          <w:rFonts w:ascii="Arial" w:hAnsi="Arial" w:cs="Arial"/>
          <w:color w:val="000000" w:themeColor="text1"/>
          <w:sz w:val="22"/>
          <w:szCs w:val="22"/>
        </w:rPr>
        <w:t xml:space="preserve"> the ability to mine more R2R3-MYB TFs.</w:t>
      </w:r>
      <w:r w:rsidR="007178FE" w:rsidRPr="003E7C59">
        <w:rPr>
          <w:rFonts w:ascii="Arial" w:hAnsi="Arial" w:cs="Arial"/>
          <w:color w:val="000000" w:themeColor="text1"/>
          <w:sz w:val="22"/>
          <w:szCs w:val="22"/>
        </w:rPr>
        <w:t xml:space="preserve"> D</w:t>
      </w:r>
      <w:r w:rsidRPr="003E7C59">
        <w:rPr>
          <w:rFonts w:ascii="Arial" w:hAnsi="Arial" w:cs="Arial"/>
          <w:color w:val="000000" w:themeColor="text1"/>
          <w:sz w:val="22"/>
          <w:szCs w:val="22"/>
        </w:rPr>
        <w:t xml:space="preserve">ownregulation of R2R3-MYB TFs and upstream structural genes </w:t>
      </w:r>
      <w:r w:rsidRPr="003E7C59">
        <w:rPr>
          <w:rFonts w:ascii="Arial" w:hAnsi="Arial" w:cs="Arial"/>
          <w:i/>
          <w:iCs/>
          <w:color w:val="000000" w:themeColor="text1"/>
          <w:sz w:val="22"/>
          <w:szCs w:val="22"/>
        </w:rPr>
        <w:t>CHS</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CHI, </w:t>
      </w:r>
      <w:r w:rsidRPr="003E7C59">
        <w:rPr>
          <w:rFonts w:ascii="Arial" w:hAnsi="Arial" w:cs="Arial"/>
          <w:color w:val="000000" w:themeColor="text1"/>
          <w:sz w:val="22"/>
          <w:szCs w:val="22"/>
        </w:rPr>
        <w:t xml:space="preserve">and </w:t>
      </w:r>
      <w:r w:rsidRPr="003E7C59">
        <w:rPr>
          <w:rFonts w:ascii="Arial" w:hAnsi="Arial" w:cs="Arial"/>
          <w:i/>
          <w:iCs/>
          <w:color w:val="000000" w:themeColor="text1"/>
          <w:sz w:val="22"/>
          <w:szCs w:val="22"/>
        </w:rPr>
        <w:t xml:space="preserve">F3H </w:t>
      </w:r>
      <w:r w:rsidRPr="003E7C59">
        <w:rPr>
          <w:rFonts w:ascii="Arial" w:hAnsi="Arial" w:cs="Arial"/>
          <w:color w:val="000000" w:themeColor="text1"/>
          <w:sz w:val="22"/>
          <w:szCs w:val="22"/>
        </w:rPr>
        <w:t xml:space="preserve">might result from sequencing fully physiologically developed bracts (four weeks old). In apples, MdMYB10 orchestrates the synthesis of anthocyanins in the peel, flesh, and color of foliage in the early stage (Espley et al., 2007); whereas MdMYB10b regulates the color of the fruit cortex in later phases (Chagné et al., 2012). Moreover, expression levels of </w:t>
      </w:r>
      <w:r w:rsidRPr="003E7C59">
        <w:rPr>
          <w:rFonts w:ascii="Arial" w:hAnsi="Arial" w:cs="Arial"/>
          <w:i/>
          <w:iCs/>
          <w:color w:val="000000" w:themeColor="text1"/>
          <w:sz w:val="22"/>
          <w:szCs w:val="22"/>
        </w:rPr>
        <w:t xml:space="preserve">CHS </w:t>
      </w:r>
      <w:r w:rsidRPr="003E7C59">
        <w:rPr>
          <w:rFonts w:ascii="Arial" w:hAnsi="Arial" w:cs="Arial"/>
          <w:color w:val="000000" w:themeColor="text1"/>
          <w:sz w:val="22"/>
          <w:szCs w:val="22"/>
        </w:rPr>
        <w:t xml:space="preserve">and </w:t>
      </w:r>
      <w:r w:rsidRPr="003E7C59">
        <w:rPr>
          <w:rFonts w:ascii="Arial" w:hAnsi="Arial" w:cs="Arial"/>
          <w:i/>
          <w:iCs/>
          <w:color w:val="000000" w:themeColor="text1"/>
          <w:sz w:val="22"/>
          <w:szCs w:val="22"/>
        </w:rPr>
        <w:t xml:space="preserve">F3H, </w:t>
      </w:r>
      <w:r w:rsidRPr="003E7C59">
        <w:rPr>
          <w:rFonts w:ascii="Arial" w:hAnsi="Arial" w:cs="Arial"/>
          <w:color w:val="000000" w:themeColor="text1"/>
          <w:sz w:val="22"/>
          <w:szCs w:val="22"/>
        </w:rPr>
        <w:t xml:space="preserve">key enzymes involved in flavonoid and anthocyanin synthesis, </w:t>
      </w:r>
      <w:proofErr w:type="gramStart"/>
      <w:r w:rsidRPr="003E7C59">
        <w:rPr>
          <w:rFonts w:ascii="Arial" w:hAnsi="Arial" w:cs="Arial"/>
          <w:color w:val="000000" w:themeColor="text1"/>
          <w:sz w:val="22"/>
          <w:szCs w:val="22"/>
        </w:rPr>
        <w:t>were increased</w:t>
      </w:r>
      <w:proofErr w:type="gramEnd"/>
      <w:r w:rsidRPr="003E7C59">
        <w:rPr>
          <w:rFonts w:ascii="Arial" w:hAnsi="Arial" w:cs="Arial"/>
          <w:color w:val="000000" w:themeColor="text1"/>
          <w:sz w:val="22"/>
          <w:szCs w:val="22"/>
        </w:rPr>
        <w:t xml:space="preserve"> in </w:t>
      </w:r>
      <w:r w:rsidR="000B07F5" w:rsidRPr="003E7C59">
        <w:rPr>
          <w:rFonts w:ascii="Arial" w:hAnsi="Arial" w:cs="Arial"/>
          <w:color w:val="000000" w:themeColor="text1"/>
          <w:sz w:val="22"/>
          <w:szCs w:val="22"/>
        </w:rPr>
        <w:t xml:space="preserve">two weeks old </w:t>
      </w:r>
      <w:r w:rsidRPr="003E7C59">
        <w:rPr>
          <w:rFonts w:ascii="Arial" w:hAnsi="Arial" w:cs="Arial"/>
          <w:color w:val="000000" w:themeColor="text1"/>
          <w:sz w:val="22"/>
          <w:szCs w:val="22"/>
        </w:rPr>
        <w:t>'Cloud Nine,' 'Cherokee Chief,' and 'Rosy Teacups</w:t>
      </w:r>
      <w:r w:rsidR="003158FF"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Consistently, late biosynthetic genes </w:t>
      </w:r>
      <w:proofErr w:type="gramStart"/>
      <w:r w:rsidRPr="003E7C59">
        <w:rPr>
          <w:rFonts w:ascii="Arial" w:hAnsi="Arial" w:cs="Arial"/>
          <w:color w:val="000000" w:themeColor="text1"/>
          <w:sz w:val="22"/>
          <w:szCs w:val="22"/>
        </w:rPr>
        <w:t xml:space="preserve">were </w:t>
      </w:r>
      <w:r w:rsidRPr="003E7C59">
        <w:rPr>
          <w:rFonts w:ascii="Arial" w:hAnsi="Arial" w:cs="Arial"/>
          <w:color w:val="000000" w:themeColor="text1"/>
          <w:sz w:val="22"/>
          <w:szCs w:val="22"/>
        </w:rPr>
        <w:lastRenderedPageBreak/>
        <w:t>not detected</w:t>
      </w:r>
      <w:proofErr w:type="gramEnd"/>
      <w:r w:rsidRPr="003E7C59">
        <w:rPr>
          <w:rFonts w:ascii="Arial" w:hAnsi="Arial" w:cs="Arial"/>
          <w:color w:val="000000" w:themeColor="text1"/>
          <w:sz w:val="22"/>
          <w:szCs w:val="22"/>
        </w:rPr>
        <w:t xml:space="preserve"> as significantly up- or downregulated. Hence, this confirms previous findings that the anthocyanins content varies greatly depending on the species' genetic background, environmental conditions, and stage of plant development (Wadl et al., 2011; Jaakola, 2013; Mattiolli et al., 2020). On the contrary, Salvatierra et al. (2013) showed that expression levels of early biosynthetic genes are not crucial in the flavonoid pathway for pigment manifestation. Finally, phenylpropanoid biosynthesis is a complex metabolic grid with many branches and alternative metabolic routes (Yan et al., 2020).</w:t>
      </w:r>
    </w:p>
    <w:p w14:paraId="4439E054" w14:textId="77777777" w:rsidR="00B51BF9" w:rsidRPr="003E7C59" w:rsidRDefault="00B51BF9" w:rsidP="006622F2">
      <w:pPr>
        <w:spacing w:line="360" w:lineRule="auto"/>
        <w:ind w:firstLine="720"/>
        <w:rPr>
          <w:rFonts w:ascii="Arial" w:hAnsi="Arial" w:cs="Arial"/>
          <w:color w:val="000000" w:themeColor="text1"/>
          <w:sz w:val="22"/>
          <w:szCs w:val="22"/>
        </w:rPr>
      </w:pPr>
    </w:p>
    <w:p w14:paraId="3B442809" w14:textId="77777777" w:rsidR="00A72E9B" w:rsidRPr="003E7C59" w:rsidRDefault="00A72E9B" w:rsidP="006622F2">
      <w:pPr>
        <w:spacing w:line="360" w:lineRule="auto"/>
        <w:ind w:firstLine="720"/>
        <w:rPr>
          <w:rFonts w:ascii="Arial" w:hAnsi="Arial" w:cs="Arial"/>
          <w:color w:val="000000" w:themeColor="text1"/>
          <w:sz w:val="22"/>
          <w:szCs w:val="22"/>
        </w:rPr>
      </w:pPr>
      <w:bookmarkStart w:id="74" w:name="_Toc117166850"/>
      <w:r w:rsidRPr="003E7C59">
        <w:rPr>
          <w:rFonts w:ascii="Arial" w:hAnsi="Arial" w:cs="Arial"/>
          <w:color w:val="000000" w:themeColor="text1"/>
          <w:sz w:val="22"/>
          <w:szCs w:val="22"/>
        </w:rPr>
        <w:t xml:space="preserve">Functions and characteristics of R2R3-MYB proteins </w:t>
      </w:r>
      <w:proofErr w:type="gramStart"/>
      <w:r w:rsidRPr="003E7C59">
        <w:rPr>
          <w:rFonts w:ascii="Arial" w:hAnsi="Arial" w:cs="Arial"/>
          <w:color w:val="000000" w:themeColor="text1"/>
          <w:sz w:val="22"/>
          <w:szCs w:val="22"/>
        </w:rPr>
        <w:t>have been studied</w:t>
      </w:r>
      <w:proofErr w:type="gramEnd"/>
      <w:r w:rsidRPr="003E7C59">
        <w:rPr>
          <w:rFonts w:ascii="Arial" w:hAnsi="Arial" w:cs="Arial"/>
          <w:color w:val="000000" w:themeColor="text1"/>
          <w:sz w:val="22"/>
          <w:szCs w:val="22"/>
        </w:rPr>
        <w:t xml:space="preserve"> extensively, and their comparative phylogenetic analysis brought to light the diversity and conservation in this gene family (Stracke et al., 2001; Wilkins et al., 2009; Du et al., 2012; Wang et al., 2019). </w:t>
      </w:r>
      <w:proofErr w:type="gramStart"/>
      <w:r w:rsidRPr="003E7C59">
        <w:rPr>
          <w:rFonts w:ascii="Arial" w:hAnsi="Arial" w:cs="Arial"/>
          <w:color w:val="000000" w:themeColor="text1"/>
          <w:sz w:val="22"/>
          <w:szCs w:val="22"/>
        </w:rPr>
        <w:t>Also</w:t>
      </w:r>
      <w:proofErr w:type="gramEnd"/>
      <w:r w:rsidRPr="003E7C59">
        <w:rPr>
          <w:rFonts w:ascii="Arial" w:hAnsi="Arial" w:cs="Arial"/>
          <w:color w:val="000000" w:themeColor="text1"/>
          <w:sz w:val="22"/>
          <w:szCs w:val="22"/>
        </w:rPr>
        <w:t>, studies in soybean and petunia indicated that anthocyanin activators and repressors could be identified by phylogenetic analysis (Elomaa et al., 2003; Albert et al., 2011).</w:t>
      </w:r>
    </w:p>
    <w:p w14:paraId="40C0AA1A" w14:textId="77777777" w:rsidR="00A72E9B" w:rsidRPr="003E7C59" w:rsidRDefault="00A72E9B" w:rsidP="006622F2">
      <w:pPr>
        <w:spacing w:line="360" w:lineRule="auto"/>
        <w:rPr>
          <w:rFonts w:ascii="Arial" w:hAnsi="Arial" w:cs="Arial"/>
          <w:color w:val="000000" w:themeColor="text1"/>
          <w:sz w:val="22"/>
          <w:szCs w:val="22"/>
        </w:rPr>
      </w:pPr>
      <w:r w:rsidRPr="003E7C59">
        <w:rPr>
          <w:rFonts w:ascii="Arial" w:hAnsi="Arial" w:cs="Arial"/>
          <w:color w:val="000000" w:themeColor="text1"/>
          <w:sz w:val="22"/>
          <w:szCs w:val="22"/>
        </w:rPr>
        <w:t xml:space="preserve">Accordingly, phylogenetic analysis grouped candidate R2R3-MYB proteins identified in this study in two major subgroups, </w:t>
      </w:r>
      <w:proofErr w:type="gramStart"/>
      <w:r w:rsidRPr="003E7C59">
        <w:rPr>
          <w:rFonts w:ascii="Arial" w:hAnsi="Arial" w:cs="Arial"/>
          <w:color w:val="000000" w:themeColor="text1"/>
          <w:sz w:val="22"/>
          <w:szCs w:val="22"/>
        </w:rPr>
        <w:t>4</w:t>
      </w:r>
      <w:proofErr w:type="gramEnd"/>
      <w:r w:rsidRPr="003E7C59">
        <w:rPr>
          <w:rFonts w:ascii="Arial" w:hAnsi="Arial" w:cs="Arial"/>
          <w:color w:val="000000" w:themeColor="text1"/>
          <w:sz w:val="22"/>
          <w:szCs w:val="22"/>
        </w:rPr>
        <w:t xml:space="preserve"> and 5. CfMYB2, CfMYB3</w:t>
      </w:r>
      <w:r w:rsidRPr="003E7C59">
        <w:rPr>
          <w:rFonts w:ascii="Arial" w:hAnsi="Arial" w:cs="Arial"/>
          <w:i/>
          <w:iCs/>
          <w:color w:val="000000" w:themeColor="text1"/>
          <w:sz w:val="22"/>
          <w:szCs w:val="22"/>
        </w:rPr>
        <w:t>,</w:t>
      </w:r>
      <w:r w:rsidRPr="003E7C59">
        <w:rPr>
          <w:rFonts w:ascii="Arial" w:hAnsi="Arial" w:cs="Arial"/>
          <w:color w:val="000000" w:themeColor="text1"/>
          <w:sz w:val="22"/>
          <w:szCs w:val="22"/>
        </w:rPr>
        <w:t xml:space="preserve"> and CkMYB2 clustered in subgroup 4. R2R3-MYB TFs belonging to subgroup 4 negatively regulate phenylpropanoid metabolism. </w:t>
      </w:r>
      <w:proofErr w:type="gramStart"/>
      <w:r w:rsidRPr="003E7C59">
        <w:rPr>
          <w:rFonts w:ascii="Arial" w:hAnsi="Arial" w:cs="Arial"/>
          <w:color w:val="000000" w:themeColor="text1"/>
          <w:sz w:val="22"/>
          <w:szCs w:val="22"/>
        </w:rPr>
        <w:t>Consistently,  repressors of this group were identified in different plant species, including strawberry FaMYB1 (</w:t>
      </w:r>
      <w:r w:rsidRPr="003E7C59">
        <w:rPr>
          <w:rFonts w:ascii="Arial" w:hAnsi="Arial" w:cs="Arial"/>
          <w:i/>
          <w:iCs/>
          <w:color w:val="000000" w:themeColor="text1"/>
          <w:sz w:val="22"/>
          <w:szCs w:val="22"/>
        </w:rPr>
        <w:t>Fragaria</w:t>
      </w:r>
      <w:r w:rsidRPr="003E7C59">
        <w:rPr>
          <w:rFonts w:ascii="Arial" w:hAnsi="Arial" w:cs="Arial"/>
          <w:color w:val="000000" w:themeColor="text1"/>
          <w:sz w:val="22"/>
          <w:szCs w:val="22"/>
        </w:rPr>
        <w:t xml:space="preserve"> x </w:t>
      </w:r>
      <w:r w:rsidRPr="003E7C59">
        <w:rPr>
          <w:rFonts w:ascii="Arial" w:hAnsi="Arial" w:cs="Arial"/>
          <w:i/>
          <w:iCs/>
          <w:color w:val="000000" w:themeColor="text1"/>
          <w:sz w:val="22"/>
          <w:szCs w:val="22"/>
        </w:rPr>
        <w:t xml:space="preserve">ananassa </w:t>
      </w:r>
      <w:r w:rsidRPr="003E7C59">
        <w:rPr>
          <w:rFonts w:ascii="Arial" w:hAnsi="Arial" w:cs="Arial"/>
          <w:color w:val="000000" w:themeColor="text1"/>
          <w:sz w:val="22"/>
          <w:szCs w:val="22"/>
        </w:rPr>
        <w:t>Duchesne) (Aharoni et al., 2001) and FcMYB1 (</w:t>
      </w:r>
      <w:r w:rsidRPr="003E7C59">
        <w:rPr>
          <w:rFonts w:ascii="Arial" w:hAnsi="Arial" w:cs="Arial"/>
          <w:i/>
          <w:iCs/>
          <w:color w:val="000000" w:themeColor="text1"/>
          <w:sz w:val="22"/>
          <w:szCs w:val="22"/>
        </w:rPr>
        <w:t xml:space="preserve">Fragaria chiloensis) </w:t>
      </w:r>
      <w:r w:rsidRPr="003E7C59">
        <w:rPr>
          <w:rFonts w:ascii="Arial" w:hAnsi="Arial" w:cs="Arial"/>
          <w:color w:val="000000" w:themeColor="text1"/>
          <w:sz w:val="22"/>
          <w:szCs w:val="22"/>
        </w:rPr>
        <w:t>(Salvatierra et al., 2013), petunia PhMYB27 (Albert et al., 2014), grapevine VvMYBC2-L1/ and VvMYB4-like (Cavallini et al., 2015; Pérez-Díaz et al., 2016), poplar PtrMYB182 and PtrMYB57 (Yoshida et al., 2015; Wan et al., 2017), crabapple MdMYB3 (Tian et al., 2017), peach PpMYB17-20 (Zhou et al., 2016), Chinese narcissus NtMYB2 (Anwar et al., 2018).</w:t>
      </w:r>
      <w:proofErr w:type="gramEnd"/>
      <w:r w:rsidRPr="003E7C59">
        <w:rPr>
          <w:rFonts w:ascii="Arial" w:hAnsi="Arial" w:cs="Arial"/>
          <w:color w:val="000000" w:themeColor="text1"/>
          <w:sz w:val="22"/>
          <w:szCs w:val="22"/>
        </w:rPr>
        <w:t xml:space="preserve"> PhMYB27 is part of the R2R3-MYB, bHLH, and WDR complex and functions as an anthocyanin repressor in petunia petals (Albert et al., 2014). </w:t>
      </w:r>
      <w:r w:rsidRPr="003E7C59">
        <w:rPr>
          <w:rFonts w:ascii="Arial" w:hAnsi="Arial" w:cs="Arial"/>
          <w:i/>
          <w:iCs/>
          <w:color w:val="000000" w:themeColor="text1"/>
          <w:sz w:val="22"/>
          <w:szCs w:val="22"/>
        </w:rPr>
        <w:t>NtMYB2</w:t>
      </w:r>
      <w:r w:rsidRPr="003E7C59">
        <w:rPr>
          <w:rFonts w:ascii="Arial" w:hAnsi="Arial" w:cs="Arial"/>
          <w:color w:val="000000" w:themeColor="text1"/>
          <w:sz w:val="22"/>
          <w:szCs w:val="22"/>
        </w:rPr>
        <w:t xml:space="preserve"> suppresses red pigmentation in the petals and corona of Chinese narcissus by repressing the transcript levels of structural genes involved in the anthocyanin biosynthesis pathway (Anwar et al., 2018). Likewise, expression levels of </w:t>
      </w:r>
      <w:r w:rsidRPr="003E7C59">
        <w:rPr>
          <w:rFonts w:ascii="Arial" w:hAnsi="Arial" w:cs="Arial"/>
          <w:i/>
          <w:iCs/>
          <w:color w:val="000000" w:themeColor="text1"/>
          <w:sz w:val="22"/>
          <w:szCs w:val="22"/>
        </w:rPr>
        <w:t>CfMYB2</w:t>
      </w:r>
      <w:r w:rsidRPr="003E7C59">
        <w:rPr>
          <w:rFonts w:ascii="Arial" w:hAnsi="Arial" w:cs="Arial"/>
          <w:color w:val="000000" w:themeColor="text1"/>
          <w:sz w:val="22"/>
          <w:szCs w:val="22"/>
        </w:rPr>
        <w:t xml:space="preserve"> significantly increased in 'Cloud Nine,' the only white-bracted cultivar, when two weeks old, whereas </w:t>
      </w:r>
      <w:r w:rsidRPr="003E7C59">
        <w:rPr>
          <w:rFonts w:ascii="Arial" w:hAnsi="Arial" w:cs="Arial"/>
          <w:i/>
          <w:iCs/>
          <w:color w:val="000000" w:themeColor="text1"/>
          <w:sz w:val="22"/>
          <w:szCs w:val="22"/>
        </w:rPr>
        <w:t>CfMYB3</w:t>
      </w:r>
      <w:r w:rsidRPr="003E7C59">
        <w:rPr>
          <w:rFonts w:ascii="Arial" w:hAnsi="Arial" w:cs="Arial"/>
          <w:color w:val="000000" w:themeColor="text1"/>
          <w:sz w:val="22"/>
          <w:szCs w:val="22"/>
        </w:rPr>
        <w:t xml:space="preserve"> levels slightly increased in the same cultivar when three weeks old. CfMYB2 showed protein sequence similarity with PhMYB27 from petunia (Aharoni et al., 2001; Albert et al., 2011), which appear to be R2R3-MYB suppressors of structural genes involved in the anthocyanin pathway. Phylogenetically CfMYB3</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and CkMYB2 were closest to grapes repressors VVMYBC2- L1 and VVC2rm, which are involved in suppressing anthocyanin and proanthocyanidins production (Cavallini et al., 2015). Surprisingly, </w:t>
      </w:r>
      <w:r w:rsidRPr="003E7C59">
        <w:rPr>
          <w:rFonts w:ascii="Arial" w:hAnsi="Arial" w:cs="Arial"/>
          <w:i/>
          <w:iCs/>
          <w:color w:val="000000" w:themeColor="text1"/>
          <w:sz w:val="22"/>
          <w:szCs w:val="22"/>
        </w:rPr>
        <w:t xml:space="preserve">CkMYB2 </w:t>
      </w:r>
      <w:r w:rsidRPr="003E7C59">
        <w:rPr>
          <w:rFonts w:ascii="Arial" w:hAnsi="Arial" w:cs="Arial"/>
          <w:color w:val="000000" w:themeColor="text1"/>
          <w:sz w:val="22"/>
          <w:szCs w:val="22"/>
        </w:rPr>
        <w:t xml:space="preserve">transcript levels increased in both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kousa </w:t>
      </w:r>
      <w:r w:rsidRPr="003E7C59">
        <w:rPr>
          <w:rFonts w:ascii="Arial" w:hAnsi="Arial" w:cs="Arial"/>
          <w:color w:val="000000" w:themeColor="text1"/>
          <w:sz w:val="22"/>
          <w:szCs w:val="22"/>
        </w:rPr>
        <w:t xml:space="preserve">cultivars used in this study, which may </w:t>
      </w:r>
      <w:r w:rsidRPr="003E7C59">
        <w:rPr>
          <w:rFonts w:ascii="Arial" w:hAnsi="Arial" w:cs="Arial"/>
          <w:color w:val="000000" w:themeColor="text1"/>
          <w:sz w:val="22"/>
          <w:szCs w:val="22"/>
        </w:rPr>
        <w:lastRenderedPageBreak/>
        <w:t xml:space="preserve">explain the color variation pink intensity of 'Rosy Teacup' bracts. Finally, in grapes and petunia, R2R3-MYB repressors affect both anthocyanins and proanthocyanidins, thus, suggesting that their role is less specific compared to R2R3-MYB activators (Cavallini et al., 2015; Ma and Constabel, 2019). </w:t>
      </w:r>
    </w:p>
    <w:p w14:paraId="3A4A7034" w14:textId="77777777" w:rsidR="00A72E9B" w:rsidRPr="003E7C59" w:rsidRDefault="00A72E9B" w:rsidP="006622F2">
      <w:pPr>
        <w:spacing w:line="360" w:lineRule="auto"/>
        <w:rPr>
          <w:rFonts w:ascii="Arial" w:hAnsi="Arial" w:cs="Arial"/>
          <w:color w:val="000000" w:themeColor="text1"/>
          <w:sz w:val="22"/>
          <w:szCs w:val="22"/>
        </w:rPr>
      </w:pPr>
    </w:p>
    <w:p w14:paraId="54BF3CAD" w14:textId="28B11EEB" w:rsidR="00A72E9B" w:rsidRPr="003E7C59" w:rsidRDefault="00A72E9B"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CfMYB1 and CkMYB1</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belonged to subgroup 5 with other anthocyanin and proanthocyanidins R2R3-MYB activators. In 'Cherokee Chief,' which bracts displayed the darkest red bracts, expression levels of </w:t>
      </w:r>
      <w:r w:rsidRPr="003E7C59">
        <w:rPr>
          <w:rFonts w:ascii="Arial" w:hAnsi="Arial" w:cs="Arial"/>
          <w:i/>
          <w:iCs/>
          <w:color w:val="000000" w:themeColor="text1"/>
          <w:sz w:val="22"/>
          <w:szCs w:val="22"/>
        </w:rPr>
        <w:t xml:space="preserve">CfMYB1 80 </w:t>
      </w:r>
      <w:r w:rsidRPr="003E7C59">
        <w:rPr>
          <w:rFonts w:ascii="Arial" w:hAnsi="Arial" w:cs="Arial"/>
          <w:color w:val="000000" w:themeColor="text1"/>
          <w:sz w:val="22"/>
          <w:szCs w:val="22"/>
        </w:rPr>
        <w:t xml:space="preserve">were significantly increased when bracts were two and four weeks </w:t>
      </w:r>
      <w:proofErr w:type="gramStart"/>
      <w:r w:rsidRPr="003E7C59">
        <w:rPr>
          <w:rFonts w:ascii="Arial" w:hAnsi="Arial" w:cs="Arial"/>
          <w:color w:val="000000" w:themeColor="text1"/>
          <w:sz w:val="22"/>
          <w:szCs w:val="22"/>
        </w:rPr>
        <w:t>old.</w:t>
      </w:r>
      <w:proofErr w:type="gramEnd"/>
      <w:r w:rsidRPr="003E7C59">
        <w:rPr>
          <w:rFonts w:ascii="Arial" w:hAnsi="Arial" w:cs="Arial"/>
          <w:color w:val="000000" w:themeColor="text1"/>
          <w:sz w:val="22"/>
          <w:szCs w:val="22"/>
        </w:rPr>
        <w:t xml:space="preserve"> </w:t>
      </w:r>
      <w:proofErr w:type="gramStart"/>
      <w:r w:rsidRPr="003E7C59">
        <w:rPr>
          <w:rFonts w:ascii="Arial" w:hAnsi="Arial" w:cs="Arial"/>
          <w:color w:val="000000" w:themeColor="text1"/>
          <w:sz w:val="22"/>
          <w:szCs w:val="22"/>
        </w:rPr>
        <w:t>Also</w:t>
      </w:r>
      <w:proofErr w:type="gramEnd"/>
      <w:r w:rsidRPr="003E7C59">
        <w:rPr>
          <w:rFonts w:ascii="Arial" w:hAnsi="Arial" w:cs="Arial"/>
          <w:color w:val="000000" w:themeColor="text1"/>
          <w:sz w:val="22"/>
          <w:szCs w:val="22"/>
        </w:rPr>
        <w:t xml:space="preserve">, the expression levels of </w:t>
      </w:r>
      <w:r w:rsidRPr="003E7C59">
        <w:rPr>
          <w:rFonts w:ascii="Arial" w:hAnsi="Arial" w:cs="Arial"/>
          <w:i/>
          <w:iCs/>
          <w:color w:val="000000" w:themeColor="text1"/>
          <w:sz w:val="22"/>
          <w:szCs w:val="22"/>
        </w:rPr>
        <w:t xml:space="preserve">CkMYB1 </w:t>
      </w:r>
      <w:r w:rsidRPr="003E7C59">
        <w:rPr>
          <w:rFonts w:ascii="Arial" w:hAnsi="Arial" w:cs="Arial"/>
          <w:color w:val="000000" w:themeColor="text1"/>
          <w:sz w:val="22"/>
          <w:szCs w:val="22"/>
        </w:rPr>
        <w:t xml:space="preserve">were greater in pink bracted cultivar 'Rosy Teacup.' Anthocyanin-encoding genes belonging to subgroup 5 were reported in maize </w:t>
      </w:r>
      <w:r w:rsidRPr="003E7C59">
        <w:rPr>
          <w:rFonts w:ascii="Arial" w:hAnsi="Arial" w:cs="Arial"/>
          <w:i/>
          <w:iCs/>
          <w:color w:val="000000" w:themeColor="text1"/>
          <w:sz w:val="22"/>
          <w:szCs w:val="22"/>
        </w:rPr>
        <w:t>aleurone 1</w:t>
      </w:r>
      <w:r w:rsidRPr="003E7C59">
        <w:rPr>
          <w:rFonts w:ascii="Arial" w:hAnsi="Arial" w:cs="Arial"/>
          <w:color w:val="000000" w:themeColor="text1"/>
          <w:sz w:val="22"/>
          <w:szCs w:val="22"/>
        </w:rPr>
        <w:t xml:space="preserve"> (C1) (Carey et al., 2004) and </w:t>
      </w:r>
      <w:r w:rsidRPr="003E7C59">
        <w:rPr>
          <w:rFonts w:ascii="Arial" w:hAnsi="Arial" w:cs="Arial"/>
          <w:i/>
          <w:iCs/>
          <w:color w:val="000000" w:themeColor="text1"/>
          <w:sz w:val="22"/>
          <w:szCs w:val="22"/>
        </w:rPr>
        <w:t>purple leaf</w:t>
      </w:r>
      <w:r w:rsidRPr="003E7C59">
        <w:rPr>
          <w:rFonts w:ascii="Arial" w:hAnsi="Arial" w:cs="Arial"/>
          <w:color w:val="000000" w:themeColor="text1"/>
          <w:sz w:val="22"/>
          <w:szCs w:val="22"/>
        </w:rPr>
        <w:t xml:space="preserve"> (PL) (Cone et al., 1993) and in orchid </w:t>
      </w:r>
      <w:r w:rsidRPr="003E7C59">
        <w:rPr>
          <w:rFonts w:ascii="Arial" w:hAnsi="Arial" w:cs="Arial"/>
          <w:i/>
          <w:iCs/>
          <w:color w:val="000000" w:themeColor="text1"/>
          <w:sz w:val="22"/>
          <w:szCs w:val="22"/>
        </w:rPr>
        <w:t xml:space="preserve">OgMYB1 </w:t>
      </w:r>
      <w:r w:rsidRPr="003E7C59">
        <w:rPr>
          <w:rFonts w:ascii="Arial" w:hAnsi="Arial" w:cs="Arial"/>
          <w:color w:val="000000" w:themeColor="text1"/>
          <w:sz w:val="22"/>
          <w:szCs w:val="22"/>
        </w:rPr>
        <w:t xml:space="preserve">(Chiou and Yeh, 2008). </w:t>
      </w:r>
      <w:r w:rsidRPr="003E7C59">
        <w:rPr>
          <w:rFonts w:ascii="Arial" w:hAnsi="Arial" w:cs="Arial"/>
          <w:i/>
          <w:iCs/>
          <w:color w:val="000000" w:themeColor="text1"/>
          <w:sz w:val="22"/>
          <w:szCs w:val="22"/>
        </w:rPr>
        <w:t>OgMYB1</w:t>
      </w:r>
      <w:r w:rsidRPr="003E7C59">
        <w:rPr>
          <w:rFonts w:ascii="Arial" w:hAnsi="Arial" w:cs="Arial"/>
          <w:color w:val="000000" w:themeColor="text1"/>
          <w:sz w:val="22"/>
          <w:szCs w:val="22"/>
        </w:rPr>
        <w:t xml:space="preserve"> </w:t>
      </w:r>
      <w:proofErr w:type="gramStart"/>
      <w:r w:rsidRPr="003E7C59">
        <w:rPr>
          <w:rFonts w:ascii="Arial" w:hAnsi="Arial" w:cs="Arial"/>
          <w:color w:val="000000" w:themeColor="text1"/>
          <w:sz w:val="22"/>
          <w:szCs w:val="22"/>
        </w:rPr>
        <w:t>is actively expressed</w:t>
      </w:r>
      <w:proofErr w:type="gramEnd"/>
      <w:r w:rsidRPr="003E7C59">
        <w:rPr>
          <w:rFonts w:ascii="Arial" w:hAnsi="Arial" w:cs="Arial"/>
          <w:color w:val="000000" w:themeColor="text1"/>
          <w:sz w:val="22"/>
          <w:szCs w:val="22"/>
        </w:rPr>
        <w:t xml:space="preserve"> during floral development in red sepal and petal tissues, regulating color patterns in </w:t>
      </w:r>
      <w:r w:rsidRPr="003E7C59">
        <w:rPr>
          <w:rFonts w:ascii="Arial" w:hAnsi="Arial" w:cs="Arial"/>
          <w:i/>
          <w:iCs/>
          <w:color w:val="000000" w:themeColor="text1"/>
          <w:sz w:val="22"/>
          <w:szCs w:val="22"/>
        </w:rPr>
        <w:t xml:space="preserve">Oncidium </w:t>
      </w:r>
      <w:r w:rsidRPr="003E7C59">
        <w:rPr>
          <w:rFonts w:ascii="Arial" w:hAnsi="Arial" w:cs="Arial"/>
          <w:color w:val="000000" w:themeColor="text1"/>
          <w:sz w:val="22"/>
          <w:szCs w:val="22"/>
        </w:rPr>
        <w:t>Gower Ramsey (Chiou and Yeh, 2008)</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Another R2R3 MYB TFs of the subgroup, proanthocyanidins, are R2R3-MYB TFs regulating proanthocyanidins activation</w:t>
      </w:r>
      <w:r w:rsidR="00105C0E" w:rsidRPr="003E7C59">
        <w:rPr>
          <w:rFonts w:ascii="Arial" w:hAnsi="Arial" w:cs="Arial"/>
          <w:color w:val="000000" w:themeColor="text1"/>
          <w:sz w:val="22"/>
          <w:szCs w:val="22"/>
        </w:rPr>
        <w:t>, and</w:t>
      </w:r>
      <w:r w:rsidRPr="003E7C59">
        <w:rPr>
          <w:rFonts w:ascii="Arial" w:hAnsi="Arial" w:cs="Arial"/>
          <w:color w:val="000000" w:themeColor="text1"/>
          <w:sz w:val="22"/>
          <w:szCs w:val="22"/>
        </w:rPr>
        <w:t xml:space="preserve"> were identified in strawberry FaMYB11 (Schaart et al., 2013), lotus LjTT2a, LjTT2b, and LjTT2c (Yoshida et al., 2008), kiwi fruit DkMYB2 and DkMYB4 (Akagi et al., 2009) among others. Proanthocyanidins have not been reported in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kousa</w:t>
      </w:r>
      <w:r w:rsidRPr="003E7C59">
        <w:rPr>
          <w:rFonts w:ascii="Arial" w:hAnsi="Arial" w:cs="Arial"/>
          <w:color w:val="000000" w:themeColor="text1"/>
          <w:sz w:val="22"/>
          <w:szCs w:val="22"/>
        </w:rPr>
        <w:t>. However, CfMYB1</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and CkMYB1 showed the highest sequence similarity with LjTT2a, LjTT2b, and LjTT2c. LjTT2c </w:t>
      </w:r>
      <w:proofErr w:type="gramStart"/>
      <w:r w:rsidRPr="003E7C59">
        <w:rPr>
          <w:rFonts w:ascii="Arial" w:hAnsi="Arial" w:cs="Arial"/>
          <w:color w:val="000000" w:themeColor="text1"/>
          <w:sz w:val="22"/>
          <w:szCs w:val="22"/>
        </w:rPr>
        <w:t>was found to be expressed</w:t>
      </w:r>
      <w:proofErr w:type="gramEnd"/>
      <w:r w:rsidRPr="003E7C59">
        <w:rPr>
          <w:rFonts w:ascii="Arial" w:hAnsi="Arial" w:cs="Arial"/>
          <w:color w:val="000000" w:themeColor="text1"/>
          <w:sz w:val="22"/>
          <w:szCs w:val="22"/>
        </w:rPr>
        <w:t xml:space="preserve"> in various organs, whereas LjTT2b expression was found to be limited to the roots. LjTT2a </w:t>
      </w:r>
      <w:proofErr w:type="gramStart"/>
      <w:r w:rsidRPr="003E7C59">
        <w:rPr>
          <w:rFonts w:ascii="Arial" w:hAnsi="Arial" w:cs="Arial"/>
          <w:color w:val="000000" w:themeColor="text1"/>
          <w:sz w:val="22"/>
          <w:szCs w:val="22"/>
        </w:rPr>
        <w:t>was expressed</w:t>
      </w:r>
      <w:proofErr w:type="gramEnd"/>
      <w:r w:rsidRPr="003E7C59">
        <w:rPr>
          <w:rFonts w:ascii="Arial" w:hAnsi="Arial" w:cs="Arial"/>
          <w:color w:val="000000" w:themeColor="text1"/>
          <w:sz w:val="22"/>
          <w:szCs w:val="22"/>
        </w:rPr>
        <w:t xml:space="preserve"> in response to environmental stresses (Yoshida et al., 2008). </w:t>
      </w:r>
    </w:p>
    <w:p w14:paraId="27941462" w14:textId="77777777" w:rsidR="00A72E9B" w:rsidRPr="003E7C59" w:rsidRDefault="00A72E9B" w:rsidP="006622F2">
      <w:pPr>
        <w:spacing w:line="360" w:lineRule="auto"/>
        <w:ind w:firstLine="720"/>
        <w:rPr>
          <w:rFonts w:ascii="Arial" w:hAnsi="Arial" w:cs="Arial"/>
          <w:color w:val="000000" w:themeColor="text1"/>
          <w:sz w:val="22"/>
          <w:szCs w:val="22"/>
        </w:rPr>
      </w:pPr>
    </w:p>
    <w:p w14:paraId="3F5D8016" w14:textId="044178E2"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75" w:name="_Toc121821936"/>
      <w:r w:rsidRPr="003E7C59">
        <w:rPr>
          <w:rFonts w:ascii="Arial" w:hAnsi="Arial" w:cs="Arial"/>
          <w:color w:val="000000" w:themeColor="text1"/>
          <w:sz w:val="22"/>
          <w:szCs w:val="22"/>
        </w:rPr>
        <w:t>Conclusions</w:t>
      </w:r>
      <w:bookmarkEnd w:id="74"/>
      <w:bookmarkEnd w:id="75"/>
    </w:p>
    <w:p w14:paraId="5EC723CE"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p>
    <w:p w14:paraId="4F804EEA" w14:textId="0D101461" w:rsidR="00C55E97"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Our results provided an essential foundation for further analysis of R2R3-MYB TF that may be responsible for anthocyanin and proanthocyanidins suppression or synthesis in mature bracts of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 kousa</w:t>
      </w:r>
      <w:r w:rsidRPr="003E7C59">
        <w:rPr>
          <w:rFonts w:ascii="Arial" w:hAnsi="Arial" w:cs="Arial"/>
          <w:color w:val="000000" w:themeColor="text1"/>
          <w:sz w:val="22"/>
          <w:szCs w:val="22"/>
        </w:rPr>
        <w:t xml:space="preserve">. Thus, future efforts </w:t>
      </w:r>
      <w:proofErr w:type="gramStart"/>
      <w:r w:rsidRPr="003E7C59">
        <w:rPr>
          <w:rFonts w:ascii="Arial" w:hAnsi="Arial" w:cs="Arial"/>
          <w:color w:val="000000" w:themeColor="text1"/>
          <w:sz w:val="22"/>
          <w:szCs w:val="22"/>
        </w:rPr>
        <w:t>could be directed</w:t>
      </w:r>
      <w:proofErr w:type="gramEnd"/>
      <w:r w:rsidRPr="003E7C59">
        <w:rPr>
          <w:rFonts w:ascii="Arial" w:hAnsi="Arial" w:cs="Arial"/>
          <w:color w:val="000000" w:themeColor="text1"/>
          <w:sz w:val="22"/>
          <w:szCs w:val="22"/>
        </w:rPr>
        <w:t xml:space="preserve"> toward elucidating how these and other candidate genes regulate complex phenylpropanoid metabolism in these species. Moreover, functional characterization of these genes through CRISPR-Cas9, ectopic tobacco expressions, or genetic engineering will enable the development of functional markers or the application of marker-assisted selection in complicated dogwood breeding and allow early selection of red-bracted dogwood cultivars. </w:t>
      </w:r>
    </w:p>
    <w:p w14:paraId="3CEA947F" w14:textId="77777777" w:rsidR="00313A58" w:rsidRPr="003E7C59" w:rsidRDefault="00313A58" w:rsidP="006622F2">
      <w:pPr>
        <w:spacing w:line="360" w:lineRule="auto"/>
        <w:ind w:firstLine="720"/>
        <w:rPr>
          <w:rFonts w:ascii="Arial" w:hAnsi="Arial" w:cs="Arial"/>
          <w:color w:val="000000" w:themeColor="text1"/>
          <w:sz w:val="22"/>
          <w:szCs w:val="22"/>
        </w:rPr>
      </w:pPr>
    </w:p>
    <w:p w14:paraId="6C2ADA5D" w14:textId="77777777" w:rsidR="000D32B1" w:rsidRDefault="000D32B1" w:rsidP="006622F2">
      <w:pPr>
        <w:pStyle w:val="Heading3"/>
        <w:spacing w:before="0" w:beforeAutospacing="0" w:after="0" w:afterAutospacing="0" w:line="360" w:lineRule="auto"/>
        <w:rPr>
          <w:rFonts w:ascii="Arial" w:hAnsi="Arial" w:cs="Arial"/>
          <w:color w:val="000000" w:themeColor="text1"/>
          <w:sz w:val="22"/>
          <w:szCs w:val="22"/>
          <w:lang w:bidi="en-US"/>
        </w:rPr>
      </w:pPr>
      <w:bookmarkStart w:id="76" w:name="_Toc78898901"/>
      <w:bookmarkStart w:id="77" w:name="_Toc117166851"/>
    </w:p>
    <w:p w14:paraId="4172A1FD" w14:textId="52AD97BE"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lang w:bidi="en-US"/>
        </w:rPr>
      </w:pPr>
      <w:bookmarkStart w:id="78" w:name="_Toc121821937"/>
      <w:r w:rsidRPr="003E7C59">
        <w:rPr>
          <w:rFonts w:ascii="Arial" w:hAnsi="Arial" w:cs="Arial"/>
          <w:color w:val="000000" w:themeColor="text1"/>
          <w:sz w:val="22"/>
          <w:szCs w:val="22"/>
          <w:lang w:bidi="en-US"/>
        </w:rPr>
        <w:lastRenderedPageBreak/>
        <w:t>Appendix: Tables and Figures</w:t>
      </w:r>
      <w:bookmarkEnd w:id="76"/>
      <w:bookmarkEnd w:id="77"/>
      <w:bookmarkEnd w:id="78"/>
    </w:p>
    <w:p w14:paraId="59F60007" w14:textId="77777777" w:rsidR="005765BB" w:rsidRPr="003E7C59" w:rsidRDefault="005765BB" w:rsidP="006622F2">
      <w:pPr>
        <w:pStyle w:val="Heading3"/>
        <w:spacing w:before="0" w:beforeAutospacing="0" w:after="0" w:afterAutospacing="0" w:line="360" w:lineRule="auto"/>
        <w:rPr>
          <w:rFonts w:ascii="Arial" w:hAnsi="Arial" w:cs="Arial"/>
          <w:color w:val="000000" w:themeColor="text1"/>
          <w:sz w:val="22"/>
          <w:szCs w:val="22"/>
          <w:lang w:bidi="en-US"/>
        </w:rPr>
      </w:pPr>
    </w:p>
    <w:p w14:paraId="46CB5704" w14:textId="1D89D51A" w:rsidR="009D6C94" w:rsidRPr="003E7C59" w:rsidRDefault="00B51BF9" w:rsidP="007976EB">
      <w:pPr>
        <w:pStyle w:val="TableofAuthorities"/>
        <w:spacing w:line="360" w:lineRule="auto"/>
        <w:rPr>
          <w:rFonts w:ascii="Arial" w:hAnsi="Arial" w:cs="Arial"/>
          <w:sz w:val="22"/>
          <w:szCs w:val="22"/>
        </w:rPr>
      </w:pPr>
      <w:bookmarkStart w:id="79" w:name="_Toc121475347"/>
      <w:bookmarkStart w:id="80" w:name="_Toc121476619"/>
      <w:bookmarkStart w:id="81" w:name="_Toc121478549"/>
      <w:bookmarkStart w:id="82" w:name="_Toc121479470"/>
      <w:bookmarkStart w:id="83" w:name="_Toc121479900"/>
      <w:r w:rsidRPr="003E7C59">
        <w:rPr>
          <w:rFonts w:ascii="Arial" w:hAnsi="Arial" w:cs="Arial"/>
          <w:sz w:val="22"/>
          <w:szCs w:val="22"/>
          <w:lang w:bidi="en-US"/>
        </w:rPr>
        <w:t xml:space="preserve">Table 1.1. </w:t>
      </w:r>
      <w:r w:rsidRPr="003E7C59">
        <w:rPr>
          <w:rFonts w:ascii="Arial" w:hAnsi="Arial" w:cs="Arial"/>
          <w:sz w:val="22"/>
          <w:szCs w:val="22"/>
        </w:rPr>
        <w:t xml:space="preserve">Primers for the </w:t>
      </w:r>
      <w:r w:rsidR="00886304" w:rsidRPr="003E7C59">
        <w:rPr>
          <w:rFonts w:ascii="Arial" w:hAnsi="Arial" w:cs="Arial"/>
          <w:sz w:val="22"/>
          <w:szCs w:val="22"/>
        </w:rPr>
        <w:t>five</w:t>
      </w:r>
      <w:r w:rsidRPr="003E7C59">
        <w:rPr>
          <w:rFonts w:ascii="Arial" w:hAnsi="Arial" w:cs="Arial"/>
          <w:sz w:val="22"/>
          <w:szCs w:val="22"/>
        </w:rPr>
        <w:t xml:space="preserve"> consistently up-or downregulated candidate regulatory and</w:t>
      </w:r>
      <w:r w:rsidR="00BD0C4C">
        <w:rPr>
          <w:rFonts w:ascii="Arial" w:hAnsi="Arial" w:cs="Arial"/>
          <w:sz w:val="22"/>
          <w:szCs w:val="22"/>
        </w:rPr>
        <w:t xml:space="preserve"> </w:t>
      </w:r>
      <w:r w:rsidRPr="003E7C59">
        <w:rPr>
          <w:rFonts w:ascii="Arial" w:hAnsi="Arial" w:cs="Arial"/>
          <w:sz w:val="22"/>
          <w:szCs w:val="22"/>
        </w:rPr>
        <w:t xml:space="preserve">structural genes were designed based on </w:t>
      </w:r>
      <w:r w:rsidRPr="003E7C59">
        <w:rPr>
          <w:rFonts w:ascii="Arial" w:hAnsi="Arial" w:cs="Arial"/>
          <w:i/>
          <w:iCs/>
          <w:sz w:val="22"/>
          <w:szCs w:val="22"/>
        </w:rPr>
        <w:t xml:space="preserve">Cornus </w:t>
      </w:r>
      <w:proofErr w:type="gramStart"/>
      <w:r w:rsidRPr="003E7C59">
        <w:rPr>
          <w:rFonts w:ascii="Arial" w:hAnsi="Arial" w:cs="Arial"/>
          <w:i/>
          <w:iCs/>
          <w:sz w:val="22"/>
          <w:szCs w:val="22"/>
        </w:rPr>
        <w:t>florida</w:t>
      </w:r>
      <w:proofErr w:type="gramEnd"/>
      <w:r w:rsidRPr="003E7C59">
        <w:rPr>
          <w:rFonts w:ascii="Arial" w:hAnsi="Arial" w:cs="Arial"/>
          <w:sz w:val="22"/>
          <w:szCs w:val="22"/>
        </w:rPr>
        <w:t xml:space="preserve"> and </w:t>
      </w:r>
      <w:r w:rsidRPr="003E7C59">
        <w:rPr>
          <w:rFonts w:ascii="Arial" w:hAnsi="Arial" w:cs="Arial"/>
          <w:i/>
          <w:iCs/>
          <w:sz w:val="22"/>
          <w:szCs w:val="22"/>
        </w:rPr>
        <w:t>C. kousa</w:t>
      </w:r>
      <w:r w:rsidRPr="003E7C59">
        <w:rPr>
          <w:rFonts w:ascii="Arial" w:hAnsi="Arial" w:cs="Arial"/>
          <w:sz w:val="22"/>
          <w:szCs w:val="22"/>
        </w:rPr>
        <w:t xml:space="preserve"> sequences.</w:t>
      </w:r>
      <w:bookmarkEnd w:id="79"/>
      <w:bookmarkEnd w:id="80"/>
      <w:bookmarkEnd w:id="81"/>
      <w:bookmarkEnd w:id="82"/>
      <w:bookmarkEnd w:id="83"/>
    </w:p>
    <w:tbl>
      <w:tblPr>
        <w:tblpPr w:leftFromText="180" w:rightFromText="180" w:vertAnchor="page" w:horzAnchor="margin" w:tblpXSpec="center" w:tblpY="3036"/>
        <w:tblW w:w="5000" w:type="pct"/>
        <w:tblLook w:val="04A0" w:firstRow="1" w:lastRow="0" w:firstColumn="1" w:lastColumn="0" w:noHBand="0" w:noVBand="1"/>
      </w:tblPr>
      <w:tblGrid>
        <w:gridCol w:w="3982"/>
        <w:gridCol w:w="5378"/>
      </w:tblGrid>
      <w:tr w:rsidR="005765BB" w:rsidRPr="003E7C59" w14:paraId="00CD89FF" w14:textId="77777777" w:rsidTr="00654748">
        <w:trPr>
          <w:trHeight w:val="435"/>
        </w:trPr>
        <w:tc>
          <w:tcPr>
            <w:tcW w:w="2127" w:type="pct"/>
            <w:tcBorders>
              <w:top w:val="single" w:sz="4" w:space="0" w:color="auto"/>
              <w:bottom w:val="single" w:sz="4" w:space="0" w:color="auto"/>
            </w:tcBorders>
            <w:shd w:val="clear" w:color="auto" w:fill="auto"/>
            <w:noWrap/>
            <w:vAlign w:val="center"/>
            <w:hideMark/>
          </w:tcPr>
          <w:p w14:paraId="163E3800" w14:textId="77777777" w:rsidR="005765BB" w:rsidRPr="003E7C59" w:rsidRDefault="005765BB" w:rsidP="006622F2">
            <w:pPr>
              <w:jc w:val="center"/>
              <w:rPr>
                <w:rFonts w:ascii="Arial" w:hAnsi="Arial" w:cs="Arial"/>
                <w:b/>
                <w:bCs/>
                <w:color w:val="000000" w:themeColor="text1"/>
                <w:sz w:val="22"/>
                <w:szCs w:val="22"/>
              </w:rPr>
            </w:pPr>
            <w:r w:rsidRPr="003E7C59">
              <w:rPr>
                <w:rFonts w:ascii="Arial" w:hAnsi="Arial" w:cs="Arial"/>
                <w:b/>
                <w:bCs/>
                <w:color w:val="000000" w:themeColor="text1"/>
                <w:sz w:val="22"/>
                <w:szCs w:val="22"/>
              </w:rPr>
              <w:t>Target transcript</w:t>
            </w:r>
          </w:p>
        </w:tc>
        <w:tc>
          <w:tcPr>
            <w:tcW w:w="2873" w:type="pct"/>
            <w:tcBorders>
              <w:top w:val="single" w:sz="4" w:space="0" w:color="auto"/>
              <w:bottom w:val="single" w:sz="4" w:space="0" w:color="auto"/>
            </w:tcBorders>
            <w:shd w:val="clear" w:color="auto" w:fill="auto"/>
            <w:noWrap/>
            <w:vAlign w:val="center"/>
            <w:hideMark/>
          </w:tcPr>
          <w:p w14:paraId="6BF7142A" w14:textId="77777777" w:rsidR="005765BB" w:rsidRPr="003E7C59" w:rsidRDefault="005765BB" w:rsidP="006622F2">
            <w:pPr>
              <w:jc w:val="center"/>
              <w:rPr>
                <w:rFonts w:ascii="Arial" w:hAnsi="Arial" w:cs="Arial"/>
                <w:b/>
                <w:bCs/>
                <w:color w:val="000000" w:themeColor="text1"/>
                <w:sz w:val="22"/>
                <w:szCs w:val="22"/>
              </w:rPr>
            </w:pPr>
            <w:r w:rsidRPr="003E7C59">
              <w:rPr>
                <w:rFonts w:ascii="Arial" w:hAnsi="Arial" w:cs="Arial"/>
                <w:b/>
                <w:bCs/>
                <w:color w:val="000000" w:themeColor="text1"/>
                <w:sz w:val="22"/>
                <w:szCs w:val="22"/>
              </w:rPr>
              <w:t>Primer sequence (5' to 3')</w:t>
            </w:r>
          </w:p>
        </w:tc>
      </w:tr>
      <w:tr w:rsidR="005765BB" w:rsidRPr="003E7C59" w14:paraId="2451395A" w14:textId="77777777" w:rsidTr="00654748">
        <w:trPr>
          <w:trHeight w:val="435"/>
        </w:trPr>
        <w:tc>
          <w:tcPr>
            <w:tcW w:w="2127" w:type="pct"/>
            <w:tcBorders>
              <w:top w:val="single" w:sz="4" w:space="0" w:color="auto"/>
            </w:tcBorders>
            <w:shd w:val="clear" w:color="auto" w:fill="auto"/>
            <w:noWrap/>
            <w:vAlign w:val="bottom"/>
            <w:hideMark/>
          </w:tcPr>
          <w:p w14:paraId="68339D21"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CF_F_F3H</w:t>
            </w:r>
          </w:p>
        </w:tc>
        <w:tc>
          <w:tcPr>
            <w:tcW w:w="2873" w:type="pct"/>
            <w:tcBorders>
              <w:top w:val="single" w:sz="4" w:space="0" w:color="auto"/>
            </w:tcBorders>
            <w:shd w:val="clear" w:color="auto" w:fill="auto"/>
            <w:noWrap/>
            <w:vAlign w:val="bottom"/>
            <w:hideMark/>
          </w:tcPr>
          <w:p w14:paraId="1F1FDC40"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GGGAGGTTCAAGAATGCCGA</w:t>
            </w:r>
          </w:p>
        </w:tc>
      </w:tr>
      <w:tr w:rsidR="005765BB" w:rsidRPr="003E7C59" w14:paraId="45419454" w14:textId="77777777" w:rsidTr="00654748">
        <w:trPr>
          <w:trHeight w:val="435"/>
        </w:trPr>
        <w:tc>
          <w:tcPr>
            <w:tcW w:w="2127" w:type="pct"/>
            <w:shd w:val="clear" w:color="auto" w:fill="auto"/>
            <w:noWrap/>
            <w:vAlign w:val="bottom"/>
            <w:hideMark/>
          </w:tcPr>
          <w:p w14:paraId="5B11EAB7"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CF_R_F3H</w:t>
            </w:r>
          </w:p>
        </w:tc>
        <w:tc>
          <w:tcPr>
            <w:tcW w:w="2873" w:type="pct"/>
            <w:shd w:val="clear" w:color="auto" w:fill="auto"/>
            <w:noWrap/>
            <w:vAlign w:val="bottom"/>
            <w:hideMark/>
          </w:tcPr>
          <w:p w14:paraId="59665116"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GACCTTCAGTGGGTACACCG</w:t>
            </w:r>
          </w:p>
        </w:tc>
      </w:tr>
      <w:tr w:rsidR="005765BB" w:rsidRPr="003E7C59" w14:paraId="2EB0C5E4" w14:textId="77777777" w:rsidTr="00654748">
        <w:trPr>
          <w:trHeight w:val="435"/>
        </w:trPr>
        <w:tc>
          <w:tcPr>
            <w:tcW w:w="2127" w:type="pct"/>
            <w:shd w:val="clear" w:color="auto" w:fill="auto"/>
            <w:noWrap/>
            <w:vAlign w:val="bottom"/>
            <w:hideMark/>
          </w:tcPr>
          <w:p w14:paraId="7FE44476"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CF_F_CfMYB1 80</w:t>
            </w:r>
          </w:p>
        </w:tc>
        <w:tc>
          <w:tcPr>
            <w:tcW w:w="2873" w:type="pct"/>
            <w:shd w:val="clear" w:color="auto" w:fill="auto"/>
            <w:noWrap/>
            <w:vAlign w:val="bottom"/>
            <w:hideMark/>
          </w:tcPr>
          <w:p w14:paraId="73235CEC"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GTGGGAAGAGTTGTCGCCTT</w:t>
            </w:r>
          </w:p>
        </w:tc>
      </w:tr>
      <w:tr w:rsidR="005765BB" w:rsidRPr="003E7C59" w14:paraId="4A622C3B" w14:textId="77777777" w:rsidTr="00654748">
        <w:trPr>
          <w:trHeight w:val="435"/>
        </w:trPr>
        <w:tc>
          <w:tcPr>
            <w:tcW w:w="2127" w:type="pct"/>
            <w:shd w:val="clear" w:color="auto" w:fill="auto"/>
            <w:noWrap/>
            <w:vAlign w:val="bottom"/>
            <w:hideMark/>
          </w:tcPr>
          <w:p w14:paraId="4EA494EB"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CF_R_CfMYB1 80</w:t>
            </w:r>
          </w:p>
        </w:tc>
        <w:tc>
          <w:tcPr>
            <w:tcW w:w="2873" w:type="pct"/>
            <w:shd w:val="clear" w:color="auto" w:fill="auto"/>
            <w:noWrap/>
            <w:vAlign w:val="bottom"/>
            <w:hideMark/>
          </w:tcPr>
          <w:p w14:paraId="1AF1D417"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TCCCAAGAGGTTGTGAAGCC</w:t>
            </w:r>
          </w:p>
        </w:tc>
      </w:tr>
      <w:tr w:rsidR="005765BB" w:rsidRPr="003E7C59" w14:paraId="5ADF7B3F" w14:textId="77777777" w:rsidTr="00654748">
        <w:trPr>
          <w:trHeight w:val="435"/>
        </w:trPr>
        <w:tc>
          <w:tcPr>
            <w:tcW w:w="2127" w:type="pct"/>
            <w:shd w:val="clear" w:color="auto" w:fill="auto"/>
            <w:noWrap/>
            <w:vAlign w:val="bottom"/>
            <w:hideMark/>
          </w:tcPr>
          <w:p w14:paraId="33479DEA"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CF_F_CfMYB2</w:t>
            </w:r>
          </w:p>
        </w:tc>
        <w:tc>
          <w:tcPr>
            <w:tcW w:w="2873" w:type="pct"/>
            <w:shd w:val="clear" w:color="auto" w:fill="auto"/>
            <w:noWrap/>
            <w:vAlign w:val="bottom"/>
            <w:hideMark/>
          </w:tcPr>
          <w:p w14:paraId="5D81E29D"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CGAACCGACAACGAGGTGAA</w:t>
            </w:r>
          </w:p>
        </w:tc>
      </w:tr>
      <w:tr w:rsidR="005765BB" w:rsidRPr="003E7C59" w14:paraId="0BA732FE" w14:textId="77777777" w:rsidTr="00654748">
        <w:trPr>
          <w:trHeight w:val="435"/>
        </w:trPr>
        <w:tc>
          <w:tcPr>
            <w:tcW w:w="2127" w:type="pct"/>
            <w:shd w:val="clear" w:color="auto" w:fill="auto"/>
            <w:noWrap/>
            <w:vAlign w:val="bottom"/>
            <w:hideMark/>
          </w:tcPr>
          <w:p w14:paraId="4A881466"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CF_R_CfMYB2</w:t>
            </w:r>
          </w:p>
        </w:tc>
        <w:tc>
          <w:tcPr>
            <w:tcW w:w="2873" w:type="pct"/>
            <w:shd w:val="clear" w:color="auto" w:fill="auto"/>
            <w:noWrap/>
            <w:vAlign w:val="bottom"/>
            <w:hideMark/>
          </w:tcPr>
          <w:p w14:paraId="61837833"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CGCGGTTGCACATGATTTGT</w:t>
            </w:r>
          </w:p>
        </w:tc>
      </w:tr>
      <w:tr w:rsidR="005765BB" w:rsidRPr="003E7C59" w14:paraId="5D43C8E4" w14:textId="77777777" w:rsidTr="00654748">
        <w:trPr>
          <w:trHeight w:val="435"/>
        </w:trPr>
        <w:tc>
          <w:tcPr>
            <w:tcW w:w="2127" w:type="pct"/>
            <w:shd w:val="clear" w:color="auto" w:fill="auto"/>
            <w:noWrap/>
            <w:vAlign w:val="bottom"/>
            <w:hideMark/>
          </w:tcPr>
          <w:p w14:paraId="285BF46B"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CF_F_CfMYB3</w:t>
            </w:r>
          </w:p>
        </w:tc>
        <w:tc>
          <w:tcPr>
            <w:tcW w:w="2873" w:type="pct"/>
            <w:shd w:val="clear" w:color="auto" w:fill="auto"/>
            <w:noWrap/>
            <w:vAlign w:val="bottom"/>
            <w:hideMark/>
          </w:tcPr>
          <w:p w14:paraId="6ABC84E9"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TGGCAATCGGTGGTCACTTA</w:t>
            </w:r>
          </w:p>
        </w:tc>
      </w:tr>
      <w:tr w:rsidR="005765BB" w:rsidRPr="003E7C59" w14:paraId="411D526E" w14:textId="77777777" w:rsidTr="00654748">
        <w:trPr>
          <w:trHeight w:val="435"/>
        </w:trPr>
        <w:tc>
          <w:tcPr>
            <w:tcW w:w="2127" w:type="pct"/>
            <w:shd w:val="clear" w:color="auto" w:fill="auto"/>
            <w:noWrap/>
            <w:vAlign w:val="bottom"/>
            <w:hideMark/>
          </w:tcPr>
          <w:p w14:paraId="0C7EC266"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CF_R_CfMYB3</w:t>
            </w:r>
          </w:p>
        </w:tc>
        <w:tc>
          <w:tcPr>
            <w:tcW w:w="2873" w:type="pct"/>
            <w:shd w:val="clear" w:color="auto" w:fill="auto"/>
            <w:noWrap/>
            <w:vAlign w:val="bottom"/>
            <w:hideMark/>
          </w:tcPr>
          <w:p w14:paraId="75F48849"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TTTTGAGGCCGAGGACGATT</w:t>
            </w:r>
          </w:p>
        </w:tc>
      </w:tr>
      <w:tr w:rsidR="005765BB" w:rsidRPr="003E7C59" w14:paraId="2EC79813" w14:textId="77777777" w:rsidTr="00654748">
        <w:trPr>
          <w:trHeight w:val="435"/>
        </w:trPr>
        <w:tc>
          <w:tcPr>
            <w:tcW w:w="2127" w:type="pct"/>
            <w:shd w:val="clear" w:color="auto" w:fill="auto"/>
            <w:noWrap/>
            <w:vAlign w:val="bottom"/>
            <w:hideMark/>
          </w:tcPr>
          <w:p w14:paraId="1CF00DD2"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CF_F_CHS</w:t>
            </w:r>
          </w:p>
        </w:tc>
        <w:tc>
          <w:tcPr>
            <w:tcW w:w="2873" w:type="pct"/>
            <w:shd w:val="clear" w:color="auto" w:fill="auto"/>
            <w:noWrap/>
            <w:vAlign w:val="bottom"/>
            <w:hideMark/>
          </w:tcPr>
          <w:p w14:paraId="404EEC2F"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AGCATCCAATGAGCGTTCCA</w:t>
            </w:r>
          </w:p>
        </w:tc>
      </w:tr>
      <w:tr w:rsidR="005765BB" w:rsidRPr="003E7C59" w14:paraId="497B383E" w14:textId="77777777" w:rsidTr="00654748">
        <w:trPr>
          <w:trHeight w:val="435"/>
        </w:trPr>
        <w:tc>
          <w:tcPr>
            <w:tcW w:w="2127" w:type="pct"/>
            <w:shd w:val="clear" w:color="auto" w:fill="auto"/>
            <w:noWrap/>
            <w:vAlign w:val="bottom"/>
            <w:hideMark/>
          </w:tcPr>
          <w:p w14:paraId="3A21D1F1"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CF_R_CHS</w:t>
            </w:r>
          </w:p>
        </w:tc>
        <w:tc>
          <w:tcPr>
            <w:tcW w:w="2873" w:type="pct"/>
            <w:shd w:val="clear" w:color="auto" w:fill="auto"/>
            <w:noWrap/>
            <w:vAlign w:val="bottom"/>
            <w:hideMark/>
          </w:tcPr>
          <w:p w14:paraId="3E7FD781"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TTGATCAGAGCACGTACCCG</w:t>
            </w:r>
          </w:p>
        </w:tc>
      </w:tr>
      <w:tr w:rsidR="005765BB" w:rsidRPr="003E7C59" w14:paraId="46114CDF" w14:textId="77777777" w:rsidTr="00654748">
        <w:trPr>
          <w:trHeight w:val="435"/>
        </w:trPr>
        <w:tc>
          <w:tcPr>
            <w:tcW w:w="2127" w:type="pct"/>
            <w:shd w:val="clear" w:color="auto" w:fill="auto"/>
            <w:noWrap/>
            <w:vAlign w:val="bottom"/>
            <w:hideMark/>
          </w:tcPr>
          <w:p w14:paraId="17298E33"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CF_F_CHI</w:t>
            </w:r>
          </w:p>
        </w:tc>
        <w:tc>
          <w:tcPr>
            <w:tcW w:w="2873" w:type="pct"/>
            <w:shd w:val="clear" w:color="auto" w:fill="auto"/>
            <w:noWrap/>
            <w:vAlign w:val="bottom"/>
            <w:hideMark/>
          </w:tcPr>
          <w:p w14:paraId="3040EEAE"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CGGAAGCATTGTTGGAGTCG</w:t>
            </w:r>
          </w:p>
        </w:tc>
      </w:tr>
      <w:tr w:rsidR="005765BB" w:rsidRPr="003E7C59" w14:paraId="396096D6" w14:textId="77777777" w:rsidTr="00654748">
        <w:trPr>
          <w:trHeight w:val="435"/>
        </w:trPr>
        <w:tc>
          <w:tcPr>
            <w:tcW w:w="2127" w:type="pct"/>
            <w:shd w:val="clear" w:color="auto" w:fill="auto"/>
            <w:noWrap/>
            <w:vAlign w:val="bottom"/>
            <w:hideMark/>
          </w:tcPr>
          <w:p w14:paraId="20BEE1AD"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CF_R_CHI</w:t>
            </w:r>
          </w:p>
        </w:tc>
        <w:tc>
          <w:tcPr>
            <w:tcW w:w="2873" w:type="pct"/>
            <w:shd w:val="clear" w:color="auto" w:fill="auto"/>
            <w:noWrap/>
            <w:vAlign w:val="bottom"/>
            <w:hideMark/>
          </w:tcPr>
          <w:p w14:paraId="55E47B72"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CCGACCACCTGATCATCACA</w:t>
            </w:r>
          </w:p>
        </w:tc>
      </w:tr>
      <w:tr w:rsidR="005765BB" w:rsidRPr="003E7C59" w14:paraId="25C316CC" w14:textId="77777777" w:rsidTr="00654748">
        <w:trPr>
          <w:trHeight w:val="435"/>
        </w:trPr>
        <w:tc>
          <w:tcPr>
            <w:tcW w:w="2127" w:type="pct"/>
            <w:shd w:val="clear" w:color="auto" w:fill="auto"/>
            <w:noWrap/>
            <w:vAlign w:val="bottom"/>
            <w:hideMark/>
          </w:tcPr>
          <w:p w14:paraId="49876217"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F_GAPDH</w:t>
            </w:r>
          </w:p>
        </w:tc>
        <w:tc>
          <w:tcPr>
            <w:tcW w:w="2873" w:type="pct"/>
            <w:shd w:val="clear" w:color="auto" w:fill="auto"/>
            <w:noWrap/>
            <w:vAlign w:val="bottom"/>
            <w:hideMark/>
          </w:tcPr>
          <w:p w14:paraId="69CAD7BB"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GACCACTGTTCACTCCAT</w:t>
            </w:r>
          </w:p>
        </w:tc>
      </w:tr>
      <w:tr w:rsidR="005765BB" w:rsidRPr="003E7C59" w14:paraId="3195FD4E" w14:textId="77777777" w:rsidTr="00654748">
        <w:trPr>
          <w:trHeight w:val="435"/>
        </w:trPr>
        <w:tc>
          <w:tcPr>
            <w:tcW w:w="2127" w:type="pct"/>
            <w:shd w:val="clear" w:color="auto" w:fill="auto"/>
            <w:noWrap/>
            <w:vAlign w:val="bottom"/>
            <w:hideMark/>
          </w:tcPr>
          <w:p w14:paraId="484E5F3C"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R_GAPDH</w:t>
            </w:r>
          </w:p>
        </w:tc>
        <w:tc>
          <w:tcPr>
            <w:tcW w:w="2873" w:type="pct"/>
            <w:shd w:val="clear" w:color="auto" w:fill="auto"/>
            <w:noWrap/>
            <w:vAlign w:val="bottom"/>
            <w:hideMark/>
          </w:tcPr>
          <w:p w14:paraId="01A85372"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CAGCCTTGGCAGCTCCAG</w:t>
            </w:r>
          </w:p>
        </w:tc>
      </w:tr>
      <w:tr w:rsidR="005765BB" w:rsidRPr="003E7C59" w14:paraId="2A865B76" w14:textId="77777777" w:rsidTr="00654748">
        <w:trPr>
          <w:trHeight w:val="435"/>
        </w:trPr>
        <w:tc>
          <w:tcPr>
            <w:tcW w:w="2127" w:type="pct"/>
            <w:shd w:val="clear" w:color="auto" w:fill="auto"/>
            <w:noWrap/>
            <w:vAlign w:val="bottom"/>
            <w:hideMark/>
          </w:tcPr>
          <w:p w14:paraId="6223585A"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CK_F_CHS</w:t>
            </w:r>
          </w:p>
        </w:tc>
        <w:tc>
          <w:tcPr>
            <w:tcW w:w="2873" w:type="pct"/>
            <w:shd w:val="clear" w:color="auto" w:fill="auto"/>
            <w:noWrap/>
            <w:vAlign w:val="bottom"/>
            <w:hideMark/>
          </w:tcPr>
          <w:p w14:paraId="010150D3"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CGTCTTGAGCGAGTATGGCA</w:t>
            </w:r>
          </w:p>
        </w:tc>
      </w:tr>
      <w:tr w:rsidR="005765BB" w:rsidRPr="003E7C59" w14:paraId="70DB4862" w14:textId="77777777" w:rsidTr="00654748">
        <w:trPr>
          <w:trHeight w:val="435"/>
        </w:trPr>
        <w:tc>
          <w:tcPr>
            <w:tcW w:w="2127" w:type="pct"/>
            <w:shd w:val="clear" w:color="auto" w:fill="auto"/>
            <w:noWrap/>
            <w:vAlign w:val="bottom"/>
            <w:hideMark/>
          </w:tcPr>
          <w:p w14:paraId="7F6F892B"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CK_R_CHS</w:t>
            </w:r>
          </w:p>
        </w:tc>
        <w:tc>
          <w:tcPr>
            <w:tcW w:w="2873" w:type="pct"/>
            <w:shd w:val="clear" w:color="auto" w:fill="auto"/>
            <w:noWrap/>
            <w:vAlign w:val="bottom"/>
            <w:hideMark/>
          </w:tcPr>
          <w:p w14:paraId="74EE3103"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TGGTCTTGAGCCCTTCCTCT</w:t>
            </w:r>
          </w:p>
        </w:tc>
      </w:tr>
      <w:tr w:rsidR="005765BB" w:rsidRPr="003E7C59" w14:paraId="28FC34BA" w14:textId="77777777" w:rsidTr="00654748">
        <w:trPr>
          <w:trHeight w:val="435"/>
        </w:trPr>
        <w:tc>
          <w:tcPr>
            <w:tcW w:w="2127" w:type="pct"/>
            <w:shd w:val="clear" w:color="auto" w:fill="auto"/>
            <w:noWrap/>
            <w:vAlign w:val="bottom"/>
            <w:hideMark/>
          </w:tcPr>
          <w:p w14:paraId="2774C107"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CK_F_CHI</w:t>
            </w:r>
          </w:p>
        </w:tc>
        <w:tc>
          <w:tcPr>
            <w:tcW w:w="2873" w:type="pct"/>
            <w:shd w:val="clear" w:color="auto" w:fill="auto"/>
            <w:noWrap/>
            <w:vAlign w:val="bottom"/>
            <w:hideMark/>
          </w:tcPr>
          <w:p w14:paraId="451DF2E6"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AAAGGGGTGCCCACCTAAAC</w:t>
            </w:r>
          </w:p>
        </w:tc>
      </w:tr>
      <w:tr w:rsidR="005765BB" w:rsidRPr="003E7C59" w14:paraId="3C386A87" w14:textId="77777777" w:rsidTr="00654748">
        <w:trPr>
          <w:trHeight w:val="435"/>
        </w:trPr>
        <w:tc>
          <w:tcPr>
            <w:tcW w:w="2127" w:type="pct"/>
            <w:shd w:val="clear" w:color="auto" w:fill="auto"/>
            <w:noWrap/>
            <w:vAlign w:val="bottom"/>
            <w:hideMark/>
          </w:tcPr>
          <w:p w14:paraId="6E7F8EDF"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CK_R_CHI</w:t>
            </w:r>
          </w:p>
        </w:tc>
        <w:tc>
          <w:tcPr>
            <w:tcW w:w="2873" w:type="pct"/>
            <w:shd w:val="clear" w:color="auto" w:fill="auto"/>
            <w:noWrap/>
            <w:vAlign w:val="bottom"/>
            <w:hideMark/>
          </w:tcPr>
          <w:p w14:paraId="2E98EFE8"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CCACTGGCCGAGGATTTGTA</w:t>
            </w:r>
          </w:p>
        </w:tc>
      </w:tr>
      <w:tr w:rsidR="005765BB" w:rsidRPr="003E7C59" w14:paraId="29F9175D" w14:textId="77777777" w:rsidTr="00654748">
        <w:trPr>
          <w:trHeight w:val="435"/>
        </w:trPr>
        <w:tc>
          <w:tcPr>
            <w:tcW w:w="2127" w:type="pct"/>
            <w:shd w:val="clear" w:color="auto" w:fill="auto"/>
            <w:noWrap/>
            <w:vAlign w:val="bottom"/>
            <w:hideMark/>
          </w:tcPr>
          <w:p w14:paraId="5B5B8F50"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CK_F_CkMYB1</w:t>
            </w:r>
          </w:p>
        </w:tc>
        <w:tc>
          <w:tcPr>
            <w:tcW w:w="2873" w:type="pct"/>
            <w:shd w:val="clear" w:color="auto" w:fill="auto"/>
            <w:noWrap/>
            <w:vAlign w:val="bottom"/>
            <w:hideMark/>
          </w:tcPr>
          <w:p w14:paraId="6295DAD5"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GAGTCCGGAGAAGTCCGAAT</w:t>
            </w:r>
          </w:p>
        </w:tc>
      </w:tr>
      <w:tr w:rsidR="005765BB" w:rsidRPr="003E7C59" w14:paraId="133836AF" w14:textId="77777777" w:rsidTr="00654748">
        <w:trPr>
          <w:trHeight w:val="435"/>
        </w:trPr>
        <w:tc>
          <w:tcPr>
            <w:tcW w:w="2127" w:type="pct"/>
            <w:shd w:val="clear" w:color="auto" w:fill="auto"/>
            <w:noWrap/>
            <w:vAlign w:val="bottom"/>
            <w:hideMark/>
          </w:tcPr>
          <w:p w14:paraId="54021989"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CK_R_CkMYB1</w:t>
            </w:r>
          </w:p>
        </w:tc>
        <w:tc>
          <w:tcPr>
            <w:tcW w:w="2873" w:type="pct"/>
            <w:shd w:val="clear" w:color="auto" w:fill="auto"/>
            <w:noWrap/>
            <w:vAlign w:val="bottom"/>
            <w:hideMark/>
          </w:tcPr>
          <w:p w14:paraId="6F9A72EF"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ATCGAATTCGTGTGTGGGGG</w:t>
            </w:r>
          </w:p>
        </w:tc>
      </w:tr>
      <w:tr w:rsidR="005765BB" w:rsidRPr="003E7C59" w14:paraId="4E2518DE" w14:textId="77777777" w:rsidTr="00654748">
        <w:trPr>
          <w:trHeight w:val="435"/>
        </w:trPr>
        <w:tc>
          <w:tcPr>
            <w:tcW w:w="2127" w:type="pct"/>
            <w:shd w:val="clear" w:color="auto" w:fill="auto"/>
            <w:noWrap/>
            <w:vAlign w:val="bottom"/>
            <w:hideMark/>
          </w:tcPr>
          <w:p w14:paraId="6E9694CA"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CK_F_CkMYB2</w:t>
            </w:r>
          </w:p>
        </w:tc>
        <w:tc>
          <w:tcPr>
            <w:tcW w:w="2873" w:type="pct"/>
            <w:shd w:val="clear" w:color="auto" w:fill="auto"/>
            <w:noWrap/>
            <w:vAlign w:val="bottom"/>
            <w:hideMark/>
          </w:tcPr>
          <w:p w14:paraId="21D6F296"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GCAAGCCGTTAGGGTTTTCC</w:t>
            </w:r>
          </w:p>
        </w:tc>
      </w:tr>
      <w:tr w:rsidR="005765BB" w:rsidRPr="003E7C59" w14:paraId="609C35E0" w14:textId="77777777" w:rsidTr="00654748">
        <w:trPr>
          <w:trHeight w:val="435"/>
        </w:trPr>
        <w:tc>
          <w:tcPr>
            <w:tcW w:w="2127" w:type="pct"/>
            <w:tcBorders>
              <w:bottom w:val="single" w:sz="4" w:space="0" w:color="auto"/>
            </w:tcBorders>
            <w:shd w:val="clear" w:color="auto" w:fill="auto"/>
            <w:noWrap/>
            <w:vAlign w:val="bottom"/>
            <w:hideMark/>
          </w:tcPr>
          <w:p w14:paraId="0037D538"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CK_R_CkMYB2</w:t>
            </w:r>
          </w:p>
        </w:tc>
        <w:tc>
          <w:tcPr>
            <w:tcW w:w="2873" w:type="pct"/>
            <w:tcBorders>
              <w:bottom w:val="single" w:sz="4" w:space="0" w:color="auto"/>
            </w:tcBorders>
            <w:shd w:val="clear" w:color="auto" w:fill="auto"/>
            <w:noWrap/>
            <w:vAlign w:val="bottom"/>
            <w:hideMark/>
          </w:tcPr>
          <w:p w14:paraId="78FB6D47" w14:textId="77777777" w:rsidR="005765BB" w:rsidRPr="003E7C59" w:rsidRDefault="005765BB"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CCATGCATGTCAACCCGAGA</w:t>
            </w:r>
          </w:p>
        </w:tc>
      </w:tr>
    </w:tbl>
    <w:p w14:paraId="36A741AE" w14:textId="77777777" w:rsidR="000D32B1" w:rsidRDefault="000D32B1" w:rsidP="000D32B1">
      <w:pPr>
        <w:pStyle w:val="TableofAuthorities"/>
        <w:spacing w:line="360" w:lineRule="auto"/>
        <w:ind w:left="0" w:firstLine="0"/>
        <w:rPr>
          <w:lang w:bidi="en-US"/>
        </w:rPr>
      </w:pPr>
    </w:p>
    <w:p w14:paraId="1899307F" w14:textId="77777777" w:rsidR="00BD0C4C" w:rsidRPr="00BD0C4C" w:rsidRDefault="00B51BF9" w:rsidP="00BD0C4C">
      <w:pPr>
        <w:pStyle w:val="TableofAuthorities"/>
        <w:spacing w:line="360" w:lineRule="auto"/>
        <w:rPr>
          <w:rFonts w:ascii="Arial" w:hAnsi="Arial" w:cs="Arial"/>
          <w:sz w:val="22"/>
          <w:szCs w:val="22"/>
        </w:rPr>
      </w:pPr>
      <w:r w:rsidRPr="003E7C59">
        <w:rPr>
          <w:lang w:bidi="en-US"/>
        </w:rPr>
        <w:br w:type="page"/>
      </w:r>
      <w:bookmarkStart w:id="84" w:name="_Toc121475348"/>
      <w:bookmarkStart w:id="85" w:name="_Toc121476620"/>
      <w:bookmarkStart w:id="86" w:name="_Toc121478550"/>
      <w:bookmarkStart w:id="87" w:name="_Toc121479471"/>
      <w:bookmarkStart w:id="88" w:name="_Toc121479901"/>
      <w:r w:rsidRPr="00BD0C4C">
        <w:rPr>
          <w:rFonts w:ascii="Arial" w:hAnsi="Arial" w:cs="Arial"/>
          <w:sz w:val="22"/>
          <w:szCs w:val="22"/>
        </w:rPr>
        <w:lastRenderedPageBreak/>
        <w:t>Table 1.2. Species and accession numbers of MYB proteins used to construct the phylogenetic</w:t>
      </w:r>
    </w:p>
    <w:p w14:paraId="57ECB256" w14:textId="34D63417" w:rsidR="00B51BF9" w:rsidRPr="00BD0C4C" w:rsidRDefault="00B51BF9" w:rsidP="00BD0C4C">
      <w:pPr>
        <w:pStyle w:val="TableofAuthorities"/>
        <w:spacing w:line="360" w:lineRule="auto"/>
        <w:ind w:left="0" w:firstLine="240"/>
        <w:rPr>
          <w:rFonts w:ascii="Arial" w:hAnsi="Arial" w:cs="Arial"/>
          <w:sz w:val="22"/>
          <w:szCs w:val="22"/>
        </w:rPr>
      </w:pPr>
      <w:proofErr w:type="gramStart"/>
      <w:r w:rsidRPr="00BD0C4C">
        <w:rPr>
          <w:rFonts w:ascii="Arial" w:hAnsi="Arial" w:cs="Arial"/>
          <w:sz w:val="22"/>
          <w:szCs w:val="22"/>
        </w:rPr>
        <w:t>tree</w:t>
      </w:r>
      <w:proofErr w:type="gramEnd"/>
      <w:r w:rsidRPr="00BD0C4C">
        <w:rPr>
          <w:rFonts w:ascii="Arial" w:hAnsi="Arial" w:cs="Arial"/>
          <w:sz w:val="22"/>
          <w:szCs w:val="22"/>
        </w:rPr>
        <w:t xml:space="preserve"> </w:t>
      </w:r>
      <w:r w:rsidR="00E74977" w:rsidRPr="00BD0C4C">
        <w:rPr>
          <w:rFonts w:ascii="Arial" w:hAnsi="Arial" w:cs="Arial"/>
          <w:sz w:val="22"/>
          <w:szCs w:val="22"/>
        </w:rPr>
        <w:t xml:space="preserve">of </w:t>
      </w:r>
      <w:r w:rsidRPr="00BD0C4C">
        <w:rPr>
          <w:rFonts w:ascii="Arial" w:hAnsi="Arial" w:cs="Arial"/>
          <w:i/>
          <w:iCs/>
          <w:sz w:val="22"/>
          <w:szCs w:val="22"/>
        </w:rPr>
        <w:t>Cornus florida</w:t>
      </w:r>
      <w:r w:rsidRPr="00BD0C4C">
        <w:rPr>
          <w:rFonts w:ascii="Arial" w:hAnsi="Arial" w:cs="Arial"/>
          <w:sz w:val="22"/>
          <w:szCs w:val="22"/>
        </w:rPr>
        <w:t xml:space="preserve"> and </w:t>
      </w:r>
      <w:r w:rsidRPr="00BD0C4C">
        <w:rPr>
          <w:rFonts w:ascii="Arial" w:hAnsi="Arial" w:cs="Arial"/>
          <w:i/>
          <w:iCs/>
          <w:sz w:val="22"/>
          <w:szCs w:val="22"/>
        </w:rPr>
        <w:t>C</w:t>
      </w:r>
      <w:r w:rsidRPr="00BD0C4C">
        <w:rPr>
          <w:rFonts w:ascii="Arial" w:hAnsi="Arial" w:cs="Arial"/>
          <w:sz w:val="22"/>
          <w:szCs w:val="22"/>
        </w:rPr>
        <w:t xml:space="preserve">. </w:t>
      </w:r>
      <w:r w:rsidRPr="00BD0C4C">
        <w:rPr>
          <w:rFonts w:ascii="Arial" w:hAnsi="Arial" w:cs="Arial"/>
          <w:i/>
          <w:iCs/>
          <w:sz w:val="22"/>
          <w:szCs w:val="22"/>
        </w:rPr>
        <w:t>kousa</w:t>
      </w:r>
      <w:r w:rsidR="002D066E" w:rsidRPr="00BD0C4C">
        <w:rPr>
          <w:rFonts w:ascii="Arial" w:hAnsi="Arial" w:cs="Arial"/>
          <w:sz w:val="22"/>
          <w:szCs w:val="22"/>
        </w:rPr>
        <w:t>.</w:t>
      </w:r>
      <w:bookmarkEnd w:id="84"/>
      <w:bookmarkEnd w:id="85"/>
      <w:bookmarkEnd w:id="86"/>
      <w:bookmarkEnd w:id="87"/>
      <w:bookmarkEnd w:id="8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78"/>
      </w:tblGrid>
      <w:tr w:rsidR="00B51BF9" w:rsidRPr="003E7C59" w14:paraId="0D5824E7" w14:textId="77777777" w:rsidTr="00654748">
        <w:trPr>
          <w:trHeight w:val="494"/>
        </w:trPr>
        <w:tc>
          <w:tcPr>
            <w:tcW w:w="2501" w:type="pct"/>
            <w:tcBorders>
              <w:top w:val="single" w:sz="4" w:space="0" w:color="auto"/>
              <w:bottom w:val="single" w:sz="4" w:space="0" w:color="auto"/>
            </w:tcBorders>
          </w:tcPr>
          <w:p w14:paraId="2E826FA0" w14:textId="77777777" w:rsidR="00B51BF9" w:rsidRPr="003E7C59" w:rsidRDefault="00B51BF9" w:rsidP="006622F2">
            <w:pPr>
              <w:jc w:val="center"/>
              <w:rPr>
                <w:rFonts w:ascii="Arial" w:hAnsi="Arial" w:cs="Arial"/>
                <w:b/>
                <w:bCs/>
                <w:color w:val="000000" w:themeColor="text1"/>
                <w:sz w:val="22"/>
                <w:szCs w:val="22"/>
              </w:rPr>
            </w:pPr>
            <w:r w:rsidRPr="003E7C59">
              <w:rPr>
                <w:rFonts w:ascii="Arial" w:hAnsi="Arial" w:cs="Arial"/>
                <w:b/>
                <w:bCs/>
                <w:color w:val="000000" w:themeColor="text1"/>
                <w:sz w:val="22"/>
                <w:szCs w:val="22"/>
              </w:rPr>
              <w:t>Species</w:t>
            </w:r>
          </w:p>
        </w:tc>
        <w:tc>
          <w:tcPr>
            <w:tcW w:w="2499" w:type="pct"/>
            <w:tcBorders>
              <w:top w:val="single" w:sz="4" w:space="0" w:color="auto"/>
              <w:bottom w:val="single" w:sz="4" w:space="0" w:color="auto"/>
            </w:tcBorders>
          </w:tcPr>
          <w:p w14:paraId="5D01138E" w14:textId="77777777" w:rsidR="00B51BF9" w:rsidRPr="003E7C59" w:rsidRDefault="00B51BF9" w:rsidP="006622F2">
            <w:pPr>
              <w:jc w:val="center"/>
              <w:rPr>
                <w:rFonts w:ascii="Arial" w:hAnsi="Arial" w:cs="Arial"/>
                <w:b/>
                <w:bCs/>
                <w:color w:val="000000" w:themeColor="text1"/>
                <w:sz w:val="22"/>
                <w:szCs w:val="22"/>
              </w:rPr>
            </w:pPr>
            <w:r w:rsidRPr="003E7C59">
              <w:rPr>
                <w:rFonts w:ascii="Arial" w:hAnsi="Arial" w:cs="Arial"/>
                <w:b/>
                <w:bCs/>
                <w:color w:val="000000" w:themeColor="text1"/>
                <w:sz w:val="22"/>
                <w:szCs w:val="22"/>
              </w:rPr>
              <w:t>Labeled MYB</w:t>
            </w:r>
          </w:p>
        </w:tc>
      </w:tr>
      <w:tr w:rsidR="00B51BF9" w:rsidRPr="003E7C59" w14:paraId="3CED1E5D" w14:textId="77777777" w:rsidTr="00654748">
        <w:tc>
          <w:tcPr>
            <w:tcW w:w="2501" w:type="pct"/>
            <w:tcBorders>
              <w:top w:val="single" w:sz="4" w:space="0" w:color="auto"/>
            </w:tcBorders>
          </w:tcPr>
          <w:p w14:paraId="098C5E21" w14:textId="74E5B01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Apple (</w:t>
            </w:r>
            <w:r w:rsidRPr="003E7C59">
              <w:rPr>
                <w:rFonts w:ascii="Arial" w:hAnsi="Arial" w:cs="Arial"/>
                <w:i/>
                <w:iCs/>
                <w:color w:val="000000" w:themeColor="text1"/>
                <w:sz w:val="22"/>
                <w:szCs w:val="22"/>
              </w:rPr>
              <w:t xml:space="preserve">Malus domestica </w:t>
            </w:r>
            <w:r w:rsidR="002A06AF" w:rsidRPr="003E7C59">
              <w:rPr>
                <w:rFonts w:ascii="Arial" w:hAnsi="Arial" w:cs="Arial"/>
                <w:color w:val="000000" w:themeColor="text1"/>
                <w:sz w:val="22"/>
                <w:szCs w:val="22"/>
              </w:rPr>
              <w:t>Borkh</w:t>
            </w:r>
            <w:r w:rsidR="000B07F5" w:rsidRPr="003E7C59">
              <w:rPr>
                <w:rFonts w:ascii="Arial" w:hAnsi="Arial" w:cs="Arial"/>
                <w:color w:val="000000" w:themeColor="text1"/>
                <w:sz w:val="22"/>
                <w:szCs w:val="22"/>
              </w:rPr>
              <w:t>.</w:t>
            </w:r>
            <w:r w:rsidRPr="003E7C59">
              <w:rPr>
                <w:rFonts w:ascii="Arial" w:hAnsi="Arial" w:cs="Arial"/>
                <w:color w:val="000000" w:themeColor="text1"/>
                <w:sz w:val="22"/>
                <w:szCs w:val="22"/>
              </w:rPr>
              <w:t>)</w:t>
            </w:r>
          </w:p>
        </w:tc>
        <w:tc>
          <w:tcPr>
            <w:tcW w:w="2499" w:type="pct"/>
            <w:tcBorders>
              <w:top w:val="single" w:sz="4" w:space="0" w:color="auto"/>
            </w:tcBorders>
          </w:tcPr>
          <w:p w14:paraId="6903D1E8"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MdMYB1 (ADQ27443), MdMYB3 (AEX08668), MdMYB6 (AAZ20429), MdMYB10, MdMYB10</w:t>
            </w:r>
          </w:p>
          <w:p w14:paraId="52989AC8"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(ACQ45201), MdMYB110a (AFC88038), MdMYBA (BAF80582)</w:t>
            </w:r>
          </w:p>
          <w:p w14:paraId="4376BAE8" w14:textId="77777777" w:rsidR="00B51BF9" w:rsidRPr="003E7C59" w:rsidRDefault="00B51BF9" w:rsidP="006622F2">
            <w:pPr>
              <w:jc w:val="center"/>
              <w:rPr>
                <w:rFonts w:ascii="Arial" w:hAnsi="Arial" w:cs="Arial"/>
                <w:color w:val="000000" w:themeColor="text1"/>
                <w:sz w:val="22"/>
                <w:szCs w:val="22"/>
              </w:rPr>
            </w:pPr>
          </w:p>
        </w:tc>
      </w:tr>
      <w:tr w:rsidR="00B51BF9" w:rsidRPr="003E7C59" w14:paraId="17FB06AB" w14:textId="77777777" w:rsidTr="00654748">
        <w:tc>
          <w:tcPr>
            <w:tcW w:w="2501" w:type="pct"/>
          </w:tcPr>
          <w:p w14:paraId="6FB2A595" w14:textId="3CD214E1" w:rsidR="00B51BF9" w:rsidRPr="003E7C59" w:rsidRDefault="002E4E3A"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Arabidopsis (</w:t>
            </w:r>
            <w:r w:rsidR="00B51BF9" w:rsidRPr="003E7C59">
              <w:rPr>
                <w:rFonts w:ascii="Arial" w:hAnsi="Arial" w:cs="Arial"/>
                <w:i/>
                <w:iCs/>
                <w:color w:val="000000" w:themeColor="text1"/>
                <w:sz w:val="22"/>
                <w:szCs w:val="22"/>
              </w:rPr>
              <w:t xml:space="preserve">Arabidopsis thaliana </w:t>
            </w:r>
            <w:r w:rsidR="00B51BF9" w:rsidRPr="003E7C59">
              <w:rPr>
                <w:rFonts w:ascii="Arial" w:hAnsi="Arial" w:cs="Arial"/>
                <w:color w:val="000000" w:themeColor="text1"/>
                <w:sz w:val="22"/>
                <w:szCs w:val="22"/>
              </w:rPr>
              <w:t>L</w:t>
            </w:r>
            <w:r w:rsidRPr="003E7C59">
              <w:rPr>
                <w:rFonts w:ascii="Arial" w:hAnsi="Arial" w:cs="Arial"/>
                <w:color w:val="000000" w:themeColor="text1"/>
                <w:sz w:val="22"/>
                <w:szCs w:val="22"/>
              </w:rPr>
              <w:t>.)</w:t>
            </w:r>
            <w:r w:rsidR="00B51BF9" w:rsidRPr="003E7C59">
              <w:rPr>
                <w:rFonts w:ascii="Arial" w:hAnsi="Arial" w:cs="Arial"/>
                <w:color w:val="000000" w:themeColor="text1"/>
                <w:sz w:val="22"/>
                <w:szCs w:val="22"/>
              </w:rPr>
              <w:t xml:space="preserve"> </w:t>
            </w:r>
          </w:p>
        </w:tc>
        <w:tc>
          <w:tcPr>
            <w:tcW w:w="2499" w:type="pct"/>
          </w:tcPr>
          <w:p w14:paraId="33873021"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AtMYB4 (NP_195574), AtMYB11 (NP_191820), AtMYB12 (NP_182268), AtMYB14 (NP_180676), AtMYB15 (NP_188966), AtMYB46 (NP_196791),</w:t>
            </w:r>
          </w:p>
          <w:p w14:paraId="644E2426"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AtMYB58 (NP_173098), AtMYB60 (NP_172358), AtMYB61 (NP_172425), AtMYB63 (NP_178039), AtMYB75 (NP_176057), AtMYB83 (NP_187463), AtMYB85 (NP_567664), AtMYB90 (NP_176813), AtMYB111 (NP_199744), AtMYB113 (NP_176811), AtMYB114</w:t>
            </w:r>
          </w:p>
          <w:p w14:paraId="24CDAE8E"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(NP_176812), AtMYB123 (NP_198405)</w:t>
            </w:r>
          </w:p>
          <w:p w14:paraId="01AE54E2" w14:textId="77777777" w:rsidR="00B51BF9" w:rsidRPr="003E7C59" w:rsidRDefault="00B51BF9" w:rsidP="006622F2">
            <w:pPr>
              <w:jc w:val="center"/>
              <w:rPr>
                <w:rFonts w:ascii="Arial" w:hAnsi="Arial" w:cs="Arial"/>
                <w:color w:val="000000" w:themeColor="text1"/>
                <w:sz w:val="22"/>
                <w:szCs w:val="22"/>
              </w:rPr>
            </w:pPr>
          </w:p>
        </w:tc>
      </w:tr>
      <w:tr w:rsidR="00B51BF9" w:rsidRPr="003E7C59" w14:paraId="230C6770" w14:textId="77777777" w:rsidTr="00654748">
        <w:tc>
          <w:tcPr>
            <w:tcW w:w="2501" w:type="pct"/>
          </w:tcPr>
          <w:p w14:paraId="143B9A2E"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Asian dogwood (</w:t>
            </w:r>
            <w:r w:rsidRPr="003E7C59">
              <w:rPr>
                <w:rFonts w:ascii="Arial" w:hAnsi="Arial" w:cs="Arial"/>
                <w:i/>
                <w:iCs/>
                <w:color w:val="000000" w:themeColor="text1"/>
                <w:sz w:val="22"/>
                <w:szCs w:val="22"/>
              </w:rPr>
              <w:t xml:space="preserve">Cornus kousa </w:t>
            </w:r>
            <w:r w:rsidRPr="003E7C59">
              <w:rPr>
                <w:rFonts w:ascii="Arial" w:hAnsi="Arial" w:cs="Arial"/>
                <w:color w:val="000000" w:themeColor="text1"/>
                <w:sz w:val="22"/>
                <w:szCs w:val="22"/>
              </w:rPr>
              <w:t>F. Buerger ex Hance)</w:t>
            </w:r>
          </w:p>
        </w:tc>
        <w:tc>
          <w:tcPr>
            <w:tcW w:w="2499" w:type="pct"/>
          </w:tcPr>
          <w:p w14:paraId="4D9688D6"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CkMYB1 (OP382883), CkMYB2 (OP382884)</w:t>
            </w:r>
          </w:p>
        </w:tc>
      </w:tr>
      <w:tr w:rsidR="00B51BF9" w:rsidRPr="003E7C59" w14:paraId="44A46F20" w14:textId="77777777" w:rsidTr="00654748">
        <w:tc>
          <w:tcPr>
            <w:tcW w:w="2501" w:type="pct"/>
          </w:tcPr>
          <w:p w14:paraId="2DE90A88"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Cauliflower (</w:t>
            </w:r>
            <w:r w:rsidRPr="003E7C59">
              <w:rPr>
                <w:rFonts w:ascii="Arial" w:hAnsi="Arial" w:cs="Arial"/>
                <w:i/>
                <w:iCs/>
                <w:color w:val="000000" w:themeColor="text1"/>
                <w:sz w:val="22"/>
                <w:szCs w:val="22"/>
              </w:rPr>
              <w:t xml:space="preserve">Brassica oleracea </w:t>
            </w:r>
            <w:r w:rsidRPr="003E7C59">
              <w:rPr>
                <w:rFonts w:ascii="Arial" w:hAnsi="Arial" w:cs="Arial"/>
                <w:color w:val="000000" w:themeColor="text1"/>
                <w:sz w:val="22"/>
                <w:szCs w:val="22"/>
              </w:rPr>
              <w:t>L.)</w:t>
            </w:r>
          </w:p>
        </w:tc>
        <w:tc>
          <w:tcPr>
            <w:tcW w:w="2499" w:type="pct"/>
          </w:tcPr>
          <w:p w14:paraId="6045CAE3"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PR (ADP76651)</w:t>
            </w:r>
          </w:p>
          <w:p w14:paraId="70854B3E" w14:textId="77777777" w:rsidR="00B51BF9" w:rsidRPr="003E7C59" w:rsidRDefault="00B51BF9" w:rsidP="006622F2">
            <w:pPr>
              <w:jc w:val="center"/>
              <w:rPr>
                <w:rFonts w:ascii="Arial" w:hAnsi="Arial" w:cs="Arial"/>
                <w:color w:val="000000" w:themeColor="text1"/>
                <w:sz w:val="22"/>
                <w:szCs w:val="22"/>
              </w:rPr>
            </w:pPr>
          </w:p>
        </w:tc>
      </w:tr>
      <w:tr w:rsidR="00B51BF9" w:rsidRPr="003E7C59" w14:paraId="314DAD4C" w14:textId="77777777" w:rsidTr="00654748">
        <w:trPr>
          <w:trHeight w:val="377"/>
        </w:trPr>
        <w:tc>
          <w:tcPr>
            <w:tcW w:w="2501" w:type="pct"/>
          </w:tcPr>
          <w:p w14:paraId="73480426"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Chinese bayberry (</w:t>
            </w:r>
            <w:r w:rsidRPr="003E7C59">
              <w:rPr>
                <w:rFonts w:ascii="Arial" w:hAnsi="Arial" w:cs="Arial"/>
                <w:i/>
                <w:iCs/>
                <w:color w:val="000000" w:themeColor="text1"/>
                <w:sz w:val="22"/>
                <w:szCs w:val="22"/>
              </w:rPr>
              <w:t xml:space="preserve">Myrica rubra </w:t>
            </w:r>
            <w:r w:rsidRPr="003E7C59">
              <w:rPr>
                <w:rFonts w:ascii="Arial" w:hAnsi="Arial" w:cs="Arial"/>
                <w:color w:val="000000" w:themeColor="text1"/>
                <w:sz w:val="22"/>
                <w:szCs w:val="22"/>
                <w:shd w:val="clear" w:color="auto" w:fill="FFFFFF"/>
              </w:rPr>
              <w:t>Sieb. et Zucc.</w:t>
            </w:r>
            <w:r w:rsidRPr="003E7C59">
              <w:rPr>
                <w:rFonts w:ascii="Arial" w:hAnsi="Arial" w:cs="Arial"/>
                <w:color w:val="000000" w:themeColor="text1"/>
                <w:sz w:val="22"/>
                <w:szCs w:val="22"/>
              </w:rPr>
              <w:t>)</w:t>
            </w:r>
          </w:p>
        </w:tc>
        <w:tc>
          <w:tcPr>
            <w:tcW w:w="2499" w:type="pct"/>
          </w:tcPr>
          <w:p w14:paraId="2CD42ABB"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MrMYB1 (ADG21957)</w:t>
            </w:r>
          </w:p>
          <w:p w14:paraId="62780466" w14:textId="77777777" w:rsidR="00B51BF9" w:rsidRPr="003E7C59" w:rsidRDefault="00B51BF9" w:rsidP="006622F2">
            <w:pPr>
              <w:jc w:val="center"/>
              <w:rPr>
                <w:rFonts w:ascii="Arial" w:hAnsi="Arial" w:cs="Arial"/>
                <w:color w:val="000000" w:themeColor="text1"/>
                <w:sz w:val="22"/>
                <w:szCs w:val="22"/>
              </w:rPr>
            </w:pPr>
          </w:p>
        </w:tc>
      </w:tr>
      <w:tr w:rsidR="00B51BF9" w:rsidRPr="003E7C59" w14:paraId="1D5E2DFD" w14:textId="77777777" w:rsidTr="00654748">
        <w:tc>
          <w:tcPr>
            <w:tcW w:w="2501" w:type="pct"/>
          </w:tcPr>
          <w:p w14:paraId="0BFE1A33"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Cider gum (</w:t>
            </w:r>
            <w:r w:rsidRPr="003E7C59">
              <w:rPr>
                <w:rFonts w:ascii="Arial" w:hAnsi="Arial" w:cs="Arial"/>
                <w:i/>
                <w:iCs/>
                <w:color w:val="000000" w:themeColor="text1"/>
                <w:sz w:val="22"/>
                <w:szCs w:val="22"/>
              </w:rPr>
              <w:t xml:space="preserve">Eucalyptus gunnii </w:t>
            </w:r>
            <w:r w:rsidRPr="003E7C59">
              <w:rPr>
                <w:rFonts w:ascii="Arial" w:hAnsi="Arial" w:cs="Arial"/>
                <w:color w:val="000000" w:themeColor="text1"/>
                <w:sz w:val="22"/>
                <w:szCs w:val="22"/>
              </w:rPr>
              <w:t>Hook)</w:t>
            </w:r>
          </w:p>
        </w:tc>
        <w:tc>
          <w:tcPr>
            <w:tcW w:w="2499" w:type="pct"/>
          </w:tcPr>
          <w:p w14:paraId="2E3FC4FC"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EgMYB1 (CAE09058), EgMYB2 (CAE09057)</w:t>
            </w:r>
          </w:p>
          <w:p w14:paraId="5F74C2B3" w14:textId="77777777" w:rsidR="00B51BF9" w:rsidRPr="003E7C59" w:rsidRDefault="00B51BF9" w:rsidP="006622F2">
            <w:pPr>
              <w:jc w:val="center"/>
              <w:rPr>
                <w:rFonts w:ascii="Arial" w:hAnsi="Arial" w:cs="Arial"/>
                <w:color w:val="000000" w:themeColor="text1"/>
                <w:sz w:val="22"/>
                <w:szCs w:val="22"/>
              </w:rPr>
            </w:pPr>
          </w:p>
        </w:tc>
      </w:tr>
      <w:tr w:rsidR="00B51BF9" w:rsidRPr="003E7C59" w14:paraId="21AD3133" w14:textId="77777777" w:rsidTr="00654748">
        <w:tc>
          <w:tcPr>
            <w:tcW w:w="2501" w:type="pct"/>
          </w:tcPr>
          <w:p w14:paraId="4116F809"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Flowering dogwood (</w:t>
            </w:r>
            <w:r w:rsidRPr="003E7C59">
              <w:rPr>
                <w:rFonts w:ascii="Arial" w:hAnsi="Arial" w:cs="Arial"/>
                <w:i/>
                <w:iCs/>
                <w:color w:val="000000" w:themeColor="text1"/>
                <w:sz w:val="22"/>
                <w:szCs w:val="22"/>
              </w:rPr>
              <w:t xml:space="preserve">Cornus florida </w:t>
            </w:r>
            <w:r w:rsidRPr="003E7C59">
              <w:rPr>
                <w:rFonts w:ascii="Arial" w:hAnsi="Arial" w:cs="Arial"/>
                <w:color w:val="000000" w:themeColor="text1"/>
                <w:sz w:val="22"/>
                <w:szCs w:val="22"/>
              </w:rPr>
              <w:t>L.)</w:t>
            </w:r>
          </w:p>
        </w:tc>
        <w:tc>
          <w:tcPr>
            <w:tcW w:w="2499" w:type="pct"/>
          </w:tcPr>
          <w:p w14:paraId="293642CB"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CfMYB1 (OP382880), CfMYB2 (OP382881), CfMYB3 (OP382882)</w:t>
            </w:r>
          </w:p>
        </w:tc>
      </w:tr>
      <w:tr w:rsidR="00B51BF9" w:rsidRPr="003E7C59" w14:paraId="46B3CCD6" w14:textId="77777777" w:rsidTr="00654748">
        <w:tc>
          <w:tcPr>
            <w:tcW w:w="2501" w:type="pct"/>
          </w:tcPr>
          <w:p w14:paraId="0C454800" w14:textId="77777777" w:rsidR="00B51BF9" w:rsidRPr="003E7C59" w:rsidRDefault="00B51BF9" w:rsidP="006622F2">
            <w:pPr>
              <w:jc w:val="center"/>
              <w:rPr>
                <w:rFonts w:ascii="Arial" w:hAnsi="Arial" w:cs="Arial"/>
                <w:i/>
                <w:iCs/>
                <w:color w:val="000000" w:themeColor="text1"/>
                <w:sz w:val="22"/>
                <w:szCs w:val="22"/>
              </w:rPr>
            </w:pPr>
            <w:r w:rsidRPr="003E7C59">
              <w:rPr>
                <w:rFonts w:ascii="Arial" w:hAnsi="Arial" w:cs="Arial"/>
                <w:color w:val="000000" w:themeColor="text1"/>
                <w:sz w:val="22"/>
                <w:szCs w:val="22"/>
              </w:rPr>
              <w:t>Garden chrysanthemum (</w:t>
            </w:r>
            <w:r w:rsidRPr="003E7C59">
              <w:rPr>
                <w:rFonts w:ascii="Arial" w:hAnsi="Arial" w:cs="Arial"/>
                <w:i/>
                <w:iCs/>
                <w:color w:val="000000" w:themeColor="text1"/>
                <w:sz w:val="22"/>
                <w:szCs w:val="22"/>
              </w:rPr>
              <w:t>Chrysanthemum</w:t>
            </w:r>
          </w:p>
          <w:p w14:paraId="58E7CCA4" w14:textId="69556DD2" w:rsidR="00B51BF9" w:rsidRPr="003E7C59" w:rsidRDefault="00E7589A" w:rsidP="006622F2">
            <w:pPr>
              <w:jc w:val="center"/>
              <w:rPr>
                <w:rFonts w:ascii="Arial" w:hAnsi="Arial" w:cs="Arial"/>
                <w:color w:val="000000" w:themeColor="text1"/>
                <w:sz w:val="22"/>
                <w:szCs w:val="22"/>
              </w:rPr>
            </w:pPr>
            <w:proofErr w:type="gramStart"/>
            <w:r w:rsidRPr="003E7C59">
              <w:rPr>
                <w:rFonts w:ascii="Arial" w:hAnsi="Arial" w:cs="Arial"/>
                <w:i/>
                <w:iCs/>
                <w:color w:val="000000" w:themeColor="text1"/>
                <w:sz w:val="22"/>
                <w:szCs w:val="22"/>
              </w:rPr>
              <w:t>m</w:t>
            </w:r>
            <w:r w:rsidR="00B51BF9" w:rsidRPr="003E7C59">
              <w:rPr>
                <w:rFonts w:ascii="Arial" w:hAnsi="Arial" w:cs="Arial"/>
                <w:i/>
                <w:iCs/>
                <w:color w:val="000000" w:themeColor="text1"/>
                <w:sz w:val="22"/>
                <w:szCs w:val="22"/>
              </w:rPr>
              <w:t>orifolium</w:t>
            </w:r>
            <w:proofErr w:type="gramEnd"/>
            <w:r w:rsidR="00B51BF9"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w:t>
            </w:r>
            <w:r w:rsidR="00B51BF9" w:rsidRPr="003E7C59">
              <w:rPr>
                <w:rFonts w:ascii="Arial" w:hAnsi="Arial" w:cs="Arial"/>
                <w:color w:val="000000" w:themeColor="text1"/>
                <w:sz w:val="22"/>
                <w:szCs w:val="22"/>
              </w:rPr>
              <w:t>Ramat</w:t>
            </w:r>
            <w:r w:rsidRPr="003E7C59">
              <w:rPr>
                <w:rFonts w:ascii="Arial" w:hAnsi="Arial" w:cs="Arial"/>
                <w:color w:val="000000" w:themeColor="text1"/>
                <w:sz w:val="22"/>
                <w:szCs w:val="22"/>
              </w:rPr>
              <w:t>.) Hemst.</w:t>
            </w:r>
            <w:r w:rsidR="00B51BF9" w:rsidRPr="003E7C59">
              <w:rPr>
                <w:rFonts w:ascii="Arial" w:hAnsi="Arial" w:cs="Arial"/>
                <w:color w:val="000000" w:themeColor="text1"/>
                <w:sz w:val="22"/>
                <w:szCs w:val="22"/>
              </w:rPr>
              <w:t>)</w:t>
            </w:r>
          </w:p>
        </w:tc>
        <w:tc>
          <w:tcPr>
            <w:tcW w:w="2499" w:type="pct"/>
          </w:tcPr>
          <w:p w14:paraId="4FA28299"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CmMYB1 (AEO27497)</w:t>
            </w:r>
          </w:p>
          <w:p w14:paraId="28790B50" w14:textId="77777777" w:rsidR="00B51BF9" w:rsidRPr="003E7C59" w:rsidRDefault="00B51BF9" w:rsidP="006622F2">
            <w:pPr>
              <w:jc w:val="center"/>
              <w:rPr>
                <w:rFonts w:ascii="Arial" w:hAnsi="Arial" w:cs="Arial"/>
                <w:color w:val="000000" w:themeColor="text1"/>
                <w:sz w:val="22"/>
                <w:szCs w:val="22"/>
              </w:rPr>
            </w:pPr>
          </w:p>
        </w:tc>
      </w:tr>
      <w:tr w:rsidR="00B51BF9" w:rsidRPr="003E7C59" w14:paraId="6A9015A3" w14:textId="77777777" w:rsidTr="00654748">
        <w:trPr>
          <w:trHeight w:val="485"/>
        </w:trPr>
        <w:tc>
          <w:tcPr>
            <w:tcW w:w="2501" w:type="pct"/>
          </w:tcPr>
          <w:p w14:paraId="7AC6003C"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Gerbera (</w:t>
            </w:r>
            <w:r w:rsidRPr="003E7C59">
              <w:rPr>
                <w:rFonts w:ascii="Arial" w:hAnsi="Arial" w:cs="Arial"/>
                <w:i/>
                <w:iCs/>
                <w:color w:val="000000" w:themeColor="text1"/>
                <w:sz w:val="22"/>
                <w:szCs w:val="22"/>
              </w:rPr>
              <w:t xml:space="preserve">Gerbera hybrida </w:t>
            </w:r>
            <w:r w:rsidRPr="003E7C59">
              <w:rPr>
                <w:rFonts w:ascii="Arial" w:hAnsi="Arial" w:cs="Arial"/>
                <w:color w:val="000000" w:themeColor="text1"/>
                <w:sz w:val="22"/>
                <w:szCs w:val="22"/>
              </w:rPr>
              <w:t>L.)</w:t>
            </w:r>
          </w:p>
        </w:tc>
        <w:tc>
          <w:tcPr>
            <w:tcW w:w="2499" w:type="pct"/>
          </w:tcPr>
          <w:p w14:paraId="1903FD7A"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GMYB10 (CAD87010)</w:t>
            </w:r>
          </w:p>
          <w:p w14:paraId="491FF894" w14:textId="77777777" w:rsidR="00B51BF9" w:rsidRPr="003E7C59" w:rsidRDefault="00B51BF9" w:rsidP="006622F2">
            <w:pPr>
              <w:jc w:val="center"/>
              <w:rPr>
                <w:rFonts w:ascii="Arial" w:hAnsi="Arial" w:cs="Arial"/>
                <w:color w:val="000000" w:themeColor="text1"/>
                <w:sz w:val="22"/>
                <w:szCs w:val="22"/>
              </w:rPr>
            </w:pPr>
          </w:p>
        </w:tc>
      </w:tr>
      <w:tr w:rsidR="00B51BF9" w:rsidRPr="003E7C59" w14:paraId="153848F2" w14:textId="77777777" w:rsidTr="00654748">
        <w:tc>
          <w:tcPr>
            <w:tcW w:w="2501" w:type="pct"/>
          </w:tcPr>
          <w:p w14:paraId="349B002F"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Grapevine (</w:t>
            </w:r>
            <w:r w:rsidRPr="003E7C59">
              <w:rPr>
                <w:rFonts w:ascii="Arial" w:hAnsi="Arial" w:cs="Arial"/>
                <w:i/>
                <w:iCs/>
                <w:color w:val="000000" w:themeColor="text1"/>
                <w:sz w:val="22"/>
                <w:szCs w:val="22"/>
              </w:rPr>
              <w:t>Vitis</w:t>
            </w:r>
            <w:r w:rsidRPr="003E7C59">
              <w:rPr>
                <w:rFonts w:ascii="Arial" w:hAnsi="Arial" w:cs="Arial"/>
                <w:color w:val="000000" w:themeColor="text1"/>
                <w:sz w:val="22"/>
                <w:szCs w:val="22"/>
              </w:rPr>
              <w:t xml:space="preserve"> spp.)</w:t>
            </w:r>
          </w:p>
        </w:tc>
        <w:tc>
          <w:tcPr>
            <w:tcW w:w="2499" w:type="pct"/>
          </w:tcPr>
          <w:p w14:paraId="3962C91E"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VlMYBA1-1 (BAC07537), VlMYBA1-2 (BAC07539), VlMYBA1-3 (BAG55463), VlMYBA2 (BAC07540), VvMYBC2-L1</w:t>
            </w:r>
          </w:p>
          <w:p w14:paraId="1DCA46A9"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(AFX64995), VvMYBPA1 (CAJ90831), VvMYBPA2 (ACK56131), VvMYBA2 (BAD18978), VvMYBF1 (ACV81697), VvMYB5a (AAS68190), VvMYB5b (AAX51291), VvC2rm (NP_001268133)</w:t>
            </w:r>
          </w:p>
          <w:p w14:paraId="74059529" w14:textId="77777777" w:rsidR="00B51BF9" w:rsidRPr="003E7C59" w:rsidRDefault="00B51BF9" w:rsidP="006622F2">
            <w:pPr>
              <w:jc w:val="center"/>
              <w:rPr>
                <w:rFonts w:ascii="Arial" w:hAnsi="Arial" w:cs="Arial"/>
                <w:color w:val="000000" w:themeColor="text1"/>
                <w:sz w:val="22"/>
                <w:szCs w:val="22"/>
              </w:rPr>
            </w:pPr>
          </w:p>
        </w:tc>
      </w:tr>
      <w:tr w:rsidR="00B51BF9" w:rsidRPr="003E7C59" w14:paraId="3E45E055" w14:textId="77777777" w:rsidTr="00654748">
        <w:tc>
          <w:tcPr>
            <w:tcW w:w="2501" w:type="pct"/>
            <w:tcBorders>
              <w:bottom w:val="single" w:sz="4" w:space="0" w:color="auto"/>
            </w:tcBorders>
          </w:tcPr>
          <w:p w14:paraId="2B5339EA" w14:textId="0CDA4DFE" w:rsidR="002E4E3A"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Herba epimedii (</w:t>
            </w:r>
            <w:r w:rsidRPr="003E7C59">
              <w:rPr>
                <w:rFonts w:ascii="Arial" w:hAnsi="Arial" w:cs="Arial"/>
                <w:i/>
                <w:iCs/>
                <w:color w:val="000000" w:themeColor="text1"/>
                <w:sz w:val="22"/>
                <w:szCs w:val="22"/>
              </w:rPr>
              <w:t xml:space="preserve">Epimedium sagittatum </w:t>
            </w:r>
            <w:r w:rsidRPr="003E7C59">
              <w:rPr>
                <w:rFonts w:ascii="Arial" w:hAnsi="Arial" w:cs="Arial"/>
                <w:color w:val="000000" w:themeColor="text1"/>
                <w:sz w:val="22"/>
                <w:szCs w:val="22"/>
              </w:rPr>
              <w:t>Sieb. Et Zucc.)</w:t>
            </w:r>
          </w:p>
        </w:tc>
        <w:tc>
          <w:tcPr>
            <w:tcW w:w="2499" w:type="pct"/>
            <w:tcBorders>
              <w:bottom w:val="single" w:sz="4" w:space="0" w:color="auto"/>
            </w:tcBorders>
          </w:tcPr>
          <w:p w14:paraId="32E1A338"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EsMYBA1 (AGT39059)</w:t>
            </w:r>
          </w:p>
          <w:p w14:paraId="153F73B0" w14:textId="77777777" w:rsidR="00B51BF9" w:rsidRPr="003E7C59" w:rsidRDefault="00B51BF9" w:rsidP="006622F2">
            <w:pPr>
              <w:jc w:val="center"/>
              <w:rPr>
                <w:rFonts w:ascii="Arial" w:hAnsi="Arial" w:cs="Arial"/>
                <w:color w:val="000000" w:themeColor="text1"/>
                <w:sz w:val="22"/>
                <w:szCs w:val="22"/>
              </w:rPr>
            </w:pPr>
          </w:p>
        </w:tc>
      </w:tr>
    </w:tbl>
    <w:p w14:paraId="0A58FB1E" w14:textId="1B29505A" w:rsidR="003E7C59" w:rsidRPr="003E7C59" w:rsidRDefault="009862BE" w:rsidP="006622F2">
      <w:pPr>
        <w:spacing w:line="360" w:lineRule="auto"/>
        <w:rPr>
          <w:rFonts w:ascii="Arial" w:hAnsi="Arial" w:cs="Arial"/>
          <w:color w:val="000000" w:themeColor="text1"/>
          <w:sz w:val="22"/>
          <w:szCs w:val="22"/>
        </w:rPr>
      </w:pPr>
      <w:r w:rsidRPr="003E7C59">
        <w:rPr>
          <w:rFonts w:ascii="Arial" w:hAnsi="Arial" w:cs="Arial"/>
          <w:color w:val="000000" w:themeColor="text1"/>
          <w:sz w:val="22"/>
          <w:szCs w:val="22"/>
        </w:rPr>
        <w:t xml:space="preserve">Table 1.2. </w:t>
      </w:r>
      <w:proofErr w:type="gramStart"/>
      <w:r w:rsidRPr="003E7C59">
        <w:rPr>
          <w:rFonts w:ascii="Arial" w:hAnsi="Arial" w:cs="Arial"/>
          <w:color w:val="000000" w:themeColor="text1"/>
          <w:sz w:val="22"/>
          <w:szCs w:val="22"/>
        </w:rPr>
        <w:t>continued</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710"/>
      </w:tblGrid>
      <w:tr w:rsidR="009862BE" w:rsidRPr="003E7C59" w14:paraId="78F4B3C5" w14:textId="77777777" w:rsidTr="00654748">
        <w:tc>
          <w:tcPr>
            <w:tcW w:w="2484" w:type="pct"/>
            <w:tcBorders>
              <w:top w:val="single" w:sz="4" w:space="0" w:color="auto"/>
            </w:tcBorders>
          </w:tcPr>
          <w:p w14:paraId="081F1002" w14:textId="77777777" w:rsidR="009862BE" w:rsidRPr="003E7C59" w:rsidRDefault="009862BE" w:rsidP="006622F2">
            <w:pPr>
              <w:jc w:val="center"/>
              <w:rPr>
                <w:rFonts w:ascii="Arial" w:hAnsi="Arial" w:cs="Arial"/>
                <w:color w:val="000000" w:themeColor="text1"/>
                <w:sz w:val="22"/>
                <w:szCs w:val="22"/>
              </w:rPr>
            </w:pPr>
          </w:p>
          <w:p w14:paraId="2AB5DCB8"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Japanese gentian (</w:t>
            </w:r>
            <w:r w:rsidRPr="003E7C59">
              <w:rPr>
                <w:rFonts w:ascii="Arial" w:hAnsi="Arial" w:cs="Arial"/>
                <w:i/>
                <w:iCs/>
                <w:color w:val="000000" w:themeColor="text1"/>
                <w:sz w:val="22"/>
                <w:szCs w:val="22"/>
              </w:rPr>
              <w:t xml:space="preserve">Gentiana triflora </w:t>
            </w:r>
            <w:r w:rsidRPr="003E7C59">
              <w:rPr>
                <w:rFonts w:ascii="Arial" w:hAnsi="Arial" w:cs="Arial"/>
                <w:color w:val="000000" w:themeColor="text1"/>
                <w:sz w:val="22"/>
                <w:szCs w:val="22"/>
              </w:rPr>
              <w:t>Pall.)</w:t>
            </w:r>
          </w:p>
        </w:tc>
        <w:tc>
          <w:tcPr>
            <w:tcW w:w="2516" w:type="pct"/>
            <w:tcBorders>
              <w:top w:val="single" w:sz="4" w:space="0" w:color="auto"/>
            </w:tcBorders>
          </w:tcPr>
          <w:p w14:paraId="1DE136F8" w14:textId="77777777" w:rsidR="009862BE" w:rsidRPr="003E7C59" w:rsidRDefault="009862BE" w:rsidP="006622F2">
            <w:pPr>
              <w:jc w:val="center"/>
              <w:rPr>
                <w:rFonts w:ascii="Arial" w:hAnsi="Arial" w:cs="Arial"/>
                <w:color w:val="000000" w:themeColor="text1"/>
                <w:sz w:val="22"/>
                <w:szCs w:val="22"/>
              </w:rPr>
            </w:pPr>
          </w:p>
          <w:p w14:paraId="64067D71"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GtMYBP3 (BAM71801)</w:t>
            </w:r>
          </w:p>
          <w:p w14:paraId="68073E7A" w14:textId="77777777" w:rsidR="009862BE" w:rsidRPr="003E7C59" w:rsidRDefault="009862BE" w:rsidP="006622F2">
            <w:pPr>
              <w:jc w:val="center"/>
              <w:rPr>
                <w:rFonts w:ascii="Arial" w:hAnsi="Arial" w:cs="Arial"/>
                <w:color w:val="000000" w:themeColor="text1"/>
                <w:sz w:val="22"/>
                <w:szCs w:val="22"/>
              </w:rPr>
            </w:pPr>
          </w:p>
        </w:tc>
      </w:tr>
      <w:tr w:rsidR="009862BE" w:rsidRPr="003E7C59" w14:paraId="3302E742" w14:textId="77777777" w:rsidTr="00654748">
        <w:tc>
          <w:tcPr>
            <w:tcW w:w="2484" w:type="pct"/>
          </w:tcPr>
          <w:p w14:paraId="5EA18A85"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Japanese morning glory (</w:t>
            </w:r>
            <w:r w:rsidRPr="003E7C59">
              <w:rPr>
                <w:rFonts w:ascii="Arial" w:hAnsi="Arial" w:cs="Arial"/>
                <w:i/>
                <w:iCs/>
                <w:color w:val="000000" w:themeColor="text1"/>
                <w:sz w:val="22"/>
                <w:szCs w:val="22"/>
              </w:rPr>
              <w:t xml:space="preserve">Ipomoea nil </w:t>
            </w:r>
            <w:r w:rsidRPr="003E7C59">
              <w:rPr>
                <w:rFonts w:ascii="Arial" w:hAnsi="Arial" w:cs="Arial"/>
                <w:color w:val="000000" w:themeColor="text1"/>
                <w:sz w:val="22"/>
                <w:szCs w:val="22"/>
              </w:rPr>
              <w:t>Roth)</w:t>
            </w:r>
          </w:p>
        </w:tc>
        <w:tc>
          <w:tcPr>
            <w:tcW w:w="2516" w:type="pct"/>
          </w:tcPr>
          <w:p w14:paraId="764BF731"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InMYB1 (BAE94388)</w:t>
            </w:r>
          </w:p>
          <w:p w14:paraId="5B56FBB3" w14:textId="77777777" w:rsidR="009862BE" w:rsidRPr="003E7C59" w:rsidRDefault="009862BE" w:rsidP="006622F2">
            <w:pPr>
              <w:jc w:val="center"/>
              <w:rPr>
                <w:rFonts w:ascii="Arial" w:hAnsi="Arial" w:cs="Arial"/>
                <w:color w:val="000000" w:themeColor="text1"/>
                <w:sz w:val="22"/>
                <w:szCs w:val="22"/>
              </w:rPr>
            </w:pPr>
          </w:p>
        </w:tc>
      </w:tr>
      <w:tr w:rsidR="009862BE" w:rsidRPr="003E7C59" w14:paraId="16600108" w14:textId="77777777" w:rsidTr="00654748">
        <w:tc>
          <w:tcPr>
            <w:tcW w:w="2484" w:type="pct"/>
          </w:tcPr>
          <w:p w14:paraId="116E91AA"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Kale (</w:t>
            </w:r>
            <w:r w:rsidRPr="003E7C59">
              <w:rPr>
                <w:rFonts w:ascii="Arial" w:hAnsi="Arial" w:cs="Arial"/>
                <w:i/>
                <w:iCs/>
                <w:color w:val="000000" w:themeColor="text1"/>
                <w:sz w:val="22"/>
                <w:szCs w:val="22"/>
              </w:rPr>
              <w:t xml:space="preserve">Brassica oleracea </w:t>
            </w:r>
            <w:r w:rsidRPr="003E7C59">
              <w:rPr>
                <w:rFonts w:ascii="Arial" w:hAnsi="Arial" w:cs="Arial"/>
                <w:color w:val="000000" w:themeColor="text1"/>
                <w:sz w:val="22"/>
                <w:szCs w:val="22"/>
              </w:rPr>
              <w:t>L.)</w:t>
            </w:r>
          </w:p>
        </w:tc>
        <w:tc>
          <w:tcPr>
            <w:tcW w:w="2516" w:type="pct"/>
          </w:tcPr>
          <w:p w14:paraId="59D6F38F"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BoPAP1 (ADP76649)</w:t>
            </w:r>
          </w:p>
          <w:p w14:paraId="264A95C2" w14:textId="77777777" w:rsidR="009862BE" w:rsidRPr="003E7C59" w:rsidRDefault="009862BE" w:rsidP="006622F2">
            <w:pPr>
              <w:jc w:val="center"/>
              <w:rPr>
                <w:rFonts w:ascii="Arial" w:hAnsi="Arial" w:cs="Arial"/>
                <w:color w:val="000000" w:themeColor="text1"/>
                <w:sz w:val="22"/>
                <w:szCs w:val="22"/>
              </w:rPr>
            </w:pPr>
          </w:p>
        </w:tc>
      </w:tr>
      <w:tr w:rsidR="009862BE" w:rsidRPr="003E7C59" w14:paraId="35B3AC2F" w14:textId="77777777" w:rsidTr="00654748">
        <w:tc>
          <w:tcPr>
            <w:tcW w:w="2484" w:type="pct"/>
          </w:tcPr>
          <w:p w14:paraId="7C14434E"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Kiwifruit (</w:t>
            </w:r>
            <w:r w:rsidRPr="003E7C59">
              <w:rPr>
                <w:rFonts w:ascii="Arial" w:hAnsi="Arial" w:cs="Arial"/>
                <w:i/>
                <w:iCs/>
                <w:color w:val="000000" w:themeColor="text1"/>
                <w:sz w:val="22"/>
                <w:szCs w:val="22"/>
              </w:rPr>
              <w:t>Actinidia</w:t>
            </w:r>
            <w:r w:rsidRPr="003E7C59">
              <w:rPr>
                <w:rFonts w:ascii="Arial" w:hAnsi="Arial" w:cs="Arial"/>
                <w:color w:val="000000" w:themeColor="text1"/>
                <w:sz w:val="22"/>
                <w:szCs w:val="22"/>
              </w:rPr>
              <w:t xml:space="preserve"> spp.)</w:t>
            </w:r>
          </w:p>
        </w:tc>
        <w:tc>
          <w:tcPr>
            <w:tcW w:w="2516" w:type="pct"/>
          </w:tcPr>
          <w:p w14:paraId="3066F867"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DkMYB2 (BAI49719), DkMYB4 (BAI49721)</w:t>
            </w:r>
          </w:p>
          <w:p w14:paraId="79546500" w14:textId="77777777" w:rsidR="009862BE" w:rsidRPr="003E7C59" w:rsidRDefault="009862BE" w:rsidP="006622F2">
            <w:pPr>
              <w:jc w:val="center"/>
              <w:rPr>
                <w:rFonts w:ascii="Arial" w:hAnsi="Arial" w:cs="Arial"/>
                <w:color w:val="000000" w:themeColor="text1"/>
                <w:sz w:val="22"/>
                <w:szCs w:val="22"/>
              </w:rPr>
            </w:pPr>
          </w:p>
        </w:tc>
      </w:tr>
      <w:tr w:rsidR="009862BE" w:rsidRPr="003E7C59" w14:paraId="28BB886E" w14:textId="77777777" w:rsidTr="00654748">
        <w:tc>
          <w:tcPr>
            <w:tcW w:w="2484" w:type="pct"/>
          </w:tcPr>
          <w:p w14:paraId="48E1523A"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Legume (</w:t>
            </w:r>
            <w:r w:rsidRPr="003E7C59">
              <w:rPr>
                <w:rFonts w:ascii="Arial" w:hAnsi="Arial" w:cs="Arial"/>
                <w:i/>
                <w:iCs/>
                <w:color w:val="000000" w:themeColor="text1"/>
                <w:sz w:val="22"/>
                <w:szCs w:val="22"/>
              </w:rPr>
              <w:t xml:space="preserve">Medicago truncatula </w:t>
            </w:r>
            <w:r w:rsidRPr="003E7C59">
              <w:rPr>
                <w:rFonts w:ascii="Arial" w:hAnsi="Arial" w:cs="Arial"/>
                <w:color w:val="000000" w:themeColor="text1"/>
                <w:sz w:val="22"/>
                <w:szCs w:val="22"/>
              </w:rPr>
              <w:t>Gaertin.)</w:t>
            </w:r>
          </w:p>
        </w:tc>
        <w:tc>
          <w:tcPr>
            <w:tcW w:w="2516" w:type="pct"/>
          </w:tcPr>
          <w:p w14:paraId="071C5C08"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LAP1 (ACN79541)</w:t>
            </w:r>
          </w:p>
          <w:p w14:paraId="66035407" w14:textId="77777777" w:rsidR="009862BE" w:rsidRPr="003E7C59" w:rsidRDefault="009862BE" w:rsidP="006622F2">
            <w:pPr>
              <w:jc w:val="center"/>
              <w:rPr>
                <w:rFonts w:ascii="Arial" w:hAnsi="Arial" w:cs="Arial"/>
                <w:color w:val="000000" w:themeColor="text1"/>
                <w:sz w:val="22"/>
                <w:szCs w:val="22"/>
              </w:rPr>
            </w:pPr>
          </w:p>
        </w:tc>
      </w:tr>
      <w:tr w:rsidR="009862BE" w:rsidRPr="003E7C59" w14:paraId="4DC83737" w14:textId="77777777" w:rsidTr="00654748">
        <w:tc>
          <w:tcPr>
            <w:tcW w:w="2484" w:type="pct"/>
          </w:tcPr>
          <w:p w14:paraId="3D6DAF6A"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Leucaena (</w:t>
            </w:r>
            <w:r w:rsidRPr="003E7C59">
              <w:rPr>
                <w:rFonts w:ascii="Arial" w:hAnsi="Arial" w:cs="Arial"/>
                <w:i/>
                <w:iCs/>
                <w:color w:val="000000" w:themeColor="text1"/>
                <w:sz w:val="22"/>
                <w:szCs w:val="22"/>
              </w:rPr>
              <w:t xml:space="preserve">Leucaena luciocephalia </w:t>
            </w:r>
            <w:r w:rsidRPr="003E7C59">
              <w:rPr>
                <w:rFonts w:ascii="Arial" w:hAnsi="Arial" w:cs="Arial"/>
                <w:color w:val="000000" w:themeColor="text1"/>
                <w:sz w:val="22"/>
                <w:szCs w:val="22"/>
              </w:rPr>
              <w:t>(Lam.) de Wit)</w:t>
            </w:r>
          </w:p>
          <w:p w14:paraId="33EF4BFA"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p>
        </w:tc>
        <w:tc>
          <w:tcPr>
            <w:tcW w:w="2516" w:type="pct"/>
          </w:tcPr>
          <w:p w14:paraId="7E4280D2"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LlMYB1 (ADY38393)</w:t>
            </w:r>
          </w:p>
          <w:p w14:paraId="5854F1AC"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p>
        </w:tc>
      </w:tr>
      <w:tr w:rsidR="009862BE" w:rsidRPr="003E7C59" w14:paraId="31CCC12B" w14:textId="77777777" w:rsidTr="00654748">
        <w:tc>
          <w:tcPr>
            <w:tcW w:w="2484" w:type="pct"/>
          </w:tcPr>
          <w:p w14:paraId="14FB09C2"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Lily (</w:t>
            </w:r>
            <w:r w:rsidRPr="003E7C59">
              <w:rPr>
                <w:rFonts w:ascii="Arial" w:hAnsi="Arial" w:cs="Arial"/>
                <w:i/>
                <w:iCs/>
                <w:color w:val="000000" w:themeColor="text1"/>
                <w:sz w:val="22"/>
                <w:szCs w:val="22"/>
              </w:rPr>
              <w:t>Lilium</w:t>
            </w:r>
            <w:r w:rsidRPr="003E7C59">
              <w:rPr>
                <w:rFonts w:ascii="Arial" w:hAnsi="Arial" w:cs="Arial"/>
                <w:color w:val="000000" w:themeColor="text1"/>
                <w:sz w:val="22"/>
                <w:szCs w:val="22"/>
              </w:rPr>
              <w:t xml:space="preserve"> spp.)</w:t>
            </w:r>
          </w:p>
        </w:tc>
        <w:tc>
          <w:tcPr>
            <w:tcW w:w="2516" w:type="pct"/>
          </w:tcPr>
          <w:p w14:paraId="7DB2039B"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LhMYB6 (BAJ05399), LhMYB12 (BAJ05398), LhMYB12-Lat (BAO04194)</w:t>
            </w:r>
          </w:p>
          <w:p w14:paraId="314150FD"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p>
        </w:tc>
      </w:tr>
      <w:tr w:rsidR="009862BE" w:rsidRPr="003E7C59" w14:paraId="1DEECAF0" w14:textId="77777777" w:rsidTr="00654748">
        <w:tc>
          <w:tcPr>
            <w:tcW w:w="2484" w:type="pct"/>
          </w:tcPr>
          <w:p w14:paraId="171B5E7F"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Lotus (</w:t>
            </w:r>
            <w:r w:rsidRPr="003E7C59">
              <w:rPr>
                <w:rFonts w:ascii="Arial" w:hAnsi="Arial" w:cs="Arial"/>
                <w:i/>
                <w:iCs/>
                <w:color w:val="000000" w:themeColor="text1"/>
                <w:sz w:val="22"/>
                <w:szCs w:val="22"/>
              </w:rPr>
              <w:t xml:space="preserve">Lotus japonicus </w:t>
            </w:r>
            <w:r w:rsidRPr="003E7C59">
              <w:rPr>
                <w:rFonts w:ascii="Arial" w:hAnsi="Arial" w:cs="Arial"/>
                <w:color w:val="000000" w:themeColor="text1"/>
                <w:sz w:val="22"/>
                <w:szCs w:val="22"/>
              </w:rPr>
              <w:t>L.)</w:t>
            </w:r>
          </w:p>
        </w:tc>
        <w:tc>
          <w:tcPr>
            <w:tcW w:w="2516" w:type="pct"/>
          </w:tcPr>
          <w:p w14:paraId="1004F9BE"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LjTT2a (BAG12893), LjTT2b (BAG12894), LjTT2c (BAG12895)</w:t>
            </w:r>
          </w:p>
          <w:p w14:paraId="29EDAC11"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p>
        </w:tc>
      </w:tr>
      <w:tr w:rsidR="009862BE" w:rsidRPr="003E7C59" w14:paraId="77740D69" w14:textId="77777777" w:rsidTr="00654748">
        <w:tc>
          <w:tcPr>
            <w:tcW w:w="2484" w:type="pct"/>
          </w:tcPr>
          <w:p w14:paraId="6CEC2CF4"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Maize (</w:t>
            </w:r>
            <w:r w:rsidRPr="003E7C59">
              <w:rPr>
                <w:rFonts w:ascii="Arial" w:hAnsi="Arial" w:cs="Arial"/>
                <w:i/>
                <w:iCs/>
                <w:color w:val="000000" w:themeColor="text1"/>
                <w:sz w:val="22"/>
                <w:szCs w:val="22"/>
              </w:rPr>
              <w:t xml:space="preserve">Zea mays </w:t>
            </w:r>
            <w:r w:rsidRPr="003E7C59">
              <w:rPr>
                <w:rFonts w:ascii="Arial" w:hAnsi="Arial" w:cs="Arial"/>
                <w:color w:val="000000" w:themeColor="text1"/>
                <w:sz w:val="22"/>
                <w:szCs w:val="22"/>
              </w:rPr>
              <w:t>L.)</w:t>
            </w:r>
          </w:p>
        </w:tc>
        <w:tc>
          <w:tcPr>
            <w:tcW w:w="2516" w:type="pct"/>
          </w:tcPr>
          <w:p w14:paraId="3B858FB1"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PL (AAA19820), PL-BH (AAA33492), P1 (ABM21535), ZmMYB31</w:t>
            </w:r>
          </w:p>
          <w:p w14:paraId="0DE6474E"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(NP_001105949), ZmMYB42 (ADX60106), ZmMYB-IF35 (AAO48737)</w:t>
            </w:r>
          </w:p>
          <w:p w14:paraId="564A322F"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p>
        </w:tc>
      </w:tr>
      <w:tr w:rsidR="009862BE" w:rsidRPr="003E7C59" w14:paraId="1A6901EB" w14:textId="77777777" w:rsidTr="00654748">
        <w:tc>
          <w:tcPr>
            <w:tcW w:w="2484" w:type="pct"/>
          </w:tcPr>
          <w:p w14:paraId="3A337B44"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Mangosteen (</w:t>
            </w:r>
            <w:r w:rsidRPr="003E7C59">
              <w:rPr>
                <w:rFonts w:ascii="Arial" w:hAnsi="Arial" w:cs="Arial"/>
                <w:i/>
                <w:iCs/>
                <w:color w:val="000000" w:themeColor="text1"/>
                <w:sz w:val="22"/>
                <w:szCs w:val="22"/>
              </w:rPr>
              <w:t xml:space="preserve">Garcinia mangostana </w:t>
            </w:r>
            <w:r w:rsidRPr="003E7C59">
              <w:rPr>
                <w:rFonts w:ascii="Arial" w:hAnsi="Arial" w:cs="Arial"/>
                <w:color w:val="000000" w:themeColor="text1"/>
                <w:sz w:val="22"/>
                <w:szCs w:val="22"/>
              </w:rPr>
              <w:t>L.)</w:t>
            </w:r>
          </w:p>
          <w:p w14:paraId="640CBEEF" w14:textId="77777777" w:rsidR="009862BE" w:rsidRPr="003E7C59" w:rsidRDefault="009862BE" w:rsidP="006622F2">
            <w:pPr>
              <w:jc w:val="center"/>
              <w:rPr>
                <w:rFonts w:ascii="Arial" w:hAnsi="Arial" w:cs="Arial"/>
                <w:color w:val="000000" w:themeColor="text1"/>
                <w:sz w:val="22"/>
                <w:szCs w:val="22"/>
              </w:rPr>
            </w:pPr>
          </w:p>
        </w:tc>
        <w:tc>
          <w:tcPr>
            <w:tcW w:w="2516" w:type="pct"/>
          </w:tcPr>
          <w:p w14:paraId="5805D1DB"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GmMYB10 (ACM62751)</w:t>
            </w:r>
          </w:p>
          <w:p w14:paraId="7250A223" w14:textId="77777777" w:rsidR="009862BE" w:rsidRPr="003E7C59" w:rsidRDefault="009862BE" w:rsidP="006622F2">
            <w:pPr>
              <w:jc w:val="center"/>
              <w:rPr>
                <w:rFonts w:ascii="Arial" w:hAnsi="Arial" w:cs="Arial"/>
                <w:color w:val="000000" w:themeColor="text1"/>
                <w:sz w:val="22"/>
                <w:szCs w:val="22"/>
              </w:rPr>
            </w:pPr>
          </w:p>
        </w:tc>
      </w:tr>
      <w:tr w:rsidR="009862BE" w:rsidRPr="003E7C59" w14:paraId="2125ED46" w14:textId="77777777" w:rsidTr="00654748">
        <w:tc>
          <w:tcPr>
            <w:tcW w:w="2484" w:type="pct"/>
          </w:tcPr>
          <w:p w14:paraId="497B48BF"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Nectarine (</w:t>
            </w:r>
            <w:r w:rsidRPr="003E7C59">
              <w:rPr>
                <w:rFonts w:ascii="Arial" w:hAnsi="Arial" w:cs="Arial"/>
                <w:i/>
                <w:iCs/>
                <w:color w:val="000000" w:themeColor="text1"/>
                <w:sz w:val="22"/>
                <w:szCs w:val="22"/>
              </w:rPr>
              <w:t>Prunus persica</w:t>
            </w:r>
            <w:r w:rsidRPr="003E7C59">
              <w:rPr>
                <w:rFonts w:ascii="Arial" w:hAnsi="Arial" w:cs="Arial"/>
                <w:color w:val="000000" w:themeColor="text1"/>
                <w:sz w:val="22"/>
                <w:szCs w:val="22"/>
              </w:rPr>
              <w:t xml:space="preserve"> (L.) Batsch) </w:t>
            </w:r>
          </w:p>
        </w:tc>
        <w:tc>
          <w:tcPr>
            <w:tcW w:w="2516" w:type="pct"/>
          </w:tcPr>
          <w:p w14:paraId="19A29FF4"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PpMYB10 (ABX79945)</w:t>
            </w:r>
          </w:p>
          <w:p w14:paraId="0EDF21F2" w14:textId="77777777" w:rsidR="009862BE" w:rsidRPr="003E7C59" w:rsidRDefault="009862BE" w:rsidP="006622F2">
            <w:pPr>
              <w:jc w:val="center"/>
              <w:rPr>
                <w:rFonts w:ascii="Arial" w:hAnsi="Arial" w:cs="Arial"/>
                <w:color w:val="000000" w:themeColor="text1"/>
                <w:sz w:val="22"/>
                <w:szCs w:val="22"/>
              </w:rPr>
            </w:pPr>
          </w:p>
        </w:tc>
      </w:tr>
      <w:tr w:rsidR="009862BE" w:rsidRPr="003E7C59" w14:paraId="0EFDD179" w14:textId="77777777" w:rsidTr="00654748">
        <w:tc>
          <w:tcPr>
            <w:tcW w:w="2484" w:type="pct"/>
          </w:tcPr>
          <w:p w14:paraId="470C5E49"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Orange (</w:t>
            </w:r>
            <w:r w:rsidRPr="003E7C59">
              <w:rPr>
                <w:rFonts w:ascii="Arial" w:hAnsi="Arial" w:cs="Arial"/>
                <w:i/>
                <w:iCs/>
                <w:color w:val="000000" w:themeColor="text1"/>
                <w:sz w:val="22"/>
                <w:szCs w:val="22"/>
              </w:rPr>
              <w:t xml:space="preserve">Citrus sinensis </w:t>
            </w:r>
            <w:r w:rsidRPr="003E7C59">
              <w:rPr>
                <w:rFonts w:ascii="Arial" w:hAnsi="Arial" w:cs="Arial"/>
                <w:color w:val="000000" w:themeColor="text1"/>
                <w:sz w:val="22"/>
                <w:szCs w:val="22"/>
              </w:rPr>
              <w:t>L.)</w:t>
            </w:r>
          </w:p>
          <w:p w14:paraId="4089F7C7" w14:textId="77777777" w:rsidR="009862BE" w:rsidRPr="003E7C59" w:rsidRDefault="009862BE" w:rsidP="006622F2">
            <w:pPr>
              <w:jc w:val="center"/>
              <w:rPr>
                <w:rFonts w:ascii="Arial" w:hAnsi="Arial" w:cs="Arial"/>
                <w:color w:val="000000" w:themeColor="text1"/>
                <w:sz w:val="22"/>
                <w:szCs w:val="22"/>
              </w:rPr>
            </w:pPr>
          </w:p>
        </w:tc>
        <w:tc>
          <w:tcPr>
            <w:tcW w:w="2516" w:type="pct"/>
          </w:tcPr>
          <w:p w14:paraId="07F35E4B"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CsRUBY (AFB73913)</w:t>
            </w:r>
          </w:p>
          <w:p w14:paraId="1E752449" w14:textId="77777777" w:rsidR="009862BE" w:rsidRPr="003E7C59" w:rsidRDefault="009862BE" w:rsidP="006622F2">
            <w:pPr>
              <w:jc w:val="center"/>
              <w:rPr>
                <w:rFonts w:ascii="Arial" w:hAnsi="Arial" w:cs="Arial"/>
                <w:color w:val="000000" w:themeColor="text1"/>
                <w:sz w:val="22"/>
                <w:szCs w:val="22"/>
              </w:rPr>
            </w:pPr>
          </w:p>
        </w:tc>
      </w:tr>
      <w:tr w:rsidR="009862BE" w:rsidRPr="003E7C59" w14:paraId="07816C46" w14:textId="77777777" w:rsidTr="00654748">
        <w:tc>
          <w:tcPr>
            <w:tcW w:w="2484" w:type="pct"/>
          </w:tcPr>
          <w:p w14:paraId="3A59D757"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Orchid (</w:t>
            </w:r>
            <w:r w:rsidRPr="003E7C59">
              <w:rPr>
                <w:rFonts w:ascii="Arial" w:hAnsi="Arial" w:cs="Arial"/>
                <w:i/>
                <w:iCs/>
                <w:color w:val="000000" w:themeColor="text1"/>
                <w:sz w:val="22"/>
                <w:szCs w:val="22"/>
              </w:rPr>
              <w:t xml:space="preserve">Oncidium </w:t>
            </w:r>
            <w:r w:rsidRPr="003E7C59">
              <w:rPr>
                <w:rFonts w:ascii="Arial" w:hAnsi="Arial" w:cs="Arial"/>
                <w:color w:val="000000" w:themeColor="text1"/>
                <w:sz w:val="22"/>
                <w:szCs w:val="22"/>
              </w:rPr>
              <w:t>spp.)</w:t>
            </w:r>
          </w:p>
          <w:p w14:paraId="23A6E9EB" w14:textId="77777777" w:rsidR="009862BE" w:rsidRPr="003E7C59" w:rsidRDefault="009862BE" w:rsidP="006622F2">
            <w:pPr>
              <w:jc w:val="center"/>
              <w:rPr>
                <w:rFonts w:ascii="Arial" w:hAnsi="Arial" w:cs="Arial"/>
                <w:color w:val="000000" w:themeColor="text1"/>
                <w:sz w:val="22"/>
                <w:szCs w:val="22"/>
              </w:rPr>
            </w:pPr>
          </w:p>
        </w:tc>
        <w:tc>
          <w:tcPr>
            <w:tcW w:w="2516" w:type="pct"/>
          </w:tcPr>
          <w:p w14:paraId="55689085"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OgMYB1 (ABS58501)</w:t>
            </w:r>
          </w:p>
          <w:p w14:paraId="277D2857" w14:textId="77777777" w:rsidR="009862BE" w:rsidRPr="003E7C59" w:rsidRDefault="009862BE" w:rsidP="006622F2">
            <w:pPr>
              <w:jc w:val="center"/>
              <w:rPr>
                <w:rFonts w:ascii="Arial" w:hAnsi="Arial" w:cs="Arial"/>
                <w:color w:val="000000" w:themeColor="text1"/>
                <w:sz w:val="22"/>
                <w:szCs w:val="22"/>
              </w:rPr>
            </w:pPr>
          </w:p>
        </w:tc>
      </w:tr>
      <w:tr w:rsidR="009862BE" w:rsidRPr="003E7C59" w14:paraId="736125D3" w14:textId="77777777" w:rsidTr="00654748">
        <w:tc>
          <w:tcPr>
            <w:tcW w:w="2484" w:type="pct"/>
          </w:tcPr>
          <w:p w14:paraId="0B2364AB" w14:textId="77777777" w:rsidR="009862BE" w:rsidRPr="003E7C59" w:rsidRDefault="009862BE" w:rsidP="006622F2">
            <w:pPr>
              <w:tabs>
                <w:tab w:val="left" w:pos="3483"/>
              </w:tabs>
              <w:jc w:val="center"/>
              <w:rPr>
                <w:rFonts w:ascii="Arial" w:hAnsi="Arial" w:cs="Arial"/>
                <w:color w:val="000000" w:themeColor="text1"/>
                <w:sz w:val="22"/>
                <w:szCs w:val="22"/>
              </w:rPr>
            </w:pPr>
            <w:r w:rsidRPr="003E7C59">
              <w:rPr>
                <w:rFonts w:ascii="Arial" w:hAnsi="Arial" w:cs="Arial"/>
                <w:color w:val="000000" w:themeColor="text1"/>
                <w:sz w:val="22"/>
                <w:szCs w:val="22"/>
              </w:rPr>
              <w:t>Pear (</w:t>
            </w:r>
            <w:r w:rsidRPr="003E7C59">
              <w:rPr>
                <w:rFonts w:ascii="Arial" w:hAnsi="Arial" w:cs="Arial"/>
                <w:i/>
                <w:iCs/>
                <w:color w:val="000000" w:themeColor="text1"/>
                <w:sz w:val="22"/>
                <w:szCs w:val="22"/>
              </w:rPr>
              <w:t>Pyrus</w:t>
            </w:r>
            <w:r w:rsidRPr="003E7C59">
              <w:rPr>
                <w:rFonts w:ascii="Arial" w:hAnsi="Arial" w:cs="Arial"/>
                <w:color w:val="000000" w:themeColor="text1"/>
                <w:sz w:val="22"/>
                <w:szCs w:val="22"/>
              </w:rPr>
              <w:t xml:space="preserve"> spp.)</w:t>
            </w:r>
          </w:p>
        </w:tc>
        <w:tc>
          <w:tcPr>
            <w:tcW w:w="2516" w:type="pct"/>
          </w:tcPr>
          <w:p w14:paraId="67D9A02D" w14:textId="77777777" w:rsidR="009862BE" w:rsidRPr="003E7C59" w:rsidRDefault="009862BE"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PcMYB10 (ABX71487)</w:t>
            </w:r>
          </w:p>
          <w:p w14:paraId="22E2D70F" w14:textId="77777777" w:rsidR="009862BE" w:rsidRPr="003E7C59" w:rsidRDefault="009862BE" w:rsidP="006622F2">
            <w:pPr>
              <w:jc w:val="center"/>
              <w:rPr>
                <w:rFonts w:ascii="Arial" w:hAnsi="Arial" w:cs="Arial"/>
                <w:color w:val="000000" w:themeColor="text1"/>
                <w:sz w:val="22"/>
                <w:szCs w:val="22"/>
              </w:rPr>
            </w:pPr>
          </w:p>
        </w:tc>
      </w:tr>
      <w:tr w:rsidR="009862BE" w:rsidRPr="003E7C59" w14:paraId="7C00B0A8" w14:textId="77777777" w:rsidTr="00654748">
        <w:tc>
          <w:tcPr>
            <w:tcW w:w="2484" w:type="pct"/>
          </w:tcPr>
          <w:p w14:paraId="70F50583"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Petunia (</w:t>
            </w:r>
            <w:r w:rsidRPr="003E7C59">
              <w:rPr>
                <w:rFonts w:ascii="Arial" w:hAnsi="Arial" w:cs="Arial"/>
                <w:i/>
                <w:iCs/>
                <w:color w:val="000000" w:themeColor="text1"/>
                <w:sz w:val="22"/>
                <w:szCs w:val="22"/>
              </w:rPr>
              <w:t xml:space="preserve">Petunia hybrida </w:t>
            </w:r>
            <w:r w:rsidRPr="003E7C59">
              <w:rPr>
                <w:rFonts w:ascii="Arial" w:hAnsi="Arial" w:cs="Arial"/>
                <w:color w:val="000000" w:themeColor="text1"/>
                <w:sz w:val="22"/>
                <w:szCs w:val="22"/>
                <w:shd w:val="clear" w:color="auto" w:fill="F8F9FA"/>
              </w:rPr>
              <w:t>D. Don ex W. H. Baxter</w:t>
            </w:r>
            <w:r w:rsidRPr="003E7C59">
              <w:rPr>
                <w:rFonts w:ascii="Arial" w:hAnsi="Arial" w:cs="Arial"/>
                <w:color w:val="000000" w:themeColor="text1"/>
                <w:sz w:val="22"/>
                <w:szCs w:val="22"/>
              </w:rPr>
              <w:t>)</w:t>
            </w:r>
          </w:p>
        </w:tc>
        <w:tc>
          <w:tcPr>
            <w:tcW w:w="2516" w:type="pct"/>
          </w:tcPr>
          <w:p w14:paraId="02E16828"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AN2 (AAF66727), DPL (ADW94950), PHZ (ADW94951), PhMYB27 (AHX24372)</w:t>
            </w:r>
          </w:p>
          <w:p w14:paraId="1C6579DC" w14:textId="77777777" w:rsidR="009862BE" w:rsidRPr="003E7C59" w:rsidRDefault="009862BE" w:rsidP="006622F2">
            <w:pPr>
              <w:jc w:val="center"/>
              <w:rPr>
                <w:rFonts w:ascii="Arial" w:hAnsi="Arial" w:cs="Arial"/>
                <w:color w:val="000000" w:themeColor="text1"/>
                <w:sz w:val="22"/>
                <w:szCs w:val="22"/>
              </w:rPr>
            </w:pPr>
          </w:p>
        </w:tc>
      </w:tr>
      <w:tr w:rsidR="009862BE" w:rsidRPr="003E7C59" w14:paraId="5C87DD13" w14:textId="77777777" w:rsidTr="00654748">
        <w:tc>
          <w:tcPr>
            <w:tcW w:w="2484" w:type="pct"/>
          </w:tcPr>
          <w:p w14:paraId="418615AB"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Pine (</w:t>
            </w:r>
            <w:r w:rsidRPr="003E7C59">
              <w:rPr>
                <w:rFonts w:ascii="Arial" w:hAnsi="Arial" w:cs="Arial"/>
                <w:i/>
                <w:iCs/>
                <w:color w:val="000000" w:themeColor="text1"/>
                <w:sz w:val="22"/>
                <w:szCs w:val="22"/>
              </w:rPr>
              <w:t xml:space="preserve">Pinus taeda </w:t>
            </w:r>
            <w:r w:rsidRPr="003E7C59">
              <w:rPr>
                <w:rFonts w:ascii="Arial" w:hAnsi="Arial" w:cs="Arial"/>
                <w:color w:val="000000" w:themeColor="text1"/>
                <w:sz w:val="22"/>
                <w:szCs w:val="22"/>
                <w:u w:val="single"/>
              </w:rPr>
              <w:t>L</w:t>
            </w:r>
            <w:r w:rsidRPr="003E7C59">
              <w:rPr>
                <w:rFonts w:ascii="Arial" w:hAnsi="Arial" w:cs="Arial"/>
                <w:i/>
                <w:iCs/>
                <w:color w:val="000000" w:themeColor="text1"/>
                <w:sz w:val="22"/>
                <w:szCs w:val="22"/>
                <w:u w:val="single"/>
              </w:rPr>
              <w:t>.</w:t>
            </w:r>
            <w:r w:rsidRPr="003E7C59">
              <w:rPr>
                <w:rFonts w:ascii="Arial" w:hAnsi="Arial" w:cs="Arial"/>
                <w:color w:val="000000" w:themeColor="text1"/>
                <w:sz w:val="22"/>
                <w:szCs w:val="22"/>
              </w:rPr>
              <w:t>)</w:t>
            </w:r>
          </w:p>
        </w:tc>
        <w:tc>
          <w:tcPr>
            <w:tcW w:w="2516" w:type="pct"/>
          </w:tcPr>
          <w:p w14:paraId="4FFA05AE"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PtMYB1 (AAQ62541), PtMYB4 (AAQ62540)</w:t>
            </w:r>
          </w:p>
          <w:p w14:paraId="45B8C5C4"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p>
        </w:tc>
      </w:tr>
      <w:tr w:rsidR="009862BE" w:rsidRPr="003E7C59" w14:paraId="2FF05E68" w14:textId="77777777" w:rsidTr="00654748">
        <w:tc>
          <w:tcPr>
            <w:tcW w:w="2484" w:type="pct"/>
            <w:tcBorders>
              <w:bottom w:val="single" w:sz="4" w:space="0" w:color="auto"/>
            </w:tcBorders>
          </w:tcPr>
          <w:p w14:paraId="6338F8D1"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Poplar (</w:t>
            </w:r>
            <w:r w:rsidRPr="003E7C59">
              <w:rPr>
                <w:rFonts w:ascii="Arial" w:hAnsi="Arial" w:cs="Arial"/>
                <w:i/>
                <w:iCs/>
                <w:color w:val="000000" w:themeColor="text1"/>
                <w:sz w:val="22"/>
                <w:szCs w:val="22"/>
              </w:rPr>
              <w:t xml:space="preserve">Populus tremula </w:t>
            </w:r>
            <w:r w:rsidRPr="003E7C59">
              <w:rPr>
                <w:rFonts w:ascii="Arial" w:hAnsi="Arial" w:cs="Arial"/>
                <w:color w:val="000000" w:themeColor="text1"/>
                <w:sz w:val="22"/>
                <w:szCs w:val="22"/>
              </w:rPr>
              <w:t>L.)</w:t>
            </w:r>
          </w:p>
        </w:tc>
        <w:tc>
          <w:tcPr>
            <w:tcW w:w="2516" w:type="pct"/>
            <w:tcBorders>
              <w:bottom w:val="single" w:sz="4" w:space="0" w:color="auto"/>
            </w:tcBorders>
          </w:tcPr>
          <w:p w14:paraId="1BAE5EBE" w14:textId="77777777" w:rsidR="009862BE" w:rsidRPr="003E7C59" w:rsidRDefault="009862BE"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PtrMYB3 (AGT02395), PttMYB21a (CAD98761), PtMYB134</w:t>
            </w:r>
          </w:p>
          <w:p w14:paraId="0B755952" w14:textId="77777777" w:rsidR="009862BE" w:rsidRPr="003E7C59" w:rsidRDefault="009862BE" w:rsidP="006622F2">
            <w:pPr>
              <w:jc w:val="center"/>
              <w:rPr>
                <w:rFonts w:ascii="Arial" w:hAnsi="Arial" w:cs="Arial"/>
                <w:color w:val="000000" w:themeColor="text1"/>
                <w:sz w:val="22"/>
                <w:szCs w:val="22"/>
              </w:rPr>
            </w:pPr>
          </w:p>
        </w:tc>
      </w:tr>
    </w:tbl>
    <w:p w14:paraId="3D51D9D8" w14:textId="12775370" w:rsidR="009862BE" w:rsidRDefault="009862BE" w:rsidP="006622F2">
      <w:pPr>
        <w:spacing w:line="360" w:lineRule="auto"/>
        <w:rPr>
          <w:rFonts w:ascii="Arial" w:hAnsi="Arial" w:cs="Arial"/>
          <w:color w:val="000000" w:themeColor="text1"/>
          <w:sz w:val="22"/>
          <w:szCs w:val="22"/>
        </w:rPr>
      </w:pPr>
    </w:p>
    <w:p w14:paraId="06C8A1F8" w14:textId="77777777" w:rsidR="000D32B1" w:rsidRPr="003E7C59" w:rsidRDefault="000D32B1" w:rsidP="006622F2">
      <w:pPr>
        <w:spacing w:line="360" w:lineRule="auto"/>
        <w:rPr>
          <w:rFonts w:ascii="Arial" w:hAnsi="Arial" w:cs="Arial"/>
          <w:color w:val="000000" w:themeColor="text1"/>
          <w:sz w:val="22"/>
          <w:szCs w:val="22"/>
        </w:rPr>
      </w:pPr>
    </w:p>
    <w:p w14:paraId="5A30E9EA" w14:textId="260F9B88" w:rsidR="0041660C" w:rsidRDefault="0041660C" w:rsidP="006622F2">
      <w:pPr>
        <w:spacing w:line="360" w:lineRule="auto"/>
        <w:rPr>
          <w:rFonts w:ascii="Arial" w:hAnsi="Arial" w:cs="Arial"/>
          <w:color w:val="000000" w:themeColor="text1"/>
          <w:sz w:val="22"/>
          <w:szCs w:val="22"/>
        </w:rPr>
      </w:pPr>
    </w:p>
    <w:p w14:paraId="3FCE7D35" w14:textId="02D6CC5A" w:rsidR="00654748" w:rsidRDefault="00654748" w:rsidP="006622F2">
      <w:pPr>
        <w:spacing w:line="360" w:lineRule="auto"/>
        <w:rPr>
          <w:rFonts w:ascii="Arial" w:hAnsi="Arial" w:cs="Arial"/>
          <w:color w:val="000000" w:themeColor="text1"/>
          <w:sz w:val="22"/>
          <w:szCs w:val="22"/>
        </w:rPr>
      </w:pPr>
    </w:p>
    <w:p w14:paraId="056A5684" w14:textId="77777777" w:rsidR="00654748" w:rsidRDefault="00654748" w:rsidP="006622F2">
      <w:pPr>
        <w:spacing w:line="360" w:lineRule="auto"/>
        <w:rPr>
          <w:rFonts w:ascii="Arial" w:hAnsi="Arial" w:cs="Arial"/>
          <w:color w:val="000000" w:themeColor="text1"/>
          <w:sz w:val="22"/>
          <w:szCs w:val="22"/>
        </w:rPr>
      </w:pPr>
    </w:p>
    <w:p w14:paraId="5571AC85" w14:textId="218A97A4" w:rsidR="007D33EC" w:rsidRPr="003E7C59" w:rsidRDefault="007D33EC" w:rsidP="006622F2">
      <w:pPr>
        <w:spacing w:line="360" w:lineRule="auto"/>
        <w:rPr>
          <w:rFonts w:ascii="Arial" w:hAnsi="Arial" w:cs="Arial"/>
          <w:color w:val="000000" w:themeColor="text1"/>
          <w:sz w:val="22"/>
          <w:szCs w:val="22"/>
        </w:rPr>
      </w:pPr>
      <w:r w:rsidRPr="003E7C59">
        <w:rPr>
          <w:rFonts w:ascii="Arial" w:hAnsi="Arial" w:cs="Arial"/>
          <w:color w:val="000000" w:themeColor="text1"/>
          <w:sz w:val="22"/>
          <w:szCs w:val="22"/>
        </w:rPr>
        <w:lastRenderedPageBreak/>
        <w:t xml:space="preserve">Table 1.2. </w:t>
      </w:r>
      <w:proofErr w:type="gramStart"/>
      <w:r w:rsidRPr="003E7C59">
        <w:rPr>
          <w:rFonts w:ascii="Arial" w:hAnsi="Arial" w:cs="Arial"/>
          <w:color w:val="000000" w:themeColor="text1"/>
          <w:sz w:val="22"/>
          <w:szCs w:val="22"/>
        </w:rPr>
        <w:t>continued</w:t>
      </w:r>
      <w:proofErr w:type="gramEnd"/>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84"/>
      </w:tblGrid>
      <w:tr w:rsidR="00D86CE7" w:rsidRPr="003E7C59" w14:paraId="5DBE85B3" w14:textId="77777777" w:rsidTr="00654748">
        <w:tc>
          <w:tcPr>
            <w:tcW w:w="2498" w:type="pct"/>
          </w:tcPr>
          <w:p w14:paraId="7CEAB98A" w14:textId="77777777" w:rsidR="00D86CE7" w:rsidRPr="003E7C59" w:rsidRDefault="00D86CE7" w:rsidP="0041660C">
            <w:pPr>
              <w:autoSpaceDE w:val="0"/>
              <w:autoSpaceDN w:val="0"/>
              <w:adjustRightInd w:val="0"/>
              <w:rPr>
                <w:rFonts w:ascii="Arial" w:hAnsi="Arial" w:cs="Arial"/>
                <w:color w:val="000000" w:themeColor="text1"/>
                <w:sz w:val="22"/>
                <w:szCs w:val="22"/>
              </w:rPr>
            </w:pPr>
            <w:r w:rsidRPr="003E7C59">
              <w:rPr>
                <w:rFonts w:ascii="Arial" w:hAnsi="Arial" w:cs="Arial"/>
                <w:color w:val="000000" w:themeColor="text1"/>
                <w:sz w:val="22"/>
                <w:szCs w:val="22"/>
              </w:rPr>
              <w:t>Rabbit-foot clover (</w:t>
            </w:r>
            <w:r w:rsidRPr="003E7C59">
              <w:rPr>
                <w:rFonts w:ascii="Arial" w:hAnsi="Arial" w:cs="Arial"/>
                <w:i/>
                <w:iCs/>
                <w:color w:val="000000" w:themeColor="text1"/>
                <w:sz w:val="22"/>
                <w:szCs w:val="22"/>
              </w:rPr>
              <w:t xml:space="preserve">Trifolium arvense </w:t>
            </w:r>
            <w:r w:rsidRPr="003E7C59">
              <w:rPr>
                <w:rFonts w:ascii="Arial" w:hAnsi="Arial" w:cs="Arial"/>
                <w:color w:val="000000" w:themeColor="text1"/>
                <w:sz w:val="22"/>
                <w:szCs w:val="22"/>
              </w:rPr>
              <w:t>L.)</w:t>
            </w:r>
          </w:p>
          <w:p w14:paraId="5A02C4F8" w14:textId="77777777" w:rsidR="00D86CE7" w:rsidRPr="003E7C59" w:rsidRDefault="00D86CE7" w:rsidP="006622F2">
            <w:pPr>
              <w:jc w:val="center"/>
              <w:rPr>
                <w:rFonts w:ascii="Arial" w:hAnsi="Arial" w:cs="Arial"/>
                <w:color w:val="000000" w:themeColor="text1"/>
                <w:sz w:val="22"/>
                <w:szCs w:val="22"/>
              </w:rPr>
            </w:pPr>
          </w:p>
        </w:tc>
        <w:tc>
          <w:tcPr>
            <w:tcW w:w="2502" w:type="pct"/>
          </w:tcPr>
          <w:p w14:paraId="374B45B8" w14:textId="53DCE356"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TaMYB14 (AEG64799)</w:t>
            </w:r>
          </w:p>
        </w:tc>
      </w:tr>
      <w:tr w:rsidR="00D86CE7" w:rsidRPr="003E7C59" w14:paraId="2938EDB7" w14:textId="77777777" w:rsidTr="00654748">
        <w:tc>
          <w:tcPr>
            <w:tcW w:w="2498" w:type="pct"/>
          </w:tcPr>
          <w:p w14:paraId="27B84507" w14:textId="77777777" w:rsidR="00D86CE7" w:rsidRPr="003E7C59" w:rsidRDefault="00D86CE7" w:rsidP="006622F2">
            <w:pPr>
              <w:jc w:val="center"/>
              <w:rPr>
                <w:rFonts w:ascii="Arial" w:hAnsi="Arial" w:cs="Arial"/>
                <w:color w:val="000000" w:themeColor="text1"/>
                <w:sz w:val="22"/>
                <w:szCs w:val="22"/>
              </w:rPr>
            </w:pPr>
          </w:p>
          <w:p w14:paraId="633CEA91" w14:textId="77777777"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Red sage (</w:t>
            </w:r>
            <w:r w:rsidRPr="003E7C59">
              <w:rPr>
                <w:rFonts w:ascii="Arial" w:hAnsi="Arial" w:cs="Arial"/>
                <w:i/>
                <w:iCs/>
                <w:color w:val="000000" w:themeColor="text1"/>
                <w:sz w:val="22"/>
                <w:szCs w:val="22"/>
              </w:rPr>
              <w:t xml:space="preserve">Salvia miltiorrhiza </w:t>
            </w:r>
            <w:r w:rsidRPr="003E7C59">
              <w:rPr>
                <w:rFonts w:ascii="Arial" w:hAnsi="Arial" w:cs="Arial"/>
                <w:color w:val="000000" w:themeColor="text1"/>
                <w:sz w:val="22"/>
                <w:szCs w:val="22"/>
              </w:rPr>
              <w:t>Bunge)</w:t>
            </w:r>
          </w:p>
          <w:p w14:paraId="711C0668" w14:textId="77777777" w:rsidR="00D86CE7" w:rsidRPr="003E7C59" w:rsidRDefault="00D86CE7" w:rsidP="006622F2">
            <w:pPr>
              <w:jc w:val="center"/>
              <w:rPr>
                <w:rFonts w:ascii="Arial" w:hAnsi="Arial" w:cs="Arial"/>
                <w:color w:val="000000" w:themeColor="text1"/>
                <w:sz w:val="22"/>
                <w:szCs w:val="22"/>
              </w:rPr>
            </w:pPr>
          </w:p>
        </w:tc>
        <w:tc>
          <w:tcPr>
            <w:tcW w:w="2502" w:type="pct"/>
          </w:tcPr>
          <w:p w14:paraId="32FFB264" w14:textId="77777777" w:rsidR="00D86CE7" w:rsidRPr="003E7C59" w:rsidRDefault="00D86CE7" w:rsidP="006622F2">
            <w:pPr>
              <w:jc w:val="center"/>
              <w:rPr>
                <w:rFonts w:ascii="Arial" w:hAnsi="Arial" w:cs="Arial"/>
                <w:color w:val="000000" w:themeColor="text1"/>
                <w:sz w:val="22"/>
                <w:szCs w:val="22"/>
              </w:rPr>
            </w:pPr>
          </w:p>
          <w:p w14:paraId="166B6785" w14:textId="77777777"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SmMYB39 (AGS55356)</w:t>
            </w:r>
          </w:p>
          <w:p w14:paraId="5B2EB093" w14:textId="77777777" w:rsidR="00D86CE7" w:rsidRPr="003E7C59" w:rsidRDefault="00D86CE7" w:rsidP="006622F2">
            <w:pPr>
              <w:jc w:val="center"/>
              <w:rPr>
                <w:rFonts w:ascii="Arial" w:hAnsi="Arial" w:cs="Arial"/>
                <w:color w:val="000000" w:themeColor="text1"/>
                <w:sz w:val="22"/>
                <w:szCs w:val="22"/>
              </w:rPr>
            </w:pPr>
          </w:p>
        </w:tc>
      </w:tr>
      <w:tr w:rsidR="00D86CE7" w:rsidRPr="003E7C59" w14:paraId="4B22CEDD" w14:textId="77777777" w:rsidTr="00654748">
        <w:tc>
          <w:tcPr>
            <w:tcW w:w="2498" w:type="pct"/>
          </w:tcPr>
          <w:p w14:paraId="0804580E" w14:textId="316F0DD8"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Snapdragon (</w:t>
            </w:r>
            <w:r w:rsidRPr="003E7C59">
              <w:rPr>
                <w:rFonts w:ascii="Arial" w:hAnsi="Arial" w:cs="Arial"/>
                <w:i/>
                <w:iCs/>
                <w:color w:val="000000" w:themeColor="text1"/>
                <w:sz w:val="22"/>
                <w:szCs w:val="22"/>
              </w:rPr>
              <w:t xml:space="preserve">Antirrhinum majus </w:t>
            </w:r>
            <w:r w:rsidRPr="003E7C59">
              <w:rPr>
                <w:rFonts w:ascii="Arial" w:hAnsi="Arial" w:cs="Arial"/>
                <w:color w:val="000000" w:themeColor="text1"/>
                <w:sz w:val="22"/>
                <w:szCs w:val="22"/>
              </w:rPr>
              <w:t>L.)</w:t>
            </w:r>
          </w:p>
        </w:tc>
        <w:tc>
          <w:tcPr>
            <w:tcW w:w="2502" w:type="pct"/>
          </w:tcPr>
          <w:p w14:paraId="0C72D79C"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AmMYB308 (P81393), AmMYB330 (P81395), ROSEA1 (ABB83826), ROSEA2</w:t>
            </w:r>
          </w:p>
          <w:p w14:paraId="2CC641BB"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(ABB83827), VENOSA (ABB83828)</w:t>
            </w:r>
          </w:p>
          <w:p w14:paraId="29B2CB02" w14:textId="77777777" w:rsidR="00D86CE7" w:rsidRPr="003E7C59" w:rsidRDefault="00D86CE7" w:rsidP="006622F2">
            <w:pPr>
              <w:jc w:val="center"/>
              <w:rPr>
                <w:rFonts w:ascii="Arial" w:hAnsi="Arial" w:cs="Arial"/>
                <w:color w:val="000000" w:themeColor="text1"/>
                <w:sz w:val="22"/>
                <w:szCs w:val="22"/>
              </w:rPr>
            </w:pPr>
          </w:p>
        </w:tc>
      </w:tr>
      <w:tr w:rsidR="00D86CE7" w:rsidRPr="003E7C59" w14:paraId="2C6511FF" w14:textId="77777777" w:rsidTr="00654748">
        <w:tc>
          <w:tcPr>
            <w:tcW w:w="2498" w:type="pct"/>
          </w:tcPr>
          <w:p w14:paraId="4CD47667"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p>
          <w:p w14:paraId="0DCF3499"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p>
          <w:p w14:paraId="612189A0"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Sorghum (</w:t>
            </w:r>
            <w:r w:rsidRPr="003E7C59">
              <w:rPr>
                <w:rFonts w:ascii="Arial" w:hAnsi="Arial" w:cs="Arial"/>
                <w:i/>
                <w:iCs/>
                <w:color w:val="000000" w:themeColor="text1"/>
                <w:sz w:val="22"/>
                <w:szCs w:val="22"/>
              </w:rPr>
              <w:t xml:space="preserve">Sorghum bicolor </w:t>
            </w:r>
            <w:r w:rsidRPr="003E7C59">
              <w:rPr>
                <w:rFonts w:ascii="Arial" w:hAnsi="Arial" w:cs="Arial"/>
                <w:color w:val="000000" w:themeColor="text1"/>
                <w:sz w:val="22"/>
                <w:szCs w:val="22"/>
              </w:rPr>
              <w:t>Moench)</w:t>
            </w:r>
          </w:p>
          <w:p w14:paraId="1166C489" w14:textId="77777777" w:rsidR="00D86CE7" w:rsidRPr="003E7C59" w:rsidRDefault="00D86CE7" w:rsidP="006622F2">
            <w:pPr>
              <w:jc w:val="center"/>
              <w:rPr>
                <w:rFonts w:ascii="Arial" w:hAnsi="Arial" w:cs="Arial"/>
                <w:color w:val="000000" w:themeColor="text1"/>
                <w:sz w:val="22"/>
                <w:szCs w:val="22"/>
              </w:rPr>
            </w:pPr>
          </w:p>
        </w:tc>
        <w:tc>
          <w:tcPr>
            <w:tcW w:w="2502" w:type="pct"/>
          </w:tcPr>
          <w:p w14:paraId="5EA9BA3B" w14:textId="77777777" w:rsidR="00D86CE7" w:rsidRPr="003E7C59" w:rsidRDefault="00D86CE7" w:rsidP="006622F2">
            <w:pPr>
              <w:jc w:val="center"/>
              <w:rPr>
                <w:rFonts w:ascii="Arial" w:hAnsi="Arial" w:cs="Arial"/>
                <w:color w:val="000000" w:themeColor="text1"/>
                <w:sz w:val="22"/>
                <w:szCs w:val="22"/>
              </w:rPr>
            </w:pPr>
          </w:p>
          <w:p w14:paraId="305A53FC" w14:textId="77777777" w:rsidR="00D86CE7" w:rsidRPr="003E7C59" w:rsidRDefault="00D86CE7" w:rsidP="006622F2">
            <w:pPr>
              <w:jc w:val="center"/>
              <w:rPr>
                <w:rFonts w:ascii="Arial" w:hAnsi="Arial" w:cs="Arial"/>
                <w:color w:val="000000" w:themeColor="text1"/>
                <w:sz w:val="22"/>
                <w:szCs w:val="22"/>
              </w:rPr>
            </w:pPr>
          </w:p>
          <w:p w14:paraId="1454A944" w14:textId="77777777"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Y1 (AAX44239)</w:t>
            </w:r>
          </w:p>
          <w:p w14:paraId="2E8E83DA" w14:textId="77777777" w:rsidR="00D86CE7" w:rsidRPr="003E7C59" w:rsidRDefault="00D86CE7" w:rsidP="006622F2">
            <w:pPr>
              <w:jc w:val="center"/>
              <w:rPr>
                <w:rFonts w:ascii="Arial" w:hAnsi="Arial" w:cs="Arial"/>
                <w:color w:val="000000" w:themeColor="text1"/>
                <w:sz w:val="22"/>
                <w:szCs w:val="22"/>
              </w:rPr>
            </w:pPr>
          </w:p>
        </w:tc>
      </w:tr>
      <w:tr w:rsidR="00D86CE7" w:rsidRPr="003E7C59" w14:paraId="7F86D49A" w14:textId="77777777" w:rsidTr="00654748">
        <w:tc>
          <w:tcPr>
            <w:tcW w:w="2498" w:type="pct"/>
          </w:tcPr>
          <w:p w14:paraId="3C702846" w14:textId="0EEE4A75"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Soybean (</w:t>
            </w:r>
            <w:r w:rsidRPr="003E7C59">
              <w:rPr>
                <w:rFonts w:ascii="Arial" w:hAnsi="Arial" w:cs="Arial"/>
                <w:i/>
                <w:iCs/>
                <w:color w:val="000000" w:themeColor="text1"/>
                <w:sz w:val="22"/>
                <w:szCs w:val="22"/>
              </w:rPr>
              <w:t xml:space="preserve">Glycine max </w:t>
            </w:r>
            <w:r w:rsidRPr="003E7C59">
              <w:rPr>
                <w:rFonts w:ascii="Arial" w:hAnsi="Arial" w:cs="Arial"/>
                <w:color w:val="000000" w:themeColor="text1"/>
                <w:sz w:val="22"/>
                <w:szCs w:val="22"/>
              </w:rPr>
              <w:t>Merr.)</w:t>
            </w:r>
          </w:p>
        </w:tc>
        <w:tc>
          <w:tcPr>
            <w:tcW w:w="2502" w:type="pct"/>
          </w:tcPr>
          <w:p w14:paraId="66AB192F" w14:textId="77777777"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GmMYB12B2 (AEC13303), GmMYB-G20-1 (BAK24100)</w:t>
            </w:r>
          </w:p>
          <w:p w14:paraId="35C5C798" w14:textId="77777777" w:rsidR="00D86CE7" w:rsidRPr="003E7C59" w:rsidRDefault="00D86CE7" w:rsidP="006622F2">
            <w:pPr>
              <w:jc w:val="center"/>
              <w:rPr>
                <w:rFonts w:ascii="Arial" w:hAnsi="Arial" w:cs="Arial"/>
                <w:color w:val="000000" w:themeColor="text1"/>
                <w:sz w:val="22"/>
                <w:szCs w:val="22"/>
              </w:rPr>
            </w:pPr>
          </w:p>
        </w:tc>
      </w:tr>
      <w:tr w:rsidR="00D86CE7" w:rsidRPr="003E7C59" w14:paraId="784D605F" w14:textId="77777777" w:rsidTr="00654748">
        <w:tc>
          <w:tcPr>
            <w:tcW w:w="2498" w:type="pct"/>
          </w:tcPr>
          <w:p w14:paraId="72971599" w14:textId="4CF20022"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Strawberry (</w:t>
            </w:r>
            <w:r w:rsidRPr="003E7C59">
              <w:rPr>
                <w:rFonts w:ascii="Arial" w:hAnsi="Arial" w:cs="Arial"/>
                <w:i/>
                <w:iCs/>
                <w:color w:val="000000" w:themeColor="text1"/>
                <w:sz w:val="22"/>
                <w:szCs w:val="22"/>
              </w:rPr>
              <w:t xml:space="preserve">Fragaria </w:t>
            </w:r>
            <w:r w:rsidRPr="003E7C59">
              <w:rPr>
                <w:rFonts w:ascii="Arial" w:hAnsi="Arial" w:cs="Arial"/>
                <w:color w:val="000000" w:themeColor="text1"/>
                <w:sz w:val="22"/>
                <w:szCs w:val="22"/>
              </w:rPr>
              <w:t xml:space="preserve">x </w:t>
            </w:r>
            <w:r w:rsidRPr="003E7C59">
              <w:rPr>
                <w:rFonts w:ascii="Arial" w:hAnsi="Arial" w:cs="Arial"/>
                <w:i/>
                <w:iCs/>
                <w:color w:val="000000" w:themeColor="text1"/>
                <w:sz w:val="22"/>
                <w:szCs w:val="22"/>
              </w:rPr>
              <w:t>ananassa</w:t>
            </w:r>
            <w:r w:rsidRPr="003E7C59">
              <w:rPr>
                <w:rFonts w:ascii="Arial" w:hAnsi="Arial" w:cs="Arial"/>
                <w:color w:val="000000" w:themeColor="text1"/>
                <w:sz w:val="22"/>
                <w:szCs w:val="22"/>
              </w:rPr>
              <w:t xml:space="preserve"> Duchesne)</w:t>
            </w:r>
          </w:p>
        </w:tc>
        <w:tc>
          <w:tcPr>
            <w:tcW w:w="2502" w:type="pct"/>
          </w:tcPr>
          <w:p w14:paraId="7AFBECF1"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FaMYB1 (AAK84064), FaMYB9 (AFL02460), FaMYB10 (ABX79947), FaMYB11</w:t>
            </w:r>
          </w:p>
          <w:p w14:paraId="29247FF3" w14:textId="77777777" w:rsidR="00D86CE7" w:rsidRPr="003E7C59" w:rsidRDefault="00D86CE7" w:rsidP="006622F2">
            <w:pPr>
              <w:jc w:val="center"/>
              <w:rPr>
                <w:rFonts w:ascii="Arial" w:hAnsi="Arial" w:cs="Arial"/>
                <w:color w:val="000000" w:themeColor="text1"/>
                <w:sz w:val="22"/>
                <w:szCs w:val="22"/>
              </w:rPr>
            </w:pPr>
          </w:p>
        </w:tc>
      </w:tr>
      <w:tr w:rsidR="00D86CE7" w:rsidRPr="003E7C59" w14:paraId="65257CEF" w14:textId="77777777" w:rsidTr="00654748">
        <w:tc>
          <w:tcPr>
            <w:tcW w:w="2498" w:type="pct"/>
          </w:tcPr>
          <w:p w14:paraId="4B770736" w14:textId="2DBDDC87"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Switchgrass (</w:t>
            </w:r>
            <w:r w:rsidRPr="003E7C59">
              <w:rPr>
                <w:rFonts w:ascii="Arial" w:hAnsi="Arial" w:cs="Arial"/>
                <w:i/>
                <w:iCs/>
                <w:color w:val="000000" w:themeColor="text1"/>
                <w:sz w:val="22"/>
                <w:szCs w:val="22"/>
              </w:rPr>
              <w:t xml:space="preserve">Panicum virgatum </w:t>
            </w:r>
            <w:r w:rsidRPr="003E7C59">
              <w:rPr>
                <w:rFonts w:ascii="Arial" w:hAnsi="Arial" w:cs="Arial"/>
                <w:color w:val="000000" w:themeColor="text1"/>
                <w:sz w:val="22"/>
                <w:szCs w:val="22"/>
              </w:rPr>
              <w:t>L.)</w:t>
            </w:r>
          </w:p>
        </w:tc>
        <w:tc>
          <w:tcPr>
            <w:tcW w:w="2502" w:type="pct"/>
          </w:tcPr>
          <w:p w14:paraId="67C1EDFF"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PvMYB4a (AEM17348)</w:t>
            </w:r>
          </w:p>
          <w:p w14:paraId="305C6F45" w14:textId="77777777" w:rsidR="00D86CE7" w:rsidRPr="003E7C59" w:rsidRDefault="00D86CE7" w:rsidP="006622F2">
            <w:pPr>
              <w:jc w:val="center"/>
              <w:rPr>
                <w:rFonts w:ascii="Arial" w:hAnsi="Arial" w:cs="Arial"/>
                <w:color w:val="000000" w:themeColor="text1"/>
                <w:sz w:val="22"/>
                <w:szCs w:val="22"/>
              </w:rPr>
            </w:pPr>
          </w:p>
        </w:tc>
      </w:tr>
      <w:tr w:rsidR="00D86CE7" w:rsidRPr="003E7C59" w14:paraId="0474EC47" w14:textId="77777777" w:rsidTr="00654748">
        <w:tc>
          <w:tcPr>
            <w:tcW w:w="2498" w:type="pct"/>
          </w:tcPr>
          <w:p w14:paraId="6A36D8FA" w14:textId="15D4505E"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Tobacco (</w:t>
            </w:r>
            <w:r w:rsidRPr="003E7C59">
              <w:rPr>
                <w:rFonts w:ascii="Arial" w:hAnsi="Arial" w:cs="Arial"/>
                <w:i/>
                <w:iCs/>
                <w:color w:val="000000" w:themeColor="text1"/>
                <w:sz w:val="22"/>
                <w:szCs w:val="22"/>
              </w:rPr>
              <w:t>Nıcotiana tabacum</w:t>
            </w:r>
            <w:r w:rsidRPr="003E7C59">
              <w:rPr>
                <w:rFonts w:ascii="Arial" w:hAnsi="Arial" w:cs="Arial"/>
                <w:color w:val="000000" w:themeColor="text1"/>
                <w:sz w:val="22"/>
                <w:szCs w:val="22"/>
              </w:rPr>
              <w:t xml:space="preserve"> L.)</w:t>
            </w:r>
          </w:p>
        </w:tc>
        <w:tc>
          <w:tcPr>
            <w:tcW w:w="2502" w:type="pct"/>
          </w:tcPr>
          <w:p w14:paraId="0D1BDBE0"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NtAN2 (ACO52470)</w:t>
            </w:r>
          </w:p>
          <w:p w14:paraId="552EEE33" w14:textId="77777777" w:rsidR="00D86CE7" w:rsidRPr="003E7C59" w:rsidRDefault="00D86CE7" w:rsidP="006622F2">
            <w:pPr>
              <w:jc w:val="center"/>
              <w:rPr>
                <w:rFonts w:ascii="Arial" w:hAnsi="Arial" w:cs="Arial"/>
                <w:color w:val="000000" w:themeColor="text1"/>
                <w:sz w:val="22"/>
                <w:szCs w:val="22"/>
              </w:rPr>
            </w:pPr>
          </w:p>
        </w:tc>
      </w:tr>
      <w:tr w:rsidR="00D86CE7" w:rsidRPr="003E7C59" w14:paraId="5B91D04E" w14:textId="77777777" w:rsidTr="00654748">
        <w:tc>
          <w:tcPr>
            <w:tcW w:w="2498" w:type="pct"/>
          </w:tcPr>
          <w:p w14:paraId="08168249" w14:textId="00CEDCEC" w:rsidR="00D86CE7" w:rsidRPr="003E7C59" w:rsidRDefault="00D86CE7" w:rsidP="006622F2">
            <w:pPr>
              <w:autoSpaceDE w:val="0"/>
              <w:autoSpaceDN w:val="0"/>
              <w:adjustRightInd w:val="0"/>
              <w:jc w:val="center"/>
              <w:rPr>
                <w:rFonts w:ascii="Arial" w:hAnsi="Arial" w:cs="Arial"/>
                <w:color w:val="000000" w:themeColor="text1"/>
                <w:sz w:val="22"/>
                <w:szCs w:val="22"/>
              </w:rPr>
            </w:pPr>
            <w:r w:rsidRPr="003E7C59">
              <w:rPr>
                <w:rFonts w:ascii="Arial" w:hAnsi="Arial" w:cs="Arial"/>
                <w:color w:val="000000" w:themeColor="text1"/>
                <w:sz w:val="22"/>
                <w:szCs w:val="22"/>
              </w:rPr>
              <w:t>Tomato (</w:t>
            </w:r>
            <w:r w:rsidRPr="003E7C59">
              <w:rPr>
                <w:rFonts w:ascii="Arial" w:hAnsi="Arial" w:cs="Arial"/>
                <w:i/>
                <w:iCs/>
                <w:color w:val="000000" w:themeColor="text1"/>
                <w:sz w:val="22"/>
                <w:szCs w:val="22"/>
              </w:rPr>
              <w:t xml:space="preserve">Solanum lycopersicum </w:t>
            </w:r>
            <w:r w:rsidRPr="003E7C59">
              <w:rPr>
                <w:rFonts w:ascii="Arial" w:hAnsi="Arial" w:cs="Arial"/>
                <w:color w:val="000000" w:themeColor="text1"/>
                <w:sz w:val="22"/>
                <w:szCs w:val="22"/>
              </w:rPr>
              <w:t>L.)</w:t>
            </w:r>
          </w:p>
        </w:tc>
        <w:tc>
          <w:tcPr>
            <w:tcW w:w="2502" w:type="pct"/>
          </w:tcPr>
          <w:p w14:paraId="1AFDF439" w14:textId="77777777" w:rsidR="00D86CE7" w:rsidRPr="003E7C59" w:rsidRDefault="00D86CE7"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LeANT1 (AAQ55181)</w:t>
            </w:r>
          </w:p>
          <w:p w14:paraId="69E399D8" w14:textId="77777777" w:rsidR="00D86CE7" w:rsidRPr="003E7C59" w:rsidRDefault="00D86CE7" w:rsidP="006622F2">
            <w:pPr>
              <w:autoSpaceDE w:val="0"/>
              <w:autoSpaceDN w:val="0"/>
              <w:adjustRightInd w:val="0"/>
              <w:jc w:val="center"/>
              <w:rPr>
                <w:rFonts w:ascii="Arial" w:hAnsi="Arial" w:cs="Arial"/>
                <w:color w:val="000000" w:themeColor="text1"/>
                <w:sz w:val="22"/>
                <w:szCs w:val="22"/>
              </w:rPr>
            </w:pPr>
          </w:p>
        </w:tc>
      </w:tr>
    </w:tbl>
    <w:p w14:paraId="29F023D1" w14:textId="77777777" w:rsidR="007D33EC" w:rsidRPr="003E7C59" w:rsidRDefault="007D33EC" w:rsidP="006622F2">
      <w:pPr>
        <w:spacing w:line="360" w:lineRule="auto"/>
        <w:rPr>
          <w:rFonts w:ascii="Arial" w:hAnsi="Arial" w:cs="Arial"/>
          <w:color w:val="000000" w:themeColor="text1"/>
          <w:sz w:val="22"/>
          <w:szCs w:val="22"/>
        </w:rPr>
      </w:pPr>
    </w:p>
    <w:p w14:paraId="0EEE095D" w14:textId="77777777" w:rsidR="009862BE" w:rsidRPr="003E7C59" w:rsidRDefault="009862BE" w:rsidP="006622F2">
      <w:pPr>
        <w:spacing w:line="360" w:lineRule="auto"/>
        <w:rPr>
          <w:rFonts w:ascii="Arial" w:hAnsi="Arial" w:cs="Arial"/>
          <w:color w:val="000000" w:themeColor="text1"/>
          <w:sz w:val="22"/>
          <w:szCs w:val="22"/>
        </w:rPr>
      </w:pPr>
    </w:p>
    <w:p w14:paraId="13AE1317" w14:textId="77777777" w:rsidR="00B51BF9" w:rsidRPr="003E7C59" w:rsidRDefault="00B51BF9" w:rsidP="006622F2">
      <w:pPr>
        <w:spacing w:line="360" w:lineRule="auto"/>
        <w:rPr>
          <w:rFonts w:ascii="Arial" w:hAnsi="Arial" w:cs="Arial"/>
          <w:color w:val="000000" w:themeColor="text1"/>
          <w:sz w:val="22"/>
          <w:szCs w:val="22"/>
        </w:rPr>
      </w:pPr>
    </w:p>
    <w:p w14:paraId="181F1F57" w14:textId="77777777" w:rsidR="00B51BF9" w:rsidRPr="003E7C59" w:rsidRDefault="00B51BF9" w:rsidP="006622F2">
      <w:pPr>
        <w:spacing w:line="360" w:lineRule="auto"/>
        <w:rPr>
          <w:rFonts w:ascii="Arial" w:hAnsi="Arial" w:cs="Arial"/>
          <w:color w:val="000000" w:themeColor="text1"/>
          <w:sz w:val="22"/>
          <w:szCs w:val="22"/>
        </w:rPr>
      </w:pPr>
    </w:p>
    <w:p w14:paraId="7D02191B" w14:textId="77777777" w:rsidR="00B51BF9" w:rsidRPr="003E7C59" w:rsidRDefault="00B51BF9" w:rsidP="006622F2">
      <w:pPr>
        <w:spacing w:line="360" w:lineRule="auto"/>
        <w:rPr>
          <w:rFonts w:ascii="Arial" w:hAnsi="Arial" w:cs="Arial"/>
          <w:color w:val="000000" w:themeColor="text1"/>
          <w:sz w:val="22"/>
          <w:szCs w:val="22"/>
        </w:rPr>
      </w:pPr>
    </w:p>
    <w:p w14:paraId="548A0C1B" w14:textId="77777777" w:rsidR="00B51BF9" w:rsidRPr="003E7C59" w:rsidRDefault="00B51BF9" w:rsidP="006622F2">
      <w:pPr>
        <w:spacing w:line="360" w:lineRule="auto"/>
        <w:rPr>
          <w:rFonts w:ascii="Arial" w:hAnsi="Arial" w:cs="Arial"/>
          <w:color w:val="000000" w:themeColor="text1"/>
          <w:sz w:val="22"/>
          <w:szCs w:val="22"/>
        </w:rPr>
      </w:pPr>
    </w:p>
    <w:p w14:paraId="4EFF45D8" w14:textId="77777777" w:rsidR="00B51BF9" w:rsidRPr="003E7C59" w:rsidRDefault="00B51BF9" w:rsidP="006622F2">
      <w:pPr>
        <w:spacing w:line="360" w:lineRule="auto"/>
        <w:rPr>
          <w:rFonts w:ascii="Arial" w:hAnsi="Arial" w:cs="Arial"/>
          <w:color w:val="000000" w:themeColor="text1"/>
          <w:sz w:val="22"/>
          <w:szCs w:val="22"/>
        </w:rPr>
      </w:pPr>
    </w:p>
    <w:p w14:paraId="322747BC" w14:textId="77777777" w:rsidR="00B51BF9" w:rsidRPr="003E7C59" w:rsidRDefault="00B51BF9" w:rsidP="006622F2">
      <w:pPr>
        <w:spacing w:line="360" w:lineRule="auto"/>
        <w:rPr>
          <w:rFonts w:ascii="Arial" w:hAnsi="Arial" w:cs="Arial"/>
          <w:color w:val="000000" w:themeColor="text1"/>
          <w:sz w:val="22"/>
          <w:szCs w:val="22"/>
        </w:rPr>
      </w:pPr>
    </w:p>
    <w:p w14:paraId="27F7D017" w14:textId="77777777" w:rsidR="00B51BF9" w:rsidRPr="003E7C59" w:rsidRDefault="00B51BF9" w:rsidP="006622F2">
      <w:pPr>
        <w:spacing w:line="360" w:lineRule="auto"/>
        <w:rPr>
          <w:rFonts w:ascii="Arial" w:hAnsi="Arial" w:cs="Arial"/>
          <w:color w:val="000000" w:themeColor="text1"/>
          <w:sz w:val="22"/>
          <w:szCs w:val="22"/>
        </w:rPr>
      </w:pPr>
    </w:p>
    <w:p w14:paraId="68F6BF32" w14:textId="77777777" w:rsidR="00B51BF9" w:rsidRPr="003E7C59" w:rsidRDefault="00B51BF9" w:rsidP="006622F2">
      <w:pPr>
        <w:spacing w:line="360" w:lineRule="auto"/>
        <w:rPr>
          <w:rFonts w:ascii="Arial" w:hAnsi="Arial" w:cs="Arial"/>
          <w:color w:val="000000" w:themeColor="text1"/>
          <w:sz w:val="22"/>
          <w:szCs w:val="22"/>
        </w:rPr>
      </w:pPr>
    </w:p>
    <w:p w14:paraId="5D11CDE2" w14:textId="77777777" w:rsidR="00B51BF9" w:rsidRPr="003E7C59" w:rsidRDefault="00B51BF9" w:rsidP="006622F2">
      <w:pPr>
        <w:spacing w:line="360" w:lineRule="auto"/>
        <w:rPr>
          <w:rFonts w:ascii="Arial" w:hAnsi="Arial" w:cs="Arial"/>
          <w:color w:val="000000" w:themeColor="text1"/>
          <w:sz w:val="22"/>
          <w:szCs w:val="22"/>
        </w:rPr>
      </w:pPr>
    </w:p>
    <w:p w14:paraId="0F144673" w14:textId="77777777" w:rsidR="00B51BF9" w:rsidRPr="003E7C59" w:rsidRDefault="00B51BF9" w:rsidP="006622F2">
      <w:pPr>
        <w:spacing w:line="360" w:lineRule="auto"/>
        <w:rPr>
          <w:rFonts w:ascii="Arial" w:hAnsi="Arial" w:cs="Arial"/>
          <w:color w:val="000000" w:themeColor="text1"/>
          <w:sz w:val="22"/>
          <w:szCs w:val="22"/>
        </w:rPr>
      </w:pPr>
    </w:p>
    <w:p w14:paraId="17DF5A1C" w14:textId="77777777" w:rsidR="00B51BF9" w:rsidRPr="003E7C59" w:rsidRDefault="00B51BF9" w:rsidP="006622F2">
      <w:pPr>
        <w:spacing w:line="360" w:lineRule="auto"/>
        <w:rPr>
          <w:rFonts w:ascii="Arial" w:hAnsi="Arial" w:cs="Arial"/>
          <w:color w:val="000000" w:themeColor="text1"/>
          <w:sz w:val="22"/>
          <w:szCs w:val="22"/>
        </w:rPr>
      </w:pPr>
    </w:p>
    <w:p w14:paraId="6E909DB7" w14:textId="77777777" w:rsidR="00B51BF9" w:rsidRPr="003E7C59" w:rsidRDefault="00B51BF9" w:rsidP="006622F2">
      <w:pPr>
        <w:spacing w:line="360" w:lineRule="auto"/>
        <w:rPr>
          <w:rFonts w:ascii="Arial" w:hAnsi="Arial" w:cs="Arial"/>
          <w:color w:val="000000" w:themeColor="text1"/>
          <w:sz w:val="22"/>
          <w:szCs w:val="22"/>
        </w:rPr>
      </w:pPr>
    </w:p>
    <w:p w14:paraId="5F060FFA" w14:textId="77777777" w:rsidR="00B51BF9" w:rsidRPr="003E7C59" w:rsidRDefault="00B51BF9" w:rsidP="006622F2">
      <w:pPr>
        <w:spacing w:line="360" w:lineRule="auto"/>
        <w:rPr>
          <w:rFonts w:ascii="Arial" w:hAnsi="Arial" w:cs="Arial"/>
          <w:color w:val="000000" w:themeColor="text1"/>
          <w:sz w:val="22"/>
          <w:szCs w:val="22"/>
        </w:rPr>
      </w:pPr>
    </w:p>
    <w:p w14:paraId="70507182" w14:textId="77777777" w:rsidR="001B1244" w:rsidRDefault="001B1244" w:rsidP="00875665">
      <w:pPr>
        <w:pStyle w:val="TableofAuthorities"/>
        <w:spacing w:line="360" w:lineRule="auto"/>
        <w:rPr>
          <w:rFonts w:ascii="Arial" w:hAnsi="Arial" w:cs="Arial"/>
          <w:sz w:val="22"/>
          <w:szCs w:val="22"/>
        </w:rPr>
        <w:sectPr w:rsidR="001B1244" w:rsidSect="00A10AF1">
          <w:footerReference w:type="default" r:id="rId10"/>
          <w:pgSz w:w="12240" w:h="15840"/>
          <w:pgMar w:top="1440" w:right="1440" w:bottom="1440" w:left="1440" w:header="720" w:footer="720" w:gutter="0"/>
          <w:pgNumType w:start="1"/>
          <w:cols w:space="720"/>
          <w:docGrid w:linePitch="360"/>
        </w:sectPr>
      </w:pPr>
      <w:bookmarkStart w:id="89" w:name="_Toc121475349"/>
      <w:bookmarkStart w:id="90" w:name="_Toc121476621"/>
      <w:bookmarkStart w:id="91" w:name="_Toc121478551"/>
      <w:bookmarkStart w:id="92" w:name="_Toc121479472"/>
      <w:bookmarkStart w:id="93" w:name="_Toc121479902"/>
    </w:p>
    <w:p w14:paraId="3C6C61AF" w14:textId="2B03845C" w:rsidR="00B51BF9" w:rsidRPr="00684DEF" w:rsidRDefault="00B51BF9" w:rsidP="00684DEF">
      <w:pPr>
        <w:pStyle w:val="TableofAuthorities"/>
        <w:spacing w:line="360" w:lineRule="auto"/>
        <w:rPr>
          <w:rFonts w:ascii="Arial" w:hAnsi="Arial" w:cs="Arial"/>
          <w:sz w:val="22"/>
          <w:szCs w:val="22"/>
        </w:rPr>
      </w:pPr>
      <w:r w:rsidRPr="003E7C59">
        <w:rPr>
          <w:rFonts w:ascii="Arial" w:hAnsi="Arial" w:cs="Arial"/>
          <w:sz w:val="22"/>
          <w:szCs w:val="22"/>
        </w:rPr>
        <w:lastRenderedPageBreak/>
        <w:t>Table 1.3. The species and accession numbers of R2R3-MYB repressor proteins used to search for characterized distinctive motifs in MYB repressors, such as EAR with conserved sequence LxLxL</w:t>
      </w:r>
      <w:r w:rsidR="002D066E" w:rsidRPr="003E7C59">
        <w:rPr>
          <w:rFonts w:ascii="Arial" w:hAnsi="Arial" w:cs="Arial"/>
          <w:sz w:val="22"/>
          <w:szCs w:val="22"/>
        </w:rPr>
        <w:t>.</w:t>
      </w:r>
      <w:bookmarkEnd w:id="89"/>
      <w:bookmarkEnd w:id="90"/>
      <w:bookmarkEnd w:id="91"/>
      <w:bookmarkEnd w:id="92"/>
      <w:bookmarkEnd w:id="93"/>
    </w:p>
    <w:tbl>
      <w:tblPr>
        <w:tblStyle w:val="TableGrid"/>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4"/>
        <w:gridCol w:w="2062"/>
        <w:gridCol w:w="2130"/>
        <w:gridCol w:w="1994"/>
        <w:gridCol w:w="1580"/>
      </w:tblGrid>
      <w:tr w:rsidR="00B51BF9" w:rsidRPr="003E7C59" w14:paraId="686A2D94" w14:textId="77777777" w:rsidTr="00654748">
        <w:trPr>
          <w:trHeight w:val="432"/>
        </w:trPr>
        <w:tc>
          <w:tcPr>
            <w:tcW w:w="851" w:type="pct"/>
            <w:tcBorders>
              <w:top w:val="single" w:sz="4" w:space="0" w:color="auto"/>
              <w:bottom w:val="single" w:sz="4" w:space="0" w:color="auto"/>
            </w:tcBorders>
          </w:tcPr>
          <w:p w14:paraId="24EC5343" w14:textId="77777777" w:rsidR="00B51BF9" w:rsidRPr="003E7C59" w:rsidRDefault="00B51BF9" w:rsidP="00F45BDE">
            <w:pPr>
              <w:jc w:val="center"/>
              <w:rPr>
                <w:rFonts w:ascii="Arial" w:hAnsi="Arial" w:cs="Arial"/>
                <w:color w:val="000000" w:themeColor="text1"/>
                <w:sz w:val="22"/>
                <w:szCs w:val="22"/>
              </w:rPr>
            </w:pPr>
            <w:r w:rsidRPr="003E7C59">
              <w:rPr>
                <w:rFonts w:ascii="Arial" w:hAnsi="Arial" w:cs="Arial"/>
                <w:b/>
                <w:bCs/>
                <w:color w:val="000000" w:themeColor="text1"/>
                <w:sz w:val="22"/>
                <w:szCs w:val="22"/>
              </w:rPr>
              <w:t>Name</w:t>
            </w:r>
          </w:p>
        </w:tc>
        <w:tc>
          <w:tcPr>
            <w:tcW w:w="1101" w:type="pct"/>
            <w:tcBorders>
              <w:top w:val="single" w:sz="4" w:space="0" w:color="auto"/>
              <w:bottom w:val="single" w:sz="4" w:space="0" w:color="auto"/>
            </w:tcBorders>
          </w:tcPr>
          <w:p w14:paraId="1942FF45" w14:textId="77777777" w:rsidR="00B51BF9" w:rsidRPr="003E7C59" w:rsidRDefault="00B51BF9" w:rsidP="00F45BDE">
            <w:pPr>
              <w:jc w:val="center"/>
              <w:rPr>
                <w:rFonts w:ascii="Arial" w:hAnsi="Arial" w:cs="Arial"/>
                <w:i/>
                <w:iCs/>
                <w:color w:val="000000" w:themeColor="text1"/>
                <w:sz w:val="22"/>
                <w:szCs w:val="22"/>
              </w:rPr>
            </w:pPr>
            <w:r w:rsidRPr="003E7C59">
              <w:rPr>
                <w:rFonts w:ascii="Arial" w:hAnsi="Arial" w:cs="Arial"/>
                <w:b/>
                <w:bCs/>
                <w:color w:val="000000" w:themeColor="text1"/>
                <w:sz w:val="22"/>
                <w:szCs w:val="22"/>
              </w:rPr>
              <w:t>Species</w:t>
            </w:r>
          </w:p>
        </w:tc>
        <w:tc>
          <w:tcPr>
            <w:tcW w:w="1138" w:type="pct"/>
            <w:tcBorders>
              <w:top w:val="single" w:sz="4" w:space="0" w:color="auto"/>
              <w:bottom w:val="single" w:sz="4" w:space="0" w:color="auto"/>
            </w:tcBorders>
          </w:tcPr>
          <w:p w14:paraId="3A47A9F2" w14:textId="77777777" w:rsidR="00B51BF9" w:rsidRPr="003E7C59" w:rsidRDefault="00B51BF9" w:rsidP="00F45BDE">
            <w:pPr>
              <w:jc w:val="center"/>
              <w:rPr>
                <w:rFonts w:ascii="Arial" w:hAnsi="Arial" w:cs="Arial"/>
                <w:color w:val="000000" w:themeColor="text1"/>
                <w:spacing w:val="-2"/>
                <w:sz w:val="22"/>
                <w:szCs w:val="22"/>
              </w:rPr>
            </w:pPr>
            <w:r w:rsidRPr="003E7C59">
              <w:rPr>
                <w:rFonts w:ascii="Arial" w:hAnsi="Arial" w:cs="Arial"/>
                <w:b/>
                <w:bCs/>
                <w:color w:val="000000" w:themeColor="text1"/>
                <w:sz w:val="22"/>
                <w:szCs w:val="22"/>
              </w:rPr>
              <w:t>Function</w:t>
            </w:r>
          </w:p>
        </w:tc>
        <w:tc>
          <w:tcPr>
            <w:tcW w:w="1065" w:type="pct"/>
            <w:tcBorders>
              <w:top w:val="single" w:sz="4" w:space="0" w:color="auto"/>
              <w:bottom w:val="single" w:sz="4" w:space="0" w:color="auto"/>
            </w:tcBorders>
          </w:tcPr>
          <w:p w14:paraId="6A4F8560" w14:textId="77777777" w:rsidR="00B51BF9" w:rsidRPr="003E7C59" w:rsidRDefault="00B51BF9" w:rsidP="00F45BDE">
            <w:pPr>
              <w:jc w:val="center"/>
              <w:rPr>
                <w:rFonts w:ascii="Arial" w:hAnsi="Arial" w:cs="Arial"/>
                <w:color w:val="000000" w:themeColor="text1"/>
                <w:sz w:val="22"/>
                <w:szCs w:val="22"/>
              </w:rPr>
            </w:pPr>
            <w:r w:rsidRPr="003E7C59">
              <w:rPr>
                <w:rFonts w:ascii="Arial" w:hAnsi="Arial" w:cs="Arial"/>
                <w:b/>
                <w:bCs/>
                <w:color w:val="000000" w:themeColor="text1"/>
                <w:sz w:val="22"/>
                <w:szCs w:val="22"/>
              </w:rPr>
              <w:t>Accessions</w:t>
            </w:r>
          </w:p>
        </w:tc>
        <w:tc>
          <w:tcPr>
            <w:tcW w:w="844" w:type="pct"/>
            <w:tcBorders>
              <w:top w:val="single" w:sz="4" w:space="0" w:color="auto"/>
              <w:bottom w:val="single" w:sz="4" w:space="0" w:color="auto"/>
            </w:tcBorders>
          </w:tcPr>
          <w:p w14:paraId="07BC9343" w14:textId="77777777" w:rsidR="00B51BF9" w:rsidRPr="003E7C59" w:rsidRDefault="00B51BF9" w:rsidP="00F45BDE">
            <w:pPr>
              <w:jc w:val="center"/>
              <w:rPr>
                <w:rFonts w:ascii="Arial" w:hAnsi="Arial" w:cs="Arial"/>
                <w:color w:val="000000" w:themeColor="text1"/>
                <w:sz w:val="22"/>
                <w:szCs w:val="22"/>
              </w:rPr>
            </w:pPr>
            <w:r w:rsidRPr="003E7C59">
              <w:rPr>
                <w:rFonts w:ascii="Arial" w:hAnsi="Arial" w:cs="Arial"/>
                <w:b/>
                <w:bCs/>
                <w:color w:val="000000" w:themeColor="text1"/>
                <w:sz w:val="22"/>
                <w:szCs w:val="22"/>
              </w:rPr>
              <w:t>References</w:t>
            </w:r>
          </w:p>
        </w:tc>
      </w:tr>
      <w:tr w:rsidR="00B51BF9" w:rsidRPr="003E7C59" w14:paraId="092B42BB" w14:textId="77777777" w:rsidTr="00654748">
        <w:trPr>
          <w:trHeight w:val="432"/>
        </w:trPr>
        <w:tc>
          <w:tcPr>
            <w:tcW w:w="851" w:type="pct"/>
            <w:tcBorders>
              <w:top w:val="single" w:sz="4" w:space="0" w:color="auto"/>
            </w:tcBorders>
          </w:tcPr>
          <w:p w14:paraId="4C638877"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AmMYB308</w:t>
            </w:r>
          </w:p>
        </w:tc>
        <w:tc>
          <w:tcPr>
            <w:tcW w:w="1101" w:type="pct"/>
            <w:tcBorders>
              <w:top w:val="single" w:sz="4" w:space="0" w:color="auto"/>
            </w:tcBorders>
          </w:tcPr>
          <w:p w14:paraId="2177272E"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i/>
                <w:iCs/>
                <w:color w:val="000000" w:themeColor="text1"/>
                <w:sz w:val="22"/>
                <w:szCs w:val="22"/>
              </w:rPr>
              <w:t xml:space="preserve">Antirrhinum majus </w:t>
            </w:r>
            <w:r w:rsidRPr="0034257F">
              <w:rPr>
                <w:rFonts w:ascii="Arial" w:hAnsi="Arial" w:cs="Arial"/>
                <w:color w:val="000000" w:themeColor="text1"/>
                <w:sz w:val="22"/>
                <w:szCs w:val="22"/>
              </w:rPr>
              <w:t>L.</w:t>
            </w:r>
          </w:p>
        </w:tc>
        <w:tc>
          <w:tcPr>
            <w:tcW w:w="1138" w:type="pct"/>
            <w:tcBorders>
              <w:top w:val="single" w:sz="4" w:space="0" w:color="auto"/>
            </w:tcBorders>
          </w:tcPr>
          <w:p w14:paraId="7326E367" w14:textId="77777777" w:rsidR="00B51BF9" w:rsidRPr="0034257F" w:rsidRDefault="00B51BF9" w:rsidP="00F45BDE">
            <w:pPr>
              <w:jc w:val="center"/>
              <w:rPr>
                <w:rFonts w:ascii="Arial" w:hAnsi="Arial" w:cs="Arial"/>
                <w:color w:val="000000" w:themeColor="text1"/>
                <w:spacing w:val="-2"/>
                <w:sz w:val="22"/>
                <w:szCs w:val="22"/>
              </w:rPr>
            </w:pPr>
            <w:r w:rsidRPr="0034257F">
              <w:rPr>
                <w:rFonts w:ascii="Arial" w:hAnsi="Arial" w:cs="Arial"/>
                <w:color w:val="000000" w:themeColor="text1"/>
                <w:spacing w:val="-2"/>
                <w:sz w:val="22"/>
                <w:szCs w:val="22"/>
              </w:rPr>
              <w:t>monolignol</w:t>
            </w:r>
          </w:p>
        </w:tc>
        <w:tc>
          <w:tcPr>
            <w:tcW w:w="1065" w:type="pct"/>
            <w:tcBorders>
              <w:top w:val="single" w:sz="4" w:space="0" w:color="auto"/>
            </w:tcBorders>
          </w:tcPr>
          <w:p w14:paraId="35EEE280"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P81393</w:t>
            </w:r>
          </w:p>
        </w:tc>
        <w:tc>
          <w:tcPr>
            <w:tcW w:w="844" w:type="pct"/>
            <w:tcBorders>
              <w:top w:val="single" w:sz="4" w:space="0" w:color="auto"/>
            </w:tcBorders>
          </w:tcPr>
          <w:p w14:paraId="28741A8C"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Wang et al., 2013</w:t>
            </w:r>
          </w:p>
        </w:tc>
      </w:tr>
      <w:tr w:rsidR="00B51BF9" w:rsidRPr="003E7C59" w14:paraId="1E31978B" w14:textId="77777777" w:rsidTr="00654748">
        <w:trPr>
          <w:trHeight w:val="432"/>
        </w:trPr>
        <w:tc>
          <w:tcPr>
            <w:tcW w:w="851" w:type="pct"/>
          </w:tcPr>
          <w:p w14:paraId="5BABB98D"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AmMYB330</w:t>
            </w:r>
          </w:p>
        </w:tc>
        <w:tc>
          <w:tcPr>
            <w:tcW w:w="1101" w:type="pct"/>
          </w:tcPr>
          <w:p w14:paraId="65FA4A36"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A</w:t>
            </w:r>
            <w:r w:rsidRPr="0034257F">
              <w:rPr>
                <w:rFonts w:ascii="Arial" w:hAnsi="Arial" w:cs="Arial"/>
                <w:color w:val="000000" w:themeColor="text1"/>
                <w:sz w:val="22"/>
                <w:szCs w:val="22"/>
              </w:rPr>
              <w:t>.</w:t>
            </w:r>
            <w:r w:rsidRPr="0034257F">
              <w:rPr>
                <w:rFonts w:ascii="Arial" w:hAnsi="Arial" w:cs="Arial"/>
                <w:i/>
                <w:iCs/>
                <w:color w:val="000000" w:themeColor="text1"/>
                <w:sz w:val="22"/>
                <w:szCs w:val="22"/>
              </w:rPr>
              <w:t xml:space="preserve"> majus</w:t>
            </w:r>
          </w:p>
        </w:tc>
        <w:tc>
          <w:tcPr>
            <w:tcW w:w="1138" w:type="pct"/>
          </w:tcPr>
          <w:p w14:paraId="4DFDDA59" w14:textId="77777777" w:rsidR="00B51BF9" w:rsidRPr="0034257F" w:rsidRDefault="00B51BF9" w:rsidP="00F45BDE">
            <w:pPr>
              <w:jc w:val="center"/>
              <w:rPr>
                <w:rFonts w:ascii="Arial" w:hAnsi="Arial" w:cs="Arial"/>
                <w:color w:val="000000" w:themeColor="text1"/>
                <w:spacing w:val="-2"/>
                <w:sz w:val="22"/>
                <w:szCs w:val="22"/>
              </w:rPr>
            </w:pPr>
            <w:r w:rsidRPr="0034257F">
              <w:rPr>
                <w:rFonts w:ascii="Arial" w:hAnsi="Arial" w:cs="Arial"/>
                <w:color w:val="000000" w:themeColor="text1"/>
                <w:spacing w:val="-2"/>
                <w:sz w:val="22"/>
                <w:szCs w:val="22"/>
              </w:rPr>
              <w:t>monolignol</w:t>
            </w:r>
          </w:p>
        </w:tc>
        <w:tc>
          <w:tcPr>
            <w:tcW w:w="1065" w:type="pct"/>
          </w:tcPr>
          <w:p w14:paraId="1EAE7548"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P81395</w:t>
            </w:r>
          </w:p>
        </w:tc>
        <w:tc>
          <w:tcPr>
            <w:tcW w:w="844" w:type="pct"/>
          </w:tcPr>
          <w:p w14:paraId="25D602AE"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Wang et al., 2013</w:t>
            </w:r>
          </w:p>
        </w:tc>
      </w:tr>
      <w:tr w:rsidR="00B51BF9" w:rsidRPr="003E7C59" w14:paraId="0B3F92D8" w14:textId="77777777" w:rsidTr="00654748">
        <w:trPr>
          <w:trHeight w:val="432"/>
        </w:trPr>
        <w:tc>
          <w:tcPr>
            <w:tcW w:w="851" w:type="pct"/>
          </w:tcPr>
          <w:p w14:paraId="6F8F6A2A"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AtMYB4</w:t>
            </w:r>
          </w:p>
        </w:tc>
        <w:tc>
          <w:tcPr>
            <w:tcW w:w="1101" w:type="pct"/>
          </w:tcPr>
          <w:p w14:paraId="6BE8AFB6"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i/>
                <w:iCs/>
                <w:color w:val="000000" w:themeColor="text1"/>
                <w:sz w:val="22"/>
                <w:szCs w:val="22"/>
              </w:rPr>
              <w:t xml:space="preserve">Arabidopsis thaliana </w:t>
            </w:r>
            <w:r w:rsidRPr="0034257F">
              <w:rPr>
                <w:rFonts w:ascii="Arial" w:hAnsi="Arial" w:cs="Arial"/>
                <w:color w:val="000000" w:themeColor="text1"/>
                <w:sz w:val="22"/>
                <w:szCs w:val="22"/>
              </w:rPr>
              <w:t>L.</w:t>
            </w:r>
          </w:p>
        </w:tc>
        <w:tc>
          <w:tcPr>
            <w:tcW w:w="1138" w:type="pct"/>
          </w:tcPr>
          <w:p w14:paraId="58A9CD08"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pacing w:val="-2"/>
                <w:sz w:val="22"/>
                <w:szCs w:val="22"/>
              </w:rPr>
              <w:t>phenylpropanoid</w:t>
            </w:r>
          </w:p>
        </w:tc>
        <w:tc>
          <w:tcPr>
            <w:tcW w:w="1065" w:type="pct"/>
          </w:tcPr>
          <w:p w14:paraId="052B85C0"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AT4G38620</w:t>
            </w:r>
          </w:p>
        </w:tc>
        <w:tc>
          <w:tcPr>
            <w:tcW w:w="844" w:type="pct"/>
          </w:tcPr>
          <w:p w14:paraId="71B6C20E"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Jin et al., 2000</w:t>
            </w:r>
          </w:p>
        </w:tc>
      </w:tr>
      <w:tr w:rsidR="00B51BF9" w:rsidRPr="003E7C59" w14:paraId="50160C31" w14:textId="77777777" w:rsidTr="00654748">
        <w:trPr>
          <w:trHeight w:val="432"/>
        </w:trPr>
        <w:tc>
          <w:tcPr>
            <w:tcW w:w="851" w:type="pct"/>
          </w:tcPr>
          <w:p w14:paraId="20F11068"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AtMYB7</w:t>
            </w:r>
          </w:p>
        </w:tc>
        <w:tc>
          <w:tcPr>
            <w:tcW w:w="1101" w:type="pct"/>
          </w:tcPr>
          <w:p w14:paraId="5B0F3880"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A</w:t>
            </w:r>
            <w:r w:rsidRPr="0034257F">
              <w:rPr>
                <w:rFonts w:ascii="Arial" w:hAnsi="Arial" w:cs="Arial"/>
                <w:color w:val="000000" w:themeColor="text1"/>
                <w:sz w:val="22"/>
                <w:szCs w:val="22"/>
              </w:rPr>
              <w:t>.</w:t>
            </w:r>
            <w:r w:rsidRPr="0034257F">
              <w:rPr>
                <w:rFonts w:ascii="Arial" w:hAnsi="Arial" w:cs="Arial"/>
                <w:i/>
                <w:iCs/>
                <w:color w:val="000000" w:themeColor="text1"/>
                <w:sz w:val="22"/>
                <w:szCs w:val="22"/>
              </w:rPr>
              <w:t xml:space="preserve"> thaliana</w:t>
            </w:r>
          </w:p>
        </w:tc>
        <w:tc>
          <w:tcPr>
            <w:tcW w:w="1138" w:type="pct"/>
          </w:tcPr>
          <w:p w14:paraId="71F774B7"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flavanol</w:t>
            </w:r>
          </w:p>
        </w:tc>
        <w:tc>
          <w:tcPr>
            <w:tcW w:w="1065" w:type="pct"/>
          </w:tcPr>
          <w:p w14:paraId="3D45981A"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AT2G16720</w:t>
            </w:r>
          </w:p>
        </w:tc>
        <w:tc>
          <w:tcPr>
            <w:tcW w:w="844" w:type="pct"/>
          </w:tcPr>
          <w:p w14:paraId="31E8EE98"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Fornale et al., 2014</w:t>
            </w:r>
          </w:p>
        </w:tc>
      </w:tr>
      <w:tr w:rsidR="00B51BF9" w:rsidRPr="003E7C59" w14:paraId="28C76222" w14:textId="77777777" w:rsidTr="00654748">
        <w:trPr>
          <w:trHeight w:val="432"/>
        </w:trPr>
        <w:tc>
          <w:tcPr>
            <w:tcW w:w="851" w:type="pct"/>
          </w:tcPr>
          <w:p w14:paraId="78DE9EDF"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AtMYB60</w:t>
            </w:r>
          </w:p>
        </w:tc>
        <w:tc>
          <w:tcPr>
            <w:tcW w:w="1101" w:type="pct"/>
          </w:tcPr>
          <w:p w14:paraId="0F81C082"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A</w:t>
            </w:r>
            <w:r w:rsidRPr="0034257F">
              <w:rPr>
                <w:rFonts w:ascii="Arial" w:hAnsi="Arial" w:cs="Arial"/>
                <w:color w:val="000000" w:themeColor="text1"/>
                <w:sz w:val="22"/>
                <w:szCs w:val="22"/>
              </w:rPr>
              <w:t>.</w:t>
            </w:r>
            <w:r w:rsidRPr="0034257F">
              <w:rPr>
                <w:rFonts w:ascii="Arial" w:hAnsi="Arial" w:cs="Arial"/>
                <w:i/>
                <w:iCs/>
                <w:color w:val="000000" w:themeColor="text1"/>
                <w:sz w:val="22"/>
                <w:szCs w:val="22"/>
              </w:rPr>
              <w:t xml:space="preserve"> thaliana</w:t>
            </w:r>
          </w:p>
        </w:tc>
        <w:tc>
          <w:tcPr>
            <w:tcW w:w="1138" w:type="pct"/>
          </w:tcPr>
          <w:p w14:paraId="7FC2F97D"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pacing w:val="-2"/>
                <w:sz w:val="22"/>
                <w:szCs w:val="22"/>
              </w:rPr>
              <w:t>anthocyanin</w:t>
            </w:r>
          </w:p>
        </w:tc>
        <w:tc>
          <w:tcPr>
            <w:tcW w:w="1065" w:type="pct"/>
          </w:tcPr>
          <w:p w14:paraId="75EA2E70"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AT1G08810</w:t>
            </w:r>
          </w:p>
        </w:tc>
        <w:tc>
          <w:tcPr>
            <w:tcW w:w="844" w:type="pct"/>
          </w:tcPr>
          <w:p w14:paraId="34046C9C"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Park et al., 2008</w:t>
            </w:r>
          </w:p>
        </w:tc>
      </w:tr>
      <w:tr w:rsidR="00B51BF9" w:rsidRPr="003E7C59" w14:paraId="679AE12D" w14:textId="77777777" w:rsidTr="00654748">
        <w:trPr>
          <w:trHeight w:val="432"/>
        </w:trPr>
        <w:tc>
          <w:tcPr>
            <w:tcW w:w="851" w:type="pct"/>
          </w:tcPr>
          <w:p w14:paraId="040C7471"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CmMYB1</w:t>
            </w:r>
          </w:p>
        </w:tc>
        <w:tc>
          <w:tcPr>
            <w:tcW w:w="1101" w:type="pct"/>
          </w:tcPr>
          <w:p w14:paraId="6CDBCE77" w14:textId="3DA0542A" w:rsidR="00B51BF9" w:rsidRPr="0034257F" w:rsidRDefault="00B51BF9" w:rsidP="00F45BDE">
            <w:pPr>
              <w:jc w:val="center"/>
              <w:rPr>
                <w:rFonts w:ascii="Arial" w:hAnsi="Arial" w:cs="Arial"/>
                <w:color w:val="000000" w:themeColor="text1"/>
                <w:sz w:val="22"/>
                <w:szCs w:val="22"/>
              </w:rPr>
            </w:pPr>
            <w:r w:rsidRPr="0034257F">
              <w:rPr>
                <w:rFonts w:ascii="Arial" w:hAnsi="Arial" w:cs="Arial"/>
                <w:i/>
                <w:iCs/>
                <w:color w:val="000000" w:themeColor="text1"/>
                <w:sz w:val="22"/>
                <w:szCs w:val="22"/>
              </w:rPr>
              <w:t xml:space="preserve">Chrysanthemum x morifolium </w:t>
            </w:r>
            <w:r w:rsidR="002D066E" w:rsidRPr="0034257F">
              <w:rPr>
                <w:rFonts w:ascii="Arial" w:hAnsi="Arial" w:cs="Arial"/>
                <w:color w:val="000000" w:themeColor="text1"/>
                <w:sz w:val="22"/>
                <w:szCs w:val="22"/>
              </w:rPr>
              <w:t>(Ramat.) Hemst.</w:t>
            </w:r>
          </w:p>
        </w:tc>
        <w:tc>
          <w:tcPr>
            <w:tcW w:w="1138" w:type="pct"/>
          </w:tcPr>
          <w:p w14:paraId="478CAD02" w14:textId="77777777" w:rsidR="00B51BF9" w:rsidRPr="0034257F" w:rsidRDefault="00B51BF9" w:rsidP="00F45BDE">
            <w:pPr>
              <w:jc w:val="center"/>
              <w:rPr>
                <w:rFonts w:ascii="Arial" w:hAnsi="Arial" w:cs="Arial"/>
                <w:color w:val="000000" w:themeColor="text1"/>
                <w:spacing w:val="-2"/>
                <w:sz w:val="22"/>
                <w:szCs w:val="22"/>
              </w:rPr>
            </w:pPr>
            <w:r w:rsidRPr="0034257F">
              <w:rPr>
                <w:rFonts w:ascii="Arial" w:hAnsi="Arial" w:cs="Arial"/>
                <w:color w:val="000000" w:themeColor="text1"/>
                <w:spacing w:val="-2"/>
                <w:sz w:val="22"/>
                <w:szCs w:val="22"/>
              </w:rPr>
              <w:t>monolignol</w:t>
            </w:r>
          </w:p>
        </w:tc>
        <w:tc>
          <w:tcPr>
            <w:tcW w:w="1065" w:type="pct"/>
          </w:tcPr>
          <w:p w14:paraId="7AD5F047"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AEO27497</w:t>
            </w:r>
          </w:p>
        </w:tc>
        <w:tc>
          <w:tcPr>
            <w:tcW w:w="844" w:type="pct"/>
          </w:tcPr>
          <w:p w14:paraId="7C6FC9BA"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Zhu et al., 2013</w:t>
            </w:r>
          </w:p>
        </w:tc>
      </w:tr>
      <w:tr w:rsidR="00B51BF9" w:rsidRPr="003E7C59" w14:paraId="7B347B12" w14:textId="77777777" w:rsidTr="00654748">
        <w:trPr>
          <w:trHeight w:val="432"/>
        </w:trPr>
        <w:tc>
          <w:tcPr>
            <w:tcW w:w="851" w:type="pct"/>
          </w:tcPr>
          <w:p w14:paraId="3BBD57E2"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CfMYB2</w:t>
            </w:r>
          </w:p>
        </w:tc>
        <w:tc>
          <w:tcPr>
            <w:tcW w:w="1101" w:type="pct"/>
          </w:tcPr>
          <w:p w14:paraId="69E15F74"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Cornus florida </w:t>
            </w:r>
            <w:r w:rsidRPr="0034257F">
              <w:rPr>
                <w:rFonts w:ascii="Arial" w:hAnsi="Arial" w:cs="Arial"/>
                <w:color w:val="000000" w:themeColor="text1"/>
                <w:sz w:val="22"/>
                <w:szCs w:val="22"/>
              </w:rPr>
              <w:t>L.</w:t>
            </w:r>
          </w:p>
        </w:tc>
        <w:tc>
          <w:tcPr>
            <w:tcW w:w="1138" w:type="pct"/>
          </w:tcPr>
          <w:p w14:paraId="0617C3A1" w14:textId="77777777" w:rsidR="00B51BF9" w:rsidRPr="0034257F" w:rsidRDefault="00B51BF9" w:rsidP="00F45BDE">
            <w:pPr>
              <w:jc w:val="center"/>
              <w:rPr>
                <w:rFonts w:ascii="Arial" w:hAnsi="Arial" w:cs="Arial"/>
                <w:color w:val="000000" w:themeColor="text1"/>
                <w:spacing w:val="-2"/>
                <w:sz w:val="22"/>
                <w:szCs w:val="22"/>
              </w:rPr>
            </w:pPr>
            <w:r w:rsidRPr="0034257F">
              <w:rPr>
                <w:rFonts w:ascii="Arial" w:hAnsi="Arial" w:cs="Arial"/>
                <w:color w:val="000000" w:themeColor="text1"/>
                <w:sz w:val="22"/>
                <w:szCs w:val="22"/>
              </w:rPr>
              <w:t>proanthocyanidin</w:t>
            </w:r>
          </w:p>
        </w:tc>
        <w:tc>
          <w:tcPr>
            <w:tcW w:w="1065" w:type="pct"/>
          </w:tcPr>
          <w:p w14:paraId="58B8ACD6"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OP382881</w:t>
            </w:r>
          </w:p>
        </w:tc>
        <w:tc>
          <w:tcPr>
            <w:tcW w:w="844" w:type="pct"/>
          </w:tcPr>
          <w:p w14:paraId="3FCB742B"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Pavlovic et al. (under preparation)</w:t>
            </w:r>
          </w:p>
        </w:tc>
      </w:tr>
      <w:tr w:rsidR="00B51BF9" w:rsidRPr="003E7C59" w14:paraId="4B00FA3A" w14:textId="77777777" w:rsidTr="00654748">
        <w:trPr>
          <w:trHeight w:val="432"/>
        </w:trPr>
        <w:tc>
          <w:tcPr>
            <w:tcW w:w="851" w:type="pct"/>
          </w:tcPr>
          <w:p w14:paraId="27625F7F"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CfMYB2</w:t>
            </w:r>
          </w:p>
        </w:tc>
        <w:tc>
          <w:tcPr>
            <w:tcW w:w="1101" w:type="pct"/>
          </w:tcPr>
          <w:p w14:paraId="03F64BA7"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C. florida</w:t>
            </w:r>
          </w:p>
        </w:tc>
        <w:tc>
          <w:tcPr>
            <w:tcW w:w="1138" w:type="pct"/>
          </w:tcPr>
          <w:p w14:paraId="1AC10835"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proanthocyanidin</w:t>
            </w:r>
          </w:p>
        </w:tc>
        <w:tc>
          <w:tcPr>
            <w:tcW w:w="1065" w:type="pct"/>
          </w:tcPr>
          <w:p w14:paraId="7A64981E"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OP382882</w:t>
            </w:r>
          </w:p>
        </w:tc>
        <w:tc>
          <w:tcPr>
            <w:tcW w:w="844" w:type="pct"/>
          </w:tcPr>
          <w:p w14:paraId="002C9FF4"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Pavlovic et al. (under preparation)</w:t>
            </w:r>
          </w:p>
        </w:tc>
      </w:tr>
      <w:tr w:rsidR="00B51BF9" w:rsidRPr="003E7C59" w14:paraId="3947D6A9" w14:textId="77777777" w:rsidTr="00654748">
        <w:trPr>
          <w:trHeight w:val="432"/>
        </w:trPr>
        <w:tc>
          <w:tcPr>
            <w:tcW w:w="851" w:type="pct"/>
          </w:tcPr>
          <w:p w14:paraId="7F8C71D0"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CkMYB2</w:t>
            </w:r>
          </w:p>
        </w:tc>
        <w:tc>
          <w:tcPr>
            <w:tcW w:w="1101" w:type="pct"/>
          </w:tcPr>
          <w:p w14:paraId="49F7329F"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C. kousa </w:t>
            </w:r>
            <w:r w:rsidRPr="0034257F">
              <w:rPr>
                <w:rFonts w:ascii="Arial" w:hAnsi="Arial" w:cs="Arial"/>
                <w:color w:val="000000" w:themeColor="text1"/>
                <w:sz w:val="22"/>
                <w:szCs w:val="22"/>
              </w:rPr>
              <w:t>F. Buerger ex Hance F</w:t>
            </w:r>
          </w:p>
        </w:tc>
        <w:tc>
          <w:tcPr>
            <w:tcW w:w="1138" w:type="pct"/>
          </w:tcPr>
          <w:p w14:paraId="2B5DD38E"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pacing w:val="-2"/>
                <w:sz w:val="22"/>
                <w:szCs w:val="22"/>
              </w:rPr>
              <w:t>anthocyanin</w:t>
            </w:r>
            <w:r w:rsidRPr="0034257F">
              <w:rPr>
                <w:rFonts w:ascii="Arial" w:hAnsi="Arial" w:cs="Arial"/>
                <w:color w:val="000000" w:themeColor="text1"/>
                <w:sz w:val="22"/>
                <w:szCs w:val="22"/>
              </w:rPr>
              <w:t>, proanthocyanidin</w:t>
            </w:r>
          </w:p>
        </w:tc>
        <w:tc>
          <w:tcPr>
            <w:tcW w:w="1065" w:type="pct"/>
          </w:tcPr>
          <w:p w14:paraId="4989C79A"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OP382884</w:t>
            </w:r>
          </w:p>
        </w:tc>
        <w:tc>
          <w:tcPr>
            <w:tcW w:w="844" w:type="pct"/>
          </w:tcPr>
          <w:p w14:paraId="45BB30B1"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Pavlovic et al. (under preparation)</w:t>
            </w:r>
          </w:p>
        </w:tc>
      </w:tr>
      <w:tr w:rsidR="00B51BF9" w:rsidRPr="003E7C59" w14:paraId="43BAA904" w14:textId="77777777" w:rsidTr="00654748">
        <w:trPr>
          <w:trHeight w:val="432"/>
        </w:trPr>
        <w:tc>
          <w:tcPr>
            <w:tcW w:w="851" w:type="pct"/>
          </w:tcPr>
          <w:p w14:paraId="1402DB80"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EgMYB1</w:t>
            </w:r>
          </w:p>
        </w:tc>
        <w:tc>
          <w:tcPr>
            <w:tcW w:w="1101" w:type="pct"/>
          </w:tcPr>
          <w:p w14:paraId="4CAB89A0"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Eucalyptus gunni </w:t>
            </w:r>
            <w:r w:rsidRPr="0034257F">
              <w:rPr>
                <w:rFonts w:ascii="Arial" w:hAnsi="Arial" w:cs="Arial"/>
                <w:color w:val="000000" w:themeColor="text1"/>
                <w:sz w:val="22"/>
                <w:szCs w:val="22"/>
              </w:rPr>
              <w:t>Hook</w:t>
            </w:r>
          </w:p>
        </w:tc>
        <w:tc>
          <w:tcPr>
            <w:tcW w:w="1138" w:type="pct"/>
          </w:tcPr>
          <w:p w14:paraId="6BCBADF1"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pacing w:val="-2"/>
                <w:sz w:val="22"/>
                <w:szCs w:val="22"/>
              </w:rPr>
              <w:t>monolignol</w:t>
            </w:r>
          </w:p>
        </w:tc>
        <w:tc>
          <w:tcPr>
            <w:tcW w:w="1065" w:type="pct"/>
          </w:tcPr>
          <w:p w14:paraId="7FDCE930"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CAE09058</w:t>
            </w:r>
          </w:p>
        </w:tc>
        <w:tc>
          <w:tcPr>
            <w:tcW w:w="844" w:type="pct"/>
          </w:tcPr>
          <w:p w14:paraId="58EAD357"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Paux et al., 2004</w:t>
            </w:r>
          </w:p>
        </w:tc>
      </w:tr>
      <w:tr w:rsidR="00B51BF9" w:rsidRPr="003E7C59" w14:paraId="4CD8F8C9" w14:textId="77777777" w:rsidTr="00654748">
        <w:trPr>
          <w:trHeight w:val="432"/>
        </w:trPr>
        <w:tc>
          <w:tcPr>
            <w:tcW w:w="851" w:type="pct"/>
          </w:tcPr>
          <w:p w14:paraId="6AF2D452"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FaMYB1</w:t>
            </w:r>
          </w:p>
        </w:tc>
        <w:tc>
          <w:tcPr>
            <w:tcW w:w="1101" w:type="pct"/>
          </w:tcPr>
          <w:p w14:paraId="00C82DC7" w14:textId="22F6E0CA" w:rsidR="00B51BF9" w:rsidRPr="0034257F" w:rsidRDefault="00B51BF9" w:rsidP="00F45BDE">
            <w:pPr>
              <w:jc w:val="center"/>
              <w:rPr>
                <w:rFonts w:ascii="Arial" w:hAnsi="Arial" w:cs="Arial"/>
                <w:color w:val="000000" w:themeColor="text1"/>
                <w:sz w:val="22"/>
                <w:szCs w:val="22"/>
              </w:rPr>
            </w:pPr>
            <w:r w:rsidRPr="0034257F">
              <w:rPr>
                <w:rFonts w:ascii="Arial" w:hAnsi="Arial" w:cs="Arial"/>
                <w:i/>
                <w:iCs/>
                <w:color w:val="000000" w:themeColor="text1"/>
                <w:sz w:val="22"/>
                <w:szCs w:val="22"/>
              </w:rPr>
              <w:t>Fragaria</w:t>
            </w:r>
            <w:r w:rsidR="00221C89" w:rsidRPr="0034257F">
              <w:rPr>
                <w:rFonts w:ascii="Arial" w:hAnsi="Arial" w:cs="Arial"/>
                <w:i/>
                <w:iCs/>
                <w:color w:val="000000" w:themeColor="text1"/>
                <w:sz w:val="22"/>
                <w:szCs w:val="22"/>
              </w:rPr>
              <w:t xml:space="preserve"> </w:t>
            </w:r>
            <w:r w:rsidR="00221C89" w:rsidRPr="0034257F">
              <w:rPr>
                <w:rFonts w:ascii="Arial" w:hAnsi="Arial" w:cs="Arial"/>
                <w:color w:val="000000" w:themeColor="text1"/>
                <w:sz w:val="22"/>
                <w:szCs w:val="22"/>
              </w:rPr>
              <w:t>x</w:t>
            </w:r>
            <w:r w:rsidRPr="0034257F">
              <w:rPr>
                <w:rFonts w:ascii="Arial" w:hAnsi="Arial" w:cs="Arial"/>
                <w:i/>
                <w:iCs/>
                <w:color w:val="000000" w:themeColor="text1"/>
                <w:sz w:val="22"/>
                <w:szCs w:val="22"/>
              </w:rPr>
              <w:t xml:space="preserve"> ananassa </w:t>
            </w:r>
            <w:r w:rsidR="00221C89" w:rsidRPr="0034257F">
              <w:rPr>
                <w:rFonts w:ascii="Arial" w:hAnsi="Arial" w:cs="Arial"/>
                <w:color w:val="000000" w:themeColor="text1"/>
                <w:sz w:val="22"/>
                <w:szCs w:val="22"/>
              </w:rPr>
              <w:t>Duchesne</w:t>
            </w:r>
          </w:p>
        </w:tc>
        <w:tc>
          <w:tcPr>
            <w:tcW w:w="1138" w:type="pct"/>
          </w:tcPr>
          <w:p w14:paraId="1A90D2A2" w14:textId="77777777" w:rsidR="00B51BF9" w:rsidRPr="0034257F" w:rsidRDefault="00B51BF9" w:rsidP="00F45BDE">
            <w:pPr>
              <w:jc w:val="center"/>
              <w:rPr>
                <w:rFonts w:ascii="Arial" w:hAnsi="Arial" w:cs="Arial"/>
                <w:color w:val="000000" w:themeColor="text1"/>
                <w:spacing w:val="-2"/>
                <w:sz w:val="22"/>
                <w:szCs w:val="22"/>
              </w:rPr>
            </w:pPr>
            <w:r w:rsidRPr="0034257F">
              <w:rPr>
                <w:rFonts w:ascii="Arial" w:hAnsi="Arial" w:cs="Arial"/>
                <w:color w:val="000000" w:themeColor="text1"/>
                <w:sz w:val="22"/>
                <w:szCs w:val="22"/>
              </w:rPr>
              <w:t>anthocyanin,</w:t>
            </w:r>
            <w:r w:rsidRPr="0034257F">
              <w:rPr>
                <w:rFonts w:ascii="Arial" w:hAnsi="Arial" w:cs="Arial"/>
                <w:color w:val="000000" w:themeColor="text1"/>
                <w:spacing w:val="-8"/>
                <w:sz w:val="22"/>
                <w:szCs w:val="22"/>
              </w:rPr>
              <w:t xml:space="preserve"> </w:t>
            </w:r>
            <w:r w:rsidRPr="0034257F">
              <w:rPr>
                <w:rFonts w:ascii="Arial" w:hAnsi="Arial" w:cs="Arial"/>
                <w:color w:val="000000" w:themeColor="text1"/>
                <w:sz w:val="22"/>
                <w:szCs w:val="22"/>
              </w:rPr>
              <w:t>flavanol</w:t>
            </w:r>
          </w:p>
        </w:tc>
        <w:tc>
          <w:tcPr>
            <w:tcW w:w="1065" w:type="pct"/>
          </w:tcPr>
          <w:p w14:paraId="40ED5231"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AF401220</w:t>
            </w:r>
          </w:p>
        </w:tc>
        <w:tc>
          <w:tcPr>
            <w:tcW w:w="844" w:type="pct"/>
          </w:tcPr>
          <w:p w14:paraId="6B76EFC3"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Aharoni et al., 2001</w:t>
            </w:r>
          </w:p>
        </w:tc>
      </w:tr>
      <w:tr w:rsidR="00B51BF9" w:rsidRPr="003E7C59" w14:paraId="0D7CC371" w14:textId="77777777" w:rsidTr="00654748">
        <w:trPr>
          <w:trHeight w:val="432"/>
        </w:trPr>
        <w:tc>
          <w:tcPr>
            <w:tcW w:w="851" w:type="pct"/>
          </w:tcPr>
          <w:p w14:paraId="3ACD150E"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FcMYB1</w:t>
            </w:r>
          </w:p>
        </w:tc>
        <w:tc>
          <w:tcPr>
            <w:tcW w:w="1101" w:type="pct"/>
          </w:tcPr>
          <w:p w14:paraId="68AD9259" w14:textId="77777777" w:rsidR="00B51BF9" w:rsidRPr="0034257F" w:rsidRDefault="00B51BF9"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F</w:t>
            </w:r>
            <w:r w:rsidRPr="0034257F">
              <w:rPr>
                <w:rFonts w:ascii="Arial" w:hAnsi="Arial" w:cs="Arial"/>
                <w:color w:val="000000" w:themeColor="text1"/>
                <w:sz w:val="22"/>
                <w:szCs w:val="22"/>
              </w:rPr>
              <w:t>.</w:t>
            </w:r>
            <w:r w:rsidRPr="0034257F">
              <w:rPr>
                <w:rFonts w:ascii="Arial" w:hAnsi="Arial" w:cs="Arial"/>
                <w:i/>
                <w:iCs/>
                <w:color w:val="000000" w:themeColor="text1"/>
                <w:sz w:val="22"/>
                <w:szCs w:val="22"/>
              </w:rPr>
              <w:t xml:space="preserve"> chiloensis </w:t>
            </w:r>
            <w:r w:rsidRPr="0034257F">
              <w:rPr>
                <w:rFonts w:ascii="Arial" w:hAnsi="Arial" w:cs="Arial"/>
                <w:color w:val="000000" w:themeColor="text1"/>
                <w:sz w:val="22"/>
                <w:szCs w:val="22"/>
              </w:rPr>
              <w:t>Mill.</w:t>
            </w:r>
          </w:p>
        </w:tc>
        <w:tc>
          <w:tcPr>
            <w:tcW w:w="1138" w:type="pct"/>
          </w:tcPr>
          <w:p w14:paraId="65D45F7C" w14:textId="77777777" w:rsidR="00B51BF9" w:rsidRPr="0034257F" w:rsidRDefault="00B51BF9" w:rsidP="00F45BDE">
            <w:pPr>
              <w:jc w:val="center"/>
              <w:rPr>
                <w:rFonts w:ascii="Arial" w:hAnsi="Arial" w:cs="Arial"/>
                <w:color w:val="000000" w:themeColor="text1"/>
                <w:spacing w:val="-2"/>
                <w:sz w:val="22"/>
                <w:szCs w:val="22"/>
              </w:rPr>
            </w:pPr>
            <w:r w:rsidRPr="0034257F">
              <w:rPr>
                <w:rFonts w:ascii="Arial" w:hAnsi="Arial" w:cs="Arial"/>
                <w:color w:val="000000" w:themeColor="text1"/>
                <w:spacing w:val="-2"/>
                <w:sz w:val="22"/>
                <w:szCs w:val="22"/>
              </w:rPr>
              <w:t>anthocyanin</w:t>
            </w:r>
          </w:p>
        </w:tc>
        <w:tc>
          <w:tcPr>
            <w:tcW w:w="1065" w:type="pct"/>
          </w:tcPr>
          <w:p w14:paraId="1F5FFB41"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ADK56163.1</w:t>
            </w:r>
          </w:p>
        </w:tc>
        <w:tc>
          <w:tcPr>
            <w:tcW w:w="844" w:type="pct"/>
          </w:tcPr>
          <w:p w14:paraId="4036B2F9" w14:textId="77777777" w:rsidR="00B51BF9" w:rsidRPr="0034257F" w:rsidRDefault="00B51BF9"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Salvatierra et al., 2013</w:t>
            </w:r>
          </w:p>
        </w:tc>
      </w:tr>
      <w:tr w:rsidR="00875665" w:rsidRPr="003E7C59" w14:paraId="58A63034" w14:textId="77777777" w:rsidTr="00654748">
        <w:trPr>
          <w:trHeight w:val="432"/>
        </w:trPr>
        <w:tc>
          <w:tcPr>
            <w:tcW w:w="851" w:type="pct"/>
          </w:tcPr>
          <w:p w14:paraId="59550966" w14:textId="042F61A9"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GmMYB100</w:t>
            </w:r>
          </w:p>
        </w:tc>
        <w:tc>
          <w:tcPr>
            <w:tcW w:w="1101" w:type="pct"/>
          </w:tcPr>
          <w:p w14:paraId="2E567874" w14:textId="28C23AF5" w:rsidR="00875665" w:rsidRPr="0034257F" w:rsidRDefault="00875665"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Glycine max </w:t>
            </w:r>
            <w:r w:rsidRPr="0034257F">
              <w:rPr>
                <w:rFonts w:ascii="Arial" w:hAnsi="Arial" w:cs="Arial"/>
                <w:color w:val="000000" w:themeColor="text1"/>
                <w:sz w:val="22"/>
                <w:szCs w:val="22"/>
              </w:rPr>
              <w:t xml:space="preserve">Merr. </w:t>
            </w:r>
          </w:p>
        </w:tc>
        <w:tc>
          <w:tcPr>
            <w:tcW w:w="1138" w:type="pct"/>
          </w:tcPr>
          <w:p w14:paraId="4657D148" w14:textId="3E5C8313" w:rsidR="00875665" w:rsidRPr="0034257F" w:rsidRDefault="00875665" w:rsidP="00F45BDE">
            <w:pPr>
              <w:jc w:val="center"/>
              <w:rPr>
                <w:rFonts w:ascii="Arial" w:hAnsi="Arial" w:cs="Arial"/>
                <w:color w:val="000000" w:themeColor="text1"/>
                <w:spacing w:val="-2"/>
                <w:sz w:val="22"/>
                <w:szCs w:val="22"/>
              </w:rPr>
            </w:pPr>
            <w:r w:rsidRPr="0034257F">
              <w:rPr>
                <w:rFonts w:ascii="Arial" w:hAnsi="Arial" w:cs="Arial"/>
                <w:color w:val="000000" w:themeColor="text1"/>
                <w:sz w:val="22"/>
                <w:szCs w:val="22"/>
              </w:rPr>
              <w:t>isoflavanol, flavanol</w:t>
            </w:r>
          </w:p>
        </w:tc>
        <w:tc>
          <w:tcPr>
            <w:tcW w:w="1065" w:type="pct"/>
          </w:tcPr>
          <w:p w14:paraId="32049A83" w14:textId="7E1D40F9"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ABH02893.1</w:t>
            </w:r>
          </w:p>
        </w:tc>
        <w:tc>
          <w:tcPr>
            <w:tcW w:w="844" w:type="pct"/>
          </w:tcPr>
          <w:p w14:paraId="75A867E2" w14:textId="43527ED4"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Yan et al., 2015</w:t>
            </w:r>
          </w:p>
        </w:tc>
      </w:tr>
      <w:tr w:rsidR="00875665" w:rsidRPr="003E7C59" w14:paraId="2396BD87" w14:textId="77777777" w:rsidTr="00654748">
        <w:trPr>
          <w:trHeight w:val="432"/>
        </w:trPr>
        <w:tc>
          <w:tcPr>
            <w:tcW w:w="851" w:type="pct"/>
          </w:tcPr>
          <w:p w14:paraId="7A941254" w14:textId="4ED853EC"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LlMYB1</w:t>
            </w:r>
          </w:p>
        </w:tc>
        <w:tc>
          <w:tcPr>
            <w:tcW w:w="1101" w:type="pct"/>
          </w:tcPr>
          <w:p w14:paraId="1D901FBF" w14:textId="5C185475" w:rsidR="00875665" w:rsidRPr="0034257F" w:rsidRDefault="00875665"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Leucaena leucocephala </w:t>
            </w:r>
            <w:r w:rsidRPr="0034257F">
              <w:rPr>
                <w:rFonts w:ascii="Arial" w:hAnsi="Arial" w:cs="Arial"/>
                <w:color w:val="000000" w:themeColor="text1"/>
                <w:sz w:val="22"/>
                <w:szCs w:val="22"/>
              </w:rPr>
              <w:t>(Lam.) de Wit</w:t>
            </w:r>
          </w:p>
        </w:tc>
        <w:tc>
          <w:tcPr>
            <w:tcW w:w="1138" w:type="pct"/>
          </w:tcPr>
          <w:p w14:paraId="3D1EA659" w14:textId="2C6CF089" w:rsidR="00875665" w:rsidRPr="0034257F" w:rsidRDefault="00875665" w:rsidP="00F45BDE">
            <w:pPr>
              <w:jc w:val="center"/>
              <w:rPr>
                <w:rFonts w:ascii="Arial" w:hAnsi="Arial" w:cs="Arial"/>
                <w:color w:val="000000" w:themeColor="text1"/>
                <w:spacing w:val="-2"/>
                <w:sz w:val="22"/>
                <w:szCs w:val="22"/>
              </w:rPr>
            </w:pPr>
            <w:r w:rsidRPr="0034257F">
              <w:rPr>
                <w:rFonts w:ascii="Arial" w:hAnsi="Arial" w:cs="Arial"/>
                <w:color w:val="000000" w:themeColor="text1"/>
                <w:sz w:val="22"/>
                <w:szCs w:val="22"/>
              </w:rPr>
              <w:t>monolignol</w:t>
            </w:r>
          </w:p>
        </w:tc>
        <w:tc>
          <w:tcPr>
            <w:tcW w:w="1065" w:type="pct"/>
          </w:tcPr>
          <w:p w14:paraId="5BE07481" w14:textId="6A547E0D"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ADY3839</w:t>
            </w:r>
          </w:p>
        </w:tc>
        <w:tc>
          <w:tcPr>
            <w:tcW w:w="844" w:type="pct"/>
          </w:tcPr>
          <w:p w14:paraId="4CE26057" w14:textId="4674A119"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Omer et al., 2013</w:t>
            </w:r>
          </w:p>
        </w:tc>
      </w:tr>
      <w:tr w:rsidR="00875665" w:rsidRPr="003E7C59" w14:paraId="0B2B722E" w14:textId="77777777" w:rsidTr="00654748">
        <w:trPr>
          <w:trHeight w:val="432"/>
        </w:trPr>
        <w:tc>
          <w:tcPr>
            <w:tcW w:w="851" w:type="pct"/>
          </w:tcPr>
          <w:p w14:paraId="68F1A84D" w14:textId="035516E6"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MdMYB3</w:t>
            </w:r>
          </w:p>
        </w:tc>
        <w:tc>
          <w:tcPr>
            <w:tcW w:w="1101" w:type="pct"/>
          </w:tcPr>
          <w:p w14:paraId="19D27E06" w14:textId="725C2EB9" w:rsidR="00875665" w:rsidRPr="0034257F" w:rsidRDefault="00875665"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Malus domestica </w:t>
            </w:r>
            <w:r w:rsidRPr="0034257F">
              <w:rPr>
                <w:rFonts w:ascii="Arial" w:hAnsi="Arial" w:cs="Arial"/>
                <w:color w:val="000000" w:themeColor="text1"/>
                <w:sz w:val="22"/>
                <w:szCs w:val="22"/>
              </w:rPr>
              <w:t>Borkh.</w:t>
            </w:r>
          </w:p>
        </w:tc>
        <w:tc>
          <w:tcPr>
            <w:tcW w:w="1138" w:type="pct"/>
          </w:tcPr>
          <w:p w14:paraId="3B395CCF" w14:textId="55795FC0" w:rsidR="00875665" w:rsidRPr="0034257F" w:rsidRDefault="00875665" w:rsidP="00F45BDE">
            <w:pPr>
              <w:jc w:val="center"/>
              <w:rPr>
                <w:rFonts w:ascii="Arial" w:hAnsi="Arial" w:cs="Arial"/>
                <w:color w:val="000000" w:themeColor="text1"/>
                <w:spacing w:val="-2"/>
                <w:sz w:val="22"/>
                <w:szCs w:val="22"/>
              </w:rPr>
            </w:pPr>
            <w:r w:rsidRPr="0034257F">
              <w:rPr>
                <w:rFonts w:ascii="Arial" w:hAnsi="Arial" w:cs="Arial"/>
                <w:color w:val="000000" w:themeColor="text1"/>
                <w:spacing w:val="-2"/>
                <w:sz w:val="22"/>
                <w:szCs w:val="22"/>
              </w:rPr>
              <w:t>anthocyanin, flavanol</w:t>
            </w:r>
          </w:p>
        </w:tc>
        <w:tc>
          <w:tcPr>
            <w:tcW w:w="1065" w:type="pct"/>
          </w:tcPr>
          <w:p w14:paraId="22AA469F" w14:textId="2C5B32ED"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AEX08668</w:t>
            </w:r>
          </w:p>
        </w:tc>
        <w:tc>
          <w:tcPr>
            <w:tcW w:w="844" w:type="pct"/>
          </w:tcPr>
          <w:p w14:paraId="7963F7EF" w14:textId="41BD7056"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Tian et al., 2017</w:t>
            </w:r>
          </w:p>
        </w:tc>
      </w:tr>
      <w:tr w:rsidR="00875665" w:rsidRPr="003E7C59" w14:paraId="2A51F575" w14:textId="77777777" w:rsidTr="00654748">
        <w:trPr>
          <w:trHeight w:val="432"/>
        </w:trPr>
        <w:tc>
          <w:tcPr>
            <w:tcW w:w="851" w:type="pct"/>
            <w:tcBorders>
              <w:bottom w:val="nil"/>
            </w:tcBorders>
          </w:tcPr>
          <w:p w14:paraId="1CC806FC" w14:textId="1B8B5C99"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MtMYB2</w:t>
            </w:r>
          </w:p>
        </w:tc>
        <w:tc>
          <w:tcPr>
            <w:tcW w:w="1101" w:type="pct"/>
            <w:tcBorders>
              <w:bottom w:val="nil"/>
            </w:tcBorders>
          </w:tcPr>
          <w:p w14:paraId="40C0B4D5" w14:textId="4C6C2CC1" w:rsidR="00875665" w:rsidRPr="0034257F" w:rsidRDefault="00875665"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Medicago truncatula </w:t>
            </w:r>
            <w:r w:rsidRPr="0034257F">
              <w:rPr>
                <w:rFonts w:ascii="Arial" w:hAnsi="Arial" w:cs="Arial"/>
                <w:color w:val="000000" w:themeColor="text1"/>
                <w:sz w:val="22"/>
                <w:szCs w:val="22"/>
              </w:rPr>
              <w:t>Gaertn.</w:t>
            </w:r>
          </w:p>
        </w:tc>
        <w:tc>
          <w:tcPr>
            <w:tcW w:w="1138" w:type="pct"/>
            <w:tcBorders>
              <w:bottom w:val="nil"/>
            </w:tcBorders>
          </w:tcPr>
          <w:p w14:paraId="3BE62D90" w14:textId="6CFDB36A" w:rsidR="00875665" w:rsidRPr="0034257F" w:rsidRDefault="00875665" w:rsidP="00F45BDE">
            <w:pPr>
              <w:jc w:val="center"/>
              <w:rPr>
                <w:rFonts w:ascii="Arial" w:hAnsi="Arial" w:cs="Arial"/>
                <w:color w:val="000000" w:themeColor="text1"/>
                <w:spacing w:val="-2"/>
                <w:sz w:val="22"/>
                <w:szCs w:val="22"/>
              </w:rPr>
            </w:pPr>
            <w:r w:rsidRPr="0034257F">
              <w:rPr>
                <w:rFonts w:ascii="Arial" w:hAnsi="Arial" w:cs="Arial"/>
                <w:color w:val="000000" w:themeColor="text1"/>
                <w:sz w:val="22"/>
                <w:szCs w:val="22"/>
              </w:rPr>
              <w:t>anthocyanin</w:t>
            </w:r>
          </w:p>
        </w:tc>
        <w:tc>
          <w:tcPr>
            <w:tcW w:w="1065" w:type="pct"/>
            <w:tcBorders>
              <w:bottom w:val="nil"/>
            </w:tcBorders>
          </w:tcPr>
          <w:p w14:paraId="086ED385" w14:textId="5BD8D866"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XM_003616340</w:t>
            </w:r>
          </w:p>
        </w:tc>
        <w:tc>
          <w:tcPr>
            <w:tcW w:w="844" w:type="pct"/>
            <w:tcBorders>
              <w:bottom w:val="nil"/>
            </w:tcBorders>
          </w:tcPr>
          <w:p w14:paraId="1EB53F81" w14:textId="28F2BAAA"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Jun et al., 2015</w:t>
            </w:r>
          </w:p>
        </w:tc>
      </w:tr>
      <w:tr w:rsidR="00875665" w:rsidRPr="003E7C59" w14:paraId="4B77525B" w14:textId="77777777" w:rsidTr="00654748">
        <w:trPr>
          <w:trHeight w:val="432"/>
        </w:trPr>
        <w:tc>
          <w:tcPr>
            <w:tcW w:w="851" w:type="pct"/>
            <w:tcBorders>
              <w:top w:val="nil"/>
              <w:bottom w:val="single" w:sz="4" w:space="0" w:color="auto"/>
            </w:tcBorders>
          </w:tcPr>
          <w:p w14:paraId="254248D2" w14:textId="02EFDE08"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PhMYB27</w:t>
            </w:r>
          </w:p>
        </w:tc>
        <w:tc>
          <w:tcPr>
            <w:tcW w:w="1101" w:type="pct"/>
            <w:tcBorders>
              <w:top w:val="nil"/>
              <w:bottom w:val="single" w:sz="4" w:space="0" w:color="auto"/>
            </w:tcBorders>
          </w:tcPr>
          <w:p w14:paraId="47259D51" w14:textId="77777777" w:rsidR="00875665" w:rsidRPr="0034257F" w:rsidRDefault="00875665" w:rsidP="00F45BDE">
            <w:pPr>
              <w:jc w:val="center"/>
              <w:rPr>
                <w:rFonts w:ascii="Arial" w:hAnsi="Arial" w:cs="Arial"/>
                <w:i/>
                <w:iCs/>
                <w:color w:val="000000" w:themeColor="text1"/>
                <w:sz w:val="22"/>
                <w:szCs w:val="22"/>
              </w:rPr>
            </w:pPr>
            <w:r w:rsidRPr="0034257F">
              <w:rPr>
                <w:rFonts w:ascii="Arial" w:hAnsi="Arial" w:cs="Arial"/>
                <w:i/>
                <w:iCs/>
                <w:color w:val="000000" w:themeColor="text1"/>
                <w:sz w:val="22"/>
                <w:szCs w:val="22"/>
              </w:rPr>
              <w:t xml:space="preserve">Petunia hybrida </w:t>
            </w:r>
          </w:p>
          <w:p w14:paraId="7AF0666B" w14:textId="0911000D" w:rsidR="00875665" w:rsidRPr="0034257F" w:rsidRDefault="00875665" w:rsidP="00F45BDE">
            <w:pPr>
              <w:jc w:val="center"/>
              <w:rPr>
                <w:rFonts w:ascii="Arial" w:hAnsi="Arial" w:cs="Arial"/>
                <w:i/>
                <w:iCs/>
                <w:color w:val="000000" w:themeColor="text1"/>
                <w:sz w:val="22"/>
                <w:szCs w:val="22"/>
              </w:rPr>
            </w:pPr>
            <w:r w:rsidRPr="0034257F">
              <w:rPr>
                <w:rFonts w:ascii="Arial" w:hAnsi="Arial" w:cs="Arial"/>
                <w:color w:val="000000" w:themeColor="text1"/>
                <w:sz w:val="22"/>
                <w:szCs w:val="22"/>
                <w:shd w:val="clear" w:color="auto" w:fill="F8F9FA"/>
              </w:rPr>
              <w:t>D. Don ex W. H. Baxter</w:t>
            </w:r>
          </w:p>
        </w:tc>
        <w:tc>
          <w:tcPr>
            <w:tcW w:w="1138" w:type="pct"/>
            <w:tcBorders>
              <w:top w:val="nil"/>
              <w:bottom w:val="single" w:sz="4" w:space="0" w:color="auto"/>
            </w:tcBorders>
          </w:tcPr>
          <w:p w14:paraId="739617AC" w14:textId="6C3BB21C" w:rsidR="00875665" w:rsidRPr="0034257F" w:rsidRDefault="00875665" w:rsidP="00F45BDE">
            <w:pPr>
              <w:jc w:val="center"/>
              <w:rPr>
                <w:rFonts w:ascii="Arial" w:hAnsi="Arial" w:cs="Arial"/>
                <w:color w:val="000000" w:themeColor="text1"/>
                <w:spacing w:val="-2"/>
                <w:sz w:val="22"/>
                <w:szCs w:val="22"/>
              </w:rPr>
            </w:pPr>
            <w:r w:rsidRPr="0034257F">
              <w:rPr>
                <w:rFonts w:ascii="Arial" w:hAnsi="Arial" w:cs="Arial"/>
                <w:color w:val="000000" w:themeColor="text1"/>
                <w:sz w:val="22"/>
                <w:szCs w:val="22"/>
              </w:rPr>
              <w:t>anthocyanin</w:t>
            </w:r>
          </w:p>
        </w:tc>
        <w:tc>
          <w:tcPr>
            <w:tcW w:w="1065" w:type="pct"/>
            <w:tcBorders>
              <w:top w:val="nil"/>
              <w:bottom w:val="single" w:sz="4" w:space="0" w:color="auto"/>
            </w:tcBorders>
          </w:tcPr>
          <w:p w14:paraId="6017049D" w14:textId="492CCFA3"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KF985023</w:t>
            </w:r>
          </w:p>
        </w:tc>
        <w:tc>
          <w:tcPr>
            <w:tcW w:w="844" w:type="pct"/>
            <w:tcBorders>
              <w:top w:val="nil"/>
              <w:bottom w:val="single" w:sz="4" w:space="0" w:color="auto"/>
            </w:tcBorders>
          </w:tcPr>
          <w:p w14:paraId="6E18E0DC" w14:textId="5726769B" w:rsidR="00875665" w:rsidRPr="0034257F" w:rsidRDefault="00875665" w:rsidP="00F45BDE">
            <w:pPr>
              <w:jc w:val="center"/>
              <w:rPr>
                <w:rFonts w:ascii="Arial" w:hAnsi="Arial" w:cs="Arial"/>
                <w:color w:val="000000" w:themeColor="text1"/>
                <w:sz w:val="22"/>
                <w:szCs w:val="22"/>
              </w:rPr>
            </w:pPr>
            <w:r w:rsidRPr="0034257F">
              <w:rPr>
                <w:rFonts w:ascii="Arial" w:hAnsi="Arial" w:cs="Arial"/>
                <w:color w:val="000000" w:themeColor="text1"/>
                <w:sz w:val="22"/>
                <w:szCs w:val="22"/>
              </w:rPr>
              <w:t>Albert et al., 2014</w:t>
            </w:r>
          </w:p>
        </w:tc>
      </w:tr>
    </w:tbl>
    <w:p w14:paraId="591F8E32" w14:textId="77777777" w:rsidR="001B1244" w:rsidRDefault="001B1244" w:rsidP="006622F2">
      <w:pPr>
        <w:rPr>
          <w:rFonts w:ascii="Arial" w:hAnsi="Arial" w:cs="Arial"/>
          <w:color w:val="000000" w:themeColor="text1"/>
          <w:sz w:val="22"/>
          <w:szCs w:val="22"/>
        </w:rPr>
        <w:sectPr w:rsidR="001B1244" w:rsidSect="001B1244">
          <w:type w:val="continuous"/>
          <w:pgSz w:w="12240" w:h="15840"/>
          <w:pgMar w:top="1440" w:right="1440" w:bottom="1440" w:left="1440" w:header="720" w:footer="720" w:gutter="0"/>
          <w:cols w:space="720"/>
          <w:titlePg/>
          <w:docGrid w:linePitch="360"/>
        </w:sectPr>
      </w:pPr>
    </w:p>
    <w:p w14:paraId="7F22AFD3" w14:textId="2DD12430" w:rsidR="00B51BF9" w:rsidRPr="003E7C59" w:rsidRDefault="007D33EC" w:rsidP="006622F2">
      <w:pPr>
        <w:rPr>
          <w:rFonts w:ascii="Arial" w:hAnsi="Arial" w:cs="Arial"/>
          <w:color w:val="000000" w:themeColor="text1"/>
          <w:sz w:val="22"/>
          <w:szCs w:val="22"/>
        </w:rPr>
      </w:pPr>
      <w:r w:rsidRPr="003E7C59">
        <w:rPr>
          <w:rFonts w:ascii="Arial" w:hAnsi="Arial" w:cs="Arial"/>
          <w:color w:val="000000" w:themeColor="text1"/>
          <w:sz w:val="22"/>
          <w:szCs w:val="22"/>
        </w:rPr>
        <w:lastRenderedPageBreak/>
        <w:t xml:space="preserve">Table 1.3. </w:t>
      </w:r>
      <w:proofErr w:type="gramStart"/>
      <w:r w:rsidRPr="003E7C59">
        <w:rPr>
          <w:rFonts w:ascii="Arial" w:hAnsi="Arial" w:cs="Arial"/>
          <w:color w:val="000000" w:themeColor="text1"/>
          <w:sz w:val="22"/>
          <w:szCs w:val="22"/>
        </w:rPr>
        <w:t>continued</w:t>
      </w:r>
      <w:proofErr w:type="gramEnd"/>
      <w:r w:rsidRPr="003E7C59">
        <w:rPr>
          <w:rFonts w:ascii="Arial" w:hAnsi="Arial" w:cs="Arial"/>
          <w:color w:val="000000" w:themeColor="text1"/>
          <w:sz w:val="22"/>
          <w:szCs w:val="22"/>
        </w:rPr>
        <w:t xml:space="preserve"> </w:t>
      </w:r>
    </w:p>
    <w:p w14:paraId="5C5685A6" w14:textId="4188DE62" w:rsidR="00711E7A" w:rsidRPr="003E7C59" w:rsidRDefault="00711E7A" w:rsidP="006622F2">
      <w:pPr>
        <w:rPr>
          <w:rFonts w:ascii="Arial" w:hAnsi="Arial" w:cs="Arial"/>
          <w:color w:val="000000" w:themeColor="text1"/>
          <w:sz w:val="22"/>
          <w:szCs w:val="22"/>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46"/>
        <w:gridCol w:w="2203"/>
        <w:gridCol w:w="2050"/>
        <w:gridCol w:w="1458"/>
      </w:tblGrid>
      <w:tr w:rsidR="007D33EC" w:rsidRPr="003E7C59" w14:paraId="130B63DD" w14:textId="77777777" w:rsidTr="00654748">
        <w:trPr>
          <w:trHeight w:val="432"/>
        </w:trPr>
        <w:tc>
          <w:tcPr>
            <w:tcW w:w="963" w:type="pct"/>
          </w:tcPr>
          <w:p w14:paraId="1F7528A9"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PhMYBx</w:t>
            </w:r>
          </w:p>
        </w:tc>
        <w:tc>
          <w:tcPr>
            <w:tcW w:w="986" w:type="pct"/>
          </w:tcPr>
          <w:p w14:paraId="6CA59D8E"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P</w:t>
            </w:r>
            <w:r w:rsidRPr="003E7C59">
              <w:rPr>
                <w:rFonts w:ascii="Arial" w:hAnsi="Arial" w:cs="Arial"/>
                <w:color w:val="000000" w:themeColor="text1"/>
                <w:sz w:val="22"/>
                <w:szCs w:val="22"/>
              </w:rPr>
              <w:t>.</w:t>
            </w:r>
            <w:r w:rsidRPr="003E7C59">
              <w:rPr>
                <w:rFonts w:ascii="Arial" w:hAnsi="Arial" w:cs="Arial"/>
                <w:i/>
                <w:iCs/>
                <w:color w:val="000000" w:themeColor="text1"/>
                <w:sz w:val="22"/>
                <w:szCs w:val="22"/>
              </w:rPr>
              <w:t xml:space="preserve"> hybrida</w:t>
            </w:r>
          </w:p>
        </w:tc>
        <w:tc>
          <w:tcPr>
            <w:tcW w:w="1177" w:type="pct"/>
          </w:tcPr>
          <w:p w14:paraId="289A3956"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anthocyanin</w:t>
            </w:r>
          </w:p>
        </w:tc>
        <w:tc>
          <w:tcPr>
            <w:tcW w:w="1095" w:type="pct"/>
          </w:tcPr>
          <w:p w14:paraId="3F966FAF"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AHX24371.1</w:t>
            </w:r>
          </w:p>
        </w:tc>
        <w:tc>
          <w:tcPr>
            <w:tcW w:w="779" w:type="pct"/>
          </w:tcPr>
          <w:p w14:paraId="09476571"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Albert et al., 2014</w:t>
            </w:r>
          </w:p>
        </w:tc>
      </w:tr>
      <w:tr w:rsidR="007D33EC" w:rsidRPr="003E7C59" w14:paraId="080C9E64" w14:textId="77777777" w:rsidTr="00654748">
        <w:trPr>
          <w:trHeight w:val="432"/>
        </w:trPr>
        <w:tc>
          <w:tcPr>
            <w:tcW w:w="963" w:type="pct"/>
          </w:tcPr>
          <w:p w14:paraId="3702D786"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PpMYB18</w:t>
            </w:r>
          </w:p>
        </w:tc>
        <w:tc>
          <w:tcPr>
            <w:tcW w:w="986" w:type="pct"/>
          </w:tcPr>
          <w:p w14:paraId="0312F90A"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 xml:space="preserve">Prunus persica </w:t>
            </w:r>
            <w:r w:rsidRPr="003E7C59">
              <w:rPr>
                <w:rFonts w:ascii="Arial" w:hAnsi="Arial" w:cs="Arial"/>
                <w:color w:val="000000" w:themeColor="text1"/>
                <w:sz w:val="22"/>
                <w:szCs w:val="22"/>
              </w:rPr>
              <w:t>(L.) Batsch</w:t>
            </w:r>
          </w:p>
        </w:tc>
        <w:tc>
          <w:tcPr>
            <w:tcW w:w="1177" w:type="pct"/>
          </w:tcPr>
          <w:p w14:paraId="09E8A172"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anthocyanin</w:t>
            </w:r>
          </w:p>
        </w:tc>
        <w:tc>
          <w:tcPr>
            <w:tcW w:w="1095" w:type="pct"/>
          </w:tcPr>
          <w:p w14:paraId="3C86375B"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ALO81021.1</w:t>
            </w:r>
          </w:p>
        </w:tc>
        <w:tc>
          <w:tcPr>
            <w:tcW w:w="779" w:type="pct"/>
          </w:tcPr>
          <w:p w14:paraId="04067D96"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Zhou et al., 2016</w:t>
            </w:r>
          </w:p>
        </w:tc>
      </w:tr>
      <w:tr w:rsidR="007D33EC" w:rsidRPr="003E7C59" w14:paraId="579595D4" w14:textId="77777777" w:rsidTr="00654748">
        <w:trPr>
          <w:trHeight w:val="432"/>
        </w:trPr>
        <w:tc>
          <w:tcPr>
            <w:tcW w:w="963" w:type="pct"/>
          </w:tcPr>
          <w:p w14:paraId="67250CF6"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PvMYB4a</w:t>
            </w:r>
          </w:p>
        </w:tc>
        <w:tc>
          <w:tcPr>
            <w:tcW w:w="986" w:type="pct"/>
          </w:tcPr>
          <w:p w14:paraId="136F20C5"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Panicum vulgare</w:t>
            </w:r>
            <w:r w:rsidRPr="003E7C59">
              <w:rPr>
                <w:rFonts w:ascii="Arial" w:hAnsi="Arial" w:cs="Arial"/>
                <w:color w:val="000000" w:themeColor="text1"/>
                <w:sz w:val="22"/>
                <w:szCs w:val="22"/>
              </w:rPr>
              <w:t xml:space="preserve"> </w:t>
            </w:r>
            <w:r w:rsidRPr="003E7C59">
              <w:rPr>
                <w:rFonts w:ascii="Arial" w:eastAsiaTheme="majorEastAsia" w:hAnsi="Arial" w:cs="Arial"/>
                <w:color w:val="000000" w:themeColor="text1"/>
                <w:sz w:val="22"/>
                <w:szCs w:val="22"/>
              </w:rPr>
              <w:t>L.</w:t>
            </w:r>
          </w:p>
        </w:tc>
        <w:tc>
          <w:tcPr>
            <w:tcW w:w="1177" w:type="pct"/>
          </w:tcPr>
          <w:p w14:paraId="2948F285"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monolignol</w:t>
            </w:r>
          </w:p>
        </w:tc>
        <w:tc>
          <w:tcPr>
            <w:tcW w:w="1095" w:type="pct"/>
          </w:tcPr>
          <w:p w14:paraId="6E8CA0B2"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AEM17348</w:t>
            </w:r>
          </w:p>
        </w:tc>
        <w:tc>
          <w:tcPr>
            <w:tcW w:w="779" w:type="pct"/>
          </w:tcPr>
          <w:p w14:paraId="23FDB857"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Shen et al., 2012</w:t>
            </w:r>
          </w:p>
        </w:tc>
      </w:tr>
      <w:tr w:rsidR="007D33EC" w:rsidRPr="003E7C59" w14:paraId="1DD4FCA0" w14:textId="77777777" w:rsidTr="00654748">
        <w:trPr>
          <w:trHeight w:val="432"/>
        </w:trPr>
        <w:tc>
          <w:tcPr>
            <w:tcW w:w="963" w:type="pct"/>
          </w:tcPr>
          <w:p w14:paraId="20A1D702"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SmMYB39</w:t>
            </w:r>
          </w:p>
        </w:tc>
        <w:tc>
          <w:tcPr>
            <w:tcW w:w="986" w:type="pct"/>
          </w:tcPr>
          <w:p w14:paraId="7BC23E44"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 xml:space="preserve">Salvia miltiorrhiza </w:t>
            </w:r>
            <w:r w:rsidRPr="003E7C59">
              <w:rPr>
                <w:rFonts w:ascii="Arial" w:hAnsi="Arial" w:cs="Arial"/>
                <w:color w:val="000000" w:themeColor="text1"/>
                <w:sz w:val="22"/>
                <w:szCs w:val="22"/>
              </w:rPr>
              <w:t>Bunge</w:t>
            </w:r>
          </w:p>
        </w:tc>
        <w:tc>
          <w:tcPr>
            <w:tcW w:w="1177" w:type="pct"/>
          </w:tcPr>
          <w:p w14:paraId="65DBAF09"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phenolic acid</w:t>
            </w:r>
          </w:p>
        </w:tc>
        <w:tc>
          <w:tcPr>
            <w:tcW w:w="1095" w:type="pct"/>
          </w:tcPr>
          <w:p w14:paraId="37D6E1AF"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AGS55356</w:t>
            </w:r>
          </w:p>
        </w:tc>
        <w:tc>
          <w:tcPr>
            <w:tcW w:w="779" w:type="pct"/>
          </w:tcPr>
          <w:p w14:paraId="499CC240"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Lu et al., 2014</w:t>
            </w:r>
          </w:p>
        </w:tc>
      </w:tr>
      <w:tr w:rsidR="007D33EC" w:rsidRPr="003E7C59" w14:paraId="0C8B51A3" w14:textId="77777777" w:rsidTr="00654748">
        <w:trPr>
          <w:trHeight w:val="432"/>
        </w:trPr>
        <w:tc>
          <w:tcPr>
            <w:tcW w:w="963" w:type="pct"/>
          </w:tcPr>
          <w:p w14:paraId="0EEC44C5"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TaMYB14</w:t>
            </w:r>
          </w:p>
        </w:tc>
        <w:tc>
          <w:tcPr>
            <w:tcW w:w="986" w:type="pct"/>
          </w:tcPr>
          <w:p w14:paraId="1916E75A"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 xml:space="preserve">Triticum aestivum </w:t>
            </w:r>
            <w:r w:rsidRPr="003E7C59">
              <w:rPr>
                <w:rFonts w:ascii="Arial" w:eastAsiaTheme="majorEastAsia" w:hAnsi="Arial" w:cs="Arial"/>
                <w:color w:val="000000" w:themeColor="text1"/>
                <w:sz w:val="22"/>
                <w:szCs w:val="22"/>
              </w:rPr>
              <w:t>L.</w:t>
            </w:r>
          </w:p>
        </w:tc>
        <w:tc>
          <w:tcPr>
            <w:tcW w:w="1177" w:type="pct"/>
          </w:tcPr>
          <w:p w14:paraId="1EB61A80"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proanthocyanidin</w:t>
            </w:r>
          </w:p>
        </w:tc>
        <w:tc>
          <w:tcPr>
            <w:tcW w:w="1095" w:type="pct"/>
          </w:tcPr>
          <w:p w14:paraId="4B2359D2"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AEG64799</w:t>
            </w:r>
          </w:p>
        </w:tc>
        <w:tc>
          <w:tcPr>
            <w:tcW w:w="779" w:type="pct"/>
          </w:tcPr>
          <w:p w14:paraId="2639A568"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Ma et al., 2011</w:t>
            </w:r>
          </w:p>
        </w:tc>
      </w:tr>
      <w:tr w:rsidR="007D33EC" w:rsidRPr="003E7C59" w14:paraId="625868C0" w14:textId="77777777" w:rsidTr="00654748">
        <w:trPr>
          <w:trHeight w:val="432"/>
        </w:trPr>
        <w:tc>
          <w:tcPr>
            <w:tcW w:w="963" w:type="pct"/>
          </w:tcPr>
          <w:p w14:paraId="57C79F4C"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VvMYBC2-L1</w:t>
            </w:r>
          </w:p>
        </w:tc>
        <w:tc>
          <w:tcPr>
            <w:tcW w:w="986" w:type="pct"/>
          </w:tcPr>
          <w:p w14:paraId="20371295"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 xml:space="preserve">Vitis vinifera </w:t>
            </w:r>
            <w:r w:rsidRPr="003E7C59">
              <w:rPr>
                <w:rFonts w:ascii="Arial" w:eastAsiaTheme="majorEastAsia" w:hAnsi="Arial" w:cs="Arial"/>
                <w:color w:val="000000" w:themeColor="text1"/>
                <w:sz w:val="22"/>
                <w:szCs w:val="22"/>
              </w:rPr>
              <w:t>L.</w:t>
            </w:r>
          </w:p>
        </w:tc>
        <w:tc>
          <w:tcPr>
            <w:tcW w:w="1177" w:type="pct"/>
          </w:tcPr>
          <w:p w14:paraId="7BD0AE26"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proanthocyanidin</w:t>
            </w:r>
          </w:p>
        </w:tc>
        <w:tc>
          <w:tcPr>
            <w:tcW w:w="1095" w:type="pct"/>
          </w:tcPr>
          <w:p w14:paraId="0FB5E7B6"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AFX64995</w:t>
            </w:r>
          </w:p>
        </w:tc>
        <w:tc>
          <w:tcPr>
            <w:tcW w:w="779" w:type="pct"/>
          </w:tcPr>
          <w:p w14:paraId="5086E6FD"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Huang et al., 2014</w:t>
            </w:r>
          </w:p>
        </w:tc>
      </w:tr>
      <w:tr w:rsidR="007D33EC" w:rsidRPr="003E7C59" w14:paraId="1B81737E" w14:textId="77777777" w:rsidTr="00654748">
        <w:trPr>
          <w:trHeight w:val="432"/>
        </w:trPr>
        <w:tc>
          <w:tcPr>
            <w:tcW w:w="963" w:type="pct"/>
          </w:tcPr>
          <w:p w14:paraId="74B77CB7"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VvC2rm</w:t>
            </w:r>
          </w:p>
        </w:tc>
        <w:tc>
          <w:tcPr>
            <w:tcW w:w="986" w:type="pct"/>
          </w:tcPr>
          <w:p w14:paraId="3E38790F"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V</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vinifera</w:t>
            </w:r>
          </w:p>
        </w:tc>
        <w:tc>
          <w:tcPr>
            <w:tcW w:w="1177" w:type="pct"/>
          </w:tcPr>
          <w:p w14:paraId="1789029A"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proanthocyanidin</w:t>
            </w:r>
          </w:p>
        </w:tc>
        <w:tc>
          <w:tcPr>
            <w:tcW w:w="1095" w:type="pct"/>
          </w:tcPr>
          <w:p w14:paraId="7E3592BA"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NP_001268133</w:t>
            </w:r>
          </w:p>
        </w:tc>
        <w:tc>
          <w:tcPr>
            <w:tcW w:w="779" w:type="pct"/>
          </w:tcPr>
          <w:p w14:paraId="684AE008"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Da Silva et al., 2013</w:t>
            </w:r>
          </w:p>
        </w:tc>
      </w:tr>
      <w:tr w:rsidR="007D33EC" w:rsidRPr="003E7C59" w14:paraId="7C5864CC" w14:textId="77777777" w:rsidTr="00654748">
        <w:trPr>
          <w:trHeight w:val="432"/>
        </w:trPr>
        <w:tc>
          <w:tcPr>
            <w:tcW w:w="963" w:type="pct"/>
          </w:tcPr>
          <w:p w14:paraId="5038616B"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ZmMYB31</w:t>
            </w:r>
          </w:p>
        </w:tc>
        <w:tc>
          <w:tcPr>
            <w:tcW w:w="986" w:type="pct"/>
          </w:tcPr>
          <w:p w14:paraId="1DFE2C00"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 xml:space="preserve">Zea mays </w:t>
            </w:r>
            <w:r w:rsidRPr="003E7C59">
              <w:rPr>
                <w:rFonts w:ascii="Arial" w:eastAsiaTheme="majorEastAsia" w:hAnsi="Arial" w:cs="Arial"/>
                <w:color w:val="000000" w:themeColor="text1"/>
                <w:sz w:val="22"/>
                <w:szCs w:val="22"/>
              </w:rPr>
              <w:t>L.</w:t>
            </w:r>
          </w:p>
        </w:tc>
        <w:tc>
          <w:tcPr>
            <w:tcW w:w="1177" w:type="pct"/>
          </w:tcPr>
          <w:p w14:paraId="3AEAC595"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monolignol</w:t>
            </w:r>
          </w:p>
        </w:tc>
        <w:tc>
          <w:tcPr>
            <w:tcW w:w="1095" w:type="pct"/>
          </w:tcPr>
          <w:p w14:paraId="5BAAA6D7"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NP_001105949</w:t>
            </w:r>
          </w:p>
        </w:tc>
        <w:tc>
          <w:tcPr>
            <w:tcW w:w="779" w:type="pct"/>
          </w:tcPr>
          <w:p w14:paraId="3CCF6B69"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Carey et al., 2004</w:t>
            </w:r>
          </w:p>
        </w:tc>
      </w:tr>
      <w:tr w:rsidR="007D33EC" w:rsidRPr="003E7C59" w14:paraId="56BB9603" w14:textId="77777777" w:rsidTr="00654748">
        <w:trPr>
          <w:trHeight w:val="432"/>
        </w:trPr>
        <w:tc>
          <w:tcPr>
            <w:tcW w:w="963" w:type="pct"/>
          </w:tcPr>
          <w:p w14:paraId="661FD527"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ZmMYB42</w:t>
            </w:r>
          </w:p>
        </w:tc>
        <w:tc>
          <w:tcPr>
            <w:tcW w:w="986" w:type="pct"/>
          </w:tcPr>
          <w:p w14:paraId="6E411A7F" w14:textId="77777777" w:rsidR="007D33EC" w:rsidRPr="003E7C59" w:rsidRDefault="007D33EC" w:rsidP="00A43BA1">
            <w:pPr>
              <w:jc w:val="center"/>
              <w:rPr>
                <w:rFonts w:ascii="Arial" w:hAnsi="Arial" w:cs="Arial"/>
                <w:i/>
                <w:iCs/>
                <w:color w:val="000000" w:themeColor="text1"/>
                <w:sz w:val="22"/>
                <w:szCs w:val="22"/>
              </w:rPr>
            </w:pPr>
            <w:r w:rsidRPr="003E7C59">
              <w:rPr>
                <w:rFonts w:ascii="Arial" w:hAnsi="Arial" w:cs="Arial"/>
                <w:i/>
                <w:iCs/>
                <w:color w:val="000000" w:themeColor="text1"/>
                <w:sz w:val="22"/>
                <w:szCs w:val="22"/>
              </w:rPr>
              <w:t>Z</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mays</w:t>
            </w:r>
          </w:p>
        </w:tc>
        <w:tc>
          <w:tcPr>
            <w:tcW w:w="1177" w:type="pct"/>
          </w:tcPr>
          <w:p w14:paraId="52A27877"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monolignol</w:t>
            </w:r>
          </w:p>
        </w:tc>
        <w:tc>
          <w:tcPr>
            <w:tcW w:w="1095" w:type="pct"/>
          </w:tcPr>
          <w:p w14:paraId="3DF450A9"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ADX60106</w:t>
            </w:r>
          </w:p>
        </w:tc>
        <w:tc>
          <w:tcPr>
            <w:tcW w:w="779" w:type="pct"/>
          </w:tcPr>
          <w:p w14:paraId="60C73EA8" w14:textId="77777777" w:rsidR="007D33EC" w:rsidRPr="003E7C59" w:rsidRDefault="007D33EC" w:rsidP="00A43BA1">
            <w:pPr>
              <w:jc w:val="center"/>
              <w:rPr>
                <w:rFonts w:ascii="Arial" w:hAnsi="Arial" w:cs="Arial"/>
                <w:color w:val="000000" w:themeColor="text1"/>
                <w:sz w:val="22"/>
                <w:szCs w:val="22"/>
              </w:rPr>
            </w:pPr>
            <w:r w:rsidRPr="003E7C59">
              <w:rPr>
                <w:rFonts w:ascii="Arial" w:hAnsi="Arial" w:cs="Arial"/>
                <w:color w:val="000000" w:themeColor="text1"/>
                <w:sz w:val="22"/>
                <w:szCs w:val="22"/>
              </w:rPr>
              <w:t>Carey et al., 2004</w:t>
            </w:r>
          </w:p>
        </w:tc>
      </w:tr>
    </w:tbl>
    <w:p w14:paraId="2A9F0BAD" w14:textId="77777777" w:rsidR="001B1244" w:rsidRDefault="001B1244" w:rsidP="006622F2">
      <w:pPr>
        <w:rPr>
          <w:rFonts w:ascii="Arial" w:hAnsi="Arial" w:cs="Arial"/>
          <w:color w:val="000000" w:themeColor="text1"/>
          <w:sz w:val="22"/>
          <w:szCs w:val="22"/>
        </w:rPr>
        <w:sectPr w:rsidR="001B1244" w:rsidSect="001B1244">
          <w:pgSz w:w="12240" w:h="15840"/>
          <w:pgMar w:top="1440" w:right="1440" w:bottom="1440" w:left="1440" w:header="720" w:footer="720" w:gutter="0"/>
          <w:cols w:space="720"/>
          <w:titlePg/>
          <w:docGrid w:linePitch="360"/>
        </w:sectPr>
      </w:pPr>
    </w:p>
    <w:p w14:paraId="39285B61" w14:textId="00E170CD" w:rsidR="00E82A87" w:rsidRPr="003E7C59" w:rsidRDefault="00591943" w:rsidP="006622F2">
      <w:pPr>
        <w:spacing w:line="360" w:lineRule="auto"/>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482E0542" wp14:editId="2A4D0F03">
            <wp:extent cx="5820508" cy="3081626"/>
            <wp:effectExtent l="0" t="0" r="0" b="5080"/>
            <wp:docPr id="16" name="Picture 15">
              <a:extLst xmlns:a="http://schemas.openxmlformats.org/drawingml/2006/main">
                <a:ext uri="{FF2B5EF4-FFF2-40B4-BE49-F238E27FC236}">
                  <a16:creationId xmlns:a16="http://schemas.microsoft.com/office/drawing/2014/main" id="{ED29F1E4-2252-75BB-AF91-1139DFBDC8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ED29F1E4-2252-75BB-AF91-1139DFBDC834}"/>
                        </a:ext>
                      </a:extLst>
                    </pic:cNvPr>
                    <pic:cNvPicPr>
                      <a:picLocks noChangeAspect="1"/>
                    </pic:cNvPicPr>
                  </pic:nvPicPr>
                  <pic:blipFill rotWithShape="1">
                    <a:blip r:embed="rId11">
                      <a:extLst>
                        <a:ext uri="{28A0092B-C50C-407E-A947-70E740481C1C}">
                          <a14:useLocalDpi xmlns:a14="http://schemas.microsoft.com/office/drawing/2010/main" val="0"/>
                        </a:ext>
                      </a:extLst>
                    </a:blip>
                    <a:srcRect t="3515" b="2729"/>
                    <a:stretch/>
                  </pic:blipFill>
                  <pic:spPr bwMode="auto">
                    <a:xfrm>
                      <a:off x="0" y="0"/>
                      <a:ext cx="5845430" cy="3094821"/>
                    </a:xfrm>
                    <a:prstGeom prst="rect">
                      <a:avLst/>
                    </a:prstGeom>
                    <a:noFill/>
                    <a:ln>
                      <a:noFill/>
                    </a:ln>
                    <a:extLst>
                      <a:ext uri="{53640926-AAD7-44D8-BBD7-CCE9431645EC}">
                        <a14:shadowObscured xmlns:a14="http://schemas.microsoft.com/office/drawing/2010/main"/>
                      </a:ext>
                    </a:extLst>
                  </pic:spPr>
                </pic:pic>
              </a:graphicData>
            </a:graphic>
          </wp:inline>
        </w:drawing>
      </w:r>
    </w:p>
    <w:p w14:paraId="1B5328A6" w14:textId="77777777" w:rsidR="00576359" w:rsidRPr="00A11F43" w:rsidRDefault="00576359" w:rsidP="00212171">
      <w:pPr>
        <w:pStyle w:val="TableofFigures"/>
      </w:pPr>
    </w:p>
    <w:p w14:paraId="604B2AFD" w14:textId="77777777" w:rsidR="00576359" w:rsidRDefault="00576359" w:rsidP="00212171">
      <w:pPr>
        <w:pStyle w:val="TableofFigures"/>
      </w:pPr>
      <w:bookmarkStart w:id="94" w:name="_Toc121481294"/>
      <w:bookmarkStart w:id="95" w:name="_Toc121514010"/>
      <w:r w:rsidRPr="00CB4991">
        <w:t xml:space="preserve">Figure 1.1. Phenotypes of </w:t>
      </w:r>
      <w:r w:rsidRPr="00CB4991">
        <w:rPr>
          <w:i/>
          <w:iCs/>
        </w:rPr>
        <w:t>Cornus</w:t>
      </w:r>
      <w:r w:rsidRPr="00CB4991">
        <w:t xml:space="preserve"> </w:t>
      </w:r>
      <w:r w:rsidRPr="00CB4991">
        <w:rPr>
          <w:i/>
          <w:iCs/>
        </w:rPr>
        <w:t>florida</w:t>
      </w:r>
      <w:r w:rsidRPr="00CB4991">
        <w:t xml:space="preserve"> and </w:t>
      </w:r>
      <w:r w:rsidRPr="00CB4991">
        <w:rPr>
          <w:i/>
          <w:iCs/>
        </w:rPr>
        <w:t>C</w:t>
      </w:r>
      <w:r w:rsidRPr="00CB4991">
        <w:t xml:space="preserve">. </w:t>
      </w:r>
      <w:r w:rsidRPr="00CB4991">
        <w:rPr>
          <w:i/>
          <w:iCs/>
        </w:rPr>
        <w:t xml:space="preserve">kousa </w:t>
      </w:r>
      <w:r w:rsidRPr="00CB4991">
        <w:t>bracts were used in this study</w:t>
      </w:r>
      <w:r>
        <w:t xml:space="preserve"> after bract emergence</w:t>
      </w:r>
      <w:r w:rsidRPr="00CB4991">
        <w:t xml:space="preserve"> when one (1WK), two (2WK), and four-week-old (4WK) from (A) 'Cloud Nine' (B) 'Cherokee </w:t>
      </w:r>
      <w:r>
        <w:t>Chief</w:t>
      </w:r>
      <w:r w:rsidRPr="00CB4991">
        <w:t xml:space="preserve">' (C) 'Cherokee </w:t>
      </w:r>
      <w:r>
        <w:t>Brave</w:t>
      </w:r>
      <w:r w:rsidRPr="00CB4991">
        <w:t>' (D) 'Greensleeves' (E) 'Rosy Teacups'.</w:t>
      </w:r>
      <w:bookmarkEnd w:id="94"/>
      <w:bookmarkEnd w:id="95"/>
      <w:r w:rsidRPr="00CB4991">
        <w:t xml:space="preserve"> </w:t>
      </w:r>
    </w:p>
    <w:p w14:paraId="6416F944" w14:textId="77777777" w:rsidR="00CE0C77" w:rsidRPr="003E7C59" w:rsidRDefault="00CE0C77" w:rsidP="006622F2">
      <w:pPr>
        <w:spacing w:line="360" w:lineRule="auto"/>
        <w:rPr>
          <w:rFonts w:ascii="Arial" w:hAnsi="Arial" w:cs="Arial"/>
          <w:color w:val="000000" w:themeColor="text1"/>
          <w:sz w:val="22"/>
          <w:szCs w:val="22"/>
        </w:rPr>
      </w:pPr>
    </w:p>
    <w:p w14:paraId="7C25422A" w14:textId="77777777" w:rsidR="00B51BF9" w:rsidRPr="003E7C59" w:rsidRDefault="00B51BF9" w:rsidP="006622F2">
      <w:pPr>
        <w:spacing w:line="360" w:lineRule="auto"/>
        <w:rPr>
          <w:rFonts w:ascii="Arial" w:hAnsi="Arial" w:cs="Arial"/>
          <w:color w:val="000000" w:themeColor="text1"/>
          <w:sz w:val="22"/>
          <w:szCs w:val="22"/>
          <w:lang w:bidi="en-US"/>
        </w:rPr>
      </w:pPr>
    </w:p>
    <w:p w14:paraId="3C683DAB" w14:textId="77777777" w:rsidR="00B51BF9" w:rsidRPr="003E7C59" w:rsidRDefault="00B51BF9" w:rsidP="006622F2">
      <w:pPr>
        <w:rPr>
          <w:rFonts w:ascii="Arial" w:hAnsi="Arial" w:cs="Arial"/>
          <w:color w:val="000000" w:themeColor="text1"/>
          <w:sz w:val="22"/>
          <w:szCs w:val="22"/>
          <w:lang w:bidi="en-US"/>
        </w:rPr>
      </w:pPr>
    </w:p>
    <w:p w14:paraId="06129F11" w14:textId="77777777" w:rsidR="00B51BF9" w:rsidRPr="003E7C59" w:rsidRDefault="00B51BF9" w:rsidP="006622F2">
      <w:pPr>
        <w:rPr>
          <w:rFonts w:ascii="Arial" w:hAnsi="Arial" w:cs="Arial"/>
          <w:color w:val="000000" w:themeColor="text1"/>
          <w:sz w:val="22"/>
          <w:szCs w:val="22"/>
          <w:lang w:bidi="en-US"/>
        </w:rPr>
      </w:pPr>
    </w:p>
    <w:p w14:paraId="136D0FC4" w14:textId="77777777" w:rsidR="00B51BF9" w:rsidRPr="003E7C59" w:rsidRDefault="00B51BF9" w:rsidP="006622F2">
      <w:pPr>
        <w:rPr>
          <w:rFonts w:ascii="Arial" w:hAnsi="Arial" w:cs="Arial"/>
          <w:color w:val="000000" w:themeColor="text1"/>
          <w:sz w:val="22"/>
          <w:szCs w:val="22"/>
          <w:lang w:bidi="en-US"/>
        </w:rPr>
      </w:pPr>
    </w:p>
    <w:p w14:paraId="5A029BB5" w14:textId="77777777" w:rsidR="00B51BF9" w:rsidRPr="003E7C59" w:rsidRDefault="00B51BF9" w:rsidP="006622F2">
      <w:pPr>
        <w:rPr>
          <w:rFonts w:ascii="Arial" w:hAnsi="Arial" w:cs="Arial"/>
          <w:color w:val="000000" w:themeColor="text1"/>
          <w:sz w:val="22"/>
          <w:szCs w:val="22"/>
          <w:lang w:bidi="en-US"/>
        </w:rPr>
      </w:pPr>
    </w:p>
    <w:p w14:paraId="311C4FDD" w14:textId="77777777" w:rsidR="00B51BF9" w:rsidRPr="003E7C59" w:rsidRDefault="00B51BF9" w:rsidP="006622F2">
      <w:pPr>
        <w:rPr>
          <w:rFonts w:ascii="Arial" w:hAnsi="Arial" w:cs="Arial"/>
          <w:color w:val="000000" w:themeColor="text1"/>
          <w:sz w:val="22"/>
          <w:szCs w:val="22"/>
          <w:lang w:bidi="en-US"/>
        </w:rPr>
      </w:pPr>
    </w:p>
    <w:p w14:paraId="26309459" w14:textId="77777777" w:rsidR="00B51BF9" w:rsidRPr="003E7C59" w:rsidRDefault="00B51BF9" w:rsidP="006622F2">
      <w:pPr>
        <w:rPr>
          <w:rFonts w:ascii="Arial" w:hAnsi="Arial" w:cs="Arial"/>
          <w:color w:val="000000" w:themeColor="text1"/>
          <w:sz w:val="22"/>
          <w:szCs w:val="22"/>
          <w:lang w:bidi="en-US"/>
        </w:rPr>
      </w:pPr>
    </w:p>
    <w:p w14:paraId="30B7E39D" w14:textId="77777777" w:rsidR="00B51BF9" w:rsidRPr="003E7C59" w:rsidRDefault="00B51BF9" w:rsidP="006622F2">
      <w:pPr>
        <w:rPr>
          <w:rFonts w:ascii="Arial" w:hAnsi="Arial" w:cs="Arial"/>
          <w:color w:val="000000" w:themeColor="text1"/>
          <w:sz w:val="22"/>
          <w:szCs w:val="22"/>
          <w:lang w:bidi="en-US"/>
        </w:rPr>
      </w:pPr>
    </w:p>
    <w:p w14:paraId="19A3CA3D" w14:textId="77777777" w:rsidR="00B51BF9" w:rsidRPr="003E7C59" w:rsidRDefault="00B51BF9" w:rsidP="006622F2">
      <w:pPr>
        <w:rPr>
          <w:rFonts w:ascii="Arial" w:hAnsi="Arial" w:cs="Arial"/>
          <w:color w:val="000000" w:themeColor="text1"/>
          <w:sz w:val="22"/>
          <w:szCs w:val="22"/>
          <w:lang w:bidi="en-US"/>
        </w:rPr>
      </w:pPr>
    </w:p>
    <w:p w14:paraId="3B925596" w14:textId="77777777" w:rsidR="00B51BF9" w:rsidRPr="003E7C59" w:rsidRDefault="00B51BF9" w:rsidP="006622F2">
      <w:pPr>
        <w:rPr>
          <w:rFonts w:ascii="Arial" w:hAnsi="Arial" w:cs="Arial"/>
          <w:color w:val="000000" w:themeColor="text1"/>
          <w:sz w:val="22"/>
          <w:szCs w:val="22"/>
          <w:lang w:bidi="en-US"/>
        </w:rPr>
      </w:pPr>
    </w:p>
    <w:p w14:paraId="77EA23A5" w14:textId="77777777" w:rsidR="00B51BF9" w:rsidRPr="003E7C59" w:rsidRDefault="00B51BF9" w:rsidP="006622F2">
      <w:pPr>
        <w:rPr>
          <w:rFonts w:ascii="Arial" w:hAnsi="Arial" w:cs="Arial"/>
          <w:color w:val="000000" w:themeColor="text1"/>
          <w:sz w:val="22"/>
          <w:szCs w:val="22"/>
          <w:lang w:bidi="en-US"/>
        </w:rPr>
      </w:pPr>
    </w:p>
    <w:p w14:paraId="6C666E12" w14:textId="77777777" w:rsidR="00B51BF9" w:rsidRPr="003E7C59" w:rsidRDefault="00B51BF9" w:rsidP="006622F2">
      <w:pPr>
        <w:rPr>
          <w:rFonts w:ascii="Arial" w:hAnsi="Arial" w:cs="Arial"/>
          <w:color w:val="000000" w:themeColor="text1"/>
          <w:sz w:val="22"/>
          <w:szCs w:val="22"/>
          <w:lang w:bidi="en-US"/>
        </w:rPr>
      </w:pPr>
    </w:p>
    <w:p w14:paraId="30998F91" w14:textId="77777777" w:rsidR="00B51BF9" w:rsidRPr="003E7C59" w:rsidRDefault="00B51BF9" w:rsidP="006622F2">
      <w:pPr>
        <w:rPr>
          <w:rFonts w:ascii="Arial" w:hAnsi="Arial" w:cs="Arial"/>
          <w:color w:val="000000" w:themeColor="text1"/>
          <w:sz w:val="22"/>
          <w:szCs w:val="22"/>
          <w:lang w:bidi="en-US"/>
        </w:rPr>
      </w:pPr>
    </w:p>
    <w:p w14:paraId="0E257E3A" w14:textId="77777777" w:rsidR="00B51BF9" w:rsidRPr="003E7C59" w:rsidRDefault="00B51BF9" w:rsidP="006622F2">
      <w:pPr>
        <w:rPr>
          <w:rFonts w:ascii="Arial" w:hAnsi="Arial" w:cs="Arial"/>
          <w:color w:val="000000" w:themeColor="text1"/>
          <w:sz w:val="22"/>
          <w:szCs w:val="22"/>
          <w:lang w:bidi="en-US"/>
        </w:rPr>
      </w:pPr>
    </w:p>
    <w:p w14:paraId="4F6834A9" w14:textId="77777777" w:rsidR="00B51BF9" w:rsidRPr="003E7C59" w:rsidRDefault="00B51BF9" w:rsidP="006622F2">
      <w:pPr>
        <w:rPr>
          <w:rFonts w:ascii="Arial" w:hAnsi="Arial" w:cs="Arial"/>
          <w:color w:val="000000" w:themeColor="text1"/>
          <w:sz w:val="22"/>
          <w:szCs w:val="22"/>
          <w:lang w:bidi="en-US"/>
        </w:rPr>
      </w:pPr>
    </w:p>
    <w:p w14:paraId="6BB91D12" w14:textId="77777777" w:rsidR="00B51BF9" w:rsidRPr="003E7C59" w:rsidRDefault="00B51BF9" w:rsidP="006622F2">
      <w:pPr>
        <w:rPr>
          <w:rFonts w:ascii="Arial" w:hAnsi="Arial" w:cs="Arial"/>
          <w:color w:val="000000" w:themeColor="text1"/>
          <w:sz w:val="22"/>
          <w:szCs w:val="22"/>
          <w:lang w:bidi="en-US"/>
        </w:rPr>
      </w:pPr>
    </w:p>
    <w:p w14:paraId="2315BBB6" w14:textId="77777777" w:rsidR="00B51BF9" w:rsidRPr="003E7C59" w:rsidRDefault="00B51BF9" w:rsidP="00C001CC">
      <w:pPr>
        <w:rPr>
          <w:rFonts w:ascii="Arial" w:hAnsi="Arial" w:cs="Arial"/>
          <w:color w:val="000000" w:themeColor="text1"/>
          <w:sz w:val="22"/>
          <w:szCs w:val="22"/>
          <w:lang w:bidi="en-US"/>
        </w:rPr>
      </w:pPr>
    </w:p>
    <w:p w14:paraId="1B31545C" w14:textId="59238ACD" w:rsidR="009862BE" w:rsidRPr="003E7C59" w:rsidRDefault="004C71C2" w:rsidP="006622F2">
      <w:pPr>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w:lastRenderedPageBreak/>
        <mc:AlternateContent>
          <mc:Choice Requires="wps">
            <w:drawing>
              <wp:anchor distT="0" distB="0" distL="114300" distR="114300" simplePos="0" relativeHeight="251659264" behindDoc="0" locked="0" layoutInCell="1" allowOverlap="1" wp14:anchorId="4390C373" wp14:editId="2907E0E8">
                <wp:simplePos x="0" y="0"/>
                <wp:positionH relativeFrom="column">
                  <wp:posOffset>1654723</wp:posOffset>
                </wp:positionH>
                <wp:positionV relativeFrom="paragraph">
                  <wp:posOffset>441193</wp:posOffset>
                </wp:positionV>
                <wp:extent cx="283780" cy="346841"/>
                <wp:effectExtent l="0" t="0" r="8890" b="8890"/>
                <wp:wrapNone/>
                <wp:docPr id="11" name="Text Box 11"/>
                <wp:cNvGraphicFramePr/>
                <a:graphic xmlns:a="http://schemas.openxmlformats.org/drawingml/2006/main">
                  <a:graphicData uri="http://schemas.microsoft.com/office/word/2010/wordprocessingShape">
                    <wps:wsp>
                      <wps:cNvSpPr txBox="1"/>
                      <wps:spPr>
                        <a:xfrm>
                          <a:off x="0" y="0"/>
                          <a:ext cx="283780" cy="346841"/>
                        </a:xfrm>
                        <a:prstGeom prst="rect">
                          <a:avLst/>
                        </a:prstGeom>
                        <a:solidFill>
                          <a:schemeClr val="lt1"/>
                        </a:solidFill>
                        <a:ln w="6350">
                          <a:solidFill>
                            <a:prstClr val="black"/>
                          </a:solidFill>
                        </a:ln>
                      </wps:spPr>
                      <wps:txbx>
                        <w:txbxContent>
                          <w:p w14:paraId="6EEDA48B" w14:textId="214A7665" w:rsidR="004C71C2" w:rsidRPr="00C61607" w:rsidRDefault="004C71C2">
                            <w:pPr>
                              <w:rPr>
                                <w:b/>
                                <w:bCs/>
                              </w:rPr>
                            </w:pPr>
                            <w:r w:rsidRPr="00C61607">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4390C373" id="_x0000_t202" coordsize="21600,21600" o:spt="202" path="m,l,21600r21600,l21600,xe">
                <v:stroke joinstyle="miter"/>
                <v:path gradientshapeok="t" o:connecttype="rect"/>
              </v:shapetype>
              <v:shape id="Text Box 11" o:spid="_x0000_s1026" type="#_x0000_t202" style="position:absolute;left:0;text-align:left;margin-left:130.3pt;margin-top:34.75pt;width:22.35pt;height:2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" fillcolor="white [3201]" strokeweight=".5pt">
                <v:textbox>
                  <w:txbxContent>
                    <w:p w14:paraId="6EEDA48B" w14:textId="214A7665" w:rsidR="004C71C2" w:rsidRPr="00C61607" w:rsidRDefault="004C71C2">
                      <w:pPr>
                        <w:rPr>
                          <w:b/>
                          <w:bCs/>
                        </w:rPr>
                      </w:pPr>
                      <w:r w:rsidRPr="00C61607">
                        <w:rPr>
                          <w:b/>
                          <w:bCs/>
                        </w:rPr>
                        <w:t>A</w:t>
                      </w:r>
                    </w:p>
                  </w:txbxContent>
                </v:textbox>
              </v:shape>
            </w:pict>
          </mc:Fallback>
        </mc:AlternateContent>
      </w:r>
      <w:r w:rsidR="00B51BF9" w:rsidRPr="003E7C59">
        <w:rPr>
          <w:rFonts w:ascii="Arial" w:hAnsi="Arial" w:cs="Arial"/>
          <w:noProof/>
          <w:color w:val="000000" w:themeColor="text1"/>
          <w:sz w:val="22"/>
          <w:szCs w:val="22"/>
        </w:rPr>
        <w:drawing>
          <wp:inline distT="0" distB="0" distL="0" distR="0" wp14:anchorId="546BD1A6" wp14:editId="4640BCD8">
            <wp:extent cx="4529718" cy="3809991"/>
            <wp:effectExtent l="0" t="0" r="4445" b="635"/>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rotWithShape="1">
                    <a:blip r:embed="rId12" cstate="print">
                      <a:extLst>
                        <a:ext uri="{28A0092B-C50C-407E-A947-70E740481C1C}">
                          <a14:useLocalDpi xmlns:a14="http://schemas.microsoft.com/office/drawing/2010/main" val="0"/>
                        </a:ext>
                      </a:extLst>
                    </a:blip>
                    <a:srcRect l="4646"/>
                    <a:stretch/>
                  </pic:blipFill>
                  <pic:spPr bwMode="auto">
                    <a:xfrm>
                      <a:off x="0" y="0"/>
                      <a:ext cx="4539066" cy="3817853"/>
                    </a:xfrm>
                    <a:prstGeom prst="rect">
                      <a:avLst/>
                    </a:prstGeom>
                    <a:ln>
                      <a:noFill/>
                    </a:ln>
                    <a:extLst>
                      <a:ext uri="{53640926-AAD7-44D8-BBD7-CCE9431645EC}">
                        <a14:shadowObscured xmlns:a14="http://schemas.microsoft.com/office/drawing/2010/main"/>
                      </a:ext>
                    </a:extLst>
                  </pic:spPr>
                </pic:pic>
              </a:graphicData>
            </a:graphic>
          </wp:inline>
        </w:drawing>
      </w:r>
    </w:p>
    <w:p w14:paraId="6A52C6E7" w14:textId="77777777" w:rsidR="004C71C2" w:rsidRPr="003E7C59" w:rsidRDefault="004C71C2" w:rsidP="006622F2">
      <w:pPr>
        <w:pStyle w:val="TableofFigures"/>
        <w:ind w:left="0"/>
        <w:rPr>
          <w:rFonts w:cs="Arial"/>
          <w:szCs w:val="22"/>
        </w:rPr>
      </w:pPr>
    </w:p>
    <w:p w14:paraId="30E817EF" w14:textId="442785FA" w:rsidR="009862BE" w:rsidRPr="003E7C59" w:rsidRDefault="009862BE" w:rsidP="00212171">
      <w:pPr>
        <w:pStyle w:val="TableofFigures"/>
        <w:rPr>
          <w:rFonts w:cs="Arial"/>
          <w:szCs w:val="22"/>
        </w:rPr>
      </w:pPr>
      <w:bookmarkStart w:id="96" w:name="_Toc121477965"/>
      <w:bookmarkStart w:id="97" w:name="_Toc121479056"/>
      <w:bookmarkStart w:id="98" w:name="_Toc121479805"/>
      <w:bookmarkStart w:id="99" w:name="_Toc121479977"/>
      <w:bookmarkStart w:id="100" w:name="_Toc121480900"/>
      <w:bookmarkStart w:id="101" w:name="_Toc121481009"/>
      <w:bookmarkStart w:id="102" w:name="_Toc121481295"/>
      <w:bookmarkStart w:id="103" w:name="_Toc121514011"/>
      <w:r w:rsidRPr="003E7C59">
        <w:rPr>
          <w:rFonts w:cs="Arial"/>
          <w:szCs w:val="22"/>
        </w:rPr>
        <w:t xml:space="preserve">Figure 1.2. </w:t>
      </w:r>
      <w:r w:rsidRPr="003E7C59">
        <w:rPr>
          <w:rFonts w:eastAsia="Gungsuh" w:cs="Arial"/>
          <w:szCs w:val="22"/>
          <w:highlight w:val="white"/>
        </w:rPr>
        <w:t>Sample clustering of reads from both cultivars mapped to either the transcriptomes</w:t>
      </w:r>
      <w:r w:rsidR="00980DE3">
        <w:rPr>
          <w:rFonts w:eastAsia="Gungsuh" w:cs="Arial"/>
          <w:szCs w:val="22"/>
          <w:highlight w:val="white"/>
        </w:rPr>
        <w:t xml:space="preserve"> </w:t>
      </w:r>
      <w:r w:rsidRPr="003E7C59">
        <w:rPr>
          <w:rFonts w:eastAsia="Gungsuh" w:cs="Arial"/>
          <w:szCs w:val="22"/>
          <w:highlight w:val="white"/>
        </w:rPr>
        <w:t xml:space="preserve">of </w:t>
      </w:r>
      <w:r w:rsidRPr="003E7C59">
        <w:rPr>
          <w:rFonts w:eastAsia="Gungsuh" w:cs="Arial"/>
          <w:i/>
          <w:iCs/>
          <w:szCs w:val="22"/>
          <w:highlight w:val="white"/>
        </w:rPr>
        <w:t xml:space="preserve">Cornus </w:t>
      </w:r>
      <w:proofErr w:type="gramStart"/>
      <w:r w:rsidRPr="003E7C59">
        <w:rPr>
          <w:rFonts w:eastAsia="Gungsuh" w:cs="Arial"/>
          <w:i/>
          <w:iCs/>
          <w:szCs w:val="22"/>
          <w:highlight w:val="white"/>
        </w:rPr>
        <w:t>florida</w:t>
      </w:r>
      <w:proofErr w:type="gramEnd"/>
      <w:r w:rsidRPr="003E7C59">
        <w:rPr>
          <w:rFonts w:eastAsia="Gungsuh" w:cs="Arial"/>
          <w:szCs w:val="22"/>
          <w:highlight w:val="white"/>
        </w:rPr>
        <w:t xml:space="preserve"> (A, B) or </w:t>
      </w:r>
      <w:r w:rsidRPr="003E7C59">
        <w:rPr>
          <w:rFonts w:eastAsia="Gungsuh" w:cs="Arial"/>
          <w:i/>
          <w:iCs/>
          <w:szCs w:val="22"/>
          <w:highlight w:val="white"/>
        </w:rPr>
        <w:t>C</w:t>
      </w:r>
      <w:r w:rsidRPr="003E7C59">
        <w:rPr>
          <w:rFonts w:eastAsia="Gungsuh" w:cs="Arial"/>
          <w:szCs w:val="22"/>
          <w:highlight w:val="white"/>
        </w:rPr>
        <w:t xml:space="preserve">. </w:t>
      </w:r>
      <w:r w:rsidRPr="003E7C59">
        <w:rPr>
          <w:rFonts w:eastAsia="Gungsuh" w:cs="Arial"/>
          <w:i/>
          <w:iCs/>
          <w:szCs w:val="22"/>
          <w:highlight w:val="white"/>
        </w:rPr>
        <w:t>kousa</w:t>
      </w:r>
      <w:r w:rsidRPr="003E7C59">
        <w:rPr>
          <w:rFonts w:eastAsia="Gungsuh" w:cs="Arial"/>
          <w:szCs w:val="22"/>
          <w:highlight w:val="white"/>
        </w:rPr>
        <w:t xml:space="preserve"> (C, D). The </w:t>
      </w:r>
      <w:proofErr w:type="gramStart"/>
      <w:r w:rsidRPr="003E7C59">
        <w:rPr>
          <w:rFonts w:eastAsia="Gungsuh" w:cs="Arial"/>
          <w:szCs w:val="22"/>
          <w:highlight w:val="white"/>
        </w:rPr>
        <w:t>13 transcriptome</w:t>
      </w:r>
      <w:proofErr w:type="gramEnd"/>
      <w:r w:rsidRPr="003E7C59">
        <w:rPr>
          <w:rFonts w:eastAsia="Gungsuh" w:cs="Arial"/>
          <w:szCs w:val="22"/>
          <w:highlight w:val="white"/>
        </w:rPr>
        <w:t xml:space="preserve"> profiles were separated into five groups </w:t>
      </w:r>
      <w:r w:rsidRPr="003E7C59">
        <w:rPr>
          <w:rFonts w:cs="Arial"/>
          <w:szCs w:val="22"/>
          <w:highlight w:val="white"/>
        </w:rPr>
        <w:t xml:space="preserve">of high similarity by bract color and cultivar when mapping reads to either </w:t>
      </w:r>
      <w:r w:rsidRPr="003E7C59">
        <w:rPr>
          <w:rFonts w:cs="Arial"/>
          <w:i/>
          <w:iCs/>
          <w:szCs w:val="22"/>
          <w:highlight w:val="white"/>
        </w:rPr>
        <w:t>C</w:t>
      </w:r>
      <w:r w:rsidRPr="003E7C59">
        <w:rPr>
          <w:rFonts w:cs="Arial"/>
          <w:szCs w:val="22"/>
          <w:highlight w:val="white"/>
        </w:rPr>
        <w:t xml:space="preserve">. </w:t>
      </w:r>
      <w:r w:rsidRPr="003E7C59">
        <w:rPr>
          <w:rFonts w:cs="Arial"/>
          <w:i/>
          <w:iCs/>
          <w:szCs w:val="22"/>
          <w:highlight w:val="white"/>
        </w:rPr>
        <w:t>florida</w:t>
      </w:r>
      <w:r w:rsidRPr="003E7C59">
        <w:rPr>
          <w:rFonts w:cs="Arial"/>
          <w:szCs w:val="22"/>
          <w:highlight w:val="white"/>
        </w:rPr>
        <w:t xml:space="preserve"> (A) or</w:t>
      </w:r>
      <w:r w:rsidRPr="003E7C59">
        <w:rPr>
          <w:rFonts w:cs="Arial"/>
          <w:i/>
          <w:iCs/>
          <w:szCs w:val="22"/>
          <w:highlight w:val="white"/>
        </w:rPr>
        <w:t xml:space="preserve"> C</w:t>
      </w:r>
      <w:r w:rsidRPr="003E7C59">
        <w:rPr>
          <w:rFonts w:cs="Arial"/>
          <w:szCs w:val="22"/>
          <w:highlight w:val="white"/>
        </w:rPr>
        <w:t xml:space="preserve">. </w:t>
      </w:r>
      <w:r w:rsidRPr="003E7C59">
        <w:rPr>
          <w:rFonts w:cs="Arial"/>
          <w:i/>
          <w:iCs/>
          <w:szCs w:val="22"/>
          <w:highlight w:val="white"/>
        </w:rPr>
        <w:t>kousa</w:t>
      </w:r>
      <w:r w:rsidRPr="003E7C59">
        <w:rPr>
          <w:rFonts w:cs="Arial"/>
          <w:szCs w:val="22"/>
          <w:highlight w:val="white"/>
        </w:rPr>
        <w:t xml:space="preserve"> (C) transcriptome</w:t>
      </w:r>
      <w:r w:rsidRPr="003E7C59">
        <w:rPr>
          <w:rFonts w:cs="Arial"/>
          <w:szCs w:val="22"/>
        </w:rPr>
        <w:t>. The samples clustered into five groups '</w:t>
      </w:r>
      <w:r w:rsidRPr="003E7C59">
        <w:rPr>
          <w:rFonts w:cs="Arial"/>
          <w:szCs w:val="22"/>
          <w:highlight w:val="white"/>
        </w:rPr>
        <w:t>Cherokee Chief</w:t>
      </w:r>
      <w:r w:rsidRPr="003E7C59">
        <w:rPr>
          <w:rFonts w:cs="Arial"/>
          <w:szCs w:val="22"/>
        </w:rPr>
        <w:t>' (red bracts), '</w:t>
      </w:r>
      <w:r w:rsidRPr="003E7C59">
        <w:rPr>
          <w:rFonts w:cs="Arial"/>
          <w:szCs w:val="22"/>
          <w:highlight w:val="white"/>
        </w:rPr>
        <w:t>Cherokee Brave</w:t>
      </w:r>
      <w:r w:rsidRPr="003E7C59">
        <w:rPr>
          <w:rFonts w:cs="Arial"/>
          <w:szCs w:val="22"/>
        </w:rPr>
        <w:t xml:space="preserve">' (red bracts), 'Cloud Nine' (white bracts), 'Greensleeves' (light- to- medium green bracts), and 'Rosy Teacups' (light- to- medium pink bracts). The heatmaps of normalized count values across bract color-related differentially expressed genes across the 13 samples suggested higher similarity by species when mapping to </w:t>
      </w:r>
      <w:r w:rsidRPr="003E7C59">
        <w:rPr>
          <w:rFonts w:cs="Arial"/>
          <w:i/>
          <w:iCs/>
          <w:szCs w:val="22"/>
        </w:rPr>
        <w:t xml:space="preserve">C. </w:t>
      </w:r>
      <w:proofErr w:type="gramStart"/>
      <w:r w:rsidRPr="003E7C59">
        <w:rPr>
          <w:rFonts w:cs="Arial"/>
          <w:i/>
          <w:iCs/>
          <w:szCs w:val="22"/>
        </w:rPr>
        <w:t>florida</w:t>
      </w:r>
      <w:proofErr w:type="gramEnd"/>
      <w:r w:rsidRPr="003E7C59">
        <w:rPr>
          <w:rFonts w:cs="Arial"/>
          <w:i/>
          <w:iCs/>
          <w:szCs w:val="22"/>
        </w:rPr>
        <w:t xml:space="preserve"> </w:t>
      </w:r>
      <w:r w:rsidRPr="003E7C59">
        <w:rPr>
          <w:rFonts w:cs="Arial"/>
          <w:szCs w:val="22"/>
        </w:rPr>
        <w:t xml:space="preserve">(B) and by color on </w:t>
      </w:r>
      <w:r w:rsidRPr="003E7C59">
        <w:rPr>
          <w:rFonts w:cs="Arial"/>
          <w:i/>
          <w:iCs/>
          <w:szCs w:val="22"/>
        </w:rPr>
        <w:t xml:space="preserve">C. kousa </w:t>
      </w:r>
      <w:r w:rsidRPr="003E7C59">
        <w:rPr>
          <w:rFonts w:cs="Arial"/>
          <w:szCs w:val="22"/>
        </w:rPr>
        <w:t>(D).</w:t>
      </w:r>
      <w:bookmarkEnd w:id="96"/>
      <w:bookmarkEnd w:id="97"/>
      <w:bookmarkEnd w:id="98"/>
      <w:bookmarkEnd w:id="99"/>
      <w:bookmarkEnd w:id="100"/>
      <w:bookmarkEnd w:id="101"/>
      <w:bookmarkEnd w:id="102"/>
      <w:bookmarkEnd w:id="103"/>
      <w:r w:rsidRPr="003E7C59">
        <w:rPr>
          <w:rFonts w:cs="Arial"/>
          <w:szCs w:val="22"/>
        </w:rPr>
        <w:t xml:space="preserve"> </w:t>
      </w:r>
    </w:p>
    <w:p w14:paraId="051F70FD" w14:textId="77777777" w:rsidR="00B51BF9" w:rsidRPr="003E7C59" w:rsidRDefault="00B51BF9" w:rsidP="006622F2">
      <w:pPr>
        <w:spacing w:line="360" w:lineRule="auto"/>
        <w:rPr>
          <w:rFonts w:ascii="Arial" w:hAnsi="Arial" w:cs="Arial"/>
          <w:color w:val="000000" w:themeColor="text1"/>
          <w:sz w:val="22"/>
          <w:szCs w:val="22"/>
        </w:rPr>
      </w:pPr>
    </w:p>
    <w:p w14:paraId="223E44C5" w14:textId="77777777" w:rsidR="00B51BF9" w:rsidRPr="003E7C59" w:rsidRDefault="00B51BF9" w:rsidP="006622F2">
      <w:pPr>
        <w:spacing w:line="360" w:lineRule="auto"/>
        <w:jc w:val="center"/>
        <w:rPr>
          <w:rFonts w:ascii="Arial" w:hAnsi="Arial" w:cs="Arial"/>
          <w:color w:val="000000" w:themeColor="text1"/>
          <w:sz w:val="22"/>
          <w:szCs w:val="22"/>
        </w:rPr>
      </w:pPr>
    </w:p>
    <w:p w14:paraId="49E10F82" w14:textId="77777777" w:rsidR="00B51BF9" w:rsidRPr="003E7C59" w:rsidRDefault="00B51BF9" w:rsidP="006622F2">
      <w:pPr>
        <w:spacing w:line="360" w:lineRule="auto"/>
        <w:jc w:val="center"/>
        <w:rPr>
          <w:rFonts w:ascii="Arial" w:hAnsi="Arial" w:cs="Arial"/>
          <w:color w:val="000000" w:themeColor="text1"/>
          <w:sz w:val="22"/>
          <w:szCs w:val="22"/>
        </w:rPr>
      </w:pPr>
    </w:p>
    <w:p w14:paraId="5A1CD52D" w14:textId="77777777" w:rsidR="00B51BF9" w:rsidRPr="003E7C59" w:rsidRDefault="00B51BF9" w:rsidP="006622F2">
      <w:pPr>
        <w:spacing w:line="360" w:lineRule="auto"/>
        <w:jc w:val="center"/>
        <w:rPr>
          <w:rFonts w:ascii="Arial" w:hAnsi="Arial" w:cs="Arial"/>
          <w:color w:val="000000" w:themeColor="text1"/>
          <w:sz w:val="22"/>
          <w:szCs w:val="22"/>
        </w:rPr>
      </w:pPr>
    </w:p>
    <w:p w14:paraId="1F2B0F38" w14:textId="77777777" w:rsidR="00B51BF9" w:rsidRPr="003E7C59" w:rsidRDefault="00B51BF9" w:rsidP="006622F2">
      <w:pPr>
        <w:spacing w:line="360" w:lineRule="auto"/>
        <w:jc w:val="center"/>
        <w:rPr>
          <w:rFonts w:ascii="Arial" w:hAnsi="Arial" w:cs="Arial"/>
          <w:color w:val="000000" w:themeColor="text1"/>
          <w:sz w:val="22"/>
          <w:szCs w:val="22"/>
        </w:rPr>
      </w:pPr>
    </w:p>
    <w:p w14:paraId="51F39216" w14:textId="77777777" w:rsidR="00B51BF9" w:rsidRPr="003E7C59" w:rsidRDefault="00B51BF9" w:rsidP="006622F2">
      <w:pPr>
        <w:spacing w:line="360" w:lineRule="auto"/>
        <w:jc w:val="center"/>
        <w:rPr>
          <w:rFonts w:ascii="Arial" w:hAnsi="Arial" w:cs="Arial"/>
          <w:color w:val="000000" w:themeColor="text1"/>
          <w:sz w:val="22"/>
          <w:szCs w:val="22"/>
        </w:rPr>
      </w:pPr>
    </w:p>
    <w:p w14:paraId="08383F6C" w14:textId="77777777" w:rsidR="00B51BF9" w:rsidRPr="003E7C59" w:rsidRDefault="00B51BF9" w:rsidP="006622F2">
      <w:pPr>
        <w:spacing w:line="360" w:lineRule="auto"/>
        <w:jc w:val="center"/>
        <w:rPr>
          <w:rFonts w:ascii="Arial" w:hAnsi="Arial" w:cs="Arial"/>
          <w:color w:val="000000" w:themeColor="text1"/>
          <w:sz w:val="22"/>
          <w:szCs w:val="22"/>
        </w:rPr>
      </w:pPr>
    </w:p>
    <w:p w14:paraId="4B8B8C36" w14:textId="77777777" w:rsidR="004C71C2" w:rsidRPr="003E7C59" w:rsidRDefault="004C71C2" w:rsidP="006622F2">
      <w:pPr>
        <w:spacing w:line="360" w:lineRule="auto"/>
        <w:rPr>
          <w:rFonts w:ascii="Arial" w:hAnsi="Arial" w:cs="Arial"/>
          <w:color w:val="000000" w:themeColor="text1"/>
          <w:sz w:val="22"/>
          <w:szCs w:val="22"/>
        </w:rPr>
      </w:pPr>
    </w:p>
    <w:p w14:paraId="5055983D" w14:textId="271909DB" w:rsidR="00B51BF9" w:rsidRPr="003E7C59" w:rsidRDefault="00C61607" w:rsidP="006622F2">
      <w:pPr>
        <w:spacing w:line="360" w:lineRule="auto"/>
        <w:ind w:firstLine="720"/>
        <w:jc w:val="center"/>
        <w:rPr>
          <w:rFonts w:ascii="Arial" w:hAnsi="Arial" w:cs="Arial"/>
          <w:color w:val="000000" w:themeColor="text1"/>
          <w:sz w:val="22"/>
          <w:szCs w:val="22"/>
        </w:rPr>
      </w:pPr>
      <w:r w:rsidRPr="003E7C59">
        <w:rPr>
          <w:rFonts w:ascii="Arial" w:hAnsi="Arial" w:cs="Arial"/>
          <w:noProof/>
          <w:color w:val="000000" w:themeColor="text1"/>
          <w:sz w:val="22"/>
          <w:szCs w:val="22"/>
        </w:rPr>
        <w:lastRenderedPageBreak/>
        <mc:AlternateContent>
          <mc:Choice Requires="wps">
            <w:drawing>
              <wp:anchor distT="0" distB="0" distL="114300" distR="114300" simplePos="0" relativeHeight="251661312" behindDoc="0" locked="0" layoutInCell="1" allowOverlap="1" wp14:anchorId="71F0A131" wp14:editId="416AE44F">
                <wp:simplePos x="0" y="0"/>
                <wp:positionH relativeFrom="column">
                  <wp:posOffset>1497155</wp:posOffset>
                </wp:positionH>
                <wp:positionV relativeFrom="paragraph">
                  <wp:posOffset>242833</wp:posOffset>
                </wp:positionV>
                <wp:extent cx="283780" cy="346841"/>
                <wp:effectExtent l="0" t="0" r="8890" b="8890"/>
                <wp:wrapNone/>
                <wp:docPr id="14" name="Text Box 14"/>
                <wp:cNvGraphicFramePr/>
                <a:graphic xmlns:a="http://schemas.openxmlformats.org/drawingml/2006/main">
                  <a:graphicData uri="http://schemas.microsoft.com/office/word/2010/wordprocessingShape">
                    <wps:wsp>
                      <wps:cNvSpPr txBox="1"/>
                      <wps:spPr>
                        <a:xfrm>
                          <a:off x="0" y="0"/>
                          <a:ext cx="283780" cy="346841"/>
                        </a:xfrm>
                        <a:prstGeom prst="rect">
                          <a:avLst/>
                        </a:prstGeom>
                        <a:solidFill>
                          <a:schemeClr val="lt1"/>
                        </a:solidFill>
                        <a:ln w="6350">
                          <a:solidFill>
                            <a:prstClr val="black"/>
                          </a:solidFill>
                        </a:ln>
                      </wps:spPr>
                      <wps:txbx>
                        <w:txbxContent>
                          <w:p w14:paraId="66DC253D" w14:textId="02351FE4" w:rsidR="00C61607" w:rsidRPr="00C61607" w:rsidRDefault="00C61607" w:rsidP="00C61607">
                            <w:pP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1F0A131" id="Text Box 14" o:spid="_x0000_s1027" type="#_x0000_t202" style="position:absolute;left:0;text-align:left;margin-left:117.9pt;margin-top:19.1pt;width:22.35pt;height:2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" fillcolor="white [3201]" strokeweight=".5pt">
                <v:textbox>
                  <w:txbxContent>
                    <w:p w14:paraId="66DC253D" w14:textId="02351FE4" w:rsidR="00C61607" w:rsidRPr="00C61607" w:rsidRDefault="00C61607" w:rsidP="00C61607">
                      <w:pPr>
                        <w:rPr>
                          <w:b/>
                          <w:bCs/>
                        </w:rPr>
                      </w:pPr>
                      <w:r>
                        <w:rPr>
                          <w:b/>
                          <w:bCs/>
                        </w:rPr>
                        <w:t>B</w:t>
                      </w:r>
                    </w:p>
                  </w:txbxContent>
                </v:textbox>
              </v:shape>
            </w:pict>
          </mc:Fallback>
        </mc:AlternateContent>
      </w:r>
      <w:r w:rsidR="00B51BF9" w:rsidRPr="003E7C59">
        <w:rPr>
          <w:rFonts w:ascii="Arial" w:hAnsi="Arial" w:cs="Arial"/>
          <w:noProof/>
          <w:color w:val="000000" w:themeColor="text1"/>
          <w:sz w:val="22"/>
          <w:szCs w:val="22"/>
        </w:rPr>
        <w:drawing>
          <wp:inline distT="0" distB="0" distL="0" distR="0" wp14:anchorId="656212ED" wp14:editId="54F57025">
            <wp:extent cx="4905244" cy="5095532"/>
            <wp:effectExtent l="0" t="0" r="0" b="0"/>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rotWithShape="1">
                    <a:blip r:embed="rId13" cstate="print">
                      <a:extLst>
                        <a:ext uri="{28A0092B-C50C-407E-A947-70E740481C1C}">
                          <a14:useLocalDpi xmlns:a14="http://schemas.microsoft.com/office/drawing/2010/main" val="0"/>
                        </a:ext>
                      </a:extLst>
                    </a:blip>
                    <a:srcRect l="6604"/>
                    <a:stretch/>
                  </pic:blipFill>
                  <pic:spPr bwMode="auto">
                    <a:xfrm>
                      <a:off x="0" y="0"/>
                      <a:ext cx="4913687" cy="5104303"/>
                    </a:xfrm>
                    <a:prstGeom prst="rect">
                      <a:avLst/>
                    </a:prstGeom>
                    <a:ln>
                      <a:noFill/>
                    </a:ln>
                    <a:extLst>
                      <a:ext uri="{53640926-AAD7-44D8-BBD7-CCE9431645EC}">
                        <a14:shadowObscured xmlns:a14="http://schemas.microsoft.com/office/drawing/2010/main"/>
                      </a:ext>
                    </a:extLst>
                  </pic:spPr>
                </pic:pic>
              </a:graphicData>
            </a:graphic>
          </wp:inline>
        </w:drawing>
      </w:r>
    </w:p>
    <w:p w14:paraId="5B9D1F70" w14:textId="77777777" w:rsidR="00BD0C4C" w:rsidRDefault="00BD0C4C" w:rsidP="00C001CC">
      <w:pPr>
        <w:spacing w:line="360" w:lineRule="auto"/>
        <w:rPr>
          <w:rFonts w:ascii="Arial" w:hAnsi="Arial" w:cs="Arial"/>
          <w:color w:val="000000" w:themeColor="text1"/>
          <w:sz w:val="22"/>
          <w:szCs w:val="22"/>
        </w:rPr>
      </w:pPr>
    </w:p>
    <w:p w14:paraId="733285A1" w14:textId="6B45460C" w:rsidR="00C001CC" w:rsidRPr="003E7C59" w:rsidRDefault="00C001CC" w:rsidP="00C001CC">
      <w:pPr>
        <w:spacing w:line="360" w:lineRule="auto"/>
        <w:rPr>
          <w:rFonts w:ascii="Arial" w:hAnsi="Arial" w:cs="Arial"/>
          <w:color w:val="000000" w:themeColor="text1"/>
          <w:sz w:val="22"/>
          <w:szCs w:val="22"/>
        </w:rPr>
      </w:pPr>
      <w:r w:rsidRPr="003E7C59">
        <w:rPr>
          <w:rFonts w:ascii="Arial" w:hAnsi="Arial" w:cs="Arial"/>
          <w:color w:val="000000" w:themeColor="text1"/>
          <w:sz w:val="22"/>
          <w:szCs w:val="22"/>
        </w:rPr>
        <w:t xml:space="preserve">Figure 1.2. </w:t>
      </w:r>
      <w:proofErr w:type="gramStart"/>
      <w:r w:rsidRPr="003E7C59">
        <w:rPr>
          <w:rFonts w:ascii="Arial" w:hAnsi="Arial" w:cs="Arial"/>
          <w:color w:val="000000" w:themeColor="text1"/>
          <w:sz w:val="22"/>
          <w:szCs w:val="22"/>
        </w:rPr>
        <w:t>continued</w:t>
      </w:r>
      <w:proofErr w:type="gramEnd"/>
      <w:r w:rsidRPr="003E7C59">
        <w:rPr>
          <w:rFonts w:ascii="Arial" w:hAnsi="Arial" w:cs="Arial"/>
          <w:color w:val="000000" w:themeColor="text1"/>
          <w:sz w:val="22"/>
          <w:szCs w:val="22"/>
        </w:rPr>
        <w:t xml:space="preserve"> </w:t>
      </w:r>
    </w:p>
    <w:p w14:paraId="6512EE2D" w14:textId="610AB79A" w:rsidR="00B51BF9" w:rsidRPr="003E7C59" w:rsidRDefault="00B51BF9" w:rsidP="006622F2">
      <w:pPr>
        <w:spacing w:line="360" w:lineRule="auto"/>
        <w:rPr>
          <w:rFonts w:ascii="Arial" w:hAnsi="Arial" w:cs="Arial"/>
          <w:color w:val="000000" w:themeColor="text1"/>
          <w:sz w:val="22"/>
          <w:szCs w:val="22"/>
        </w:rPr>
      </w:pPr>
    </w:p>
    <w:p w14:paraId="224814A2" w14:textId="77777777" w:rsidR="00B51BF9" w:rsidRPr="003E7C59" w:rsidRDefault="00B51BF9" w:rsidP="006622F2">
      <w:pPr>
        <w:spacing w:line="360" w:lineRule="auto"/>
        <w:rPr>
          <w:rFonts w:ascii="Arial" w:hAnsi="Arial" w:cs="Arial"/>
          <w:color w:val="000000" w:themeColor="text1"/>
          <w:sz w:val="22"/>
          <w:szCs w:val="22"/>
        </w:rPr>
      </w:pPr>
    </w:p>
    <w:p w14:paraId="424C4DFD" w14:textId="77777777" w:rsidR="00B51BF9" w:rsidRPr="003E7C59" w:rsidRDefault="00B51BF9" w:rsidP="006622F2">
      <w:pPr>
        <w:spacing w:line="360" w:lineRule="auto"/>
        <w:rPr>
          <w:rFonts w:ascii="Arial" w:hAnsi="Arial" w:cs="Arial"/>
          <w:color w:val="000000" w:themeColor="text1"/>
          <w:sz w:val="22"/>
          <w:szCs w:val="22"/>
        </w:rPr>
      </w:pPr>
    </w:p>
    <w:p w14:paraId="0458B32A" w14:textId="77777777" w:rsidR="00B51BF9" w:rsidRPr="003E7C59" w:rsidRDefault="00B51BF9" w:rsidP="006622F2">
      <w:pPr>
        <w:spacing w:line="360" w:lineRule="auto"/>
        <w:rPr>
          <w:rFonts w:ascii="Arial" w:hAnsi="Arial" w:cs="Arial"/>
          <w:color w:val="000000" w:themeColor="text1"/>
          <w:sz w:val="22"/>
          <w:szCs w:val="22"/>
        </w:rPr>
      </w:pPr>
    </w:p>
    <w:p w14:paraId="59DDF3F9" w14:textId="77777777" w:rsidR="00B51BF9" w:rsidRPr="003E7C59" w:rsidRDefault="00B51BF9" w:rsidP="006622F2">
      <w:pPr>
        <w:spacing w:line="360" w:lineRule="auto"/>
        <w:rPr>
          <w:rFonts w:ascii="Arial" w:hAnsi="Arial" w:cs="Arial"/>
          <w:color w:val="000000" w:themeColor="text1"/>
          <w:sz w:val="22"/>
          <w:szCs w:val="22"/>
        </w:rPr>
      </w:pPr>
    </w:p>
    <w:p w14:paraId="32E58D9F" w14:textId="77777777" w:rsidR="00B51BF9" w:rsidRPr="003E7C59" w:rsidRDefault="00B51BF9" w:rsidP="006622F2">
      <w:pPr>
        <w:spacing w:line="360" w:lineRule="auto"/>
        <w:rPr>
          <w:rFonts w:ascii="Arial" w:hAnsi="Arial" w:cs="Arial"/>
          <w:color w:val="000000" w:themeColor="text1"/>
          <w:sz w:val="22"/>
          <w:szCs w:val="22"/>
        </w:rPr>
      </w:pPr>
    </w:p>
    <w:p w14:paraId="2B76D166" w14:textId="77777777" w:rsidR="00B51BF9" w:rsidRPr="003E7C59" w:rsidRDefault="00B51BF9" w:rsidP="006622F2">
      <w:pPr>
        <w:spacing w:line="360" w:lineRule="auto"/>
        <w:rPr>
          <w:rFonts w:ascii="Arial" w:hAnsi="Arial" w:cs="Arial"/>
          <w:color w:val="000000" w:themeColor="text1"/>
          <w:sz w:val="22"/>
          <w:szCs w:val="22"/>
        </w:rPr>
      </w:pPr>
    </w:p>
    <w:p w14:paraId="084BF838" w14:textId="77777777" w:rsidR="00B51BF9" w:rsidRPr="003E7C59" w:rsidRDefault="00B51BF9" w:rsidP="006622F2">
      <w:pPr>
        <w:spacing w:line="360" w:lineRule="auto"/>
        <w:rPr>
          <w:rFonts w:ascii="Arial" w:hAnsi="Arial" w:cs="Arial"/>
          <w:color w:val="000000" w:themeColor="text1"/>
          <w:sz w:val="22"/>
          <w:szCs w:val="22"/>
        </w:rPr>
      </w:pPr>
    </w:p>
    <w:p w14:paraId="657E3EBA" w14:textId="77777777" w:rsidR="00B51BF9" w:rsidRPr="003E7C59" w:rsidRDefault="00B51BF9" w:rsidP="006622F2">
      <w:pPr>
        <w:spacing w:line="360" w:lineRule="auto"/>
        <w:rPr>
          <w:rFonts w:ascii="Arial" w:hAnsi="Arial" w:cs="Arial"/>
          <w:color w:val="000000" w:themeColor="text1"/>
          <w:sz w:val="22"/>
          <w:szCs w:val="22"/>
        </w:rPr>
      </w:pPr>
    </w:p>
    <w:p w14:paraId="3739633A" w14:textId="77777777" w:rsidR="00B51BF9" w:rsidRPr="003E7C59" w:rsidRDefault="00B51BF9" w:rsidP="006622F2">
      <w:pPr>
        <w:spacing w:line="360" w:lineRule="auto"/>
        <w:rPr>
          <w:rFonts w:ascii="Arial" w:hAnsi="Arial" w:cs="Arial"/>
          <w:color w:val="000000" w:themeColor="text1"/>
          <w:sz w:val="22"/>
          <w:szCs w:val="22"/>
        </w:rPr>
      </w:pPr>
    </w:p>
    <w:p w14:paraId="52293268" w14:textId="77777777" w:rsidR="009862BE" w:rsidRPr="003E7C59" w:rsidRDefault="009862BE" w:rsidP="006622F2">
      <w:pPr>
        <w:spacing w:line="360" w:lineRule="auto"/>
        <w:rPr>
          <w:rFonts w:ascii="Arial" w:hAnsi="Arial" w:cs="Arial"/>
          <w:color w:val="000000" w:themeColor="text1"/>
          <w:sz w:val="22"/>
          <w:szCs w:val="22"/>
        </w:rPr>
      </w:pPr>
    </w:p>
    <w:p w14:paraId="3968930E" w14:textId="531704C0" w:rsidR="00B51BF9" w:rsidRPr="003E7C59" w:rsidRDefault="00C61607" w:rsidP="006622F2">
      <w:pPr>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w:lastRenderedPageBreak/>
        <mc:AlternateContent>
          <mc:Choice Requires="wps">
            <w:drawing>
              <wp:anchor distT="0" distB="0" distL="114300" distR="114300" simplePos="0" relativeHeight="251663360" behindDoc="0" locked="0" layoutInCell="1" allowOverlap="1" wp14:anchorId="44FFB701" wp14:editId="28DC97B8">
                <wp:simplePos x="0" y="0"/>
                <wp:positionH relativeFrom="column">
                  <wp:posOffset>1339675</wp:posOffset>
                </wp:positionH>
                <wp:positionV relativeFrom="paragraph">
                  <wp:posOffset>432019</wp:posOffset>
                </wp:positionV>
                <wp:extent cx="283780" cy="346841"/>
                <wp:effectExtent l="0" t="0" r="8890" b="8890"/>
                <wp:wrapNone/>
                <wp:docPr id="15" name="Text Box 15"/>
                <wp:cNvGraphicFramePr/>
                <a:graphic xmlns:a="http://schemas.openxmlformats.org/drawingml/2006/main">
                  <a:graphicData uri="http://schemas.microsoft.com/office/word/2010/wordprocessingShape">
                    <wps:wsp>
                      <wps:cNvSpPr txBox="1"/>
                      <wps:spPr>
                        <a:xfrm>
                          <a:off x="0" y="0"/>
                          <a:ext cx="283780" cy="346841"/>
                        </a:xfrm>
                        <a:prstGeom prst="rect">
                          <a:avLst/>
                        </a:prstGeom>
                        <a:solidFill>
                          <a:schemeClr val="lt1"/>
                        </a:solidFill>
                        <a:ln w="6350">
                          <a:solidFill>
                            <a:prstClr val="black"/>
                          </a:solidFill>
                        </a:ln>
                      </wps:spPr>
                      <wps:txbx>
                        <w:txbxContent>
                          <w:p w14:paraId="78EAAF30" w14:textId="0E64461A" w:rsidR="00C61607" w:rsidRPr="00C61607" w:rsidRDefault="00C61607" w:rsidP="00C61607">
                            <w:pPr>
                              <w:rPr>
                                <w:b/>
                                <w:bCs/>
                              </w:rPr>
                            </w:pPr>
                            <w:r>
                              <w:rPr>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4FFB701" id="Text Box 15" o:spid="_x0000_s1028" type="#_x0000_t202" style="position:absolute;left:0;text-align:left;margin-left:105.5pt;margin-top:34pt;width:22.35pt;height:27.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" fillcolor="white [3201]" strokeweight=".5pt">
                <v:textbox>
                  <w:txbxContent>
                    <w:p w14:paraId="78EAAF30" w14:textId="0E64461A" w:rsidR="00C61607" w:rsidRPr="00C61607" w:rsidRDefault="00C61607" w:rsidP="00C61607">
                      <w:pPr>
                        <w:rPr>
                          <w:b/>
                          <w:bCs/>
                        </w:rPr>
                      </w:pPr>
                      <w:r>
                        <w:rPr>
                          <w:b/>
                          <w:bCs/>
                        </w:rPr>
                        <w:t>C</w:t>
                      </w:r>
                    </w:p>
                  </w:txbxContent>
                </v:textbox>
              </v:shape>
            </w:pict>
          </mc:Fallback>
        </mc:AlternateContent>
      </w:r>
      <w:r w:rsidR="00B51BF9" w:rsidRPr="003E7C59">
        <w:rPr>
          <w:rFonts w:ascii="Arial" w:eastAsia="Gungsuh" w:hAnsi="Arial" w:cs="Arial"/>
          <w:noProof/>
          <w:color w:val="000000" w:themeColor="text1"/>
          <w:sz w:val="22"/>
          <w:szCs w:val="22"/>
        </w:rPr>
        <w:drawing>
          <wp:inline distT="0" distB="0" distL="0" distR="0" wp14:anchorId="1B9DD40C" wp14:editId="073AE187">
            <wp:extent cx="4780190" cy="4186555"/>
            <wp:effectExtent l="0" t="0" r="0" b="4445"/>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rotWithShape="1">
                    <a:blip r:embed="rId14" cstate="print">
                      <a:extLst>
                        <a:ext uri="{28A0092B-C50C-407E-A947-70E740481C1C}">
                          <a14:useLocalDpi xmlns:a14="http://schemas.microsoft.com/office/drawing/2010/main" val="0"/>
                        </a:ext>
                      </a:extLst>
                    </a:blip>
                    <a:srcRect l="8729"/>
                    <a:stretch/>
                  </pic:blipFill>
                  <pic:spPr bwMode="auto">
                    <a:xfrm>
                      <a:off x="0" y="0"/>
                      <a:ext cx="4798386" cy="4202491"/>
                    </a:xfrm>
                    <a:prstGeom prst="rect">
                      <a:avLst/>
                    </a:prstGeom>
                    <a:ln>
                      <a:noFill/>
                    </a:ln>
                    <a:extLst>
                      <a:ext uri="{53640926-AAD7-44D8-BBD7-CCE9431645EC}">
                        <a14:shadowObscured xmlns:a14="http://schemas.microsoft.com/office/drawing/2010/main"/>
                      </a:ext>
                    </a:extLst>
                  </pic:spPr>
                </pic:pic>
              </a:graphicData>
            </a:graphic>
          </wp:inline>
        </w:drawing>
      </w:r>
    </w:p>
    <w:p w14:paraId="6A64FB62" w14:textId="77777777" w:rsidR="00BD0C4C" w:rsidRDefault="00BD0C4C" w:rsidP="00C001CC">
      <w:pPr>
        <w:spacing w:line="360" w:lineRule="auto"/>
        <w:rPr>
          <w:rFonts w:ascii="Arial" w:hAnsi="Arial" w:cs="Arial"/>
          <w:color w:val="000000" w:themeColor="text1"/>
          <w:sz w:val="22"/>
          <w:szCs w:val="22"/>
        </w:rPr>
      </w:pPr>
    </w:p>
    <w:p w14:paraId="72A177AB" w14:textId="35CBE6E0" w:rsidR="00C001CC" w:rsidRPr="003E7C59" w:rsidRDefault="00C001CC" w:rsidP="00C001CC">
      <w:pPr>
        <w:spacing w:line="360" w:lineRule="auto"/>
        <w:rPr>
          <w:rFonts w:ascii="Arial" w:hAnsi="Arial" w:cs="Arial"/>
          <w:color w:val="000000" w:themeColor="text1"/>
          <w:sz w:val="22"/>
          <w:szCs w:val="22"/>
        </w:rPr>
      </w:pPr>
      <w:r w:rsidRPr="003E7C59">
        <w:rPr>
          <w:rFonts w:ascii="Arial" w:hAnsi="Arial" w:cs="Arial"/>
          <w:color w:val="000000" w:themeColor="text1"/>
          <w:sz w:val="22"/>
          <w:szCs w:val="22"/>
        </w:rPr>
        <w:t xml:space="preserve">Figure 1.2. </w:t>
      </w:r>
      <w:proofErr w:type="gramStart"/>
      <w:r w:rsidRPr="003E7C59">
        <w:rPr>
          <w:rFonts w:ascii="Arial" w:hAnsi="Arial" w:cs="Arial"/>
          <w:color w:val="000000" w:themeColor="text1"/>
          <w:sz w:val="22"/>
          <w:szCs w:val="22"/>
        </w:rPr>
        <w:t>continued</w:t>
      </w:r>
      <w:proofErr w:type="gramEnd"/>
      <w:r w:rsidRPr="003E7C59">
        <w:rPr>
          <w:rFonts w:ascii="Arial" w:hAnsi="Arial" w:cs="Arial"/>
          <w:color w:val="000000" w:themeColor="text1"/>
          <w:sz w:val="22"/>
          <w:szCs w:val="22"/>
        </w:rPr>
        <w:t xml:space="preserve"> </w:t>
      </w:r>
    </w:p>
    <w:p w14:paraId="7BDE4192" w14:textId="77777777" w:rsidR="00B51BF9" w:rsidRPr="003E7C59" w:rsidRDefault="00B51BF9" w:rsidP="006622F2">
      <w:pPr>
        <w:spacing w:line="360" w:lineRule="auto"/>
        <w:rPr>
          <w:rFonts w:ascii="Arial" w:hAnsi="Arial" w:cs="Arial"/>
          <w:color w:val="000000" w:themeColor="text1"/>
          <w:sz w:val="22"/>
          <w:szCs w:val="22"/>
        </w:rPr>
      </w:pPr>
    </w:p>
    <w:p w14:paraId="188674CE" w14:textId="77777777" w:rsidR="00B51BF9" w:rsidRPr="003E7C59" w:rsidRDefault="00B51BF9" w:rsidP="006622F2">
      <w:pPr>
        <w:spacing w:line="360" w:lineRule="auto"/>
        <w:rPr>
          <w:rFonts w:ascii="Arial" w:hAnsi="Arial" w:cs="Arial"/>
          <w:color w:val="000000" w:themeColor="text1"/>
          <w:sz w:val="22"/>
          <w:szCs w:val="22"/>
        </w:rPr>
      </w:pPr>
    </w:p>
    <w:p w14:paraId="793BB290" w14:textId="77777777" w:rsidR="00B51BF9" w:rsidRPr="003E7C59" w:rsidRDefault="00B51BF9" w:rsidP="006622F2">
      <w:pPr>
        <w:spacing w:line="360" w:lineRule="auto"/>
        <w:rPr>
          <w:rFonts w:ascii="Arial" w:hAnsi="Arial" w:cs="Arial"/>
          <w:color w:val="000000" w:themeColor="text1"/>
          <w:sz w:val="22"/>
          <w:szCs w:val="22"/>
        </w:rPr>
      </w:pPr>
    </w:p>
    <w:p w14:paraId="023E3334" w14:textId="77777777" w:rsidR="00B51BF9" w:rsidRPr="003E7C59" w:rsidRDefault="00B51BF9" w:rsidP="006622F2">
      <w:pPr>
        <w:spacing w:line="360" w:lineRule="auto"/>
        <w:rPr>
          <w:rFonts w:ascii="Arial" w:hAnsi="Arial" w:cs="Arial"/>
          <w:color w:val="000000" w:themeColor="text1"/>
          <w:sz w:val="22"/>
          <w:szCs w:val="22"/>
        </w:rPr>
      </w:pPr>
    </w:p>
    <w:p w14:paraId="273F1328" w14:textId="77777777" w:rsidR="00B51BF9" w:rsidRPr="003E7C59" w:rsidRDefault="00B51BF9" w:rsidP="006622F2">
      <w:pPr>
        <w:spacing w:line="360" w:lineRule="auto"/>
        <w:rPr>
          <w:rFonts w:ascii="Arial" w:hAnsi="Arial" w:cs="Arial"/>
          <w:color w:val="000000" w:themeColor="text1"/>
          <w:sz w:val="22"/>
          <w:szCs w:val="22"/>
        </w:rPr>
      </w:pPr>
    </w:p>
    <w:p w14:paraId="39CEA107" w14:textId="77777777" w:rsidR="00B51BF9" w:rsidRPr="003E7C59" w:rsidRDefault="00B51BF9" w:rsidP="006622F2">
      <w:pPr>
        <w:spacing w:line="360" w:lineRule="auto"/>
        <w:rPr>
          <w:rFonts w:ascii="Arial" w:hAnsi="Arial" w:cs="Arial"/>
          <w:color w:val="000000" w:themeColor="text1"/>
          <w:sz w:val="22"/>
          <w:szCs w:val="22"/>
        </w:rPr>
      </w:pPr>
    </w:p>
    <w:p w14:paraId="47045C90" w14:textId="77777777" w:rsidR="00B51BF9" w:rsidRPr="003E7C59" w:rsidRDefault="00B51BF9" w:rsidP="006622F2">
      <w:pPr>
        <w:spacing w:line="360" w:lineRule="auto"/>
        <w:rPr>
          <w:rFonts w:ascii="Arial" w:hAnsi="Arial" w:cs="Arial"/>
          <w:color w:val="000000" w:themeColor="text1"/>
          <w:sz w:val="22"/>
          <w:szCs w:val="22"/>
        </w:rPr>
      </w:pPr>
    </w:p>
    <w:p w14:paraId="0D5FE40C" w14:textId="77777777" w:rsidR="00B51BF9" w:rsidRPr="003E7C59" w:rsidRDefault="00B51BF9" w:rsidP="006622F2">
      <w:pPr>
        <w:spacing w:line="360" w:lineRule="auto"/>
        <w:rPr>
          <w:rFonts w:ascii="Arial" w:hAnsi="Arial" w:cs="Arial"/>
          <w:color w:val="000000" w:themeColor="text1"/>
          <w:sz w:val="22"/>
          <w:szCs w:val="22"/>
        </w:rPr>
      </w:pPr>
    </w:p>
    <w:p w14:paraId="32BC4AC5" w14:textId="77777777" w:rsidR="00B51BF9" w:rsidRPr="003E7C59" w:rsidRDefault="00B51BF9" w:rsidP="006622F2">
      <w:pPr>
        <w:spacing w:line="360" w:lineRule="auto"/>
        <w:rPr>
          <w:rFonts w:ascii="Arial" w:hAnsi="Arial" w:cs="Arial"/>
          <w:color w:val="000000" w:themeColor="text1"/>
          <w:sz w:val="22"/>
          <w:szCs w:val="22"/>
        </w:rPr>
      </w:pPr>
    </w:p>
    <w:p w14:paraId="7C8D3A0F" w14:textId="77777777" w:rsidR="00B51BF9" w:rsidRPr="003E7C59" w:rsidRDefault="00B51BF9" w:rsidP="006622F2">
      <w:pPr>
        <w:spacing w:line="360" w:lineRule="auto"/>
        <w:rPr>
          <w:rFonts w:ascii="Arial" w:hAnsi="Arial" w:cs="Arial"/>
          <w:color w:val="000000" w:themeColor="text1"/>
          <w:sz w:val="22"/>
          <w:szCs w:val="22"/>
        </w:rPr>
      </w:pPr>
    </w:p>
    <w:p w14:paraId="50F95120" w14:textId="77777777" w:rsidR="00B51BF9" w:rsidRPr="003E7C59" w:rsidRDefault="00B51BF9" w:rsidP="006622F2">
      <w:pPr>
        <w:spacing w:line="360" w:lineRule="auto"/>
        <w:rPr>
          <w:rFonts w:ascii="Arial" w:hAnsi="Arial" w:cs="Arial"/>
          <w:color w:val="000000" w:themeColor="text1"/>
          <w:sz w:val="22"/>
          <w:szCs w:val="22"/>
        </w:rPr>
      </w:pPr>
    </w:p>
    <w:p w14:paraId="07AA2640" w14:textId="77777777" w:rsidR="00B51BF9" w:rsidRPr="003E7C59" w:rsidRDefault="00B51BF9" w:rsidP="006622F2">
      <w:pPr>
        <w:spacing w:line="360" w:lineRule="auto"/>
        <w:rPr>
          <w:rFonts w:ascii="Arial" w:hAnsi="Arial" w:cs="Arial"/>
          <w:color w:val="000000" w:themeColor="text1"/>
          <w:sz w:val="22"/>
          <w:szCs w:val="22"/>
        </w:rPr>
      </w:pPr>
    </w:p>
    <w:p w14:paraId="258A0EC3" w14:textId="77777777" w:rsidR="00B51BF9" w:rsidRPr="003E7C59" w:rsidRDefault="00B51BF9" w:rsidP="006622F2">
      <w:pPr>
        <w:spacing w:line="360" w:lineRule="auto"/>
        <w:rPr>
          <w:rFonts w:ascii="Arial" w:hAnsi="Arial" w:cs="Arial"/>
          <w:color w:val="000000" w:themeColor="text1"/>
          <w:sz w:val="22"/>
          <w:szCs w:val="22"/>
        </w:rPr>
      </w:pPr>
    </w:p>
    <w:p w14:paraId="3C651A71" w14:textId="77777777" w:rsidR="00B51BF9" w:rsidRPr="003E7C59" w:rsidRDefault="00B51BF9" w:rsidP="006622F2">
      <w:pPr>
        <w:spacing w:line="360" w:lineRule="auto"/>
        <w:rPr>
          <w:rFonts w:ascii="Arial" w:hAnsi="Arial" w:cs="Arial"/>
          <w:color w:val="000000" w:themeColor="text1"/>
          <w:sz w:val="22"/>
          <w:szCs w:val="22"/>
        </w:rPr>
      </w:pPr>
    </w:p>
    <w:p w14:paraId="57D95C44" w14:textId="3071E8B2" w:rsidR="00B51BF9" w:rsidRPr="003E7C59" w:rsidRDefault="00B51BF9" w:rsidP="006622F2">
      <w:pPr>
        <w:tabs>
          <w:tab w:val="left" w:pos="5805"/>
        </w:tabs>
        <w:spacing w:line="360" w:lineRule="auto"/>
        <w:rPr>
          <w:rFonts w:ascii="Arial" w:hAnsi="Arial" w:cs="Arial"/>
          <w:color w:val="000000" w:themeColor="text1"/>
          <w:sz w:val="22"/>
          <w:szCs w:val="22"/>
        </w:rPr>
      </w:pPr>
      <w:r w:rsidRPr="003E7C59">
        <w:rPr>
          <w:rFonts w:ascii="Arial" w:hAnsi="Arial" w:cs="Arial"/>
          <w:color w:val="000000" w:themeColor="text1"/>
          <w:sz w:val="22"/>
          <w:szCs w:val="22"/>
        </w:rPr>
        <w:lastRenderedPageBreak/>
        <w:tab/>
      </w:r>
    </w:p>
    <w:p w14:paraId="48B57079" w14:textId="674176B1" w:rsidR="00B51BF9" w:rsidRPr="003E7C59" w:rsidRDefault="00C61607" w:rsidP="006622F2">
      <w:pPr>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mc:AlternateContent>
          <mc:Choice Requires="wps">
            <w:drawing>
              <wp:anchor distT="0" distB="0" distL="114300" distR="114300" simplePos="0" relativeHeight="251665408" behindDoc="0" locked="0" layoutInCell="1" allowOverlap="1" wp14:anchorId="55734D93" wp14:editId="4839125E">
                <wp:simplePos x="0" y="0"/>
                <wp:positionH relativeFrom="column">
                  <wp:posOffset>1008380</wp:posOffset>
                </wp:positionH>
                <wp:positionV relativeFrom="paragraph">
                  <wp:posOffset>226936</wp:posOffset>
                </wp:positionV>
                <wp:extent cx="283780" cy="346841"/>
                <wp:effectExtent l="0" t="0" r="8890" b="8890"/>
                <wp:wrapNone/>
                <wp:docPr id="17" name="Text Box 17"/>
                <wp:cNvGraphicFramePr/>
                <a:graphic xmlns:a="http://schemas.openxmlformats.org/drawingml/2006/main">
                  <a:graphicData uri="http://schemas.microsoft.com/office/word/2010/wordprocessingShape">
                    <wps:wsp>
                      <wps:cNvSpPr txBox="1"/>
                      <wps:spPr>
                        <a:xfrm>
                          <a:off x="0" y="0"/>
                          <a:ext cx="283780" cy="346841"/>
                        </a:xfrm>
                        <a:prstGeom prst="rect">
                          <a:avLst/>
                        </a:prstGeom>
                        <a:solidFill>
                          <a:schemeClr val="lt1"/>
                        </a:solidFill>
                        <a:ln w="6350">
                          <a:solidFill>
                            <a:prstClr val="black"/>
                          </a:solidFill>
                        </a:ln>
                      </wps:spPr>
                      <wps:txbx>
                        <w:txbxContent>
                          <w:p w14:paraId="3EA3AB84" w14:textId="6D7FDECC" w:rsidR="00C61607" w:rsidRDefault="00C61607" w:rsidP="00C61607">
                            <w:pPr>
                              <w:rPr>
                                <w:b/>
                                <w:bCs/>
                              </w:rPr>
                            </w:pPr>
                            <w:r>
                              <w:rPr>
                                <w:b/>
                                <w:bCs/>
                              </w:rPr>
                              <w:t>D</w:t>
                            </w:r>
                          </w:p>
                          <w:p w14:paraId="5D931D56" w14:textId="77777777" w:rsidR="00C61607" w:rsidRPr="00C61607" w:rsidRDefault="00C61607" w:rsidP="00C6160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5734D93" id="Text Box 17" o:spid="_x0000_s1029" type="#_x0000_t202" style="position:absolute;left:0;text-align:left;margin-left:79.4pt;margin-top:17.85pt;width:22.35pt;height:2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" fillcolor="white [3201]" strokeweight=".5pt">
                <v:textbox>
                  <w:txbxContent>
                    <w:p w14:paraId="3EA3AB84" w14:textId="6D7FDECC" w:rsidR="00C61607" w:rsidRDefault="00C61607" w:rsidP="00C61607">
                      <w:pPr>
                        <w:rPr>
                          <w:b/>
                          <w:bCs/>
                        </w:rPr>
                      </w:pPr>
                      <w:r>
                        <w:rPr>
                          <w:b/>
                          <w:bCs/>
                        </w:rPr>
                        <w:t>D</w:t>
                      </w:r>
                    </w:p>
                    <w:p w14:paraId="5D931D56" w14:textId="77777777" w:rsidR="00C61607" w:rsidRPr="00C61607" w:rsidRDefault="00C61607" w:rsidP="00C61607">
                      <w:pPr>
                        <w:rPr>
                          <w:b/>
                          <w:bCs/>
                        </w:rPr>
                      </w:pPr>
                    </w:p>
                  </w:txbxContent>
                </v:textbox>
              </v:shape>
            </w:pict>
          </mc:Fallback>
        </mc:AlternateContent>
      </w:r>
      <w:r w:rsidR="00B51BF9" w:rsidRPr="003E7C59">
        <w:rPr>
          <w:rFonts w:ascii="Arial" w:eastAsia="Gungsuh" w:hAnsi="Arial" w:cs="Arial"/>
          <w:noProof/>
          <w:color w:val="000000" w:themeColor="text1"/>
          <w:sz w:val="22"/>
          <w:szCs w:val="22"/>
        </w:rPr>
        <w:drawing>
          <wp:inline distT="0" distB="0" distL="0" distR="0" wp14:anchorId="79F6552A" wp14:editId="4613F70A">
            <wp:extent cx="4912140" cy="5102225"/>
            <wp:effectExtent l="0" t="0" r="3175" b="3175"/>
            <wp:docPr id="5" name="Picture 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imeline&#10;&#10;Description automatically generated"/>
                    <pic:cNvPicPr/>
                  </pic:nvPicPr>
                  <pic:blipFill rotWithShape="1">
                    <a:blip r:embed="rId15" cstate="print">
                      <a:extLst>
                        <a:ext uri="{28A0092B-C50C-407E-A947-70E740481C1C}">
                          <a14:useLocalDpi xmlns:a14="http://schemas.microsoft.com/office/drawing/2010/main" val="0"/>
                        </a:ext>
                      </a:extLst>
                    </a:blip>
                    <a:srcRect l="6595"/>
                    <a:stretch/>
                  </pic:blipFill>
                  <pic:spPr bwMode="auto">
                    <a:xfrm>
                      <a:off x="0" y="0"/>
                      <a:ext cx="4929647" cy="5120409"/>
                    </a:xfrm>
                    <a:prstGeom prst="rect">
                      <a:avLst/>
                    </a:prstGeom>
                    <a:ln>
                      <a:noFill/>
                    </a:ln>
                    <a:extLst>
                      <a:ext uri="{53640926-AAD7-44D8-BBD7-CCE9431645EC}">
                        <a14:shadowObscured xmlns:a14="http://schemas.microsoft.com/office/drawing/2010/main"/>
                      </a:ext>
                    </a:extLst>
                  </pic:spPr>
                </pic:pic>
              </a:graphicData>
            </a:graphic>
          </wp:inline>
        </w:drawing>
      </w:r>
    </w:p>
    <w:p w14:paraId="6C1CD2E2" w14:textId="77777777" w:rsidR="00BD0C4C" w:rsidRDefault="00BD0C4C" w:rsidP="006622F2">
      <w:pPr>
        <w:spacing w:line="360" w:lineRule="auto"/>
        <w:rPr>
          <w:rFonts w:ascii="Arial" w:hAnsi="Arial" w:cs="Arial"/>
          <w:color w:val="000000" w:themeColor="text1"/>
          <w:sz w:val="22"/>
          <w:szCs w:val="22"/>
        </w:rPr>
      </w:pPr>
    </w:p>
    <w:p w14:paraId="73A8AEA4" w14:textId="3F0CE0E7" w:rsidR="00B51BF9" w:rsidRPr="003E7C59" w:rsidRDefault="00C001CC" w:rsidP="006622F2">
      <w:pPr>
        <w:spacing w:line="360" w:lineRule="auto"/>
        <w:rPr>
          <w:rFonts w:ascii="Arial" w:hAnsi="Arial" w:cs="Arial"/>
          <w:color w:val="000000" w:themeColor="text1"/>
          <w:sz w:val="22"/>
          <w:szCs w:val="22"/>
        </w:rPr>
      </w:pPr>
      <w:r w:rsidRPr="003E7C59">
        <w:rPr>
          <w:rFonts w:ascii="Arial" w:hAnsi="Arial" w:cs="Arial"/>
          <w:color w:val="000000" w:themeColor="text1"/>
          <w:sz w:val="22"/>
          <w:szCs w:val="22"/>
        </w:rPr>
        <w:t xml:space="preserve">Figure 1.2. </w:t>
      </w:r>
      <w:proofErr w:type="gramStart"/>
      <w:r w:rsidRPr="003E7C59">
        <w:rPr>
          <w:rFonts w:ascii="Arial" w:hAnsi="Arial" w:cs="Arial"/>
          <w:color w:val="000000" w:themeColor="text1"/>
          <w:sz w:val="22"/>
          <w:szCs w:val="22"/>
        </w:rPr>
        <w:t>continued</w:t>
      </w:r>
      <w:proofErr w:type="gramEnd"/>
    </w:p>
    <w:p w14:paraId="33C0C3E4" w14:textId="06A9807D" w:rsidR="00B51BF9" w:rsidRPr="003E7C59" w:rsidRDefault="00B51BF9" w:rsidP="006622F2">
      <w:pPr>
        <w:spacing w:line="360" w:lineRule="auto"/>
        <w:rPr>
          <w:rFonts w:ascii="Arial" w:hAnsi="Arial" w:cs="Arial"/>
          <w:color w:val="000000" w:themeColor="text1"/>
          <w:sz w:val="22"/>
          <w:szCs w:val="22"/>
        </w:rPr>
      </w:pPr>
    </w:p>
    <w:p w14:paraId="2FB2E6B8" w14:textId="7D49FA3B" w:rsidR="009862BE" w:rsidRPr="003E7C59" w:rsidRDefault="009862BE" w:rsidP="006622F2">
      <w:pPr>
        <w:spacing w:line="360" w:lineRule="auto"/>
        <w:rPr>
          <w:rFonts w:ascii="Arial" w:hAnsi="Arial" w:cs="Arial"/>
          <w:color w:val="000000" w:themeColor="text1"/>
          <w:sz w:val="22"/>
          <w:szCs w:val="22"/>
        </w:rPr>
      </w:pPr>
    </w:p>
    <w:p w14:paraId="1A119E06" w14:textId="1CF8CC08" w:rsidR="009862BE" w:rsidRDefault="009862BE" w:rsidP="006622F2">
      <w:pPr>
        <w:spacing w:line="360" w:lineRule="auto"/>
        <w:rPr>
          <w:rFonts w:ascii="Arial" w:hAnsi="Arial" w:cs="Arial"/>
          <w:color w:val="000000" w:themeColor="text1"/>
          <w:sz w:val="22"/>
          <w:szCs w:val="22"/>
        </w:rPr>
      </w:pPr>
    </w:p>
    <w:p w14:paraId="0FB820CE" w14:textId="77777777" w:rsidR="00C001CC" w:rsidRPr="003E7C59" w:rsidRDefault="00C001CC" w:rsidP="006622F2">
      <w:pPr>
        <w:spacing w:line="360" w:lineRule="auto"/>
        <w:rPr>
          <w:rFonts w:ascii="Arial" w:hAnsi="Arial" w:cs="Arial"/>
          <w:color w:val="000000" w:themeColor="text1"/>
          <w:sz w:val="22"/>
          <w:szCs w:val="22"/>
        </w:rPr>
      </w:pPr>
    </w:p>
    <w:p w14:paraId="659B6833" w14:textId="56E3C088" w:rsidR="00A7432D" w:rsidRPr="003E7C59" w:rsidRDefault="00C61607" w:rsidP="006622F2">
      <w:pPr>
        <w:spacing w:line="360" w:lineRule="auto"/>
        <w:rPr>
          <w:rFonts w:ascii="Arial" w:hAnsi="Arial" w:cs="Arial"/>
        </w:rPr>
      </w:pPr>
      <w:r w:rsidRPr="003E7C59">
        <w:rPr>
          <w:rFonts w:ascii="Arial" w:hAnsi="Arial" w:cs="Arial"/>
          <w:noProof/>
        </w:rPr>
        <w:lastRenderedPageBreak/>
        <mc:AlternateContent>
          <mc:Choice Requires="wps">
            <w:drawing>
              <wp:anchor distT="0" distB="0" distL="114300" distR="114300" simplePos="0" relativeHeight="251666432" behindDoc="0" locked="0" layoutInCell="1" allowOverlap="1" wp14:anchorId="73E11418" wp14:editId="3BBB32AB">
                <wp:simplePos x="0" y="0"/>
                <wp:positionH relativeFrom="column">
                  <wp:posOffset>188595</wp:posOffset>
                </wp:positionH>
                <wp:positionV relativeFrom="paragraph">
                  <wp:posOffset>76726</wp:posOffset>
                </wp:positionV>
                <wp:extent cx="314326" cy="283779"/>
                <wp:effectExtent l="0" t="0" r="15875" b="8890"/>
                <wp:wrapNone/>
                <wp:docPr id="19" name="Text Box 19"/>
                <wp:cNvGraphicFramePr/>
                <a:graphic xmlns:a="http://schemas.openxmlformats.org/drawingml/2006/main">
                  <a:graphicData uri="http://schemas.microsoft.com/office/word/2010/wordprocessingShape">
                    <wps:wsp>
                      <wps:cNvSpPr txBox="1"/>
                      <wps:spPr>
                        <a:xfrm rot="10800000" flipV="1">
                          <a:off x="0" y="0"/>
                          <a:ext cx="314326" cy="283779"/>
                        </a:xfrm>
                        <a:prstGeom prst="rect">
                          <a:avLst/>
                        </a:prstGeom>
                        <a:solidFill>
                          <a:schemeClr val="lt1"/>
                        </a:solidFill>
                        <a:ln w="6350">
                          <a:solidFill>
                            <a:prstClr val="black"/>
                          </a:solidFill>
                        </a:ln>
                      </wps:spPr>
                      <wps:txbx>
                        <w:txbxContent>
                          <w:p w14:paraId="4B4ABF01" w14:textId="13E06E29" w:rsidR="00C61607" w:rsidRPr="00C61607" w:rsidRDefault="00C61607">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w:t>
                            </w:r>
                          </w:p>
                          <w:p w14:paraId="23EED5A4" w14:textId="77777777" w:rsidR="00C61607" w:rsidRPr="00C61607" w:rsidRDefault="00C6160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73E11418" id="Text Box 19" o:spid="_x0000_s1030" type="#_x0000_t202" style="position:absolute;margin-left:14.85pt;margin-top:6.05pt;width:24.75pt;height:22.35pt;rotation:180;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" fillcolor="white [3201]" strokeweight=".5pt">
                <v:textbox>
                  <w:txbxContent>
                    <w:p w14:paraId="4B4ABF01" w14:textId="13E06E29" w:rsidR="00C61607" w:rsidRPr="00C61607" w:rsidRDefault="00C61607">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w:t>
                      </w:r>
                    </w:p>
                    <w:p w14:paraId="23EED5A4" w14:textId="77777777" w:rsidR="00C61607" w:rsidRPr="00C61607" w:rsidRDefault="00C61607">
                      <w:pPr>
                        <w:rPr>
                          <w:b/>
                          <w:bCs/>
                        </w:rPr>
                      </w:pPr>
                    </w:p>
                  </w:txbxContent>
                </v:textbox>
              </v:shape>
            </w:pict>
          </mc:Fallback>
        </mc:AlternateContent>
      </w:r>
      <w:r w:rsidR="00A7432D" w:rsidRPr="003E7C59">
        <w:rPr>
          <w:rFonts w:ascii="Arial" w:hAnsi="Arial" w:cs="Arial"/>
          <w:noProof/>
        </w:rPr>
        <w:drawing>
          <wp:inline distT="0" distB="0" distL="0" distR="0" wp14:anchorId="60312C0D" wp14:editId="67532A0D">
            <wp:extent cx="5863964" cy="1851025"/>
            <wp:effectExtent l="0" t="0" r="3810" b="3175"/>
            <wp:docPr id="20" name="Picture 20"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computer&#10;&#10;Description automatically generated with medium confidence"/>
                    <pic:cNvPicPr/>
                  </pic:nvPicPr>
                  <pic:blipFill rotWithShape="1">
                    <a:blip r:embed="rId16">
                      <a:extLst>
                        <a:ext uri="{28A0092B-C50C-407E-A947-70E740481C1C}">
                          <a14:useLocalDpi xmlns:a14="http://schemas.microsoft.com/office/drawing/2010/main" val="0"/>
                        </a:ext>
                      </a:extLst>
                    </a:blip>
                    <a:srcRect t="8750" r="2029" b="37215"/>
                    <a:stretch/>
                  </pic:blipFill>
                  <pic:spPr bwMode="auto">
                    <a:xfrm>
                      <a:off x="0" y="0"/>
                      <a:ext cx="5863964" cy="1851025"/>
                    </a:xfrm>
                    <a:prstGeom prst="rect">
                      <a:avLst/>
                    </a:prstGeom>
                    <a:ln>
                      <a:noFill/>
                    </a:ln>
                    <a:extLst>
                      <a:ext uri="{53640926-AAD7-44D8-BBD7-CCE9431645EC}">
                        <a14:shadowObscured xmlns:a14="http://schemas.microsoft.com/office/drawing/2010/main"/>
                      </a:ext>
                    </a:extLst>
                  </pic:spPr>
                </pic:pic>
              </a:graphicData>
            </a:graphic>
          </wp:inline>
        </w:drawing>
      </w:r>
    </w:p>
    <w:p w14:paraId="15F94C83" w14:textId="4595F60A" w:rsidR="00A7432D" w:rsidRPr="003E7C59" w:rsidRDefault="00A7432D" w:rsidP="006622F2">
      <w:pPr>
        <w:spacing w:line="360" w:lineRule="auto"/>
        <w:rPr>
          <w:rFonts w:ascii="Arial" w:hAnsi="Arial" w:cs="Arial"/>
        </w:rPr>
      </w:pPr>
    </w:p>
    <w:p w14:paraId="17F90B38" w14:textId="61EBA8A5" w:rsidR="00A7432D" w:rsidRPr="003E7C59" w:rsidRDefault="00C61607" w:rsidP="006622F2">
      <w:pPr>
        <w:spacing w:line="360" w:lineRule="auto"/>
        <w:rPr>
          <w:rFonts w:ascii="Arial" w:hAnsi="Arial" w:cs="Arial"/>
        </w:rPr>
      </w:pPr>
      <w:r w:rsidRPr="003E7C59">
        <w:rPr>
          <w:rFonts w:ascii="Arial" w:hAnsi="Arial" w:cs="Arial"/>
          <w:noProof/>
        </w:rPr>
        <mc:AlternateContent>
          <mc:Choice Requires="wps">
            <w:drawing>
              <wp:anchor distT="0" distB="0" distL="114300" distR="114300" simplePos="0" relativeHeight="251668480" behindDoc="0" locked="0" layoutInCell="1" allowOverlap="1" wp14:anchorId="31D83C18" wp14:editId="31CF0378">
                <wp:simplePos x="0" y="0"/>
                <wp:positionH relativeFrom="column">
                  <wp:posOffset>271036</wp:posOffset>
                </wp:positionH>
                <wp:positionV relativeFrom="paragraph">
                  <wp:posOffset>52070</wp:posOffset>
                </wp:positionV>
                <wp:extent cx="314325" cy="283210"/>
                <wp:effectExtent l="0" t="0" r="15875" b="8890"/>
                <wp:wrapNone/>
                <wp:docPr id="26" name="Text Box 26"/>
                <wp:cNvGraphicFramePr/>
                <a:graphic xmlns:a="http://schemas.openxmlformats.org/drawingml/2006/main">
                  <a:graphicData uri="http://schemas.microsoft.com/office/word/2010/wordprocessingShape">
                    <wps:wsp>
                      <wps:cNvSpPr txBox="1"/>
                      <wps:spPr>
                        <a:xfrm rot="10800000" flipV="1">
                          <a:off x="0" y="0"/>
                          <a:ext cx="314325" cy="283210"/>
                        </a:xfrm>
                        <a:prstGeom prst="rect">
                          <a:avLst/>
                        </a:prstGeom>
                        <a:solidFill>
                          <a:schemeClr val="lt1"/>
                        </a:solidFill>
                        <a:ln w="6350">
                          <a:solidFill>
                            <a:prstClr val="black"/>
                          </a:solidFill>
                        </a:ln>
                      </wps:spPr>
                      <wps:txbx>
                        <w:txbxContent>
                          <w:p w14:paraId="3EE1585A" w14:textId="4F40B47E" w:rsidR="00C61607" w:rsidRPr="00C61607" w:rsidRDefault="00C61607" w:rsidP="00C61607">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B</w:t>
                            </w:r>
                          </w:p>
                          <w:p w14:paraId="66075460" w14:textId="77777777" w:rsidR="00C61607" w:rsidRPr="00C61607" w:rsidRDefault="00C61607" w:rsidP="00C6160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1D83C18" id="Text Box 26" o:spid="_x0000_s1031" type="#_x0000_t202" style="position:absolute;margin-left:21.35pt;margin-top:4.1pt;width:24.75pt;height:22.3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" fillcolor="white [3201]" strokeweight=".5pt">
                <v:textbox>
                  <w:txbxContent>
                    <w:p w14:paraId="3EE1585A" w14:textId="4F40B47E" w:rsidR="00C61607" w:rsidRPr="00C61607" w:rsidRDefault="00C61607" w:rsidP="00C61607">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B</w:t>
                      </w:r>
                    </w:p>
                    <w:p w14:paraId="66075460" w14:textId="77777777" w:rsidR="00C61607" w:rsidRPr="00C61607" w:rsidRDefault="00C61607" w:rsidP="00C61607">
                      <w:pPr>
                        <w:rPr>
                          <w:b/>
                          <w:bCs/>
                        </w:rPr>
                      </w:pPr>
                    </w:p>
                  </w:txbxContent>
                </v:textbox>
              </v:shape>
            </w:pict>
          </mc:Fallback>
        </mc:AlternateContent>
      </w:r>
      <w:r w:rsidR="00A7432D" w:rsidRPr="003E7C59">
        <w:rPr>
          <w:rFonts w:ascii="Arial" w:hAnsi="Arial" w:cs="Arial"/>
          <w:noProof/>
        </w:rPr>
        <w:drawing>
          <wp:inline distT="0" distB="0" distL="0" distR="0" wp14:anchorId="4BC21863" wp14:editId="388F5168">
            <wp:extent cx="5941311" cy="1909050"/>
            <wp:effectExtent l="0" t="0" r="2540" b="0"/>
            <wp:docPr id="21" name="Picture 2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imeline&#10;&#10;Description automatically generated"/>
                    <pic:cNvPicPr/>
                  </pic:nvPicPr>
                  <pic:blipFill rotWithShape="1">
                    <a:blip r:embed="rId17">
                      <a:extLst>
                        <a:ext uri="{28A0092B-C50C-407E-A947-70E740481C1C}">
                          <a14:useLocalDpi xmlns:a14="http://schemas.microsoft.com/office/drawing/2010/main" val="0"/>
                        </a:ext>
                      </a:extLst>
                    </a:blip>
                    <a:srcRect t="5675" b="37429"/>
                    <a:stretch/>
                  </pic:blipFill>
                  <pic:spPr bwMode="auto">
                    <a:xfrm>
                      <a:off x="0" y="0"/>
                      <a:ext cx="5943600" cy="1909785"/>
                    </a:xfrm>
                    <a:prstGeom prst="rect">
                      <a:avLst/>
                    </a:prstGeom>
                    <a:ln>
                      <a:noFill/>
                    </a:ln>
                    <a:extLst>
                      <a:ext uri="{53640926-AAD7-44D8-BBD7-CCE9431645EC}">
                        <a14:shadowObscured xmlns:a14="http://schemas.microsoft.com/office/drawing/2010/main"/>
                      </a:ext>
                    </a:extLst>
                  </pic:spPr>
                </pic:pic>
              </a:graphicData>
            </a:graphic>
          </wp:inline>
        </w:drawing>
      </w:r>
    </w:p>
    <w:p w14:paraId="48301DB6" w14:textId="4234C288" w:rsidR="00A7432D" w:rsidRPr="003E7C59" w:rsidRDefault="00A7432D" w:rsidP="006622F2">
      <w:pPr>
        <w:spacing w:line="360" w:lineRule="auto"/>
        <w:rPr>
          <w:rFonts w:ascii="Arial" w:hAnsi="Arial" w:cs="Arial"/>
        </w:rPr>
      </w:pPr>
    </w:p>
    <w:p w14:paraId="466B8FB3" w14:textId="755DDAA0" w:rsidR="00A7432D" w:rsidRPr="003E7C59" w:rsidRDefault="00C61607" w:rsidP="006622F2">
      <w:pPr>
        <w:spacing w:line="360" w:lineRule="auto"/>
        <w:rPr>
          <w:rFonts w:ascii="Arial" w:hAnsi="Arial" w:cs="Arial"/>
        </w:rPr>
      </w:pPr>
      <w:r w:rsidRPr="003E7C59">
        <w:rPr>
          <w:rFonts w:ascii="Arial" w:hAnsi="Arial" w:cs="Arial"/>
          <w:noProof/>
        </w:rPr>
        <mc:AlternateContent>
          <mc:Choice Requires="wps">
            <w:drawing>
              <wp:anchor distT="0" distB="0" distL="114300" distR="114300" simplePos="0" relativeHeight="251670528" behindDoc="0" locked="0" layoutInCell="1" allowOverlap="1" wp14:anchorId="4C71ADF4" wp14:editId="0824EBD1">
                <wp:simplePos x="0" y="0"/>
                <wp:positionH relativeFrom="column">
                  <wp:posOffset>246380</wp:posOffset>
                </wp:positionH>
                <wp:positionV relativeFrom="paragraph">
                  <wp:posOffset>67201</wp:posOffset>
                </wp:positionV>
                <wp:extent cx="314325" cy="283210"/>
                <wp:effectExtent l="0" t="0" r="15875" b="8890"/>
                <wp:wrapNone/>
                <wp:docPr id="27" name="Text Box 27"/>
                <wp:cNvGraphicFramePr/>
                <a:graphic xmlns:a="http://schemas.openxmlformats.org/drawingml/2006/main">
                  <a:graphicData uri="http://schemas.microsoft.com/office/word/2010/wordprocessingShape">
                    <wps:wsp>
                      <wps:cNvSpPr txBox="1"/>
                      <wps:spPr>
                        <a:xfrm rot="10800000" flipV="1">
                          <a:off x="0" y="0"/>
                          <a:ext cx="314325" cy="283210"/>
                        </a:xfrm>
                        <a:prstGeom prst="rect">
                          <a:avLst/>
                        </a:prstGeom>
                        <a:solidFill>
                          <a:schemeClr val="lt1"/>
                        </a:solidFill>
                        <a:ln w="6350">
                          <a:solidFill>
                            <a:prstClr val="black"/>
                          </a:solidFill>
                        </a:ln>
                      </wps:spPr>
                      <wps:txbx>
                        <w:txbxContent>
                          <w:p w14:paraId="281F5D44" w14:textId="57ADCC13" w:rsidR="00C61607" w:rsidRPr="00C61607" w:rsidRDefault="00C61607" w:rsidP="00C61607">
                            <w:pPr>
                              <w:rPr>
                                <w:b/>
                                <w:bCs/>
                              </w:rPr>
                            </w:pPr>
                            <w:r>
                              <w:rPr>
                                <w:b/>
                                <w:bC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C71ADF4" id="Text Box 27" o:spid="_x0000_s1032" type="#_x0000_t202" style="position:absolute;margin-left:19.4pt;margin-top:5.3pt;width:24.75pt;height:22.3pt;rotation:180;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" fillcolor="white [3201]" strokeweight=".5pt">
                <v:textbox>
                  <w:txbxContent>
                    <w:p w14:paraId="281F5D44" w14:textId="57ADCC13" w:rsidR="00C61607" w:rsidRPr="00C61607" w:rsidRDefault="00C61607" w:rsidP="00C61607">
                      <w:pPr>
                        <w:rPr>
                          <w:b/>
                          <w:bCs/>
                        </w:rPr>
                      </w:pPr>
                      <w:r>
                        <w:rPr>
                          <w:b/>
                          <w:bCs/>
                        </w:rPr>
                        <w:t>C</w:t>
                      </w:r>
                    </w:p>
                  </w:txbxContent>
                </v:textbox>
              </v:shape>
            </w:pict>
          </mc:Fallback>
        </mc:AlternateContent>
      </w:r>
      <w:r w:rsidR="00A7432D" w:rsidRPr="003E7C59">
        <w:rPr>
          <w:rFonts w:ascii="Arial" w:hAnsi="Arial" w:cs="Arial"/>
          <w:noProof/>
        </w:rPr>
        <w:drawing>
          <wp:inline distT="0" distB="0" distL="0" distR="0" wp14:anchorId="3F98F846" wp14:editId="120E7B60">
            <wp:extent cx="5941991" cy="1972244"/>
            <wp:effectExtent l="0" t="0" r="1905" b="0"/>
            <wp:docPr id="22" name="Picture 22" descr="Diagram,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timeline&#10;&#10;Description automatically generated with medium confidence"/>
                    <pic:cNvPicPr/>
                  </pic:nvPicPr>
                  <pic:blipFill rotWithShape="1">
                    <a:blip r:embed="rId18">
                      <a:extLst>
                        <a:ext uri="{28A0092B-C50C-407E-A947-70E740481C1C}">
                          <a14:useLocalDpi xmlns:a14="http://schemas.microsoft.com/office/drawing/2010/main" val="0"/>
                        </a:ext>
                      </a:extLst>
                    </a:blip>
                    <a:srcRect t="12151" r="813" b="29555"/>
                    <a:stretch/>
                  </pic:blipFill>
                  <pic:spPr bwMode="auto">
                    <a:xfrm>
                      <a:off x="0" y="0"/>
                      <a:ext cx="5943600" cy="1972778"/>
                    </a:xfrm>
                    <a:prstGeom prst="rect">
                      <a:avLst/>
                    </a:prstGeom>
                    <a:ln>
                      <a:noFill/>
                    </a:ln>
                    <a:extLst>
                      <a:ext uri="{53640926-AAD7-44D8-BBD7-CCE9431645EC}">
                        <a14:shadowObscured xmlns:a14="http://schemas.microsoft.com/office/drawing/2010/main"/>
                      </a:ext>
                    </a:extLst>
                  </pic:spPr>
                </pic:pic>
              </a:graphicData>
            </a:graphic>
          </wp:inline>
        </w:drawing>
      </w:r>
    </w:p>
    <w:p w14:paraId="47A14B60" w14:textId="77777777" w:rsidR="00BD0C4C" w:rsidRDefault="00BD0C4C" w:rsidP="00212171">
      <w:pPr>
        <w:pStyle w:val="TableofFigures"/>
        <w:rPr>
          <w:rFonts w:cs="Arial"/>
          <w:szCs w:val="22"/>
        </w:rPr>
      </w:pPr>
      <w:bookmarkStart w:id="104" w:name="_Toc121477966"/>
      <w:bookmarkStart w:id="105" w:name="_Toc121479057"/>
      <w:bookmarkStart w:id="106" w:name="_Toc121479806"/>
      <w:bookmarkStart w:id="107" w:name="_Toc121479978"/>
      <w:bookmarkStart w:id="108" w:name="_Toc121480901"/>
      <w:bookmarkStart w:id="109" w:name="_Toc121481010"/>
      <w:bookmarkStart w:id="110" w:name="_Toc121481296"/>
      <w:bookmarkStart w:id="111" w:name="_Toc121514012"/>
    </w:p>
    <w:p w14:paraId="33D8FC46" w14:textId="28D3278E" w:rsidR="00A86363" w:rsidRPr="003E7C59" w:rsidRDefault="009862BE" w:rsidP="00212171">
      <w:pPr>
        <w:pStyle w:val="TableofFigures"/>
        <w:rPr>
          <w:rFonts w:cs="Arial"/>
          <w:szCs w:val="22"/>
        </w:rPr>
      </w:pPr>
      <w:r w:rsidRPr="003E7C59">
        <w:rPr>
          <w:rFonts w:cs="Arial"/>
          <w:szCs w:val="22"/>
        </w:rPr>
        <w:t xml:space="preserve">Figure 1.3. Classification of protein families of </w:t>
      </w:r>
      <w:r w:rsidRPr="003E7C59">
        <w:rPr>
          <w:rFonts w:cs="Arial"/>
          <w:i/>
          <w:iCs/>
          <w:szCs w:val="22"/>
        </w:rPr>
        <w:t>Cornus</w:t>
      </w:r>
      <w:r w:rsidRPr="003E7C59">
        <w:rPr>
          <w:rFonts w:cs="Arial"/>
          <w:szCs w:val="22"/>
        </w:rPr>
        <w:t xml:space="preserve"> </w:t>
      </w:r>
      <w:proofErr w:type="gramStart"/>
      <w:r w:rsidRPr="003E7C59">
        <w:rPr>
          <w:rFonts w:cs="Arial"/>
          <w:i/>
          <w:iCs/>
          <w:szCs w:val="22"/>
        </w:rPr>
        <w:t>florida</w:t>
      </w:r>
      <w:proofErr w:type="gramEnd"/>
      <w:r w:rsidRPr="003E7C59">
        <w:rPr>
          <w:rFonts w:cs="Arial"/>
          <w:szCs w:val="22"/>
        </w:rPr>
        <w:t xml:space="preserve"> and </w:t>
      </w:r>
      <w:r w:rsidRPr="003E7C59">
        <w:rPr>
          <w:rFonts w:cs="Arial"/>
          <w:i/>
          <w:iCs/>
          <w:szCs w:val="22"/>
        </w:rPr>
        <w:t>C</w:t>
      </w:r>
      <w:r w:rsidRPr="003E7C59">
        <w:rPr>
          <w:rFonts w:cs="Arial"/>
          <w:szCs w:val="22"/>
        </w:rPr>
        <w:t xml:space="preserve">. </w:t>
      </w:r>
      <w:r w:rsidRPr="003E7C59">
        <w:rPr>
          <w:rFonts w:cs="Arial"/>
          <w:i/>
          <w:iCs/>
          <w:szCs w:val="22"/>
        </w:rPr>
        <w:t xml:space="preserve">kousa </w:t>
      </w:r>
      <w:r w:rsidRPr="003E7C59">
        <w:rPr>
          <w:rFonts w:cs="Arial"/>
          <w:szCs w:val="22"/>
        </w:rPr>
        <w:t>MYB translated protein sequences (A) CfMYB1 (B) CfMYB2 (C) CfMYB3 (D) CfMYB5 (E) CkMYB1 (F) CkMYB2.</w:t>
      </w:r>
      <w:bookmarkEnd w:id="104"/>
      <w:bookmarkEnd w:id="105"/>
      <w:bookmarkEnd w:id="106"/>
      <w:bookmarkEnd w:id="107"/>
      <w:bookmarkEnd w:id="108"/>
      <w:bookmarkEnd w:id="109"/>
      <w:bookmarkEnd w:id="110"/>
      <w:bookmarkEnd w:id="111"/>
      <w:r w:rsidRPr="003E7C59">
        <w:rPr>
          <w:rFonts w:cs="Arial"/>
          <w:szCs w:val="22"/>
        </w:rPr>
        <w:t xml:space="preserve"> </w:t>
      </w:r>
    </w:p>
    <w:p w14:paraId="54C60129" w14:textId="72C55AE7" w:rsidR="00A86363" w:rsidRPr="003E7C59" w:rsidRDefault="00A86363" w:rsidP="006622F2">
      <w:pPr>
        <w:spacing w:line="360" w:lineRule="auto"/>
        <w:rPr>
          <w:rFonts w:ascii="Arial" w:hAnsi="Arial" w:cs="Arial"/>
        </w:rPr>
      </w:pPr>
    </w:p>
    <w:p w14:paraId="4FD7514E" w14:textId="371F5E2D" w:rsidR="004C71C2" w:rsidRPr="003E7C59" w:rsidRDefault="004C71C2" w:rsidP="006622F2">
      <w:pPr>
        <w:spacing w:line="360" w:lineRule="auto"/>
        <w:rPr>
          <w:rFonts w:ascii="Arial" w:hAnsi="Arial" w:cs="Arial"/>
          <w:sz w:val="22"/>
          <w:szCs w:val="22"/>
        </w:rPr>
      </w:pPr>
    </w:p>
    <w:p w14:paraId="67F9338B" w14:textId="511F27ED" w:rsidR="00212171" w:rsidRDefault="00212171" w:rsidP="006622F2">
      <w:pPr>
        <w:spacing w:line="360" w:lineRule="auto"/>
        <w:rPr>
          <w:rFonts w:ascii="Arial" w:hAnsi="Arial" w:cs="Arial"/>
          <w:sz w:val="22"/>
          <w:szCs w:val="22"/>
        </w:rPr>
      </w:pPr>
    </w:p>
    <w:p w14:paraId="4A65C2B4" w14:textId="2B8F2B31" w:rsidR="00A7432D" w:rsidRPr="003E7C59" w:rsidRDefault="00A7432D" w:rsidP="006622F2">
      <w:pPr>
        <w:spacing w:line="360" w:lineRule="auto"/>
        <w:rPr>
          <w:rFonts w:ascii="Arial" w:hAnsi="Arial" w:cs="Arial"/>
        </w:rPr>
      </w:pPr>
    </w:p>
    <w:p w14:paraId="3CEB412B" w14:textId="2B29EAB4" w:rsidR="00A7432D" w:rsidRPr="003E7C59" w:rsidRDefault="00C61607" w:rsidP="006622F2">
      <w:pPr>
        <w:spacing w:line="360" w:lineRule="auto"/>
        <w:rPr>
          <w:rFonts w:ascii="Arial" w:hAnsi="Arial" w:cs="Arial"/>
        </w:rPr>
      </w:pPr>
      <w:r w:rsidRPr="003E7C59">
        <w:rPr>
          <w:rFonts w:ascii="Arial" w:hAnsi="Arial" w:cs="Arial"/>
          <w:noProof/>
        </w:rPr>
        <mc:AlternateContent>
          <mc:Choice Requires="wps">
            <w:drawing>
              <wp:anchor distT="0" distB="0" distL="114300" distR="114300" simplePos="0" relativeHeight="251672576" behindDoc="0" locked="0" layoutInCell="1" allowOverlap="1" wp14:anchorId="4389E2AA" wp14:editId="0DCEC5EE">
                <wp:simplePos x="0" y="0"/>
                <wp:positionH relativeFrom="column">
                  <wp:posOffset>261620</wp:posOffset>
                </wp:positionH>
                <wp:positionV relativeFrom="paragraph">
                  <wp:posOffset>42019</wp:posOffset>
                </wp:positionV>
                <wp:extent cx="314325" cy="283210"/>
                <wp:effectExtent l="0" t="0" r="15875" b="8890"/>
                <wp:wrapNone/>
                <wp:docPr id="28" name="Text Box 28"/>
                <wp:cNvGraphicFramePr/>
                <a:graphic xmlns:a="http://schemas.openxmlformats.org/drawingml/2006/main">
                  <a:graphicData uri="http://schemas.microsoft.com/office/word/2010/wordprocessingShape">
                    <wps:wsp>
                      <wps:cNvSpPr txBox="1"/>
                      <wps:spPr>
                        <a:xfrm rot="10800000" flipV="1">
                          <a:off x="0" y="0"/>
                          <a:ext cx="314325" cy="283210"/>
                        </a:xfrm>
                        <a:prstGeom prst="rect">
                          <a:avLst/>
                        </a:prstGeom>
                        <a:solidFill>
                          <a:schemeClr val="lt1"/>
                        </a:solidFill>
                        <a:ln w="6350">
                          <a:solidFill>
                            <a:prstClr val="black"/>
                          </a:solidFill>
                        </a:ln>
                      </wps:spPr>
                      <wps:txbx>
                        <w:txbxContent>
                          <w:p w14:paraId="6044A3DB" w14:textId="71BA3685" w:rsidR="00C61607" w:rsidRDefault="00C61607" w:rsidP="00C61607">
                            <w:pPr>
                              <w:rPr>
                                <w:b/>
                                <w:bCs/>
                              </w:rPr>
                            </w:pPr>
                            <w:r>
                              <w:rPr>
                                <w:b/>
                                <w:bCs/>
                              </w:rPr>
                              <w:t>D</w:t>
                            </w:r>
                          </w:p>
                          <w:p w14:paraId="0FCA864E" w14:textId="77777777" w:rsidR="00C61607" w:rsidRPr="00C61607" w:rsidRDefault="00C61607" w:rsidP="00C6160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4389E2AA" id="Text Box 28" o:spid="_x0000_s1033" type="#_x0000_t202" style="position:absolute;margin-left:20.6pt;margin-top:3.3pt;width:24.75pt;height:22.3pt;rotation:180;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" fillcolor="white [3201]" strokeweight=".5pt">
                <v:textbox>
                  <w:txbxContent>
                    <w:p w14:paraId="6044A3DB" w14:textId="71BA3685" w:rsidR="00C61607" w:rsidRDefault="00C61607" w:rsidP="00C61607">
                      <w:pPr>
                        <w:rPr>
                          <w:b/>
                          <w:bCs/>
                        </w:rPr>
                      </w:pPr>
                      <w:r>
                        <w:rPr>
                          <w:b/>
                          <w:bCs/>
                        </w:rPr>
                        <w:t>D</w:t>
                      </w:r>
                    </w:p>
                    <w:p w14:paraId="0FCA864E" w14:textId="77777777" w:rsidR="00C61607" w:rsidRPr="00C61607" w:rsidRDefault="00C61607" w:rsidP="00C61607">
                      <w:pPr>
                        <w:rPr>
                          <w:b/>
                          <w:bCs/>
                        </w:rPr>
                      </w:pPr>
                    </w:p>
                  </w:txbxContent>
                </v:textbox>
              </v:shape>
            </w:pict>
          </mc:Fallback>
        </mc:AlternateContent>
      </w:r>
      <w:r w:rsidR="00A7432D" w:rsidRPr="003E7C59">
        <w:rPr>
          <w:rFonts w:ascii="Arial" w:hAnsi="Arial" w:cs="Arial"/>
          <w:noProof/>
        </w:rPr>
        <w:drawing>
          <wp:inline distT="0" distB="0" distL="0" distR="0" wp14:anchorId="516EE790" wp14:editId="1726C245">
            <wp:extent cx="5942585" cy="2653797"/>
            <wp:effectExtent l="0" t="0" r="1270" b="635"/>
            <wp:docPr id="23" name="Picture 2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rotWithShape="1">
                    <a:blip r:embed="rId19">
                      <a:extLst>
                        <a:ext uri="{28A0092B-C50C-407E-A947-70E740481C1C}">
                          <a14:useLocalDpi xmlns:a14="http://schemas.microsoft.com/office/drawing/2010/main" val="0"/>
                        </a:ext>
                      </a:extLst>
                    </a:blip>
                    <a:srcRect t="4567" b="16359"/>
                    <a:stretch/>
                  </pic:blipFill>
                  <pic:spPr bwMode="auto">
                    <a:xfrm>
                      <a:off x="0" y="0"/>
                      <a:ext cx="5943600" cy="2654250"/>
                    </a:xfrm>
                    <a:prstGeom prst="rect">
                      <a:avLst/>
                    </a:prstGeom>
                    <a:ln>
                      <a:noFill/>
                    </a:ln>
                    <a:extLst>
                      <a:ext uri="{53640926-AAD7-44D8-BBD7-CCE9431645EC}">
                        <a14:shadowObscured xmlns:a14="http://schemas.microsoft.com/office/drawing/2010/main"/>
                      </a:ext>
                    </a:extLst>
                  </pic:spPr>
                </pic:pic>
              </a:graphicData>
            </a:graphic>
          </wp:inline>
        </w:drawing>
      </w:r>
    </w:p>
    <w:p w14:paraId="282FD6EE" w14:textId="1A65376B" w:rsidR="00A7432D" w:rsidRPr="003E7C59" w:rsidRDefault="00A7432D" w:rsidP="006622F2">
      <w:pPr>
        <w:spacing w:line="360" w:lineRule="auto"/>
        <w:rPr>
          <w:rFonts w:ascii="Arial" w:hAnsi="Arial" w:cs="Arial"/>
        </w:rPr>
      </w:pPr>
    </w:p>
    <w:p w14:paraId="4E5526CD" w14:textId="380BCEE0" w:rsidR="00A7432D" w:rsidRPr="003E7C59" w:rsidRDefault="00C61607" w:rsidP="006622F2">
      <w:pPr>
        <w:spacing w:line="360" w:lineRule="auto"/>
        <w:rPr>
          <w:rFonts w:ascii="Arial" w:hAnsi="Arial" w:cs="Arial"/>
        </w:rPr>
      </w:pPr>
      <w:r w:rsidRPr="003E7C59">
        <w:rPr>
          <w:rFonts w:ascii="Arial" w:hAnsi="Arial" w:cs="Arial"/>
          <w:noProof/>
        </w:rPr>
        <mc:AlternateContent>
          <mc:Choice Requires="wps">
            <w:drawing>
              <wp:anchor distT="0" distB="0" distL="114300" distR="114300" simplePos="0" relativeHeight="251674624" behindDoc="0" locked="0" layoutInCell="1" allowOverlap="1" wp14:anchorId="6FBD7B99" wp14:editId="4B69878B">
                <wp:simplePos x="0" y="0"/>
                <wp:positionH relativeFrom="column">
                  <wp:posOffset>182245</wp:posOffset>
                </wp:positionH>
                <wp:positionV relativeFrom="paragraph">
                  <wp:posOffset>46881</wp:posOffset>
                </wp:positionV>
                <wp:extent cx="314325" cy="283210"/>
                <wp:effectExtent l="0" t="0" r="15875" b="8890"/>
                <wp:wrapNone/>
                <wp:docPr id="29" name="Text Box 29"/>
                <wp:cNvGraphicFramePr/>
                <a:graphic xmlns:a="http://schemas.openxmlformats.org/drawingml/2006/main">
                  <a:graphicData uri="http://schemas.microsoft.com/office/word/2010/wordprocessingShape">
                    <wps:wsp>
                      <wps:cNvSpPr txBox="1"/>
                      <wps:spPr>
                        <a:xfrm rot="10800000" flipV="1">
                          <a:off x="0" y="0"/>
                          <a:ext cx="314325" cy="283210"/>
                        </a:xfrm>
                        <a:prstGeom prst="rect">
                          <a:avLst/>
                        </a:prstGeom>
                        <a:solidFill>
                          <a:schemeClr val="lt1"/>
                        </a:solidFill>
                        <a:ln w="6350">
                          <a:solidFill>
                            <a:prstClr val="black"/>
                          </a:solidFill>
                        </a:ln>
                      </wps:spPr>
                      <wps:txbx>
                        <w:txbxContent>
                          <w:p w14:paraId="0B8CF0E1" w14:textId="1F32B760" w:rsidR="00C61607" w:rsidRDefault="00C61607" w:rsidP="00C61607">
                            <w:pPr>
                              <w:rPr>
                                <w:b/>
                                <w:bCs/>
                              </w:rPr>
                            </w:pPr>
                            <w:r>
                              <w:rPr>
                                <w:b/>
                                <w:bCs/>
                              </w:rPr>
                              <w:t>E</w:t>
                            </w:r>
                          </w:p>
                          <w:p w14:paraId="77B1AE0C" w14:textId="77777777" w:rsidR="00C61607" w:rsidRPr="00C61607" w:rsidRDefault="00C61607" w:rsidP="00C6160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FBD7B99" id="Text Box 29" o:spid="_x0000_s1034" type="#_x0000_t202" style="position:absolute;margin-left:14.35pt;margin-top:3.7pt;width:24.75pt;height:22.3pt;rotation:180;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" fillcolor="white [3201]" strokeweight=".5pt">
                <v:textbox>
                  <w:txbxContent>
                    <w:p w14:paraId="0B8CF0E1" w14:textId="1F32B760" w:rsidR="00C61607" w:rsidRDefault="00C61607" w:rsidP="00C61607">
                      <w:pPr>
                        <w:rPr>
                          <w:b/>
                          <w:bCs/>
                        </w:rPr>
                      </w:pPr>
                      <w:r>
                        <w:rPr>
                          <w:b/>
                          <w:bCs/>
                        </w:rPr>
                        <w:t>E</w:t>
                      </w:r>
                    </w:p>
                    <w:p w14:paraId="77B1AE0C" w14:textId="77777777" w:rsidR="00C61607" w:rsidRPr="00C61607" w:rsidRDefault="00C61607" w:rsidP="00C61607">
                      <w:pPr>
                        <w:rPr>
                          <w:b/>
                          <w:bCs/>
                        </w:rPr>
                      </w:pPr>
                    </w:p>
                  </w:txbxContent>
                </v:textbox>
              </v:shape>
            </w:pict>
          </mc:Fallback>
        </mc:AlternateContent>
      </w:r>
      <w:r w:rsidR="00A7432D" w:rsidRPr="003E7C59">
        <w:rPr>
          <w:rFonts w:ascii="Arial" w:hAnsi="Arial" w:cs="Arial"/>
          <w:noProof/>
        </w:rPr>
        <w:drawing>
          <wp:inline distT="0" distB="0" distL="0" distR="0" wp14:anchorId="3DDA2F94" wp14:editId="5E57FA5C">
            <wp:extent cx="5941311" cy="1893285"/>
            <wp:effectExtent l="0" t="0" r="2540" b="0"/>
            <wp:docPr id="24" name="Picture 24"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imeline&#10;&#10;Description automatically generated"/>
                    <pic:cNvPicPr/>
                  </pic:nvPicPr>
                  <pic:blipFill rotWithShape="1">
                    <a:blip r:embed="rId20">
                      <a:extLst>
                        <a:ext uri="{28A0092B-C50C-407E-A947-70E740481C1C}">
                          <a14:useLocalDpi xmlns:a14="http://schemas.microsoft.com/office/drawing/2010/main" val="0"/>
                        </a:ext>
                      </a:extLst>
                    </a:blip>
                    <a:srcRect t="5506" b="38068"/>
                    <a:stretch/>
                  </pic:blipFill>
                  <pic:spPr bwMode="auto">
                    <a:xfrm>
                      <a:off x="0" y="0"/>
                      <a:ext cx="5943600" cy="1894014"/>
                    </a:xfrm>
                    <a:prstGeom prst="rect">
                      <a:avLst/>
                    </a:prstGeom>
                    <a:ln>
                      <a:noFill/>
                    </a:ln>
                    <a:extLst>
                      <a:ext uri="{53640926-AAD7-44D8-BBD7-CCE9431645EC}">
                        <a14:shadowObscured xmlns:a14="http://schemas.microsoft.com/office/drawing/2010/main"/>
                      </a:ext>
                    </a:extLst>
                  </pic:spPr>
                </pic:pic>
              </a:graphicData>
            </a:graphic>
          </wp:inline>
        </w:drawing>
      </w:r>
    </w:p>
    <w:p w14:paraId="475F3CFD" w14:textId="77777777" w:rsidR="00BD0C4C" w:rsidRDefault="00BD0C4C" w:rsidP="00C001CC">
      <w:pPr>
        <w:spacing w:line="360" w:lineRule="auto"/>
        <w:rPr>
          <w:rFonts w:ascii="Arial" w:hAnsi="Arial" w:cs="Arial"/>
          <w:sz w:val="22"/>
          <w:szCs w:val="22"/>
        </w:rPr>
      </w:pPr>
    </w:p>
    <w:p w14:paraId="2ED93E85" w14:textId="11D58515" w:rsidR="00C001CC" w:rsidRPr="003E7C59" w:rsidRDefault="00C001CC" w:rsidP="00C001CC">
      <w:pPr>
        <w:spacing w:line="360" w:lineRule="auto"/>
        <w:rPr>
          <w:rFonts w:ascii="Arial" w:hAnsi="Arial" w:cs="Arial"/>
          <w:sz w:val="22"/>
          <w:szCs w:val="22"/>
        </w:rPr>
      </w:pPr>
      <w:r w:rsidRPr="003E7C59">
        <w:rPr>
          <w:rFonts w:ascii="Arial" w:hAnsi="Arial" w:cs="Arial"/>
          <w:sz w:val="22"/>
          <w:szCs w:val="22"/>
        </w:rPr>
        <w:t xml:space="preserve">Figure 1.3. </w:t>
      </w:r>
      <w:proofErr w:type="gramStart"/>
      <w:r w:rsidRPr="003E7C59">
        <w:rPr>
          <w:rFonts w:ascii="Arial" w:hAnsi="Arial" w:cs="Arial"/>
          <w:sz w:val="22"/>
          <w:szCs w:val="22"/>
        </w:rPr>
        <w:t>continued</w:t>
      </w:r>
      <w:proofErr w:type="gramEnd"/>
    </w:p>
    <w:p w14:paraId="33BE651C" w14:textId="77777777" w:rsidR="00A7432D" w:rsidRPr="003E7C59" w:rsidRDefault="00A7432D" w:rsidP="006622F2">
      <w:pPr>
        <w:spacing w:line="360" w:lineRule="auto"/>
        <w:rPr>
          <w:rFonts w:ascii="Arial" w:hAnsi="Arial" w:cs="Arial"/>
        </w:rPr>
      </w:pPr>
    </w:p>
    <w:p w14:paraId="188027EA" w14:textId="77777777" w:rsidR="00A86363" w:rsidRPr="003E7C59" w:rsidRDefault="00A86363" w:rsidP="006622F2">
      <w:pPr>
        <w:spacing w:line="360" w:lineRule="auto"/>
        <w:rPr>
          <w:rFonts w:ascii="Arial" w:hAnsi="Arial" w:cs="Arial"/>
        </w:rPr>
      </w:pPr>
    </w:p>
    <w:p w14:paraId="08B58EC9" w14:textId="77777777" w:rsidR="00A86363" w:rsidRPr="003E7C59" w:rsidRDefault="00A86363" w:rsidP="006622F2">
      <w:pPr>
        <w:spacing w:line="360" w:lineRule="auto"/>
        <w:rPr>
          <w:rFonts w:ascii="Arial" w:hAnsi="Arial" w:cs="Arial"/>
        </w:rPr>
      </w:pPr>
    </w:p>
    <w:p w14:paraId="2919CC58" w14:textId="77777777" w:rsidR="00A86363" w:rsidRPr="003E7C59" w:rsidRDefault="00A86363" w:rsidP="006622F2">
      <w:pPr>
        <w:spacing w:line="360" w:lineRule="auto"/>
        <w:rPr>
          <w:rFonts w:ascii="Arial" w:hAnsi="Arial" w:cs="Arial"/>
        </w:rPr>
      </w:pPr>
    </w:p>
    <w:p w14:paraId="50FA7FBD" w14:textId="77777777" w:rsidR="00A86363" w:rsidRPr="003E7C59" w:rsidRDefault="00A86363" w:rsidP="006622F2">
      <w:pPr>
        <w:spacing w:line="360" w:lineRule="auto"/>
        <w:rPr>
          <w:rFonts w:ascii="Arial" w:hAnsi="Arial" w:cs="Arial"/>
        </w:rPr>
      </w:pPr>
    </w:p>
    <w:p w14:paraId="5D52590C" w14:textId="77777777" w:rsidR="00A86363" w:rsidRPr="003E7C59" w:rsidRDefault="00A86363" w:rsidP="006622F2">
      <w:pPr>
        <w:spacing w:line="360" w:lineRule="auto"/>
        <w:rPr>
          <w:rFonts w:ascii="Arial" w:hAnsi="Arial" w:cs="Arial"/>
        </w:rPr>
      </w:pPr>
    </w:p>
    <w:p w14:paraId="16111210" w14:textId="77777777" w:rsidR="00A86363" w:rsidRPr="003E7C59" w:rsidRDefault="00A86363" w:rsidP="006622F2">
      <w:pPr>
        <w:spacing w:line="360" w:lineRule="auto"/>
        <w:rPr>
          <w:rFonts w:ascii="Arial" w:hAnsi="Arial" w:cs="Arial"/>
        </w:rPr>
      </w:pPr>
    </w:p>
    <w:p w14:paraId="07B052A8" w14:textId="5CE83C0D" w:rsidR="001B1244" w:rsidRDefault="001B1244" w:rsidP="006622F2">
      <w:pPr>
        <w:spacing w:line="360" w:lineRule="auto"/>
        <w:rPr>
          <w:rFonts w:ascii="Arial" w:hAnsi="Arial" w:cs="Arial"/>
        </w:rPr>
      </w:pPr>
    </w:p>
    <w:p w14:paraId="5454B7E1" w14:textId="77777777" w:rsidR="0041660C" w:rsidRDefault="0041660C" w:rsidP="006622F2">
      <w:pPr>
        <w:spacing w:line="360" w:lineRule="auto"/>
        <w:rPr>
          <w:rFonts w:ascii="Arial" w:hAnsi="Arial" w:cs="Arial"/>
          <w:sz w:val="22"/>
          <w:szCs w:val="22"/>
        </w:rPr>
      </w:pPr>
    </w:p>
    <w:p w14:paraId="50A4DAD3" w14:textId="77777777" w:rsidR="00684DEF" w:rsidRDefault="00684DEF" w:rsidP="006622F2">
      <w:pPr>
        <w:spacing w:line="360" w:lineRule="auto"/>
        <w:rPr>
          <w:rFonts w:ascii="Arial" w:hAnsi="Arial" w:cs="Arial"/>
          <w:sz w:val="22"/>
          <w:szCs w:val="22"/>
        </w:rPr>
      </w:pPr>
    </w:p>
    <w:p w14:paraId="51B6F7A0" w14:textId="40920EC9" w:rsidR="00A7432D" w:rsidRPr="003E7C59" w:rsidRDefault="00C61607" w:rsidP="006622F2">
      <w:pPr>
        <w:spacing w:line="360" w:lineRule="auto"/>
        <w:rPr>
          <w:rFonts w:ascii="Arial" w:hAnsi="Arial" w:cs="Arial"/>
        </w:rPr>
      </w:pPr>
      <w:r w:rsidRPr="003E7C59">
        <w:rPr>
          <w:rFonts w:ascii="Arial" w:hAnsi="Arial" w:cs="Arial"/>
          <w:noProof/>
        </w:rPr>
        <mc:AlternateContent>
          <mc:Choice Requires="wps">
            <w:drawing>
              <wp:anchor distT="0" distB="0" distL="114300" distR="114300" simplePos="0" relativeHeight="251676672" behindDoc="0" locked="0" layoutInCell="1" allowOverlap="1" wp14:anchorId="1B9AE6D0" wp14:editId="51D3D428">
                <wp:simplePos x="0" y="0"/>
                <wp:positionH relativeFrom="column">
                  <wp:posOffset>250190</wp:posOffset>
                </wp:positionH>
                <wp:positionV relativeFrom="paragraph">
                  <wp:posOffset>19685</wp:posOffset>
                </wp:positionV>
                <wp:extent cx="314325" cy="283210"/>
                <wp:effectExtent l="0" t="0" r="15875" b="8890"/>
                <wp:wrapNone/>
                <wp:docPr id="30" name="Text Box 30"/>
                <wp:cNvGraphicFramePr/>
                <a:graphic xmlns:a="http://schemas.openxmlformats.org/drawingml/2006/main">
                  <a:graphicData uri="http://schemas.microsoft.com/office/word/2010/wordprocessingShape">
                    <wps:wsp>
                      <wps:cNvSpPr txBox="1"/>
                      <wps:spPr>
                        <a:xfrm rot="10800000" flipV="1">
                          <a:off x="0" y="0"/>
                          <a:ext cx="314325" cy="283210"/>
                        </a:xfrm>
                        <a:prstGeom prst="rect">
                          <a:avLst/>
                        </a:prstGeom>
                        <a:solidFill>
                          <a:schemeClr val="lt1"/>
                        </a:solidFill>
                        <a:ln w="6350">
                          <a:solidFill>
                            <a:prstClr val="black"/>
                          </a:solidFill>
                        </a:ln>
                      </wps:spPr>
                      <wps:txbx>
                        <w:txbxContent>
                          <w:p w14:paraId="633B52B1" w14:textId="74391513" w:rsidR="00C61607" w:rsidRPr="00C61607" w:rsidRDefault="00C61607" w:rsidP="00C61607">
                            <w:pPr>
                              <w:rPr>
                                <w:b/>
                                <w:bCs/>
                              </w:rPr>
                            </w:pPr>
                            <w:r>
                              <w:rPr>
                                <w:b/>
                                <w:bC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B9AE6D0" id="Text Box 30" o:spid="_x0000_s1035" type="#_x0000_t202" style="position:absolute;margin-left:19.7pt;margin-top:1.55pt;width:24.75pt;height:22.3pt;rotation:180;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" fillcolor="white [3201]" strokeweight=".5pt">
                <v:textbox>
                  <w:txbxContent>
                    <w:p w14:paraId="633B52B1" w14:textId="74391513" w:rsidR="00C61607" w:rsidRPr="00C61607" w:rsidRDefault="00C61607" w:rsidP="00C61607">
                      <w:pPr>
                        <w:rPr>
                          <w:b/>
                          <w:bCs/>
                        </w:rPr>
                      </w:pPr>
                      <w:r>
                        <w:rPr>
                          <w:b/>
                          <w:bCs/>
                        </w:rPr>
                        <w:t>F</w:t>
                      </w:r>
                    </w:p>
                  </w:txbxContent>
                </v:textbox>
              </v:shape>
            </w:pict>
          </mc:Fallback>
        </mc:AlternateContent>
      </w:r>
      <w:r w:rsidR="00A7432D" w:rsidRPr="003E7C59">
        <w:rPr>
          <w:rFonts w:ascii="Arial" w:hAnsi="Arial" w:cs="Arial"/>
          <w:noProof/>
        </w:rPr>
        <w:drawing>
          <wp:inline distT="0" distB="0" distL="0" distR="0" wp14:anchorId="61B56949" wp14:editId="6E5F19FB">
            <wp:extent cx="6173470" cy="1849758"/>
            <wp:effectExtent l="0" t="0" r="0" b="4445"/>
            <wp:docPr id="25" name="Picture 2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medium confidence"/>
                    <pic:cNvPicPr/>
                  </pic:nvPicPr>
                  <pic:blipFill rotWithShape="1">
                    <a:blip r:embed="rId21">
                      <a:extLst>
                        <a:ext uri="{28A0092B-C50C-407E-A947-70E740481C1C}">
                          <a14:useLocalDpi xmlns:a14="http://schemas.microsoft.com/office/drawing/2010/main" val="0"/>
                        </a:ext>
                      </a:extLst>
                    </a:blip>
                    <a:srcRect t="8194" r="3927" b="40834"/>
                    <a:stretch/>
                  </pic:blipFill>
                  <pic:spPr bwMode="auto">
                    <a:xfrm>
                      <a:off x="0" y="0"/>
                      <a:ext cx="6173978" cy="1849910"/>
                    </a:xfrm>
                    <a:prstGeom prst="rect">
                      <a:avLst/>
                    </a:prstGeom>
                    <a:ln>
                      <a:noFill/>
                    </a:ln>
                    <a:extLst>
                      <a:ext uri="{53640926-AAD7-44D8-BBD7-CCE9431645EC}">
                        <a14:shadowObscured xmlns:a14="http://schemas.microsoft.com/office/drawing/2010/main"/>
                      </a:ext>
                    </a:extLst>
                  </pic:spPr>
                </pic:pic>
              </a:graphicData>
            </a:graphic>
          </wp:inline>
        </w:drawing>
      </w:r>
    </w:p>
    <w:p w14:paraId="2017C786" w14:textId="77777777" w:rsidR="00BD0C4C" w:rsidRDefault="00BD0C4C" w:rsidP="00C001CC">
      <w:pPr>
        <w:spacing w:line="360" w:lineRule="auto"/>
        <w:rPr>
          <w:rFonts w:ascii="Arial" w:hAnsi="Arial" w:cs="Arial"/>
          <w:sz w:val="22"/>
          <w:szCs w:val="22"/>
        </w:rPr>
      </w:pPr>
    </w:p>
    <w:p w14:paraId="3E8DA287" w14:textId="2BB37EE4" w:rsidR="00C001CC" w:rsidRPr="003E7C59" w:rsidRDefault="00C001CC" w:rsidP="00C001CC">
      <w:pPr>
        <w:spacing w:line="360" w:lineRule="auto"/>
        <w:rPr>
          <w:rFonts w:ascii="Arial" w:hAnsi="Arial" w:cs="Arial"/>
          <w:sz w:val="22"/>
          <w:szCs w:val="22"/>
        </w:rPr>
      </w:pPr>
      <w:r w:rsidRPr="003E7C59">
        <w:rPr>
          <w:rFonts w:ascii="Arial" w:hAnsi="Arial" w:cs="Arial"/>
          <w:sz w:val="22"/>
          <w:szCs w:val="22"/>
        </w:rPr>
        <w:t xml:space="preserve">Figure 1.3. </w:t>
      </w:r>
      <w:proofErr w:type="gramStart"/>
      <w:r w:rsidRPr="003E7C59">
        <w:rPr>
          <w:rFonts w:ascii="Arial" w:hAnsi="Arial" w:cs="Arial"/>
          <w:sz w:val="22"/>
          <w:szCs w:val="22"/>
        </w:rPr>
        <w:t>continued</w:t>
      </w:r>
      <w:proofErr w:type="gramEnd"/>
    </w:p>
    <w:p w14:paraId="7346A494" w14:textId="77777777" w:rsidR="00A7432D" w:rsidRPr="003E7C59" w:rsidRDefault="00A7432D" w:rsidP="006622F2">
      <w:pPr>
        <w:spacing w:line="360" w:lineRule="auto"/>
        <w:rPr>
          <w:rFonts w:ascii="Arial" w:hAnsi="Arial" w:cs="Arial"/>
        </w:rPr>
      </w:pPr>
    </w:p>
    <w:p w14:paraId="0527DE4B" w14:textId="57F64406" w:rsidR="00B51BF9" w:rsidRDefault="00B51BF9" w:rsidP="006622F2">
      <w:pPr>
        <w:spacing w:line="360" w:lineRule="auto"/>
        <w:rPr>
          <w:rFonts w:ascii="Arial" w:hAnsi="Arial" w:cs="Arial"/>
        </w:rPr>
      </w:pPr>
    </w:p>
    <w:p w14:paraId="1D9C7632" w14:textId="77777777" w:rsidR="00D80840" w:rsidRPr="003E7C59" w:rsidRDefault="00D80840" w:rsidP="006622F2">
      <w:pPr>
        <w:spacing w:line="360" w:lineRule="auto"/>
        <w:rPr>
          <w:rFonts w:ascii="Arial" w:hAnsi="Arial" w:cs="Arial"/>
          <w:color w:val="000000" w:themeColor="text1"/>
          <w:sz w:val="22"/>
          <w:szCs w:val="22"/>
        </w:rPr>
      </w:pPr>
    </w:p>
    <w:p w14:paraId="4A297489" w14:textId="509BF820" w:rsidR="00593A40" w:rsidRDefault="00593A40" w:rsidP="006622F2">
      <w:pPr>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220E296C" wp14:editId="082CD1E2">
            <wp:extent cx="5943174" cy="5312664"/>
            <wp:effectExtent l="0" t="0" r="635" b="0"/>
            <wp:docPr id="10" name="Picture 10" descr="Diagram, schematic,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schematic, sunburst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174" cy="5312664"/>
                    </a:xfrm>
                    <a:prstGeom prst="rect">
                      <a:avLst/>
                    </a:prstGeom>
                  </pic:spPr>
                </pic:pic>
              </a:graphicData>
            </a:graphic>
          </wp:inline>
        </w:drawing>
      </w:r>
    </w:p>
    <w:p w14:paraId="0E2A8CBB" w14:textId="77777777" w:rsidR="00BD0C4C" w:rsidRDefault="00BD0C4C" w:rsidP="00212171">
      <w:pPr>
        <w:pStyle w:val="TableofFigures"/>
      </w:pPr>
      <w:bookmarkStart w:id="112" w:name="_Toc121514013"/>
    </w:p>
    <w:p w14:paraId="13A0C6DC" w14:textId="4B4E1939" w:rsidR="00576359" w:rsidRPr="00576359" w:rsidRDefault="00576359" w:rsidP="00212171">
      <w:pPr>
        <w:pStyle w:val="TableofFigures"/>
      </w:pPr>
      <w:r>
        <w:t xml:space="preserve">Figure 1.4. Phylogeny of </w:t>
      </w:r>
      <w:r>
        <w:rPr>
          <w:i/>
          <w:iCs/>
        </w:rPr>
        <w:t xml:space="preserve">Cornus </w:t>
      </w:r>
      <w:proofErr w:type="gramStart"/>
      <w:r>
        <w:rPr>
          <w:i/>
          <w:iCs/>
        </w:rPr>
        <w:t>florida</w:t>
      </w:r>
      <w:proofErr w:type="gramEnd"/>
      <w:r>
        <w:rPr>
          <w:i/>
          <w:iCs/>
        </w:rPr>
        <w:t xml:space="preserve"> </w:t>
      </w:r>
      <w:r>
        <w:t xml:space="preserve">and </w:t>
      </w:r>
      <w:r w:rsidRPr="00576359">
        <w:rPr>
          <w:i/>
          <w:iCs/>
        </w:rPr>
        <w:t>C</w:t>
      </w:r>
      <w:r>
        <w:t xml:space="preserve">. </w:t>
      </w:r>
      <w:r w:rsidRPr="00576359">
        <w:rPr>
          <w:i/>
          <w:iCs/>
        </w:rPr>
        <w:t>kousa</w:t>
      </w:r>
      <w:r>
        <w:rPr>
          <w:i/>
          <w:iCs/>
        </w:rPr>
        <w:t xml:space="preserve"> </w:t>
      </w:r>
      <w:r>
        <w:t xml:space="preserve">MYB Transcription Factors Associated with the Phenylpropanoid Pathway. The tree </w:t>
      </w:r>
      <w:proofErr w:type="gramStart"/>
      <w:r>
        <w:t>was constructed</w:t>
      </w:r>
      <w:proofErr w:type="gramEnd"/>
      <w:r>
        <w:t xml:space="preserve"> using the maximum likelihood method with putative translated amino acid full-length MYB sequences with PhyML (Guindon et al., 2009). Bootstrap values are shown </w:t>
      </w:r>
      <w:proofErr w:type="gramStart"/>
      <w:r>
        <w:t>as a percentages</w:t>
      </w:r>
      <w:proofErr w:type="gramEnd"/>
      <w:r>
        <w:t xml:space="preserve"> (1000 replicates). Candidate R2R3-MYB protein sequences regulating anthocyanin and proanthocyanidin synthesis identified in the study are labeled in red and belong to subgroup 4 (CfMYB2, CfMYB3, and CkMYB2) and </w:t>
      </w:r>
      <w:proofErr w:type="gramStart"/>
      <w:r>
        <w:t>5</w:t>
      </w:r>
      <w:proofErr w:type="gramEnd"/>
      <w:r>
        <w:t xml:space="preserve"> (CfMYB1</w:t>
      </w:r>
      <w:r w:rsidR="005E7DCF">
        <w:t xml:space="preserve"> and CkMYB1), respectively (Stracke et al., 2001; Dubios et al., 2010; Shelton et al., 2012).</w:t>
      </w:r>
      <w:bookmarkEnd w:id="112"/>
      <w:r w:rsidR="005E7DCF">
        <w:t xml:space="preserve"> </w:t>
      </w:r>
    </w:p>
    <w:p w14:paraId="6BD33465" w14:textId="77777777" w:rsidR="00F7578C" w:rsidRPr="00D86CE7" w:rsidRDefault="00F7578C" w:rsidP="006622F2">
      <w:pPr>
        <w:pStyle w:val="TableofFigures"/>
        <w:ind w:left="0"/>
        <w:rPr>
          <w:rFonts w:cs="Arial"/>
          <w:b/>
          <w:bCs w:val="0"/>
          <w:szCs w:val="22"/>
        </w:rPr>
      </w:pPr>
    </w:p>
    <w:p w14:paraId="18F2150A" w14:textId="24EA4ACA" w:rsidR="00B51BF9" w:rsidRPr="003E7C59" w:rsidRDefault="00B51BF9" w:rsidP="006622F2">
      <w:pPr>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3D1BB8F0" wp14:editId="6B92AEB8">
            <wp:extent cx="5943600" cy="2173605"/>
            <wp:effectExtent l="0" t="0" r="0" b="0"/>
            <wp:docPr id="7" name="Picture 7" descr="A picture containing text, indoor,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indoor, ligh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173605"/>
                    </a:xfrm>
                    <a:prstGeom prst="rect">
                      <a:avLst/>
                    </a:prstGeom>
                  </pic:spPr>
                </pic:pic>
              </a:graphicData>
            </a:graphic>
          </wp:inline>
        </w:drawing>
      </w:r>
    </w:p>
    <w:p w14:paraId="07C90C0B" w14:textId="7F9342F4" w:rsidR="00B51BF9" w:rsidRPr="003E7C59" w:rsidRDefault="00BC1F89" w:rsidP="006622F2">
      <w:pPr>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w:drawing>
          <wp:inline distT="0" distB="0" distL="0" distR="0" wp14:anchorId="4F7C8CA4" wp14:editId="4A44D1D7">
            <wp:extent cx="5943600" cy="31857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185795"/>
                    </a:xfrm>
                    <a:prstGeom prst="rect">
                      <a:avLst/>
                    </a:prstGeom>
                  </pic:spPr>
                </pic:pic>
              </a:graphicData>
            </a:graphic>
          </wp:inline>
        </w:drawing>
      </w:r>
    </w:p>
    <w:p w14:paraId="02C83BCF" w14:textId="77777777" w:rsidR="00BD0C4C" w:rsidRDefault="00BD0C4C" w:rsidP="00212171">
      <w:pPr>
        <w:pStyle w:val="TableofFigures"/>
        <w:rPr>
          <w:rFonts w:cs="Arial"/>
          <w:szCs w:val="22"/>
        </w:rPr>
      </w:pPr>
      <w:bookmarkStart w:id="113" w:name="_Toc121477969"/>
      <w:bookmarkStart w:id="114" w:name="_Toc121479060"/>
      <w:bookmarkStart w:id="115" w:name="_Toc121479808"/>
      <w:bookmarkStart w:id="116" w:name="_Toc121479980"/>
      <w:bookmarkStart w:id="117" w:name="_Toc121480904"/>
      <w:bookmarkStart w:id="118" w:name="_Toc121481013"/>
      <w:bookmarkStart w:id="119" w:name="_Toc121481299"/>
      <w:bookmarkStart w:id="120" w:name="_Toc121514014"/>
    </w:p>
    <w:p w14:paraId="46DFB15A" w14:textId="1165A06D" w:rsidR="00B51BF9" w:rsidRPr="003E7C59" w:rsidRDefault="00B51BF9" w:rsidP="00212171">
      <w:pPr>
        <w:pStyle w:val="TableofFigures"/>
        <w:rPr>
          <w:rFonts w:cs="Arial"/>
          <w:szCs w:val="22"/>
        </w:rPr>
      </w:pPr>
      <w:r w:rsidRPr="003E7C59">
        <w:rPr>
          <w:rFonts w:cs="Arial"/>
          <w:szCs w:val="22"/>
        </w:rPr>
        <w:t>Figure 1.</w:t>
      </w:r>
      <w:r w:rsidR="005355AC" w:rsidRPr="003E7C59">
        <w:rPr>
          <w:rFonts w:cs="Arial"/>
          <w:szCs w:val="22"/>
        </w:rPr>
        <w:t>5</w:t>
      </w:r>
      <w:r w:rsidRPr="003E7C59">
        <w:rPr>
          <w:rFonts w:cs="Arial"/>
          <w:szCs w:val="22"/>
        </w:rPr>
        <w:t xml:space="preserve">. </w:t>
      </w:r>
      <w:r w:rsidR="00831F28" w:rsidRPr="003E7C59">
        <w:rPr>
          <w:rFonts w:cs="Arial"/>
          <w:szCs w:val="22"/>
        </w:rPr>
        <w:t xml:space="preserve">Positional enrichment of Ethylene-responsive element binding factor-associated Amphiphilic Repression (EAR) motif </w:t>
      </w:r>
      <w:r w:rsidR="007675FB" w:rsidRPr="003E7C59">
        <w:rPr>
          <w:rFonts w:cs="Arial"/>
          <w:szCs w:val="22"/>
        </w:rPr>
        <w:t xml:space="preserve">in R2R3-MYB transcription factors of </w:t>
      </w:r>
      <w:r w:rsidR="007675FB" w:rsidRPr="003E7C59">
        <w:rPr>
          <w:rFonts w:cs="Arial"/>
          <w:i/>
          <w:iCs/>
          <w:szCs w:val="22"/>
        </w:rPr>
        <w:t xml:space="preserve">Cornus </w:t>
      </w:r>
      <w:proofErr w:type="gramStart"/>
      <w:r w:rsidR="007675FB" w:rsidRPr="003E7C59">
        <w:rPr>
          <w:rFonts w:cs="Arial"/>
          <w:i/>
          <w:iCs/>
          <w:szCs w:val="22"/>
        </w:rPr>
        <w:t>florida</w:t>
      </w:r>
      <w:proofErr w:type="gramEnd"/>
      <w:r w:rsidR="007675FB" w:rsidRPr="003E7C59">
        <w:rPr>
          <w:rFonts w:cs="Arial"/>
          <w:szCs w:val="22"/>
        </w:rPr>
        <w:t xml:space="preserve"> and </w:t>
      </w:r>
      <w:r w:rsidR="007675FB" w:rsidRPr="003E7C59">
        <w:rPr>
          <w:rFonts w:cs="Arial"/>
          <w:i/>
          <w:iCs/>
          <w:szCs w:val="22"/>
        </w:rPr>
        <w:t>C</w:t>
      </w:r>
      <w:r w:rsidR="007675FB" w:rsidRPr="003E7C59">
        <w:rPr>
          <w:rFonts w:cs="Arial"/>
          <w:szCs w:val="22"/>
        </w:rPr>
        <w:t xml:space="preserve">. </w:t>
      </w:r>
      <w:r w:rsidR="007675FB" w:rsidRPr="003E7C59">
        <w:rPr>
          <w:rFonts w:cs="Arial"/>
          <w:i/>
          <w:iCs/>
          <w:szCs w:val="22"/>
        </w:rPr>
        <w:t>kousa</w:t>
      </w:r>
      <w:r w:rsidR="007675FB" w:rsidRPr="003E7C59">
        <w:rPr>
          <w:rFonts w:cs="Arial"/>
          <w:szCs w:val="22"/>
        </w:rPr>
        <w:t xml:space="preserve"> (A)</w:t>
      </w:r>
      <w:r w:rsidR="00831F28" w:rsidRPr="003E7C59">
        <w:rPr>
          <w:rFonts w:cs="Arial"/>
          <w:szCs w:val="22"/>
        </w:rPr>
        <w:t xml:space="preserve"> EAR motif</w:t>
      </w:r>
      <w:r w:rsidR="007675FB" w:rsidRPr="003E7C59">
        <w:rPr>
          <w:rFonts w:cs="Arial"/>
          <w:szCs w:val="22"/>
        </w:rPr>
        <w:t xml:space="preserve"> in 26 R2R3-MYB sequences. (B) The protein sequence alignment of 26 R2R3-MYB sequences </w:t>
      </w:r>
      <w:proofErr w:type="gramStart"/>
      <w:r w:rsidR="007675FB" w:rsidRPr="003E7C59">
        <w:rPr>
          <w:rFonts w:cs="Arial"/>
          <w:szCs w:val="22"/>
        </w:rPr>
        <w:t>was aligned</w:t>
      </w:r>
      <w:proofErr w:type="gramEnd"/>
      <w:r w:rsidR="007675FB" w:rsidRPr="003E7C59">
        <w:rPr>
          <w:rFonts w:cs="Arial"/>
          <w:szCs w:val="22"/>
        </w:rPr>
        <w:t xml:space="preserve"> in Mega11 with the default setting integrated with Muscle program (Stecher et al., 2020; Tamura et al., 2021). Positional enrichment showed EAR motif located at the C-terminal behind MYB R repeat in CfMYB2, CfMYB3, and CkMYB2 protein sequences</w:t>
      </w:r>
      <w:r w:rsidR="00CA3F77" w:rsidRPr="003E7C59">
        <w:rPr>
          <w:rFonts w:cs="Arial"/>
          <w:szCs w:val="22"/>
        </w:rPr>
        <w:t>.</w:t>
      </w:r>
      <w:bookmarkEnd w:id="113"/>
      <w:bookmarkEnd w:id="114"/>
      <w:bookmarkEnd w:id="115"/>
      <w:bookmarkEnd w:id="116"/>
      <w:bookmarkEnd w:id="117"/>
      <w:bookmarkEnd w:id="118"/>
      <w:bookmarkEnd w:id="119"/>
      <w:bookmarkEnd w:id="120"/>
    </w:p>
    <w:p w14:paraId="0EA39BBF" w14:textId="77777777" w:rsidR="00B51BF9" w:rsidRPr="003E7C59" w:rsidRDefault="00B51BF9" w:rsidP="006622F2">
      <w:pPr>
        <w:spacing w:line="360" w:lineRule="auto"/>
        <w:rPr>
          <w:rFonts w:ascii="Arial" w:hAnsi="Arial" w:cs="Arial"/>
          <w:color w:val="000000" w:themeColor="text1"/>
          <w:sz w:val="22"/>
          <w:szCs w:val="22"/>
        </w:rPr>
      </w:pPr>
    </w:p>
    <w:p w14:paraId="359A9DE4" w14:textId="1219458A" w:rsidR="00B51BF9" w:rsidRPr="003E7C59" w:rsidRDefault="00320438" w:rsidP="006622F2">
      <w:pPr>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6E8D7933" wp14:editId="1C31B5D0">
            <wp:extent cx="5943600" cy="2867025"/>
            <wp:effectExtent l="0" t="0" r="0" b="3175"/>
            <wp:docPr id="13" name="Picture 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a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2867025"/>
                    </a:xfrm>
                    <a:prstGeom prst="rect">
                      <a:avLst/>
                    </a:prstGeom>
                  </pic:spPr>
                </pic:pic>
              </a:graphicData>
            </a:graphic>
          </wp:inline>
        </w:drawing>
      </w:r>
    </w:p>
    <w:p w14:paraId="00403C77" w14:textId="77777777" w:rsidR="00BD0C4C" w:rsidRDefault="00BD0C4C" w:rsidP="00212171">
      <w:pPr>
        <w:pStyle w:val="TableofFigures"/>
        <w:rPr>
          <w:rFonts w:cs="Arial"/>
          <w:szCs w:val="22"/>
        </w:rPr>
      </w:pPr>
      <w:bookmarkStart w:id="121" w:name="_Toc121477970"/>
      <w:bookmarkStart w:id="122" w:name="_Toc121479061"/>
      <w:bookmarkStart w:id="123" w:name="_Toc121479809"/>
      <w:bookmarkStart w:id="124" w:name="_Toc121479981"/>
      <w:bookmarkStart w:id="125" w:name="_Toc121480905"/>
      <w:bookmarkStart w:id="126" w:name="_Toc121481014"/>
      <w:bookmarkStart w:id="127" w:name="_Toc121481300"/>
      <w:bookmarkStart w:id="128" w:name="_Toc121514015"/>
    </w:p>
    <w:p w14:paraId="07A813D1" w14:textId="56AB2F3E" w:rsidR="00B51BF9" w:rsidRPr="003E7C59" w:rsidRDefault="00B51BF9" w:rsidP="00212171">
      <w:pPr>
        <w:pStyle w:val="TableofFigures"/>
        <w:rPr>
          <w:rFonts w:cs="Arial"/>
          <w:szCs w:val="22"/>
        </w:rPr>
      </w:pPr>
      <w:r w:rsidRPr="003E7C59">
        <w:rPr>
          <w:rFonts w:cs="Arial"/>
          <w:szCs w:val="22"/>
        </w:rPr>
        <w:t>Figure 1.</w:t>
      </w:r>
      <w:r w:rsidR="005355AC" w:rsidRPr="003E7C59">
        <w:rPr>
          <w:rFonts w:cs="Arial"/>
          <w:szCs w:val="22"/>
        </w:rPr>
        <w:t>6</w:t>
      </w:r>
      <w:r w:rsidRPr="003E7C59">
        <w:rPr>
          <w:rFonts w:cs="Arial"/>
          <w:szCs w:val="22"/>
        </w:rPr>
        <w:t xml:space="preserve">. Validation of differentially expressed genes and expression levels of candidate </w:t>
      </w:r>
      <w:r w:rsidRPr="003E7C59">
        <w:rPr>
          <w:rFonts w:cs="Arial"/>
          <w:i/>
          <w:iCs/>
          <w:szCs w:val="22"/>
        </w:rPr>
        <w:t>R2R3-MYB</w:t>
      </w:r>
      <w:r w:rsidRPr="003E7C59">
        <w:rPr>
          <w:rFonts w:cs="Arial"/>
          <w:szCs w:val="22"/>
        </w:rPr>
        <w:t xml:space="preserve"> genes designated as </w:t>
      </w:r>
      <w:r w:rsidRPr="003E7C59">
        <w:rPr>
          <w:rFonts w:cs="Arial"/>
          <w:i/>
          <w:iCs/>
          <w:szCs w:val="22"/>
        </w:rPr>
        <w:t>CfMYB</w:t>
      </w:r>
      <w:r w:rsidRPr="003E7C59">
        <w:rPr>
          <w:rFonts w:cs="Arial"/>
          <w:i/>
          <w:iCs/>
          <w:szCs w:val="22"/>
          <w:highlight w:val="white"/>
        </w:rPr>
        <w:t>1 80</w:t>
      </w:r>
      <w:r w:rsidRPr="003E7C59">
        <w:rPr>
          <w:rFonts w:cs="Arial"/>
          <w:szCs w:val="22"/>
          <w:highlight w:val="white"/>
        </w:rPr>
        <w:t xml:space="preserve">, </w:t>
      </w:r>
      <w:r w:rsidRPr="003E7C59">
        <w:rPr>
          <w:rFonts w:cs="Arial"/>
          <w:i/>
          <w:iCs/>
          <w:szCs w:val="22"/>
          <w:highlight w:val="white"/>
        </w:rPr>
        <w:t>CfMYB2</w:t>
      </w:r>
      <w:r w:rsidRPr="003E7C59">
        <w:rPr>
          <w:rFonts w:cs="Arial"/>
          <w:szCs w:val="22"/>
          <w:highlight w:val="white"/>
        </w:rPr>
        <w:t xml:space="preserve">, </w:t>
      </w:r>
      <w:r w:rsidRPr="003E7C59">
        <w:rPr>
          <w:rFonts w:cs="Arial"/>
          <w:i/>
          <w:iCs/>
          <w:szCs w:val="22"/>
          <w:highlight w:val="white"/>
        </w:rPr>
        <w:t>CfMYB3,</w:t>
      </w:r>
      <w:r w:rsidRPr="003E7C59">
        <w:rPr>
          <w:rFonts w:cs="Arial"/>
          <w:szCs w:val="22"/>
          <w:highlight w:val="white"/>
        </w:rPr>
        <w:t xml:space="preserve"> </w:t>
      </w:r>
      <w:r w:rsidRPr="003E7C59">
        <w:rPr>
          <w:rFonts w:cs="Arial"/>
          <w:i/>
          <w:iCs/>
          <w:szCs w:val="22"/>
          <w:highlight w:val="white"/>
        </w:rPr>
        <w:t>CkMYB</w:t>
      </w:r>
      <w:r w:rsidRPr="003E7C59">
        <w:rPr>
          <w:rFonts w:cs="Arial"/>
          <w:szCs w:val="22"/>
          <w:highlight w:val="white"/>
        </w:rPr>
        <w:t>1</w:t>
      </w:r>
      <w:r w:rsidR="00D57124" w:rsidRPr="003E7C59">
        <w:rPr>
          <w:rFonts w:cs="Arial"/>
          <w:szCs w:val="22"/>
          <w:highlight w:val="white"/>
        </w:rPr>
        <w:t xml:space="preserve"> </w:t>
      </w:r>
      <w:r w:rsidRPr="003E7C59">
        <w:rPr>
          <w:rFonts w:cs="Arial"/>
          <w:szCs w:val="22"/>
          <w:highlight w:val="white"/>
        </w:rPr>
        <w:t>and</w:t>
      </w:r>
      <w:r w:rsidRPr="003E7C59">
        <w:rPr>
          <w:rFonts w:cs="Arial"/>
          <w:i/>
          <w:iCs/>
          <w:szCs w:val="22"/>
          <w:highlight w:val="white"/>
        </w:rPr>
        <w:t xml:space="preserve"> CkMYB</w:t>
      </w:r>
      <w:r w:rsidRPr="003E7C59">
        <w:rPr>
          <w:rFonts w:cs="Arial"/>
          <w:i/>
          <w:iCs/>
          <w:szCs w:val="22"/>
        </w:rPr>
        <w:t xml:space="preserve">2 </w:t>
      </w:r>
      <w:r w:rsidRPr="003E7C59">
        <w:rPr>
          <w:rFonts w:cs="Arial"/>
          <w:szCs w:val="22"/>
          <w:highlight w:val="white"/>
        </w:rPr>
        <w:t xml:space="preserve">in the </w:t>
      </w:r>
      <w:r w:rsidRPr="003E7C59">
        <w:rPr>
          <w:rFonts w:cs="Arial"/>
          <w:szCs w:val="22"/>
        </w:rPr>
        <w:t xml:space="preserve">phenylpropanoid metabolism with RT-qPCR in </w:t>
      </w:r>
      <w:r w:rsidRPr="003E7C59">
        <w:rPr>
          <w:rFonts w:cs="Arial"/>
          <w:i/>
          <w:iCs/>
          <w:szCs w:val="22"/>
        </w:rPr>
        <w:t xml:space="preserve">Cornus </w:t>
      </w:r>
      <w:proofErr w:type="gramStart"/>
      <w:r w:rsidRPr="003E7C59">
        <w:rPr>
          <w:rFonts w:cs="Arial"/>
          <w:i/>
          <w:iCs/>
          <w:szCs w:val="22"/>
        </w:rPr>
        <w:t>florida</w:t>
      </w:r>
      <w:proofErr w:type="gramEnd"/>
      <w:r w:rsidRPr="003E7C59">
        <w:rPr>
          <w:rFonts w:cs="Arial"/>
          <w:szCs w:val="22"/>
        </w:rPr>
        <w:t xml:space="preserve"> and </w:t>
      </w:r>
      <w:r w:rsidRPr="003E7C59">
        <w:rPr>
          <w:rFonts w:cs="Arial"/>
          <w:i/>
          <w:iCs/>
          <w:szCs w:val="22"/>
        </w:rPr>
        <w:t>C</w:t>
      </w:r>
      <w:r w:rsidRPr="003E7C59">
        <w:rPr>
          <w:rFonts w:cs="Arial"/>
          <w:szCs w:val="22"/>
        </w:rPr>
        <w:t xml:space="preserve">. </w:t>
      </w:r>
      <w:r w:rsidRPr="003E7C59">
        <w:rPr>
          <w:rFonts w:cs="Arial"/>
          <w:i/>
          <w:iCs/>
          <w:szCs w:val="22"/>
        </w:rPr>
        <w:t>kousa</w:t>
      </w:r>
      <w:r w:rsidRPr="003E7C59">
        <w:rPr>
          <w:rFonts w:cs="Arial"/>
          <w:szCs w:val="22"/>
        </w:rPr>
        <w:t>.</w:t>
      </w:r>
      <w:bookmarkEnd w:id="121"/>
      <w:bookmarkEnd w:id="122"/>
      <w:bookmarkEnd w:id="123"/>
      <w:bookmarkEnd w:id="124"/>
      <w:bookmarkEnd w:id="125"/>
      <w:bookmarkEnd w:id="126"/>
      <w:bookmarkEnd w:id="127"/>
      <w:bookmarkEnd w:id="128"/>
    </w:p>
    <w:p w14:paraId="560CE030" w14:textId="77777777" w:rsidR="00B51BF9" w:rsidRPr="003E7C59" w:rsidRDefault="00B51BF9" w:rsidP="006622F2">
      <w:pPr>
        <w:spacing w:line="360" w:lineRule="auto"/>
        <w:rPr>
          <w:rFonts w:ascii="Arial" w:hAnsi="Arial" w:cs="Arial"/>
          <w:color w:val="000000" w:themeColor="text1"/>
          <w:sz w:val="22"/>
          <w:szCs w:val="22"/>
        </w:rPr>
      </w:pPr>
    </w:p>
    <w:p w14:paraId="4701722B" w14:textId="77777777" w:rsidR="00B51BF9" w:rsidRPr="003E7C59" w:rsidRDefault="00B51BF9" w:rsidP="006622F2">
      <w:pPr>
        <w:spacing w:line="360" w:lineRule="auto"/>
        <w:rPr>
          <w:rFonts w:ascii="Arial" w:hAnsi="Arial" w:cs="Arial"/>
          <w:color w:val="000000" w:themeColor="text1"/>
          <w:sz w:val="22"/>
          <w:szCs w:val="22"/>
        </w:rPr>
      </w:pPr>
    </w:p>
    <w:p w14:paraId="1D85C892" w14:textId="77777777" w:rsidR="00B51BF9" w:rsidRPr="003E7C59" w:rsidRDefault="00B51BF9" w:rsidP="006622F2">
      <w:pPr>
        <w:spacing w:line="360" w:lineRule="auto"/>
        <w:rPr>
          <w:rFonts w:ascii="Arial" w:hAnsi="Arial" w:cs="Arial"/>
          <w:color w:val="000000" w:themeColor="text1"/>
          <w:sz w:val="22"/>
          <w:szCs w:val="22"/>
        </w:rPr>
      </w:pPr>
    </w:p>
    <w:p w14:paraId="306C4090" w14:textId="77777777" w:rsidR="00B51BF9" w:rsidRPr="003E7C59" w:rsidRDefault="00B51BF9" w:rsidP="006622F2">
      <w:pPr>
        <w:spacing w:line="360" w:lineRule="auto"/>
        <w:rPr>
          <w:rFonts w:ascii="Arial" w:hAnsi="Arial" w:cs="Arial"/>
          <w:color w:val="000000" w:themeColor="text1"/>
          <w:sz w:val="22"/>
          <w:szCs w:val="22"/>
        </w:rPr>
      </w:pPr>
    </w:p>
    <w:p w14:paraId="43F59EA4" w14:textId="77777777" w:rsidR="00B51BF9" w:rsidRPr="003E7C59" w:rsidRDefault="00B51BF9" w:rsidP="006622F2">
      <w:pPr>
        <w:spacing w:line="360" w:lineRule="auto"/>
        <w:rPr>
          <w:rFonts w:ascii="Arial" w:hAnsi="Arial" w:cs="Arial"/>
          <w:color w:val="000000" w:themeColor="text1"/>
          <w:sz w:val="22"/>
          <w:szCs w:val="22"/>
        </w:rPr>
      </w:pPr>
    </w:p>
    <w:p w14:paraId="40D3DA9C" w14:textId="77777777" w:rsidR="00B51BF9" w:rsidRPr="003E7C59" w:rsidRDefault="00B51BF9" w:rsidP="006622F2">
      <w:pPr>
        <w:spacing w:line="360" w:lineRule="auto"/>
        <w:rPr>
          <w:rFonts w:ascii="Arial" w:hAnsi="Arial" w:cs="Arial"/>
          <w:color w:val="000000" w:themeColor="text1"/>
          <w:sz w:val="22"/>
          <w:szCs w:val="22"/>
        </w:rPr>
      </w:pPr>
    </w:p>
    <w:p w14:paraId="1A767521" w14:textId="77777777" w:rsidR="00B51BF9" w:rsidRPr="003E7C59" w:rsidRDefault="00B51BF9" w:rsidP="006622F2">
      <w:pPr>
        <w:spacing w:line="360" w:lineRule="auto"/>
        <w:rPr>
          <w:rFonts w:ascii="Arial" w:hAnsi="Arial" w:cs="Arial"/>
          <w:color w:val="000000" w:themeColor="text1"/>
          <w:sz w:val="22"/>
          <w:szCs w:val="22"/>
        </w:rPr>
      </w:pPr>
    </w:p>
    <w:p w14:paraId="4D784064" w14:textId="77777777" w:rsidR="00B51BF9" w:rsidRPr="003E7C59" w:rsidRDefault="00B51BF9" w:rsidP="006622F2">
      <w:pPr>
        <w:spacing w:line="360" w:lineRule="auto"/>
        <w:rPr>
          <w:rFonts w:ascii="Arial" w:hAnsi="Arial" w:cs="Arial"/>
          <w:color w:val="000000" w:themeColor="text1"/>
          <w:sz w:val="22"/>
          <w:szCs w:val="22"/>
        </w:rPr>
      </w:pPr>
    </w:p>
    <w:p w14:paraId="194B0829" w14:textId="77777777" w:rsidR="00B51BF9" w:rsidRPr="003E7C59" w:rsidRDefault="00B51BF9" w:rsidP="006622F2">
      <w:pPr>
        <w:spacing w:line="360" w:lineRule="auto"/>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45407BAC" wp14:editId="55D5449C">
            <wp:extent cx="5943600" cy="2837396"/>
            <wp:effectExtent l="0" t="0" r="0" b="0"/>
            <wp:docPr id="8" name="Picture 8" descr="Chart, Word,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Word, waterfall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2837396"/>
                    </a:xfrm>
                    <a:prstGeom prst="rect">
                      <a:avLst/>
                    </a:prstGeom>
                  </pic:spPr>
                </pic:pic>
              </a:graphicData>
            </a:graphic>
          </wp:inline>
        </w:drawing>
      </w:r>
    </w:p>
    <w:p w14:paraId="5EA946C1" w14:textId="77777777" w:rsidR="00BD0C4C" w:rsidRDefault="00BD0C4C" w:rsidP="00212171">
      <w:pPr>
        <w:pStyle w:val="TableofFigures"/>
      </w:pPr>
      <w:bookmarkStart w:id="129" w:name="_Toc121477971"/>
      <w:bookmarkStart w:id="130" w:name="_Toc121479062"/>
      <w:bookmarkStart w:id="131" w:name="_Toc121479810"/>
      <w:bookmarkStart w:id="132" w:name="_Toc121479982"/>
      <w:bookmarkStart w:id="133" w:name="_Toc121480906"/>
      <w:bookmarkStart w:id="134" w:name="_Toc121481015"/>
      <w:bookmarkStart w:id="135" w:name="_Toc121481301"/>
      <w:bookmarkStart w:id="136" w:name="_Toc121514016"/>
    </w:p>
    <w:p w14:paraId="6E84B979" w14:textId="3B5C4AAB" w:rsidR="00B51BF9" w:rsidRPr="00D86CE7" w:rsidRDefault="00B51BF9" w:rsidP="00212171">
      <w:pPr>
        <w:pStyle w:val="TableofFigures"/>
      </w:pPr>
      <w:r w:rsidRPr="00D86CE7">
        <w:t>Figure 1.</w:t>
      </w:r>
      <w:r w:rsidR="005355AC" w:rsidRPr="00D86CE7">
        <w:t>7</w:t>
      </w:r>
      <w:r w:rsidRPr="00D86CE7">
        <w:t xml:space="preserve">. Validation of differentially expressed genes and expression levels of structural genes </w:t>
      </w:r>
      <w:r w:rsidRPr="00D86CE7">
        <w:rPr>
          <w:i/>
          <w:iCs/>
        </w:rPr>
        <w:t>CHI</w:t>
      </w:r>
      <w:r w:rsidRPr="00D86CE7">
        <w:t xml:space="preserve">, </w:t>
      </w:r>
      <w:r w:rsidRPr="00D86CE7">
        <w:rPr>
          <w:i/>
          <w:iCs/>
        </w:rPr>
        <w:t>CHS</w:t>
      </w:r>
      <w:r w:rsidRPr="00D86CE7">
        <w:t xml:space="preserve">, and </w:t>
      </w:r>
      <w:r w:rsidRPr="00D86CE7">
        <w:rPr>
          <w:i/>
          <w:iCs/>
        </w:rPr>
        <w:t>F3H</w:t>
      </w:r>
      <w:r w:rsidRPr="00D86CE7">
        <w:t xml:space="preserve"> in Cornus florida (top) and </w:t>
      </w:r>
      <w:r w:rsidRPr="00D86CE7">
        <w:rPr>
          <w:i/>
          <w:iCs/>
        </w:rPr>
        <w:t>CHI</w:t>
      </w:r>
      <w:r w:rsidRPr="00D86CE7">
        <w:t xml:space="preserve"> and </w:t>
      </w:r>
      <w:r w:rsidRPr="00D86CE7">
        <w:rPr>
          <w:i/>
          <w:iCs/>
        </w:rPr>
        <w:t xml:space="preserve">CHS </w:t>
      </w:r>
      <w:r w:rsidRPr="00D86CE7">
        <w:t xml:space="preserve">in </w:t>
      </w:r>
      <w:r w:rsidRPr="00D86CE7">
        <w:rPr>
          <w:i/>
          <w:iCs/>
        </w:rPr>
        <w:t>C</w:t>
      </w:r>
      <w:r w:rsidRPr="00D86CE7">
        <w:t xml:space="preserve">. </w:t>
      </w:r>
      <w:r w:rsidRPr="00D86CE7">
        <w:rPr>
          <w:i/>
          <w:iCs/>
        </w:rPr>
        <w:t xml:space="preserve">kousa </w:t>
      </w:r>
      <w:r w:rsidRPr="00D86CE7">
        <w:t>(bottom) with RT-qPCR.</w:t>
      </w:r>
      <w:bookmarkEnd w:id="129"/>
      <w:bookmarkEnd w:id="130"/>
      <w:bookmarkEnd w:id="131"/>
      <w:bookmarkEnd w:id="132"/>
      <w:bookmarkEnd w:id="133"/>
      <w:bookmarkEnd w:id="134"/>
      <w:bookmarkEnd w:id="135"/>
      <w:bookmarkEnd w:id="136"/>
    </w:p>
    <w:p w14:paraId="74CC5A14" w14:textId="77777777" w:rsidR="00B51BF9" w:rsidRPr="003E7C59" w:rsidRDefault="00B51BF9" w:rsidP="006622F2">
      <w:pPr>
        <w:spacing w:line="360" w:lineRule="auto"/>
        <w:rPr>
          <w:rFonts w:ascii="Arial" w:hAnsi="Arial" w:cs="Arial"/>
          <w:color w:val="000000" w:themeColor="text1"/>
          <w:sz w:val="22"/>
          <w:szCs w:val="22"/>
        </w:rPr>
      </w:pPr>
    </w:p>
    <w:p w14:paraId="5EA8ACAC" w14:textId="77777777" w:rsidR="00B51BF9" w:rsidRPr="003E7C59" w:rsidRDefault="00B51BF9" w:rsidP="006622F2">
      <w:pPr>
        <w:spacing w:line="360" w:lineRule="auto"/>
        <w:rPr>
          <w:rFonts w:ascii="Arial" w:hAnsi="Arial" w:cs="Arial"/>
          <w:color w:val="000000" w:themeColor="text1"/>
          <w:sz w:val="22"/>
          <w:szCs w:val="22"/>
        </w:rPr>
      </w:pPr>
    </w:p>
    <w:p w14:paraId="07F5229F" w14:textId="77777777" w:rsidR="00B51BF9" w:rsidRPr="003E7C59" w:rsidRDefault="00B51BF9" w:rsidP="006622F2">
      <w:pPr>
        <w:spacing w:line="360" w:lineRule="auto"/>
        <w:rPr>
          <w:rFonts w:ascii="Arial" w:hAnsi="Arial" w:cs="Arial"/>
          <w:color w:val="000000" w:themeColor="text1"/>
          <w:sz w:val="22"/>
          <w:szCs w:val="22"/>
        </w:rPr>
      </w:pPr>
    </w:p>
    <w:p w14:paraId="623DE2F6" w14:textId="77777777" w:rsidR="00B51BF9" w:rsidRPr="003E7C59" w:rsidRDefault="00B51BF9" w:rsidP="006622F2">
      <w:pPr>
        <w:spacing w:line="360" w:lineRule="auto"/>
        <w:rPr>
          <w:rFonts w:ascii="Arial" w:hAnsi="Arial" w:cs="Arial"/>
          <w:color w:val="000000" w:themeColor="text1"/>
          <w:sz w:val="22"/>
          <w:szCs w:val="22"/>
        </w:rPr>
      </w:pPr>
    </w:p>
    <w:p w14:paraId="7B38CFDB" w14:textId="77777777" w:rsidR="00B51BF9" w:rsidRPr="003E7C59" w:rsidRDefault="00B51BF9" w:rsidP="006622F2">
      <w:pPr>
        <w:spacing w:line="360" w:lineRule="auto"/>
        <w:rPr>
          <w:rFonts w:ascii="Arial" w:hAnsi="Arial" w:cs="Arial"/>
          <w:color w:val="000000" w:themeColor="text1"/>
          <w:sz w:val="22"/>
          <w:szCs w:val="22"/>
        </w:rPr>
      </w:pPr>
    </w:p>
    <w:p w14:paraId="4D8AF241" w14:textId="77777777" w:rsidR="00B51BF9" w:rsidRPr="003E7C59" w:rsidRDefault="00B51BF9" w:rsidP="006622F2">
      <w:pPr>
        <w:spacing w:line="360" w:lineRule="auto"/>
        <w:rPr>
          <w:rFonts w:ascii="Arial" w:hAnsi="Arial" w:cs="Arial"/>
          <w:color w:val="000000" w:themeColor="text1"/>
          <w:sz w:val="22"/>
          <w:szCs w:val="22"/>
        </w:rPr>
      </w:pPr>
    </w:p>
    <w:p w14:paraId="667C7E74" w14:textId="77777777" w:rsidR="00B51BF9" w:rsidRPr="003E7C59" w:rsidRDefault="00B51BF9" w:rsidP="006622F2">
      <w:pPr>
        <w:spacing w:line="360" w:lineRule="auto"/>
        <w:rPr>
          <w:rFonts w:ascii="Arial" w:hAnsi="Arial" w:cs="Arial"/>
          <w:color w:val="000000" w:themeColor="text1"/>
          <w:sz w:val="22"/>
          <w:szCs w:val="22"/>
        </w:rPr>
      </w:pPr>
    </w:p>
    <w:p w14:paraId="510C15FC" w14:textId="77777777" w:rsidR="00B51BF9" w:rsidRPr="003E7C59" w:rsidRDefault="00B51BF9" w:rsidP="006622F2">
      <w:pPr>
        <w:spacing w:line="360" w:lineRule="auto"/>
        <w:rPr>
          <w:rFonts w:ascii="Arial" w:hAnsi="Arial" w:cs="Arial"/>
          <w:color w:val="000000" w:themeColor="text1"/>
          <w:sz w:val="22"/>
          <w:szCs w:val="22"/>
        </w:rPr>
      </w:pPr>
    </w:p>
    <w:p w14:paraId="57B44953" w14:textId="77777777" w:rsidR="00B51BF9" w:rsidRPr="003E7C59" w:rsidRDefault="00B51BF9" w:rsidP="006622F2">
      <w:pPr>
        <w:spacing w:line="360" w:lineRule="auto"/>
        <w:rPr>
          <w:rFonts w:ascii="Arial" w:hAnsi="Arial" w:cs="Arial"/>
          <w:color w:val="000000" w:themeColor="text1"/>
          <w:sz w:val="22"/>
          <w:szCs w:val="22"/>
        </w:rPr>
      </w:pPr>
    </w:p>
    <w:p w14:paraId="3A6DDAC1" w14:textId="77777777" w:rsidR="00B51BF9" w:rsidRPr="003E7C59" w:rsidRDefault="00B51BF9" w:rsidP="006622F2">
      <w:pPr>
        <w:spacing w:line="360" w:lineRule="auto"/>
        <w:rPr>
          <w:rFonts w:ascii="Arial" w:hAnsi="Arial" w:cs="Arial"/>
          <w:color w:val="000000" w:themeColor="text1"/>
          <w:sz w:val="22"/>
          <w:szCs w:val="22"/>
        </w:rPr>
      </w:pPr>
    </w:p>
    <w:p w14:paraId="236E03A5" w14:textId="77777777" w:rsidR="00B51BF9" w:rsidRPr="003E7C59" w:rsidRDefault="00B51BF9" w:rsidP="006622F2">
      <w:pPr>
        <w:spacing w:line="360" w:lineRule="auto"/>
        <w:rPr>
          <w:rFonts w:ascii="Arial" w:hAnsi="Arial" w:cs="Arial"/>
          <w:color w:val="000000" w:themeColor="text1"/>
          <w:sz w:val="22"/>
          <w:szCs w:val="22"/>
        </w:rPr>
      </w:pPr>
    </w:p>
    <w:p w14:paraId="4E8E8923" w14:textId="77777777" w:rsidR="00B51BF9" w:rsidRPr="003E7C59" w:rsidRDefault="00B51BF9" w:rsidP="006622F2">
      <w:pPr>
        <w:spacing w:line="360" w:lineRule="auto"/>
        <w:rPr>
          <w:rFonts w:ascii="Arial" w:hAnsi="Arial" w:cs="Arial"/>
          <w:color w:val="000000" w:themeColor="text1"/>
          <w:sz w:val="22"/>
          <w:szCs w:val="22"/>
        </w:rPr>
      </w:pPr>
    </w:p>
    <w:p w14:paraId="4D2FE665" w14:textId="77777777" w:rsidR="00B51BF9" w:rsidRPr="003E7C59" w:rsidRDefault="00B51BF9" w:rsidP="006622F2">
      <w:pPr>
        <w:spacing w:line="360" w:lineRule="auto"/>
        <w:rPr>
          <w:rFonts w:ascii="Arial" w:hAnsi="Arial" w:cs="Arial"/>
          <w:color w:val="000000" w:themeColor="text1"/>
          <w:sz w:val="22"/>
          <w:szCs w:val="22"/>
        </w:rPr>
      </w:pPr>
    </w:p>
    <w:p w14:paraId="41A692FF" w14:textId="77777777" w:rsidR="00B51BF9" w:rsidRPr="003E7C59" w:rsidRDefault="00B51BF9" w:rsidP="006622F2">
      <w:pPr>
        <w:spacing w:line="360" w:lineRule="auto"/>
        <w:rPr>
          <w:rFonts w:ascii="Arial" w:hAnsi="Arial" w:cs="Arial"/>
          <w:color w:val="000000" w:themeColor="text1"/>
          <w:sz w:val="22"/>
          <w:szCs w:val="22"/>
        </w:rPr>
      </w:pPr>
    </w:p>
    <w:p w14:paraId="2E622677" w14:textId="77777777" w:rsidR="00B51BF9" w:rsidRPr="003E7C59" w:rsidRDefault="00B51BF9" w:rsidP="006622F2">
      <w:pPr>
        <w:spacing w:line="360" w:lineRule="auto"/>
        <w:rPr>
          <w:rFonts w:ascii="Arial" w:hAnsi="Arial" w:cs="Arial"/>
          <w:color w:val="000000" w:themeColor="text1"/>
          <w:sz w:val="22"/>
          <w:szCs w:val="22"/>
        </w:rPr>
      </w:pPr>
    </w:p>
    <w:p w14:paraId="07AFF472" w14:textId="5988583A" w:rsidR="00EC16C3" w:rsidRDefault="00EC16C3" w:rsidP="006622F2">
      <w:pPr>
        <w:pStyle w:val="Heading1"/>
        <w:spacing w:before="0" w:after="0"/>
        <w:rPr>
          <w:rFonts w:ascii="Arial" w:hAnsi="Arial" w:cs="Arial"/>
          <w:color w:val="000000" w:themeColor="text1"/>
          <w:sz w:val="22"/>
          <w:szCs w:val="22"/>
        </w:rPr>
      </w:pPr>
      <w:bookmarkStart w:id="137" w:name="_Toc117166852"/>
    </w:p>
    <w:p w14:paraId="5EAD9D95" w14:textId="77777777" w:rsidR="005E7DCF" w:rsidRPr="005E7DCF" w:rsidRDefault="005E7DCF" w:rsidP="006622F2"/>
    <w:p w14:paraId="3D6F972B" w14:textId="087B9280" w:rsidR="00B51BF9" w:rsidRPr="003E7C59" w:rsidRDefault="00B51BF9" w:rsidP="006622F2">
      <w:pPr>
        <w:pStyle w:val="Heading1"/>
        <w:spacing w:before="0" w:after="0"/>
        <w:jc w:val="center"/>
        <w:rPr>
          <w:rFonts w:ascii="Arial" w:hAnsi="Arial" w:cs="Arial"/>
          <w:color w:val="000000" w:themeColor="text1"/>
          <w:sz w:val="22"/>
          <w:szCs w:val="22"/>
        </w:rPr>
      </w:pPr>
      <w:bookmarkStart w:id="138" w:name="_Toc121821938"/>
      <w:r w:rsidRPr="003E7C59">
        <w:rPr>
          <w:rFonts w:ascii="Arial" w:hAnsi="Arial" w:cs="Arial"/>
          <w:color w:val="000000" w:themeColor="text1"/>
          <w:sz w:val="22"/>
          <w:szCs w:val="22"/>
        </w:rPr>
        <w:lastRenderedPageBreak/>
        <w:t xml:space="preserve">Chapter 2. Detection of Quantitative Trait Loci associated with </w:t>
      </w:r>
      <w:r w:rsidRPr="003E7C59">
        <w:rPr>
          <w:rFonts w:ascii="Arial" w:hAnsi="Arial" w:cs="Arial"/>
          <w:i/>
          <w:iCs/>
          <w:color w:val="000000" w:themeColor="text1"/>
          <w:sz w:val="22"/>
          <w:szCs w:val="22"/>
        </w:rPr>
        <w:t>Erysiphe pulchra</w:t>
      </w:r>
      <w:r w:rsidRPr="003E7C59">
        <w:rPr>
          <w:rFonts w:ascii="Arial" w:hAnsi="Arial" w:cs="Arial"/>
          <w:color w:val="000000" w:themeColor="text1"/>
          <w:sz w:val="22"/>
          <w:szCs w:val="22"/>
        </w:rPr>
        <w:t xml:space="preserve"> in pseudo-F2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population</w:t>
      </w:r>
      <w:bookmarkEnd w:id="137"/>
      <w:bookmarkEnd w:id="138"/>
    </w:p>
    <w:p w14:paraId="7D07306C" w14:textId="77777777" w:rsidR="00B51BF9" w:rsidRPr="003E7C59" w:rsidRDefault="00B51BF9" w:rsidP="006622F2">
      <w:pPr>
        <w:pStyle w:val="Heading3"/>
        <w:spacing w:line="360" w:lineRule="auto"/>
        <w:jc w:val="center"/>
        <w:rPr>
          <w:rFonts w:ascii="Arial" w:hAnsi="Arial" w:cs="Arial"/>
          <w:color w:val="000000" w:themeColor="text1"/>
          <w:sz w:val="22"/>
          <w:szCs w:val="22"/>
        </w:rPr>
      </w:pPr>
    </w:p>
    <w:p w14:paraId="17D99D57" w14:textId="77777777" w:rsidR="00B51BF9" w:rsidRPr="003E7C59" w:rsidRDefault="00B51BF9" w:rsidP="006622F2">
      <w:pPr>
        <w:pStyle w:val="Heading3"/>
        <w:spacing w:line="360" w:lineRule="auto"/>
        <w:rPr>
          <w:rFonts w:ascii="Arial" w:hAnsi="Arial" w:cs="Arial"/>
          <w:color w:val="000000" w:themeColor="text1"/>
          <w:sz w:val="22"/>
          <w:szCs w:val="22"/>
        </w:rPr>
      </w:pPr>
    </w:p>
    <w:p w14:paraId="5DE53DF3" w14:textId="77777777" w:rsidR="00A86363" w:rsidRPr="003E7C59" w:rsidRDefault="00A86363" w:rsidP="006622F2">
      <w:pPr>
        <w:pStyle w:val="Heading3"/>
        <w:spacing w:line="360" w:lineRule="auto"/>
        <w:rPr>
          <w:rFonts w:ascii="Arial" w:hAnsi="Arial" w:cs="Arial"/>
          <w:color w:val="000000" w:themeColor="text1"/>
          <w:sz w:val="22"/>
          <w:szCs w:val="22"/>
        </w:rPr>
      </w:pPr>
      <w:bookmarkStart w:id="139" w:name="_Toc117166853"/>
    </w:p>
    <w:p w14:paraId="4756DB16" w14:textId="77777777" w:rsidR="00A86363" w:rsidRPr="003E7C59" w:rsidRDefault="00A86363" w:rsidP="006622F2">
      <w:pPr>
        <w:pStyle w:val="Heading3"/>
        <w:spacing w:line="360" w:lineRule="auto"/>
        <w:rPr>
          <w:rFonts w:ascii="Arial" w:hAnsi="Arial" w:cs="Arial"/>
          <w:color w:val="000000" w:themeColor="text1"/>
          <w:sz w:val="22"/>
          <w:szCs w:val="22"/>
        </w:rPr>
      </w:pPr>
    </w:p>
    <w:p w14:paraId="5D29E3E5" w14:textId="77777777" w:rsidR="00A86363" w:rsidRPr="003E7C59" w:rsidRDefault="00A86363" w:rsidP="006622F2">
      <w:pPr>
        <w:pStyle w:val="Heading3"/>
        <w:spacing w:line="360" w:lineRule="auto"/>
        <w:rPr>
          <w:rFonts w:ascii="Arial" w:hAnsi="Arial" w:cs="Arial"/>
          <w:color w:val="000000" w:themeColor="text1"/>
          <w:sz w:val="22"/>
          <w:szCs w:val="22"/>
        </w:rPr>
      </w:pPr>
    </w:p>
    <w:p w14:paraId="6D12474C" w14:textId="77777777" w:rsidR="00A86363" w:rsidRPr="003E7C59" w:rsidRDefault="00A86363" w:rsidP="006622F2">
      <w:pPr>
        <w:pStyle w:val="Heading3"/>
        <w:spacing w:line="360" w:lineRule="auto"/>
        <w:rPr>
          <w:rFonts w:ascii="Arial" w:hAnsi="Arial" w:cs="Arial"/>
          <w:color w:val="000000" w:themeColor="text1"/>
          <w:sz w:val="22"/>
          <w:szCs w:val="22"/>
        </w:rPr>
      </w:pPr>
    </w:p>
    <w:p w14:paraId="2A7F0A55" w14:textId="77777777" w:rsidR="00A86363" w:rsidRPr="003E7C59" w:rsidRDefault="00A86363" w:rsidP="006622F2">
      <w:pPr>
        <w:pStyle w:val="Heading3"/>
        <w:spacing w:line="360" w:lineRule="auto"/>
        <w:rPr>
          <w:rFonts w:ascii="Arial" w:hAnsi="Arial" w:cs="Arial"/>
          <w:color w:val="000000" w:themeColor="text1"/>
          <w:sz w:val="22"/>
          <w:szCs w:val="22"/>
        </w:rPr>
      </w:pPr>
    </w:p>
    <w:p w14:paraId="59C82B55" w14:textId="77777777" w:rsidR="00A86363" w:rsidRPr="003E7C59" w:rsidRDefault="00A86363" w:rsidP="006622F2">
      <w:pPr>
        <w:pStyle w:val="Heading3"/>
        <w:spacing w:line="360" w:lineRule="auto"/>
        <w:rPr>
          <w:rFonts w:ascii="Arial" w:hAnsi="Arial" w:cs="Arial"/>
          <w:color w:val="000000" w:themeColor="text1"/>
          <w:sz w:val="22"/>
          <w:szCs w:val="22"/>
        </w:rPr>
      </w:pPr>
    </w:p>
    <w:p w14:paraId="19E8ADCC" w14:textId="77777777" w:rsidR="00A86363" w:rsidRPr="003E7C59" w:rsidRDefault="00A86363" w:rsidP="006622F2">
      <w:pPr>
        <w:pStyle w:val="Heading3"/>
        <w:spacing w:line="360" w:lineRule="auto"/>
        <w:rPr>
          <w:rFonts w:ascii="Arial" w:hAnsi="Arial" w:cs="Arial"/>
          <w:color w:val="000000" w:themeColor="text1"/>
          <w:sz w:val="22"/>
          <w:szCs w:val="22"/>
        </w:rPr>
      </w:pPr>
    </w:p>
    <w:p w14:paraId="17BEBAF6" w14:textId="77777777" w:rsidR="00A86363" w:rsidRPr="003E7C59" w:rsidRDefault="00A86363" w:rsidP="006622F2">
      <w:pPr>
        <w:pStyle w:val="Heading3"/>
        <w:spacing w:line="360" w:lineRule="auto"/>
        <w:rPr>
          <w:rFonts w:ascii="Arial" w:hAnsi="Arial" w:cs="Arial"/>
          <w:color w:val="000000" w:themeColor="text1"/>
          <w:sz w:val="22"/>
          <w:szCs w:val="22"/>
        </w:rPr>
      </w:pPr>
    </w:p>
    <w:p w14:paraId="134FB6BF" w14:textId="77777777" w:rsidR="00A86363" w:rsidRPr="003E7C59" w:rsidRDefault="00A86363" w:rsidP="006622F2">
      <w:pPr>
        <w:pStyle w:val="Heading3"/>
        <w:spacing w:line="360" w:lineRule="auto"/>
        <w:rPr>
          <w:rFonts w:ascii="Arial" w:hAnsi="Arial" w:cs="Arial"/>
          <w:color w:val="000000" w:themeColor="text1"/>
          <w:sz w:val="22"/>
          <w:szCs w:val="22"/>
        </w:rPr>
      </w:pPr>
    </w:p>
    <w:p w14:paraId="6798A83B" w14:textId="77777777" w:rsidR="00A86363" w:rsidRPr="003E7C59" w:rsidRDefault="00A86363" w:rsidP="006622F2">
      <w:pPr>
        <w:pStyle w:val="Heading3"/>
        <w:spacing w:line="360" w:lineRule="auto"/>
        <w:rPr>
          <w:rFonts w:ascii="Arial" w:hAnsi="Arial" w:cs="Arial"/>
          <w:color w:val="000000" w:themeColor="text1"/>
          <w:sz w:val="22"/>
          <w:szCs w:val="22"/>
        </w:rPr>
      </w:pPr>
    </w:p>
    <w:p w14:paraId="121ECAAF" w14:textId="77777777" w:rsidR="00A86363" w:rsidRPr="003E7C59" w:rsidRDefault="00A86363" w:rsidP="006622F2">
      <w:pPr>
        <w:pStyle w:val="Heading3"/>
        <w:spacing w:line="360" w:lineRule="auto"/>
        <w:rPr>
          <w:rFonts w:ascii="Arial" w:hAnsi="Arial" w:cs="Arial"/>
          <w:color w:val="000000" w:themeColor="text1"/>
          <w:sz w:val="22"/>
          <w:szCs w:val="22"/>
        </w:rPr>
      </w:pPr>
    </w:p>
    <w:p w14:paraId="6C5EA3FE" w14:textId="77777777" w:rsidR="00A86363" w:rsidRPr="003E7C59" w:rsidRDefault="00A86363" w:rsidP="006622F2">
      <w:pPr>
        <w:pStyle w:val="Heading3"/>
        <w:spacing w:line="360" w:lineRule="auto"/>
        <w:rPr>
          <w:rFonts w:ascii="Arial" w:hAnsi="Arial" w:cs="Arial"/>
          <w:color w:val="000000" w:themeColor="text1"/>
          <w:sz w:val="22"/>
          <w:szCs w:val="22"/>
        </w:rPr>
      </w:pPr>
    </w:p>
    <w:p w14:paraId="21F8ED59" w14:textId="77777777" w:rsidR="00A86363" w:rsidRPr="003E7C59" w:rsidRDefault="00A86363" w:rsidP="006622F2">
      <w:pPr>
        <w:pStyle w:val="Heading3"/>
        <w:spacing w:line="360" w:lineRule="auto"/>
        <w:rPr>
          <w:rFonts w:ascii="Arial" w:hAnsi="Arial" w:cs="Arial"/>
          <w:color w:val="000000" w:themeColor="text1"/>
          <w:sz w:val="22"/>
          <w:szCs w:val="22"/>
        </w:rPr>
      </w:pPr>
    </w:p>
    <w:p w14:paraId="17A44DE6" w14:textId="77777777" w:rsidR="00A86363" w:rsidRPr="003E7C59" w:rsidRDefault="00A86363" w:rsidP="006622F2">
      <w:pPr>
        <w:pStyle w:val="Heading3"/>
        <w:spacing w:line="360" w:lineRule="auto"/>
        <w:rPr>
          <w:rFonts w:ascii="Arial" w:hAnsi="Arial" w:cs="Arial"/>
          <w:color w:val="000000" w:themeColor="text1"/>
          <w:sz w:val="22"/>
          <w:szCs w:val="22"/>
        </w:rPr>
      </w:pPr>
    </w:p>
    <w:p w14:paraId="4E65D64E" w14:textId="77777777" w:rsidR="00A86363" w:rsidRPr="003E7C59" w:rsidRDefault="00A86363" w:rsidP="006622F2">
      <w:pPr>
        <w:pStyle w:val="Heading3"/>
        <w:spacing w:line="360" w:lineRule="auto"/>
        <w:rPr>
          <w:rFonts w:ascii="Arial" w:hAnsi="Arial" w:cs="Arial"/>
          <w:color w:val="000000" w:themeColor="text1"/>
          <w:sz w:val="22"/>
          <w:szCs w:val="22"/>
        </w:rPr>
      </w:pPr>
    </w:p>
    <w:p w14:paraId="3387729F" w14:textId="77777777" w:rsidR="00A86363" w:rsidRPr="003E7C59" w:rsidRDefault="00A86363" w:rsidP="006622F2">
      <w:pPr>
        <w:pStyle w:val="Heading3"/>
        <w:spacing w:line="360" w:lineRule="auto"/>
        <w:rPr>
          <w:rFonts w:ascii="Arial" w:hAnsi="Arial" w:cs="Arial"/>
          <w:color w:val="000000" w:themeColor="text1"/>
          <w:sz w:val="22"/>
          <w:szCs w:val="22"/>
        </w:rPr>
      </w:pPr>
    </w:p>
    <w:p w14:paraId="58789BE4" w14:textId="77777777" w:rsidR="005E7DCF" w:rsidRDefault="005E7DCF" w:rsidP="006622F2">
      <w:pPr>
        <w:pStyle w:val="Heading3"/>
        <w:spacing w:before="0" w:beforeAutospacing="0" w:after="0" w:afterAutospacing="0" w:line="360" w:lineRule="auto"/>
        <w:rPr>
          <w:rFonts w:ascii="Arial" w:hAnsi="Arial" w:cs="Arial"/>
          <w:color w:val="000000" w:themeColor="text1"/>
          <w:sz w:val="22"/>
          <w:szCs w:val="22"/>
        </w:rPr>
      </w:pPr>
    </w:p>
    <w:p w14:paraId="4F47B6BE" w14:textId="45834847"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140" w:name="_Toc121821939"/>
      <w:r w:rsidRPr="003E7C59">
        <w:rPr>
          <w:rFonts w:ascii="Arial" w:hAnsi="Arial" w:cs="Arial"/>
          <w:color w:val="000000" w:themeColor="text1"/>
          <w:sz w:val="22"/>
          <w:szCs w:val="22"/>
        </w:rPr>
        <w:lastRenderedPageBreak/>
        <w:t>Abstract</w:t>
      </w:r>
      <w:bookmarkEnd w:id="139"/>
      <w:bookmarkEnd w:id="140"/>
    </w:p>
    <w:p w14:paraId="657ED550" w14:textId="77777777" w:rsidR="00794BA6" w:rsidRPr="003E7C59" w:rsidRDefault="00794BA6" w:rsidP="006622F2">
      <w:pPr>
        <w:pStyle w:val="Heading3"/>
        <w:spacing w:before="0" w:beforeAutospacing="0" w:after="0" w:afterAutospacing="0" w:line="360" w:lineRule="auto"/>
        <w:rPr>
          <w:rFonts w:ascii="Arial" w:hAnsi="Arial" w:cs="Arial"/>
          <w:color w:val="000000" w:themeColor="text1"/>
          <w:sz w:val="22"/>
          <w:szCs w:val="22"/>
        </w:rPr>
      </w:pPr>
    </w:p>
    <w:p w14:paraId="1E45C9D8" w14:textId="443AE7AC" w:rsidR="00B51BF9" w:rsidRPr="003E7C59" w:rsidRDefault="00B51BF9" w:rsidP="006622F2">
      <w:pPr>
        <w:spacing w:line="360" w:lineRule="auto"/>
        <w:ind w:firstLine="720"/>
        <w:rPr>
          <w:rFonts w:ascii="Arial" w:hAnsi="Arial" w:cs="Arial"/>
          <w:sz w:val="22"/>
          <w:szCs w:val="22"/>
        </w:rPr>
      </w:pPr>
      <w:bookmarkStart w:id="141" w:name="_Toc117166855"/>
      <w:r w:rsidRPr="003E7C59">
        <w:rPr>
          <w:rFonts w:ascii="Arial" w:hAnsi="Arial" w:cs="Arial"/>
          <w:sz w:val="22"/>
          <w:szCs w:val="22"/>
        </w:rPr>
        <w:t>Flowering dogwood (</w:t>
      </w:r>
      <w:r w:rsidRPr="003E7C59">
        <w:rPr>
          <w:rStyle w:val="Emphasis"/>
          <w:rFonts w:ascii="Arial" w:eastAsiaTheme="majorEastAsia" w:hAnsi="Arial" w:cs="Arial"/>
          <w:color w:val="0E101A"/>
          <w:sz w:val="22"/>
          <w:szCs w:val="22"/>
        </w:rPr>
        <w:t xml:space="preserve">Cornus </w:t>
      </w:r>
      <w:proofErr w:type="gramStart"/>
      <w:r w:rsidRPr="003E7C59">
        <w:rPr>
          <w:rStyle w:val="Emphasis"/>
          <w:rFonts w:ascii="Arial" w:eastAsiaTheme="majorEastAsia" w:hAnsi="Arial" w:cs="Arial"/>
          <w:color w:val="0E101A"/>
          <w:sz w:val="22"/>
          <w:szCs w:val="22"/>
        </w:rPr>
        <w:t>florida</w:t>
      </w:r>
      <w:proofErr w:type="gramEnd"/>
      <w:r w:rsidRPr="003E7C59">
        <w:rPr>
          <w:rFonts w:ascii="Arial" w:hAnsi="Arial" w:cs="Arial"/>
          <w:sz w:val="22"/>
          <w:szCs w:val="22"/>
        </w:rPr>
        <w:t xml:space="preserve"> L.) has been one the most popular understory and deciduous ornamental tree native to a wide range of eastern and southeastern United States. </w:t>
      </w:r>
      <w:proofErr w:type="gramStart"/>
      <w:r w:rsidRPr="003E7C59">
        <w:rPr>
          <w:rFonts w:ascii="Arial" w:hAnsi="Arial" w:cs="Arial"/>
          <w:sz w:val="22"/>
          <w:szCs w:val="22"/>
        </w:rPr>
        <w:t>The ornamental value of the tree continues to drive consumer demand and, so far, has resulted in the commercial release of more than 150 cultivars.</w:t>
      </w:r>
      <w:proofErr w:type="gramEnd"/>
      <w:r w:rsidRPr="003E7C59">
        <w:rPr>
          <w:rFonts w:ascii="Arial" w:hAnsi="Arial" w:cs="Arial"/>
          <w:sz w:val="22"/>
          <w:szCs w:val="22"/>
        </w:rPr>
        <w:t xml:space="preserve"> However, the flowering dogwood is generally susceptible to </w:t>
      </w:r>
      <w:r w:rsidRPr="003E7C59">
        <w:rPr>
          <w:rFonts w:ascii="Arial" w:hAnsi="Arial" w:cs="Arial"/>
          <w:i/>
          <w:sz w:val="22"/>
          <w:szCs w:val="22"/>
        </w:rPr>
        <w:t>Erysiphe pulchra</w:t>
      </w:r>
      <w:r w:rsidRPr="003E7C59">
        <w:rPr>
          <w:rFonts w:ascii="Arial" w:hAnsi="Arial" w:cs="Arial"/>
          <w:sz w:val="22"/>
          <w:szCs w:val="22"/>
        </w:rPr>
        <w:t xml:space="preserve">, </w:t>
      </w:r>
      <w:r w:rsidR="00211893" w:rsidRPr="003E7C59">
        <w:rPr>
          <w:rFonts w:ascii="Arial" w:hAnsi="Arial" w:cs="Arial"/>
          <w:sz w:val="22"/>
          <w:szCs w:val="22"/>
        </w:rPr>
        <w:t xml:space="preserve">the causal agent of </w:t>
      </w:r>
      <w:r w:rsidRPr="003E7C59">
        <w:rPr>
          <w:rFonts w:ascii="Arial" w:hAnsi="Arial" w:cs="Arial"/>
          <w:sz w:val="22"/>
          <w:szCs w:val="22"/>
        </w:rPr>
        <w:t xml:space="preserve">dogwood powdery mildew. A practical approach to studying traits such as disease resistance is mapping quantitative trait loci (QTL). In this study, we identified two QTL, QTLPM-7 (R2 = 19%, LOD = 3.6) and QTLPM-8 (R2 = 25.19%, LOD = 4.3), using 255 small sequence repeat markers developed for pseudo-F2 population originating from crossing two </w:t>
      </w:r>
      <w:r w:rsidRPr="003E7C59">
        <w:rPr>
          <w:rFonts w:ascii="Arial" w:hAnsi="Arial" w:cs="Arial"/>
          <w:i/>
          <w:iCs/>
          <w:sz w:val="22"/>
          <w:szCs w:val="22"/>
        </w:rPr>
        <w:t>C</w:t>
      </w:r>
      <w:r w:rsidRPr="003E7C59">
        <w:rPr>
          <w:rFonts w:ascii="Arial" w:hAnsi="Arial" w:cs="Arial"/>
          <w:sz w:val="22"/>
          <w:szCs w:val="22"/>
        </w:rPr>
        <w:t xml:space="preserve">. </w:t>
      </w:r>
      <w:r w:rsidRPr="003E7C59">
        <w:rPr>
          <w:rFonts w:ascii="Arial" w:hAnsi="Arial" w:cs="Arial"/>
          <w:i/>
          <w:iCs/>
          <w:sz w:val="22"/>
          <w:szCs w:val="22"/>
        </w:rPr>
        <w:t>florida</w:t>
      </w:r>
      <w:r w:rsidRPr="003E7C59">
        <w:rPr>
          <w:rFonts w:ascii="Arial" w:hAnsi="Arial" w:cs="Arial"/>
          <w:sz w:val="22"/>
          <w:szCs w:val="22"/>
        </w:rPr>
        <w:t xml:space="preserve"> F1 trees </w:t>
      </w:r>
      <w:r w:rsidR="00845C82" w:rsidRPr="003E7C59">
        <w:rPr>
          <w:rFonts w:ascii="Arial" w:hAnsi="Arial" w:cs="Arial"/>
          <w:sz w:val="22"/>
          <w:szCs w:val="22"/>
        </w:rPr>
        <w:t>created</w:t>
      </w:r>
      <w:r w:rsidRPr="003E7C59">
        <w:rPr>
          <w:rFonts w:ascii="Arial" w:hAnsi="Arial" w:cs="Arial"/>
          <w:sz w:val="22"/>
          <w:szCs w:val="22"/>
        </w:rPr>
        <w:t xml:space="preserve"> from </w:t>
      </w:r>
      <w:r w:rsidR="00845C82" w:rsidRPr="003E7C59">
        <w:rPr>
          <w:rFonts w:ascii="Arial" w:hAnsi="Arial" w:cs="Arial"/>
          <w:sz w:val="22"/>
          <w:szCs w:val="22"/>
        </w:rPr>
        <w:t xml:space="preserve">a cross of </w:t>
      </w:r>
      <w:r w:rsidRPr="003E7C59">
        <w:rPr>
          <w:rFonts w:ascii="Arial" w:hAnsi="Arial" w:cs="Arial"/>
          <w:sz w:val="22"/>
          <w:szCs w:val="22"/>
        </w:rPr>
        <w:t xml:space="preserve">‘Appalachian Spring,’ </w:t>
      </w:r>
      <w:r w:rsidR="00211893" w:rsidRPr="003E7C59">
        <w:rPr>
          <w:rFonts w:ascii="Arial" w:hAnsi="Arial" w:cs="Arial"/>
          <w:sz w:val="22"/>
          <w:szCs w:val="22"/>
        </w:rPr>
        <w:t xml:space="preserve">a putatively </w:t>
      </w:r>
      <w:r w:rsidRPr="003E7C59">
        <w:rPr>
          <w:rFonts w:ascii="Arial" w:hAnsi="Arial" w:cs="Arial"/>
          <w:sz w:val="22"/>
          <w:szCs w:val="22"/>
        </w:rPr>
        <w:t xml:space="preserve">powdery mildew resistant cultivar, and ‘Cherokee Brave’ PM moderately resistant cultivar. </w:t>
      </w:r>
      <w:r w:rsidR="00C55E97" w:rsidRPr="003E7C59">
        <w:rPr>
          <w:rFonts w:ascii="Arial" w:hAnsi="Arial" w:cs="Arial"/>
          <w:sz w:val="22"/>
          <w:szCs w:val="22"/>
        </w:rPr>
        <w:t>W</w:t>
      </w:r>
      <w:r w:rsidRPr="003E7C59">
        <w:rPr>
          <w:rFonts w:ascii="Arial" w:hAnsi="Arial" w:cs="Arial"/>
          <w:sz w:val="22"/>
          <w:szCs w:val="22"/>
        </w:rPr>
        <w:t xml:space="preserve">e collected powdery mildew phenotypic data for the </w:t>
      </w:r>
      <w:r w:rsidR="00E962D0" w:rsidRPr="003E7C59">
        <w:rPr>
          <w:rFonts w:ascii="Arial" w:hAnsi="Arial" w:cs="Arial"/>
          <w:sz w:val="22"/>
          <w:szCs w:val="22"/>
        </w:rPr>
        <w:t>F2</w:t>
      </w:r>
      <w:r w:rsidRPr="003E7C59">
        <w:rPr>
          <w:rFonts w:ascii="Arial" w:hAnsi="Arial" w:cs="Arial"/>
          <w:sz w:val="22"/>
          <w:szCs w:val="22"/>
        </w:rPr>
        <w:t xml:space="preserve"> population over six years to determine the mode of inheritance. Our results suggested that the duplicate mode of action, a form of epistasis, controls resistance to powdery mildew. </w:t>
      </w:r>
    </w:p>
    <w:p w14:paraId="22D69A76" w14:textId="77777777" w:rsidR="00EC16C3" w:rsidRPr="003E7C59" w:rsidRDefault="00EC16C3" w:rsidP="006622F2">
      <w:pPr>
        <w:spacing w:line="360" w:lineRule="auto"/>
        <w:ind w:firstLine="720"/>
        <w:rPr>
          <w:rFonts w:ascii="Arial" w:hAnsi="Arial" w:cs="Arial"/>
          <w:sz w:val="22"/>
          <w:szCs w:val="22"/>
        </w:rPr>
      </w:pPr>
    </w:p>
    <w:p w14:paraId="17DA4B02" w14:textId="7A5462FE"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142" w:name="_Toc121821940"/>
      <w:r w:rsidRPr="003E7C59">
        <w:rPr>
          <w:rFonts w:ascii="Arial" w:hAnsi="Arial" w:cs="Arial"/>
          <w:color w:val="000000" w:themeColor="text1"/>
          <w:sz w:val="22"/>
          <w:szCs w:val="22"/>
        </w:rPr>
        <w:t>Introduction</w:t>
      </w:r>
      <w:bookmarkEnd w:id="141"/>
      <w:bookmarkEnd w:id="142"/>
    </w:p>
    <w:p w14:paraId="1266B006"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p>
    <w:p w14:paraId="2C7C55AF" w14:textId="5017FC39"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Flowering dogwood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L.) is a popular understory ornamental tree grown in the eastern and southeastern US. It excels for its pink, red, and white petaloid bracts, red fall foliage display, and protein and calcium-rich drupes (Kaveriappa et al., 1997; Cappiello and Shadow, 2005; Wadl et al., 2011). However, </w:t>
      </w:r>
      <w:r w:rsidR="00DB32BC" w:rsidRPr="003E7C59">
        <w:rPr>
          <w:rFonts w:ascii="Arial" w:hAnsi="Arial" w:cs="Arial"/>
          <w:color w:val="000000" w:themeColor="text1"/>
          <w:sz w:val="22"/>
          <w:szCs w:val="22"/>
        </w:rPr>
        <w:t xml:space="preserve">the </w:t>
      </w:r>
      <w:r w:rsidRPr="003E7C59">
        <w:rPr>
          <w:rFonts w:ascii="Arial" w:hAnsi="Arial" w:cs="Arial"/>
          <w:color w:val="000000" w:themeColor="text1"/>
          <w:sz w:val="22"/>
          <w:szCs w:val="22"/>
        </w:rPr>
        <w:t xml:space="preserve">flowering dogwood is susceptible to the fungal disease of different etiologies, such as powdery mildew (PM) caused by </w:t>
      </w:r>
      <w:r w:rsidRPr="003E7C59">
        <w:rPr>
          <w:rFonts w:ascii="Arial" w:hAnsi="Arial" w:cs="Arial"/>
          <w:i/>
          <w:iCs/>
          <w:color w:val="000000" w:themeColor="text1"/>
          <w:sz w:val="22"/>
          <w:szCs w:val="22"/>
        </w:rPr>
        <w:t>Erysiphe pulchra</w:t>
      </w:r>
      <w:r w:rsidR="00C505AF" w:rsidRPr="003E7C59">
        <w:rPr>
          <w:rFonts w:ascii="Arial" w:hAnsi="Arial" w:cs="Arial"/>
          <w:color w:val="000000" w:themeColor="text1"/>
          <w:sz w:val="22"/>
          <w:szCs w:val="22"/>
        </w:rPr>
        <w:t xml:space="preserve"> Cooke &amp; Peck</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and anthracnose caused by </w:t>
      </w:r>
      <w:r w:rsidRPr="003E7C59">
        <w:rPr>
          <w:rFonts w:ascii="Arial" w:hAnsi="Arial" w:cs="Arial"/>
          <w:i/>
          <w:iCs/>
          <w:color w:val="000000" w:themeColor="text1"/>
          <w:sz w:val="22"/>
          <w:szCs w:val="22"/>
        </w:rPr>
        <w:t>Discula</w:t>
      </w:r>
      <w:r w:rsidRPr="003E7C59">
        <w:rPr>
          <w:rFonts w:ascii="Arial" w:hAnsi="Arial" w:cs="Arial"/>
          <w:i/>
          <w:color w:val="000000" w:themeColor="text1"/>
          <w:sz w:val="22"/>
          <w:szCs w:val="22"/>
        </w:rPr>
        <w:t xml:space="preserve"> destructiva</w:t>
      </w:r>
      <w:r w:rsidR="00C505AF" w:rsidRPr="003E7C59">
        <w:rPr>
          <w:rFonts w:ascii="Arial" w:hAnsi="Arial" w:cs="Arial"/>
          <w:i/>
          <w:color w:val="000000" w:themeColor="text1"/>
          <w:sz w:val="22"/>
          <w:szCs w:val="22"/>
        </w:rPr>
        <w:t xml:space="preserve"> </w:t>
      </w:r>
      <w:r w:rsidR="00C505AF" w:rsidRPr="003E7C59">
        <w:rPr>
          <w:rFonts w:ascii="Arial" w:hAnsi="Arial" w:cs="Arial"/>
          <w:iCs/>
          <w:color w:val="000000" w:themeColor="text1"/>
          <w:sz w:val="22"/>
          <w:szCs w:val="22"/>
        </w:rPr>
        <w:t>Redlin</w:t>
      </w:r>
      <w:r w:rsidRPr="003E7C59">
        <w:rPr>
          <w:rFonts w:ascii="Arial" w:hAnsi="Arial" w:cs="Arial"/>
          <w:iCs/>
          <w:color w:val="000000" w:themeColor="text1"/>
          <w:sz w:val="22"/>
          <w:szCs w:val="22"/>
        </w:rPr>
        <w:t xml:space="preserve">. </w:t>
      </w:r>
      <w:r w:rsidRPr="003E7C59">
        <w:rPr>
          <w:rFonts w:ascii="Arial" w:hAnsi="Arial" w:cs="Arial"/>
          <w:color w:val="000000" w:themeColor="text1"/>
          <w:sz w:val="22"/>
          <w:szCs w:val="22"/>
        </w:rPr>
        <w:t xml:space="preserve">Although, for the first time reported in 1884 by Burrill and Earle in Illinois, dogwood PM did not become a widespread disease in the United States of America (US) before the mid-1990. However, ever since, </w:t>
      </w:r>
      <w:r w:rsidRPr="003E7C59">
        <w:rPr>
          <w:rFonts w:ascii="Arial" w:hAnsi="Arial" w:cs="Arial"/>
          <w:i/>
          <w:iCs/>
          <w:color w:val="000000" w:themeColor="text1"/>
          <w:sz w:val="22"/>
          <w:szCs w:val="22"/>
        </w:rPr>
        <w:t>E</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pulchra</w:t>
      </w:r>
      <w:r w:rsidRPr="003E7C59">
        <w:rPr>
          <w:rFonts w:ascii="Arial" w:hAnsi="Arial" w:cs="Arial"/>
          <w:color w:val="000000" w:themeColor="text1"/>
          <w:sz w:val="22"/>
          <w:szCs w:val="22"/>
        </w:rPr>
        <w:t xml:space="preserve"> has become a </w:t>
      </w:r>
      <w:r w:rsidR="00211893" w:rsidRPr="003E7C59">
        <w:rPr>
          <w:rFonts w:ascii="Arial" w:hAnsi="Arial" w:cs="Arial"/>
          <w:color w:val="000000" w:themeColor="text1"/>
          <w:sz w:val="22"/>
          <w:szCs w:val="22"/>
        </w:rPr>
        <w:t>pre</w:t>
      </w:r>
      <w:r w:rsidRPr="003E7C59">
        <w:rPr>
          <w:rFonts w:ascii="Arial" w:hAnsi="Arial" w:cs="Arial"/>
          <w:color w:val="000000" w:themeColor="text1"/>
          <w:sz w:val="22"/>
          <w:szCs w:val="22"/>
        </w:rPr>
        <w:t xml:space="preserve">dominant disease of flowering dogwood in landscapes, nurseries, and forests (Daughtrey and Hagan, 2001). Consequently, the emergence of </w:t>
      </w:r>
      <w:r w:rsidRPr="003E7C59">
        <w:rPr>
          <w:rFonts w:ascii="Arial" w:hAnsi="Arial" w:cs="Arial"/>
          <w:i/>
          <w:iCs/>
          <w:color w:val="000000" w:themeColor="text1"/>
          <w:sz w:val="22"/>
          <w:szCs w:val="22"/>
        </w:rPr>
        <w:t>D</w:t>
      </w:r>
      <w:r w:rsidRPr="003E7C59">
        <w:rPr>
          <w:rFonts w:ascii="Arial" w:hAnsi="Arial" w:cs="Arial"/>
          <w:color w:val="000000" w:themeColor="text1"/>
          <w:sz w:val="22"/>
          <w:szCs w:val="22"/>
        </w:rPr>
        <w:t xml:space="preserve">. </w:t>
      </w:r>
      <w:r w:rsidRPr="003E7C59">
        <w:rPr>
          <w:rFonts w:ascii="Arial" w:hAnsi="Arial" w:cs="Arial"/>
          <w:i/>
          <w:color w:val="000000" w:themeColor="text1"/>
          <w:sz w:val="22"/>
          <w:szCs w:val="22"/>
        </w:rPr>
        <w:t xml:space="preserve">destructiva </w:t>
      </w:r>
      <w:r w:rsidRPr="003E7C59">
        <w:rPr>
          <w:rFonts w:ascii="Arial" w:hAnsi="Arial" w:cs="Arial"/>
          <w:color w:val="000000" w:themeColor="text1"/>
          <w:sz w:val="22"/>
          <w:szCs w:val="22"/>
        </w:rPr>
        <w:t xml:space="preserve">and </w:t>
      </w:r>
      <w:r w:rsidRPr="003E7C59">
        <w:rPr>
          <w:rFonts w:ascii="Arial" w:hAnsi="Arial" w:cs="Arial"/>
          <w:i/>
          <w:color w:val="000000" w:themeColor="text1"/>
          <w:sz w:val="22"/>
          <w:szCs w:val="22"/>
        </w:rPr>
        <w:t>E. pulchra</w:t>
      </w:r>
      <w:r w:rsidRPr="003E7C59">
        <w:rPr>
          <w:rFonts w:ascii="Arial" w:hAnsi="Arial" w:cs="Arial"/>
          <w:color w:val="000000" w:themeColor="text1"/>
          <w:sz w:val="22"/>
          <w:szCs w:val="22"/>
        </w:rPr>
        <w:t xml:space="preserve"> pathogen</w:t>
      </w:r>
      <w:r w:rsidR="00211893"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w:t>
      </w:r>
      <w:r w:rsidR="00211893" w:rsidRPr="003E7C59">
        <w:rPr>
          <w:rFonts w:ascii="Arial" w:hAnsi="Arial" w:cs="Arial"/>
          <w:color w:val="000000" w:themeColor="text1"/>
          <w:sz w:val="22"/>
          <w:szCs w:val="22"/>
        </w:rPr>
        <w:t xml:space="preserve">altered </w:t>
      </w:r>
      <w:r w:rsidRPr="003E7C59">
        <w:rPr>
          <w:rFonts w:ascii="Arial" w:hAnsi="Arial" w:cs="Arial"/>
          <w:color w:val="000000" w:themeColor="text1"/>
          <w:sz w:val="22"/>
          <w:szCs w:val="22"/>
        </w:rPr>
        <w:t xml:space="preserve">the management of flowering dogwood, and control costs increased from approximately $120/h/year to $1,975/ha/year (Li et al., 2009). </w:t>
      </w:r>
    </w:p>
    <w:p w14:paraId="38EFD8C4" w14:textId="77777777" w:rsidR="00B51BF9" w:rsidRPr="003E7C59" w:rsidRDefault="00B51BF9" w:rsidP="006622F2">
      <w:pPr>
        <w:spacing w:line="360" w:lineRule="auto"/>
        <w:rPr>
          <w:rFonts w:ascii="Arial" w:hAnsi="Arial" w:cs="Arial"/>
          <w:color w:val="000000" w:themeColor="text1"/>
          <w:sz w:val="22"/>
          <w:szCs w:val="22"/>
        </w:rPr>
      </w:pPr>
    </w:p>
    <w:p w14:paraId="645BA7E6" w14:textId="2304D7B1" w:rsidR="00B51BF9" w:rsidRPr="003E7C59" w:rsidRDefault="00B51BF9" w:rsidP="006622F2">
      <w:pPr>
        <w:spacing w:line="360" w:lineRule="auto"/>
        <w:ind w:firstLine="720"/>
        <w:rPr>
          <w:rFonts w:ascii="Arial" w:hAnsi="Arial" w:cs="Arial"/>
          <w:color w:val="000000" w:themeColor="text1"/>
          <w:sz w:val="22"/>
          <w:szCs w:val="22"/>
          <w:shd w:val="clear" w:color="auto" w:fill="FFFFFF"/>
        </w:rPr>
      </w:pPr>
      <w:r w:rsidRPr="003E7C59">
        <w:rPr>
          <w:rFonts w:ascii="Arial" w:hAnsi="Arial" w:cs="Arial"/>
          <w:color w:val="000000" w:themeColor="text1"/>
          <w:sz w:val="22"/>
          <w:szCs w:val="22"/>
        </w:rPr>
        <w:t>G</w:t>
      </w:r>
      <w:r w:rsidRPr="003E7C59">
        <w:rPr>
          <w:rFonts w:ascii="Arial" w:hAnsi="Arial" w:cs="Arial"/>
          <w:color w:val="000000" w:themeColor="text1"/>
          <w:sz w:val="22"/>
          <w:szCs w:val="22"/>
          <w:shd w:val="clear" w:color="auto" w:fill="FFFFFF"/>
        </w:rPr>
        <w:t>enomic and genetic resources to understand or control the damage caused by PMs are still largely lacking; this</w:t>
      </w:r>
      <w:r w:rsidRPr="003E7C59">
        <w:rPr>
          <w:rStyle w:val="apple-converted-space"/>
          <w:rFonts w:ascii="Arial" w:hAnsi="Arial" w:cs="Arial"/>
          <w:color w:val="000000" w:themeColor="text1"/>
          <w:sz w:val="22"/>
          <w:szCs w:val="22"/>
          <w:shd w:val="clear" w:color="auto" w:fill="FFFFFF"/>
        </w:rPr>
        <w:t xml:space="preserve"> delays the development of </w:t>
      </w:r>
      <w:r w:rsidRPr="003E7C59">
        <w:rPr>
          <w:rFonts w:ascii="Arial" w:hAnsi="Arial" w:cs="Arial"/>
          <w:color w:val="000000" w:themeColor="text1"/>
          <w:sz w:val="22"/>
          <w:szCs w:val="22"/>
          <w:shd w:val="clear" w:color="auto" w:fill="FFFFFF"/>
        </w:rPr>
        <w:t>functional markers (FM)</w:t>
      </w:r>
      <w:r w:rsidR="003176FC" w:rsidRPr="003E7C59">
        <w:rPr>
          <w:rFonts w:ascii="Arial" w:hAnsi="Arial" w:cs="Arial"/>
          <w:color w:val="000000" w:themeColor="text1"/>
          <w:sz w:val="22"/>
          <w:szCs w:val="22"/>
          <w:shd w:val="clear" w:color="auto" w:fill="FFFFFF"/>
        </w:rPr>
        <w:t>,</w:t>
      </w:r>
      <w:r w:rsidRPr="003E7C59">
        <w:rPr>
          <w:rFonts w:ascii="Arial" w:hAnsi="Arial" w:cs="Arial"/>
          <w:color w:val="000000" w:themeColor="text1"/>
          <w:sz w:val="22"/>
          <w:szCs w:val="22"/>
          <w:shd w:val="clear" w:color="auto" w:fill="FFFFFF"/>
        </w:rPr>
        <w:t xml:space="preserve"> or the application of marker-assisted selection (MAS) in cumbersome dogwood </w:t>
      </w:r>
      <w:r w:rsidR="003176FC" w:rsidRPr="003E7C59">
        <w:rPr>
          <w:rFonts w:ascii="Arial" w:hAnsi="Arial" w:cs="Arial"/>
          <w:color w:val="000000" w:themeColor="text1"/>
          <w:sz w:val="22"/>
          <w:szCs w:val="22"/>
          <w:shd w:val="clear" w:color="auto" w:fill="FFFFFF"/>
        </w:rPr>
        <w:t>cultivar development</w:t>
      </w:r>
      <w:r w:rsidRPr="003E7C59">
        <w:rPr>
          <w:rFonts w:ascii="Arial" w:hAnsi="Arial" w:cs="Arial"/>
          <w:color w:val="000000" w:themeColor="text1"/>
          <w:sz w:val="22"/>
          <w:szCs w:val="22"/>
          <w:shd w:val="clear" w:color="auto" w:fill="FFFFFF"/>
        </w:rPr>
        <w:t xml:space="preserve">. </w:t>
      </w:r>
      <w:proofErr w:type="gramStart"/>
      <w:r w:rsidRPr="003E7C59">
        <w:rPr>
          <w:rFonts w:ascii="Arial" w:hAnsi="Arial" w:cs="Arial"/>
          <w:color w:val="000000" w:themeColor="text1"/>
          <w:sz w:val="22"/>
          <w:szCs w:val="22"/>
          <w:shd w:val="clear" w:color="auto" w:fill="FFFFFF"/>
        </w:rPr>
        <w:lastRenderedPageBreak/>
        <w:t>The construction</w:t>
      </w:r>
      <w:r w:rsidRPr="003E7C59">
        <w:rPr>
          <w:rFonts w:ascii="Arial" w:hAnsi="Arial" w:cs="Arial"/>
          <w:color w:val="000000" w:themeColor="text1"/>
          <w:sz w:val="22"/>
          <w:szCs w:val="22"/>
          <w:shd w:val="clear" w:color="auto" w:fill="FCFCFC"/>
        </w:rPr>
        <w:t xml:space="preserve"> of genetic linkage maps and the mapping of quantitative trait loci (QTL) ha</w:t>
      </w:r>
      <w:r w:rsidR="001B243E" w:rsidRPr="003E7C59">
        <w:rPr>
          <w:rFonts w:ascii="Arial" w:hAnsi="Arial" w:cs="Arial"/>
          <w:color w:val="000000" w:themeColor="text1"/>
          <w:sz w:val="22"/>
          <w:szCs w:val="22"/>
          <w:shd w:val="clear" w:color="auto" w:fill="FCFCFC"/>
        </w:rPr>
        <w:t>ve</w:t>
      </w:r>
      <w:r w:rsidRPr="003E7C59">
        <w:rPr>
          <w:rFonts w:ascii="Arial" w:hAnsi="Arial" w:cs="Arial"/>
          <w:color w:val="000000" w:themeColor="text1"/>
          <w:sz w:val="22"/>
          <w:szCs w:val="22"/>
          <w:shd w:val="clear" w:color="auto" w:fill="FCFCFC"/>
        </w:rPr>
        <w:t xml:space="preserve"> been used as an effective approach in cereals</w:t>
      </w:r>
      <w:r w:rsidRPr="003E7C59">
        <w:rPr>
          <w:rFonts w:ascii="Arial" w:hAnsi="Arial" w:cs="Arial"/>
          <w:color w:val="000000" w:themeColor="text1"/>
          <w:sz w:val="22"/>
          <w:szCs w:val="22"/>
        </w:rPr>
        <w:t xml:space="preserve">, vegetables, fruits, grapevine, and ornamental plants for the studies of </w:t>
      </w:r>
      <w:r w:rsidRPr="003E7C59">
        <w:rPr>
          <w:rFonts w:ascii="Arial" w:hAnsi="Arial" w:cs="Arial"/>
          <w:color w:val="000000" w:themeColor="text1"/>
          <w:sz w:val="22"/>
          <w:szCs w:val="22"/>
          <w:shd w:val="clear" w:color="auto" w:fill="FCFCFC"/>
        </w:rPr>
        <w:t xml:space="preserve">important traits such as resistance against </w:t>
      </w:r>
      <w:r w:rsidR="00E36DB1" w:rsidRPr="003E7C59">
        <w:rPr>
          <w:rFonts w:ascii="Arial" w:hAnsi="Arial" w:cs="Arial"/>
          <w:color w:val="000000" w:themeColor="text1"/>
          <w:sz w:val="22"/>
          <w:szCs w:val="22"/>
          <w:shd w:val="clear" w:color="auto" w:fill="FCFCFC"/>
        </w:rPr>
        <w:t>PM</w:t>
      </w:r>
      <w:r w:rsidRPr="003E7C59">
        <w:rPr>
          <w:rFonts w:ascii="Arial" w:hAnsi="Arial" w:cs="Arial"/>
          <w:color w:val="000000" w:themeColor="text1"/>
          <w:sz w:val="22"/>
          <w:szCs w:val="22"/>
          <w:shd w:val="clear" w:color="auto" w:fill="FCFCFC"/>
        </w:rPr>
        <w:t xml:space="preserve"> pathogens (Young</w:t>
      </w:r>
      <w:r w:rsidRPr="003E7C59">
        <w:rPr>
          <w:rStyle w:val="apple-converted-space"/>
          <w:rFonts w:ascii="Arial" w:hAnsi="Arial" w:cs="Arial"/>
          <w:color w:val="000000" w:themeColor="text1"/>
          <w:sz w:val="22"/>
          <w:szCs w:val="22"/>
          <w:shd w:val="clear" w:color="auto" w:fill="FCFCFC"/>
        </w:rPr>
        <w:t xml:space="preserve">, </w:t>
      </w:r>
      <w:r w:rsidRPr="003E7C59">
        <w:rPr>
          <w:rFonts w:ascii="Arial" w:hAnsi="Arial" w:cs="Arial"/>
          <w:color w:val="000000" w:themeColor="text1"/>
          <w:sz w:val="22"/>
          <w:szCs w:val="22"/>
        </w:rPr>
        <w:t>1996</w:t>
      </w:r>
      <w:r w:rsidRPr="003E7C59">
        <w:rPr>
          <w:rStyle w:val="Hyperlink"/>
          <w:rFonts w:ascii="Arial" w:eastAsiaTheme="majorEastAsia" w:hAnsi="Arial" w:cs="Arial"/>
          <w:color w:val="000000" w:themeColor="text1"/>
          <w:sz w:val="22"/>
          <w:szCs w:val="22"/>
        </w:rPr>
        <w:t>;</w:t>
      </w:r>
      <w:r w:rsidRPr="003E7C59">
        <w:rPr>
          <w:rFonts w:ascii="Arial" w:hAnsi="Arial" w:cs="Arial"/>
          <w:color w:val="000000" w:themeColor="text1"/>
          <w:sz w:val="22"/>
          <w:szCs w:val="22"/>
          <w:shd w:val="clear" w:color="auto" w:fill="FCFCFC"/>
        </w:rPr>
        <w:t xml:space="preserve"> Yuling et al., 2002; Calenge et Durel, 2006; Linde et al., 2006; Buerstmayr et al., 2009; Yuste-Lisbona et al., 2011; Riaz et al., 2011; Parikh et al., 2016; Chen et al., 2021).</w:t>
      </w:r>
      <w:proofErr w:type="gramEnd"/>
      <w:r w:rsidRPr="003E7C59">
        <w:rPr>
          <w:rFonts w:ascii="Arial" w:hAnsi="Arial" w:cs="Arial"/>
          <w:color w:val="000000" w:themeColor="text1"/>
          <w:sz w:val="22"/>
          <w:szCs w:val="22"/>
          <w:shd w:val="clear" w:color="auto" w:fill="FCFCFC"/>
        </w:rPr>
        <w:t xml:space="preserve"> Microsatellites or simple sequence repeats (SSR</w:t>
      </w:r>
      <w:r w:rsidR="00211893" w:rsidRPr="003E7C59">
        <w:rPr>
          <w:rFonts w:ascii="Arial" w:hAnsi="Arial" w:cs="Arial"/>
          <w:color w:val="000000" w:themeColor="text1"/>
          <w:sz w:val="22"/>
          <w:szCs w:val="22"/>
          <w:shd w:val="clear" w:color="auto" w:fill="FCFCFC"/>
        </w:rPr>
        <w:t>s</w:t>
      </w:r>
      <w:r w:rsidRPr="003E7C59">
        <w:rPr>
          <w:rFonts w:ascii="Arial" w:hAnsi="Arial" w:cs="Arial"/>
          <w:color w:val="000000" w:themeColor="text1"/>
          <w:sz w:val="22"/>
          <w:szCs w:val="22"/>
          <w:shd w:val="clear" w:color="auto" w:fill="FCFCFC"/>
        </w:rPr>
        <w:t xml:space="preserve">), </w:t>
      </w:r>
      <w:r w:rsidRPr="003E7C59">
        <w:rPr>
          <w:rFonts w:ascii="Arial" w:hAnsi="Arial" w:cs="Arial"/>
          <w:color w:val="000000" w:themeColor="text1"/>
          <w:sz w:val="22"/>
          <w:szCs w:val="22"/>
          <w:shd w:val="clear" w:color="auto" w:fill="FFFFFF"/>
        </w:rPr>
        <w:t>amplified fragment length polymorphisms (AFLPs), and restriction fragment length polymorphisms (RFLP</w:t>
      </w:r>
      <w:r w:rsidR="00211893" w:rsidRPr="003E7C59">
        <w:rPr>
          <w:rFonts w:ascii="Arial" w:hAnsi="Arial" w:cs="Arial"/>
          <w:color w:val="000000" w:themeColor="text1"/>
          <w:sz w:val="22"/>
          <w:szCs w:val="22"/>
          <w:shd w:val="clear" w:color="auto" w:fill="FFFFFF"/>
        </w:rPr>
        <w:t>s</w:t>
      </w:r>
      <w:r w:rsidRPr="003E7C59">
        <w:rPr>
          <w:rFonts w:ascii="Arial" w:hAnsi="Arial" w:cs="Arial"/>
          <w:color w:val="000000" w:themeColor="text1"/>
          <w:sz w:val="22"/>
          <w:szCs w:val="22"/>
          <w:shd w:val="clear" w:color="auto" w:fill="FFFFFF"/>
        </w:rPr>
        <w:t>) have been widely used as DNA markers in plant genotyping to generate information for gene mapping and tagging, segregation analys</w:t>
      </w:r>
      <w:r w:rsidR="00211893" w:rsidRPr="003E7C59">
        <w:rPr>
          <w:rFonts w:ascii="Arial" w:hAnsi="Arial" w:cs="Arial"/>
          <w:color w:val="000000" w:themeColor="text1"/>
          <w:sz w:val="22"/>
          <w:szCs w:val="22"/>
          <w:shd w:val="clear" w:color="auto" w:fill="FFFFFF"/>
        </w:rPr>
        <w:t>e</w:t>
      </w:r>
      <w:r w:rsidRPr="003E7C59">
        <w:rPr>
          <w:rFonts w:ascii="Arial" w:hAnsi="Arial" w:cs="Arial"/>
          <w:color w:val="000000" w:themeColor="text1"/>
          <w:sz w:val="22"/>
          <w:szCs w:val="22"/>
          <w:shd w:val="clear" w:color="auto" w:fill="FFFFFF"/>
        </w:rPr>
        <w:t xml:space="preserve">s, QTLs, genome-wide association studies (GWAS), and other biological applications (Kalia et al., 2011; Grover and Sharma, 2014; Colasuonno et al., 2021). SSRs are non-coding repetitive DNA sequences containing a 1-6 base pair sequence motif. Although variable, SSRs sequences </w:t>
      </w:r>
      <w:proofErr w:type="gramStart"/>
      <w:r w:rsidRPr="003E7C59">
        <w:rPr>
          <w:rFonts w:ascii="Arial" w:hAnsi="Arial" w:cs="Arial"/>
          <w:color w:val="000000" w:themeColor="text1"/>
          <w:sz w:val="22"/>
          <w:szCs w:val="22"/>
          <w:shd w:val="clear" w:color="auto" w:fill="FFFFFF"/>
        </w:rPr>
        <w:t>are characterized</w:t>
      </w:r>
      <w:proofErr w:type="gramEnd"/>
      <w:r w:rsidRPr="003E7C59">
        <w:rPr>
          <w:rFonts w:ascii="Arial" w:hAnsi="Arial" w:cs="Arial"/>
          <w:color w:val="000000" w:themeColor="text1"/>
          <w:sz w:val="22"/>
          <w:szCs w:val="22"/>
          <w:shd w:val="clear" w:color="auto" w:fill="FFFFFF"/>
        </w:rPr>
        <w:t xml:space="preserve"> by flanking regions, which are conserved within the same species or </w:t>
      </w:r>
      <w:r w:rsidR="00211893" w:rsidRPr="003E7C59">
        <w:rPr>
          <w:rFonts w:ascii="Arial" w:hAnsi="Arial" w:cs="Arial"/>
          <w:color w:val="000000" w:themeColor="text1"/>
          <w:sz w:val="22"/>
          <w:szCs w:val="22"/>
          <w:shd w:val="clear" w:color="auto" w:fill="FFFFFF"/>
        </w:rPr>
        <w:t xml:space="preserve">often </w:t>
      </w:r>
      <w:r w:rsidRPr="003E7C59">
        <w:rPr>
          <w:rFonts w:ascii="Arial" w:hAnsi="Arial" w:cs="Arial"/>
          <w:color w:val="000000" w:themeColor="text1"/>
          <w:sz w:val="22"/>
          <w:szCs w:val="22"/>
          <w:shd w:val="clear" w:color="auto" w:fill="FFFFFF"/>
        </w:rPr>
        <w:t>within closely related species. Conserved flanking regions, high reproducibility, co-dominance, and high diversity of SSRs sequences make them preferable markers for linkage map construction and MAS (Yang et al., 2019). Inversely, recent advances in next-generation sequencing lowered the cost of DNA sequencing, thus allowing new genotyping-by-sequencing (GBS) methods to proliferate and have opened new opportunities for developing high-throughput identification of markers associated with important agricultural traits. GBS is a simplified reduced-representation sequencing (ddRadseq) approach that includes DNA digestion followed by restriction enzymes to cost-effectively generate large numbers of single nucleotide polymorphisms (SNPs) (Deschamps et al., 2012; Kim et al., 2016; Chung et al., 2017). Advantages such as reduced sample handling, fewer PCRs, no reference genome limits, and multiplexing made the GBS method a unique tool for determining genetic variants in crop research and plant breeding programs (He et al., 2014, Kim et al., 2016,</w:t>
      </w:r>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shd w:val="clear" w:color="auto" w:fill="FFFFFF"/>
        </w:rPr>
        <w:t>Dwivedi et al., 2017, Chung et al., 2017). SNPs are abundant throughout the genome, heritable, and have a low mutation rate. Thus, they have emerged as the most widely used genotyping markers for genetic studies (Mammadov et al., 2012, He et al., 2014, Kim et al., 2015). Different studies compared SSR over SNP performances</w:t>
      </w:r>
      <w:r w:rsidR="00211893" w:rsidRPr="003E7C59">
        <w:rPr>
          <w:rFonts w:ascii="Arial" w:hAnsi="Arial" w:cs="Arial"/>
          <w:color w:val="000000" w:themeColor="text1"/>
          <w:sz w:val="22"/>
          <w:szCs w:val="22"/>
          <w:shd w:val="clear" w:color="auto" w:fill="FFFFFF"/>
        </w:rPr>
        <w:t>.</w:t>
      </w:r>
      <w:r w:rsidRPr="003E7C59">
        <w:rPr>
          <w:rFonts w:ascii="Arial" w:hAnsi="Arial" w:cs="Arial"/>
          <w:color w:val="000000" w:themeColor="text1"/>
          <w:sz w:val="22"/>
          <w:szCs w:val="22"/>
          <w:shd w:val="clear" w:color="auto" w:fill="FFFFFF"/>
        </w:rPr>
        <w:t xml:space="preserve"> </w:t>
      </w:r>
      <w:r w:rsidR="00211893" w:rsidRPr="003E7C59">
        <w:rPr>
          <w:rFonts w:ascii="Arial" w:hAnsi="Arial" w:cs="Arial"/>
          <w:color w:val="000000" w:themeColor="text1"/>
          <w:sz w:val="22"/>
          <w:szCs w:val="22"/>
          <w:shd w:val="clear" w:color="auto" w:fill="FFFFFF"/>
        </w:rPr>
        <w:t>F</w:t>
      </w:r>
      <w:r w:rsidRPr="003E7C59">
        <w:rPr>
          <w:rFonts w:ascii="Arial" w:hAnsi="Arial" w:cs="Arial"/>
          <w:color w:val="000000" w:themeColor="text1"/>
          <w:sz w:val="22"/>
          <w:szCs w:val="22"/>
          <w:shd w:val="clear" w:color="auto" w:fill="FFFFFF"/>
        </w:rPr>
        <w:t xml:space="preserve">or </w:t>
      </w:r>
      <w:r w:rsidR="00211893" w:rsidRPr="003E7C59">
        <w:rPr>
          <w:rFonts w:ascii="Arial" w:hAnsi="Arial" w:cs="Arial"/>
          <w:color w:val="000000" w:themeColor="text1"/>
          <w:sz w:val="22"/>
          <w:szCs w:val="22"/>
          <w:shd w:val="clear" w:color="auto" w:fill="FFFFFF"/>
        </w:rPr>
        <w:t>example</w:t>
      </w:r>
      <w:r w:rsidRPr="003E7C59">
        <w:rPr>
          <w:rFonts w:ascii="Arial" w:hAnsi="Arial" w:cs="Arial"/>
          <w:color w:val="000000" w:themeColor="text1"/>
          <w:sz w:val="22"/>
          <w:szCs w:val="22"/>
          <w:shd w:val="clear" w:color="auto" w:fill="FFFFFF"/>
        </w:rPr>
        <w:t xml:space="preserve">, Yang et al. (2017) found that SSR markers with moderate density are more informative for assessing genetic relatedness in maize. Moreover, a comparative analysis of SSRs and SNPs in assessing genetic variation in </w:t>
      </w:r>
      <w:r w:rsidRPr="003E7C59">
        <w:rPr>
          <w:rFonts w:ascii="Arial" w:hAnsi="Arial" w:cs="Arial"/>
          <w:i/>
          <w:iCs/>
          <w:color w:val="000000" w:themeColor="text1"/>
          <w:sz w:val="22"/>
          <w:szCs w:val="22"/>
          <w:shd w:val="clear" w:color="auto" w:fill="FFFFFF"/>
        </w:rPr>
        <w:t>Juniper</w:t>
      </w:r>
      <w:r w:rsidR="000A3EBE" w:rsidRPr="003E7C59">
        <w:rPr>
          <w:rFonts w:ascii="Arial" w:hAnsi="Arial" w:cs="Arial"/>
          <w:i/>
          <w:iCs/>
          <w:color w:val="000000" w:themeColor="text1"/>
          <w:sz w:val="22"/>
          <w:szCs w:val="22"/>
          <w:shd w:val="clear" w:color="auto" w:fill="FFFFFF"/>
        </w:rPr>
        <w:t>us</w:t>
      </w:r>
      <w:r w:rsidRPr="003E7C59">
        <w:rPr>
          <w:rFonts w:ascii="Arial" w:hAnsi="Arial" w:cs="Arial"/>
          <w:i/>
          <w:iCs/>
          <w:color w:val="000000" w:themeColor="text1"/>
          <w:sz w:val="22"/>
          <w:szCs w:val="22"/>
          <w:shd w:val="clear" w:color="auto" w:fill="FFFFFF"/>
        </w:rPr>
        <w:t xml:space="preserve"> phoenicea </w:t>
      </w:r>
      <w:r w:rsidRPr="003E7C59">
        <w:rPr>
          <w:rFonts w:ascii="Arial" w:hAnsi="Arial" w:cs="Arial"/>
          <w:color w:val="000000" w:themeColor="text1"/>
          <w:sz w:val="22"/>
          <w:szCs w:val="22"/>
          <w:shd w:val="clear" w:color="auto" w:fill="FFFFFF"/>
        </w:rPr>
        <w:t>ssp</w:t>
      </w:r>
      <w:r w:rsidRPr="003E7C59">
        <w:rPr>
          <w:rFonts w:ascii="Arial" w:hAnsi="Arial" w:cs="Arial"/>
          <w:i/>
          <w:iCs/>
          <w:color w:val="000000" w:themeColor="text1"/>
          <w:sz w:val="22"/>
          <w:szCs w:val="22"/>
          <w:shd w:val="clear" w:color="auto" w:fill="FFFFFF"/>
        </w:rPr>
        <w:t xml:space="preserve">. </w:t>
      </w:r>
      <w:r w:rsidR="008C22E8" w:rsidRPr="003E7C59">
        <w:rPr>
          <w:rFonts w:ascii="Arial" w:hAnsi="Arial" w:cs="Arial"/>
          <w:i/>
          <w:iCs/>
          <w:color w:val="000000" w:themeColor="text1"/>
          <w:sz w:val="22"/>
          <w:szCs w:val="22"/>
          <w:shd w:val="clear" w:color="auto" w:fill="FFFFFF"/>
        </w:rPr>
        <w:t>t</w:t>
      </w:r>
      <w:r w:rsidRPr="003E7C59">
        <w:rPr>
          <w:rFonts w:ascii="Arial" w:hAnsi="Arial" w:cs="Arial"/>
          <w:i/>
          <w:iCs/>
          <w:color w:val="000000" w:themeColor="text1"/>
          <w:sz w:val="22"/>
          <w:szCs w:val="22"/>
          <w:shd w:val="clear" w:color="auto" w:fill="FFFFFF"/>
        </w:rPr>
        <w:t>urbinate</w:t>
      </w:r>
      <w:r w:rsidRPr="003E7C59">
        <w:rPr>
          <w:rFonts w:ascii="Arial" w:hAnsi="Arial" w:cs="Arial"/>
          <w:color w:val="000000" w:themeColor="text1"/>
          <w:sz w:val="22"/>
          <w:szCs w:val="22"/>
          <w:shd w:val="clear" w:color="auto" w:fill="FFFFFF"/>
        </w:rPr>
        <w:t>, showed SSRs to provide higher per-locus information for parentage and assignment studies (Garcia et al., 201</w:t>
      </w:r>
      <w:r w:rsidR="008C22E8" w:rsidRPr="003E7C59">
        <w:rPr>
          <w:rFonts w:ascii="Arial" w:hAnsi="Arial" w:cs="Arial"/>
          <w:color w:val="000000" w:themeColor="text1"/>
          <w:sz w:val="22"/>
          <w:szCs w:val="22"/>
          <w:shd w:val="clear" w:color="auto" w:fill="FFFFFF"/>
        </w:rPr>
        <w:t>8</w:t>
      </w:r>
      <w:r w:rsidRPr="003E7C59">
        <w:rPr>
          <w:rFonts w:ascii="Arial" w:hAnsi="Arial" w:cs="Arial"/>
          <w:color w:val="000000" w:themeColor="text1"/>
          <w:sz w:val="22"/>
          <w:szCs w:val="22"/>
          <w:shd w:val="clear" w:color="auto" w:fill="FFFFFF"/>
        </w:rPr>
        <w:t xml:space="preserve">). </w:t>
      </w:r>
    </w:p>
    <w:p w14:paraId="2B451473" w14:textId="77777777" w:rsidR="00B51BF9" w:rsidRPr="003E7C59" w:rsidRDefault="00B51BF9" w:rsidP="006622F2">
      <w:pPr>
        <w:spacing w:line="360" w:lineRule="auto"/>
        <w:ind w:firstLine="720"/>
        <w:jc w:val="both"/>
        <w:rPr>
          <w:rFonts w:ascii="Arial" w:hAnsi="Arial" w:cs="Arial"/>
          <w:color w:val="000000" w:themeColor="text1"/>
          <w:sz w:val="22"/>
          <w:szCs w:val="22"/>
          <w:shd w:val="clear" w:color="auto" w:fill="FFFFFF"/>
        </w:rPr>
      </w:pPr>
    </w:p>
    <w:p w14:paraId="142E36DA" w14:textId="06957193" w:rsidR="00B51BF9" w:rsidRPr="003E7C59" w:rsidRDefault="00B51BF9" w:rsidP="006622F2">
      <w:pPr>
        <w:spacing w:line="360" w:lineRule="auto"/>
        <w:rPr>
          <w:rFonts w:ascii="Arial" w:hAnsi="Arial" w:cs="Arial"/>
          <w:color w:val="000000" w:themeColor="text1"/>
          <w:sz w:val="22"/>
          <w:szCs w:val="22"/>
          <w:shd w:val="clear" w:color="auto" w:fill="FFFFFF"/>
        </w:rPr>
      </w:pPr>
      <w:r w:rsidRPr="003E7C59">
        <w:rPr>
          <w:rFonts w:ascii="Arial" w:hAnsi="Arial" w:cs="Arial"/>
          <w:color w:val="000000" w:themeColor="text1"/>
          <w:sz w:val="22"/>
          <w:szCs w:val="22"/>
          <w:shd w:val="clear" w:color="auto" w:fill="FCFCFC"/>
        </w:rPr>
        <w:lastRenderedPageBreak/>
        <w:tab/>
      </w:r>
      <w:r w:rsidR="00572F5B" w:rsidRPr="003E7C59">
        <w:rPr>
          <w:rFonts w:ascii="Arial" w:hAnsi="Arial" w:cs="Arial"/>
          <w:color w:val="000000" w:themeColor="text1"/>
          <w:sz w:val="22"/>
          <w:szCs w:val="22"/>
          <w:shd w:val="clear" w:color="auto" w:fill="FCFCFC"/>
        </w:rPr>
        <w:t>Four</w:t>
      </w:r>
      <w:r w:rsidRPr="003E7C59">
        <w:rPr>
          <w:rFonts w:ascii="Arial" w:hAnsi="Arial" w:cs="Arial"/>
          <w:color w:val="000000" w:themeColor="text1"/>
          <w:sz w:val="22"/>
          <w:szCs w:val="22"/>
          <w:shd w:val="clear" w:color="auto" w:fill="FCFCFC"/>
        </w:rPr>
        <w:t xml:space="preserve"> genetic linkage maps </w:t>
      </w:r>
      <w:proofErr w:type="gramStart"/>
      <w:r w:rsidRPr="003E7C59">
        <w:rPr>
          <w:rFonts w:ascii="Arial" w:hAnsi="Arial" w:cs="Arial"/>
          <w:color w:val="000000" w:themeColor="text1"/>
          <w:sz w:val="22"/>
          <w:szCs w:val="22"/>
          <w:shd w:val="clear" w:color="auto" w:fill="FCFCFC"/>
        </w:rPr>
        <w:t>are established</w:t>
      </w:r>
      <w:proofErr w:type="gramEnd"/>
      <w:r w:rsidRPr="003E7C59">
        <w:rPr>
          <w:rFonts w:ascii="Arial" w:hAnsi="Arial" w:cs="Arial"/>
          <w:color w:val="000000" w:themeColor="text1"/>
          <w:sz w:val="22"/>
          <w:szCs w:val="22"/>
          <w:shd w:val="clear" w:color="auto" w:fill="FCFCFC"/>
        </w:rPr>
        <w:t xml:space="preserve"> for flowering dogwoods. The first linkage map is based on 225 SSRs and was constructed using </w:t>
      </w:r>
      <w:r w:rsidRPr="003E7C59">
        <w:rPr>
          <w:rFonts w:ascii="Arial" w:hAnsi="Arial" w:cs="Arial"/>
          <w:color w:val="000000" w:themeColor="text1"/>
          <w:sz w:val="22"/>
          <w:szCs w:val="22"/>
        </w:rPr>
        <w:t>a "pseudo F</w:t>
      </w:r>
      <w:r w:rsidRPr="003E7C59">
        <w:rPr>
          <w:rFonts w:ascii="Arial" w:hAnsi="Arial" w:cs="Arial"/>
          <w:color w:val="000000" w:themeColor="text1"/>
          <w:sz w:val="22"/>
          <w:szCs w:val="22"/>
          <w:vertAlign w:val="subscript"/>
        </w:rPr>
        <w:t>2</w:t>
      </w:r>
      <w:r w:rsidRPr="003E7C59">
        <w:rPr>
          <w:rFonts w:ascii="Arial" w:hAnsi="Arial" w:cs="Arial"/>
          <w:color w:val="000000" w:themeColor="text1"/>
          <w:sz w:val="22"/>
          <w:szCs w:val="22"/>
        </w:rPr>
        <w:t xml:space="preserve">" population of </w:t>
      </w:r>
      <w:r w:rsidRPr="003E7C59">
        <w:rPr>
          <w:rFonts w:ascii="Arial" w:hAnsi="Arial" w:cs="Arial"/>
          <w:color w:val="000000" w:themeColor="text1"/>
          <w:sz w:val="22"/>
          <w:szCs w:val="22"/>
          <w:shd w:val="clear" w:color="auto" w:fill="FCFCFC"/>
        </w:rPr>
        <w:t xml:space="preserve">94 individuals derived from </w:t>
      </w:r>
      <w:r w:rsidRPr="003E7C59">
        <w:rPr>
          <w:rFonts w:ascii="Arial" w:hAnsi="Arial" w:cs="Arial"/>
          <w:color w:val="000000" w:themeColor="text1"/>
          <w:sz w:val="22"/>
          <w:szCs w:val="22"/>
        </w:rPr>
        <w:t>honeybee mediated cross between</w:t>
      </w:r>
      <w:r w:rsidR="00A22023" w:rsidRPr="003E7C59">
        <w:rPr>
          <w:rFonts w:ascii="Arial" w:hAnsi="Arial" w:cs="Arial"/>
          <w:color w:val="000000" w:themeColor="text1"/>
          <w:sz w:val="22"/>
          <w:szCs w:val="22"/>
        </w:rPr>
        <w:t xml:space="preserve"> </w:t>
      </w:r>
      <w:r w:rsidR="00A22023" w:rsidRPr="003E7C59">
        <w:rPr>
          <w:rFonts w:ascii="Arial" w:hAnsi="Arial" w:cs="Arial"/>
          <w:i/>
          <w:color w:val="000000" w:themeColor="text1"/>
          <w:sz w:val="22"/>
          <w:szCs w:val="22"/>
        </w:rPr>
        <w:t>C. florida</w:t>
      </w:r>
      <w:r w:rsidRPr="003E7C59">
        <w:rPr>
          <w:rFonts w:ascii="Arial" w:hAnsi="Arial" w:cs="Arial"/>
          <w:color w:val="000000" w:themeColor="text1"/>
          <w:sz w:val="22"/>
          <w:szCs w:val="22"/>
        </w:rPr>
        <w:t xml:space="preserve"> </w:t>
      </w:r>
      <w:r w:rsidRPr="003E7C59">
        <w:rPr>
          <w:rFonts w:ascii="Cambria Math" w:hAnsi="Cambria Math" w:cs="Cambria Math"/>
          <w:color w:val="000000" w:themeColor="text1"/>
          <w:sz w:val="22"/>
          <w:szCs w:val="22"/>
        </w:rPr>
        <w:t>⧬</w:t>
      </w:r>
      <w:r w:rsidRPr="003E7C59">
        <w:rPr>
          <w:rFonts w:ascii="Arial" w:hAnsi="Arial" w:cs="Arial"/>
          <w:color w:val="000000" w:themeColor="text1"/>
          <w:sz w:val="22"/>
          <w:szCs w:val="22"/>
        </w:rPr>
        <w:t xml:space="preserve"> 'Appalachian Spring' (</w:t>
      </w:r>
      <w:r w:rsidRPr="003E7C59">
        <w:rPr>
          <w:rFonts w:ascii="Arial" w:hAnsi="Arial" w:cs="Arial"/>
          <w:color w:val="000000" w:themeColor="text1"/>
          <w:sz w:val="22"/>
          <w:szCs w:val="22"/>
          <w:shd w:val="clear" w:color="auto" w:fill="FFFFFF"/>
        </w:rPr>
        <w:t>PM resistant</w:t>
      </w:r>
      <w:r w:rsidRPr="003E7C59">
        <w:rPr>
          <w:rFonts w:ascii="Arial" w:hAnsi="Arial" w:cs="Arial"/>
          <w:color w:val="000000" w:themeColor="text1"/>
          <w:sz w:val="22"/>
          <w:szCs w:val="22"/>
        </w:rPr>
        <w:t>) and ♂ 'Cherokee Brave' (</w:t>
      </w:r>
      <w:r w:rsidRPr="003E7C59">
        <w:rPr>
          <w:rFonts w:ascii="Arial" w:hAnsi="Arial" w:cs="Arial"/>
          <w:color w:val="000000" w:themeColor="text1"/>
          <w:sz w:val="22"/>
          <w:szCs w:val="22"/>
          <w:shd w:val="clear" w:color="auto" w:fill="FFFFFF"/>
        </w:rPr>
        <w:t>PM moderately resistant</w:t>
      </w:r>
      <w:r w:rsidRPr="003E7C59">
        <w:rPr>
          <w:rFonts w:ascii="Arial" w:hAnsi="Arial" w:cs="Arial"/>
          <w:color w:val="000000" w:themeColor="text1"/>
          <w:sz w:val="22"/>
          <w:szCs w:val="22"/>
        </w:rPr>
        <w:t>).</w:t>
      </w:r>
      <w:r w:rsidR="002107A5"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It </w:t>
      </w:r>
      <w:r w:rsidRPr="003E7C59">
        <w:rPr>
          <w:rFonts w:ascii="Arial" w:hAnsi="Arial" w:cs="Arial"/>
          <w:color w:val="000000" w:themeColor="text1"/>
          <w:sz w:val="22"/>
          <w:szCs w:val="22"/>
          <w:shd w:val="clear" w:color="auto" w:fill="FCFCFC"/>
        </w:rPr>
        <w:t>was a fundamental tool for identifying</w:t>
      </w:r>
      <w:r w:rsidRPr="003E7C59">
        <w:rPr>
          <w:rFonts w:ascii="Arial" w:hAnsi="Arial" w:cs="Arial"/>
          <w:color w:val="000000" w:themeColor="text1"/>
          <w:sz w:val="22"/>
          <w:szCs w:val="22"/>
        </w:rPr>
        <w:t xml:space="preserve"> QTLs associated with foliage color in flowering dogwood (</w:t>
      </w:r>
      <w:bookmarkStart w:id="143" w:name="bbib0205"/>
      <w:r w:rsidRPr="003E7C59">
        <w:rPr>
          <w:rFonts w:ascii="Arial" w:hAnsi="Arial" w:cs="Arial"/>
          <w:color w:val="000000" w:themeColor="text1"/>
          <w:sz w:val="22"/>
          <w:szCs w:val="22"/>
        </w:rPr>
        <w:t>Wadl et al., 20</w:t>
      </w:r>
      <w:bookmarkEnd w:id="143"/>
      <w:r w:rsidRPr="003E7C59">
        <w:rPr>
          <w:rFonts w:ascii="Arial" w:hAnsi="Arial" w:cs="Arial"/>
          <w:color w:val="000000" w:themeColor="text1"/>
          <w:sz w:val="22"/>
          <w:szCs w:val="22"/>
        </w:rPr>
        <w:t xml:space="preserve">11) and QTLs associated with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resistance (Parikh et al., 2017).  Recently, a </w:t>
      </w:r>
      <w:r w:rsidRPr="003E7C59">
        <w:rPr>
          <w:rFonts w:ascii="Arial" w:hAnsi="Arial" w:cs="Arial"/>
          <w:color w:val="000000" w:themeColor="text1"/>
          <w:sz w:val="22"/>
          <w:szCs w:val="22"/>
          <w:shd w:val="clear" w:color="auto" w:fill="FFFFFF"/>
        </w:rPr>
        <w:t>mapping population of 196 seedlings was developed by crossing two breeding selections, H4AR15P25 (PM resistant) x H4AR15P28 (PM susceptible), using double digest restriction-site-associated DNA sequencing, consisting of 2625 marker and 11 linkage groups (LG) (</w:t>
      </w:r>
      <w:r w:rsidRPr="003E7C59">
        <w:rPr>
          <w:rFonts w:ascii="Arial" w:hAnsi="Arial" w:cs="Arial"/>
          <w:color w:val="000000" w:themeColor="text1"/>
          <w:sz w:val="22"/>
          <w:szCs w:val="22"/>
        </w:rPr>
        <w:t>Pfarr et al., 2022</w:t>
      </w:r>
      <w:r w:rsidRPr="003E7C59">
        <w:rPr>
          <w:rFonts w:ascii="Arial" w:hAnsi="Arial" w:cs="Arial"/>
          <w:color w:val="000000" w:themeColor="text1"/>
          <w:sz w:val="22"/>
          <w:szCs w:val="22"/>
          <w:shd w:val="clear" w:color="auto" w:fill="FFFFFF"/>
        </w:rPr>
        <w:t xml:space="preserve">). Moreover, </w:t>
      </w:r>
      <w:r w:rsidRPr="003E7C59">
        <w:rPr>
          <w:rFonts w:ascii="Arial" w:hAnsi="Arial" w:cs="Arial"/>
          <w:color w:val="000000" w:themeColor="text1"/>
          <w:sz w:val="22"/>
          <w:szCs w:val="22"/>
        </w:rPr>
        <w:t>Pfarr et al. (2022) constructed a map for selections H4AR15R25 (</w:t>
      </w:r>
      <w:r w:rsidRPr="003E7C59">
        <w:rPr>
          <w:rFonts w:ascii="Arial" w:hAnsi="Arial" w:cs="Arial"/>
          <w:color w:val="000000" w:themeColor="text1"/>
          <w:sz w:val="22"/>
          <w:szCs w:val="22"/>
          <w:shd w:val="clear" w:color="auto" w:fill="FFFFFF"/>
        </w:rPr>
        <w:t>PM resistant</w:t>
      </w:r>
      <w:r w:rsidRPr="003E7C59">
        <w:rPr>
          <w:rFonts w:ascii="Arial" w:hAnsi="Arial" w:cs="Arial"/>
          <w:color w:val="000000" w:themeColor="text1"/>
          <w:sz w:val="22"/>
          <w:szCs w:val="22"/>
        </w:rPr>
        <w:t>) x Rutgers H4AR15P35 (</w:t>
      </w:r>
      <w:r w:rsidRPr="003E7C59">
        <w:rPr>
          <w:rFonts w:ascii="Arial" w:hAnsi="Arial" w:cs="Arial"/>
          <w:color w:val="000000" w:themeColor="text1"/>
          <w:sz w:val="22"/>
          <w:szCs w:val="22"/>
          <w:shd w:val="clear" w:color="auto" w:fill="FFFFFF"/>
        </w:rPr>
        <w:t>PM moderately resistant</w:t>
      </w:r>
      <w:r w:rsidRPr="003E7C59">
        <w:rPr>
          <w:rFonts w:ascii="Arial" w:hAnsi="Arial" w:cs="Arial"/>
          <w:color w:val="000000" w:themeColor="text1"/>
          <w:sz w:val="22"/>
          <w:szCs w:val="22"/>
        </w:rPr>
        <w:t xml:space="preserve">), which included 1788 markers and </w:t>
      </w:r>
      <w:r w:rsidRPr="003E7C59">
        <w:rPr>
          <w:rFonts w:ascii="Arial" w:hAnsi="Arial" w:cs="Arial"/>
          <w:color w:val="000000" w:themeColor="text1"/>
          <w:sz w:val="22"/>
          <w:szCs w:val="22"/>
          <w:shd w:val="clear" w:color="auto" w:fill="FFFFFF"/>
        </w:rPr>
        <w:t>11 LG. The maps shared 604 markers and showed good collinearity. The maps were further used for the detection of QTLs associated with PM. H4AR15P25 x H4AR15P</w:t>
      </w:r>
      <w:r w:rsidR="00B23E38" w:rsidRPr="003E7C59">
        <w:rPr>
          <w:rFonts w:ascii="Arial" w:hAnsi="Arial" w:cs="Arial"/>
          <w:color w:val="000000" w:themeColor="text1"/>
          <w:sz w:val="22"/>
          <w:szCs w:val="22"/>
          <w:shd w:val="clear" w:color="auto" w:fill="FFFFFF"/>
        </w:rPr>
        <w:t>35</w:t>
      </w:r>
      <w:r w:rsidRPr="003E7C59">
        <w:rPr>
          <w:rFonts w:ascii="Arial" w:hAnsi="Arial" w:cs="Arial"/>
          <w:color w:val="000000" w:themeColor="text1"/>
          <w:sz w:val="22"/>
          <w:szCs w:val="22"/>
          <w:shd w:val="clear" w:color="auto" w:fill="FFFFFF"/>
        </w:rPr>
        <w:t xml:space="preserve"> population had a major QTL (LOD= 11.36 and R</w:t>
      </w:r>
      <w:r w:rsidRPr="003E7C59">
        <w:rPr>
          <w:rFonts w:ascii="Arial" w:hAnsi="Arial" w:cs="Arial"/>
          <w:color w:val="000000" w:themeColor="text1"/>
          <w:sz w:val="22"/>
          <w:szCs w:val="22"/>
          <w:shd w:val="clear" w:color="auto" w:fill="FFFFFF"/>
          <w:vertAlign w:val="superscript"/>
        </w:rPr>
        <w:t>2</w:t>
      </w:r>
      <w:r w:rsidRPr="003E7C59">
        <w:rPr>
          <w:rFonts w:ascii="Arial" w:hAnsi="Arial" w:cs="Arial"/>
          <w:color w:val="000000" w:themeColor="text1"/>
          <w:sz w:val="22"/>
          <w:szCs w:val="22"/>
          <w:shd w:val="clear" w:color="auto" w:fill="FFFFFF"/>
        </w:rPr>
        <w:t>=58.9%) identified on LG 3. Consistently, a minor QTL (LOD = 3.30 and R</w:t>
      </w:r>
      <w:r w:rsidRPr="003E7C59">
        <w:rPr>
          <w:rFonts w:ascii="Arial" w:hAnsi="Arial" w:cs="Arial"/>
          <w:color w:val="000000" w:themeColor="text1"/>
          <w:sz w:val="22"/>
          <w:szCs w:val="22"/>
          <w:shd w:val="clear" w:color="auto" w:fill="FFFFFF"/>
          <w:vertAlign w:val="superscript"/>
        </w:rPr>
        <w:t>2</w:t>
      </w:r>
      <w:r w:rsidRPr="003E7C59">
        <w:rPr>
          <w:rFonts w:ascii="Arial" w:hAnsi="Arial" w:cs="Arial"/>
          <w:color w:val="000000" w:themeColor="text1"/>
          <w:sz w:val="22"/>
          <w:szCs w:val="22"/>
          <w:shd w:val="clear" w:color="auto" w:fill="FFFFFF"/>
        </w:rPr>
        <w:t xml:space="preserve"> = 7.8%) in H4AR15R25 x H4AR15P35 population was also detected on LG 3 (</w:t>
      </w:r>
      <w:r w:rsidRPr="003E7C59">
        <w:rPr>
          <w:rFonts w:ascii="Arial" w:hAnsi="Arial" w:cs="Arial"/>
          <w:color w:val="000000" w:themeColor="text1"/>
          <w:sz w:val="22"/>
          <w:szCs w:val="22"/>
        </w:rPr>
        <w:t>Pfarr et al. 2022</w:t>
      </w:r>
      <w:r w:rsidRPr="003E7C59">
        <w:rPr>
          <w:rFonts w:ascii="Arial" w:hAnsi="Arial" w:cs="Arial"/>
          <w:color w:val="000000" w:themeColor="text1"/>
          <w:sz w:val="22"/>
          <w:szCs w:val="22"/>
          <w:shd w:val="clear" w:color="auto" w:fill="FFFFFF"/>
        </w:rPr>
        <w:t>). Previously, Parikh et al. (2017) identified QTL on LG4 (LOD = 3.8 and R</w:t>
      </w:r>
      <w:r w:rsidRPr="003E7C59">
        <w:rPr>
          <w:rFonts w:ascii="Arial" w:hAnsi="Arial" w:cs="Arial"/>
          <w:color w:val="000000" w:themeColor="text1"/>
          <w:sz w:val="22"/>
          <w:szCs w:val="22"/>
          <w:shd w:val="clear" w:color="auto" w:fill="FFFFFF"/>
          <w:vertAlign w:val="superscript"/>
        </w:rPr>
        <w:t>2</w:t>
      </w:r>
      <w:r w:rsidRPr="003E7C59">
        <w:rPr>
          <w:rFonts w:ascii="Arial" w:hAnsi="Arial" w:cs="Arial"/>
          <w:color w:val="000000" w:themeColor="text1"/>
          <w:sz w:val="22"/>
          <w:szCs w:val="22"/>
          <w:shd w:val="clear" w:color="auto" w:fill="FFFFFF"/>
        </w:rPr>
        <w:t xml:space="preserve"> = 9.51%), LG8 (LOD = 4.1 and R</w:t>
      </w:r>
      <w:r w:rsidRPr="003E7C59">
        <w:rPr>
          <w:rFonts w:ascii="Arial" w:hAnsi="Arial" w:cs="Arial"/>
          <w:color w:val="000000" w:themeColor="text1"/>
          <w:sz w:val="22"/>
          <w:szCs w:val="22"/>
          <w:shd w:val="clear" w:color="auto" w:fill="FFFFFF"/>
          <w:vertAlign w:val="superscript"/>
        </w:rPr>
        <w:t>2</w:t>
      </w:r>
      <w:r w:rsidRPr="003E7C59">
        <w:rPr>
          <w:rFonts w:ascii="Arial" w:hAnsi="Arial" w:cs="Arial"/>
          <w:color w:val="000000" w:themeColor="text1"/>
          <w:sz w:val="22"/>
          <w:szCs w:val="22"/>
          <w:shd w:val="clear" w:color="auto" w:fill="FFFFFF"/>
        </w:rPr>
        <w:t xml:space="preserve"> = 10.35%), and LG9 (LOD = 5.3 and R</w:t>
      </w:r>
      <w:r w:rsidRPr="003E7C59">
        <w:rPr>
          <w:rFonts w:ascii="Arial" w:hAnsi="Arial" w:cs="Arial"/>
          <w:color w:val="000000" w:themeColor="text1"/>
          <w:sz w:val="22"/>
          <w:szCs w:val="22"/>
          <w:shd w:val="clear" w:color="auto" w:fill="FFFFFF"/>
          <w:vertAlign w:val="superscript"/>
        </w:rPr>
        <w:t>2</w:t>
      </w:r>
      <w:r w:rsidRPr="003E7C59">
        <w:rPr>
          <w:rFonts w:ascii="Arial" w:hAnsi="Arial" w:cs="Arial"/>
          <w:color w:val="000000" w:themeColor="text1"/>
          <w:sz w:val="22"/>
          <w:szCs w:val="22"/>
          <w:shd w:val="clear" w:color="auto" w:fill="FFFFFF"/>
        </w:rPr>
        <w:t xml:space="preserve"> = 13.21%; LOD = 4.5 and R</w:t>
      </w:r>
      <w:r w:rsidRPr="003E7C59">
        <w:rPr>
          <w:rFonts w:ascii="Arial" w:hAnsi="Arial" w:cs="Arial"/>
          <w:color w:val="000000" w:themeColor="text1"/>
          <w:sz w:val="22"/>
          <w:szCs w:val="22"/>
          <w:shd w:val="clear" w:color="auto" w:fill="FFFFFF"/>
          <w:vertAlign w:val="superscript"/>
        </w:rPr>
        <w:t>2</w:t>
      </w:r>
      <w:r w:rsidRPr="003E7C59">
        <w:rPr>
          <w:rFonts w:ascii="Arial" w:hAnsi="Arial" w:cs="Arial"/>
          <w:color w:val="000000" w:themeColor="text1"/>
          <w:sz w:val="22"/>
          <w:szCs w:val="22"/>
          <w:shd w:val="clear" w:color="auto" w:fill="FFFFFF"/>
        </w:rPr>
        <w:t xml:space="preserve"> = 13.48%). </w:t>
      </w:r>
    </w:p>
    <w:p w14:paraId="4BFB1014" w14:textId="77777777" w:rsidR="00B51BF9" w:rsidRPr="003E7C59" w:rsidRDefault="00B51BF9" w:rsidP="006622F2">
      <w:pPr>
        <w:spacing w:line="360" w:lineRule="auto"/>
        <w:jc w:val="both"/>
        <w:rPr>
          <w:rFonts w:ascii="Arial" w:hAnsi="Arial" w:cs="Arial"/>
          <w:color w:val="000000" w:themeColor="text1"/>
          <w:sz w:val="22"/>
          <w:szCs w:val="22"/>
          <w:shd w:val="clear" w:color="auto" w:fill="FFFFFF"/>
        </w:rPr>
      </w:pPr>
    </w:p>
    <w:p w14:paraId="79A4A2A8" w14:textId="6E450175"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P</w:t>
      </w:r>
      <w:r w:rsidR="00E36DB1" w:rsidRPr="003E7C59">
        <w:rPr>
          <w:rFonts w:ascii="Arial" w:hAnsi="Arial" w:cs="Arial"/>
          <w:color w:val="000000" w:themeColor="text1"/>
          <w:sz w:val="22"/>
          <w:szCs w:val="22"/>
        </w:rPr>
        <w:t>owdery mildew</w:t>
      </w:r>
      <w:r w:rsidRPr="003E7C59">
        <w:rPr>
          <w:rFonts w:ascii="Arial" w:hAnsi="Arial" w:cs="Arial"/>
          <w:color w:val="000000" w:themeColor="text1"/>
          <w:sz w:val="22"/>
          <w:szCs w:val="22"/>
        </w:rPr>
        <w:t xml:space="preserve"> resistance is a quantitative trait in </w:t>
      </w:r>
      <w:r w:rsidRPr="003E7C59">
        <w:rPr>
          <w:rFonts w:ascii="Arial" w:hAnsi="Arial" w:cs="Arial"/>
          <w:i/>
          <w:color w:val="000000" w:themeColor="text1"/>
          <w:sz w:val="22"/>
          <w:szCs w:val="22"/>
        </w:rPr>
        <w:t>C. florida</w:t>
      </w:r>
      <w:r w:rsidRPr="003E7C59">
        <w:rPr>
          <w:rFonts w:ascii="Arial" w:hAnsi="Arial" w:cs="Arial"/>
          <w:color w:val="000000" w:themeColor="text1"/>
          <w:sz w:val="22"/>
          <w:szCs w:val="22"/>
        </w:rPr>
        <w:t xml:space="preserve">, which expression varies among individuals and depends </w:t>
      </w:r>
      <w:r w:rsidRPr="003E7C59">
        <w:rPr>
          <w:rFonts w:ascii="Arial" w:hAnsi="Arial" w:cs="Arial"/>
          <w:color w:val="000000" w:themeColor="text1"/>
          <w:sz w:val="22"/>
          <w:szCs w:val="22"/>
          <w:shd w:val="clear" w:color="auto" w:fill="FFFFFF"/>
        </w:rPr>
        <w:t xml:space="preserve">on the cumulative actions of many genes </w:t>
      </w:r>
      <w:r w:rsidRPr="003E7C59">
        <w:rPr>
          <w:rFonts w:ascii="Arial" w:hAnsi="Arial" w:cs="Arial"/>
          <w:color w:val="000000" w:themeColor="text1"/>
          <w:sz w:val="22"/>
          <w:szCs w:val="22"/>
        </w:rPr>
        <w:t>with minor effects</w:t>
      </w:r>
      <w:r w:rsidRPr="003E7C59">
        <w:rPr>
          <w:rFonts w:ascii="Arial" w:hAnsi="Arial" w:cs="Arial"/>
          <w:color w:val="000000" w:themeColor="text1"/>
          <w:sz w:val="22"/>
          <w:szCs w:val="22"/>
          <w:shd w:val="clear" w:color="auto" w:fill="FFFFFF"/>
        </w:rPr>
        <w:t xml:space="preserve"> as well as is influenced by</w:t>
      </w:r>
      <w:r w:rsidR="00211893" w:rsidRPr="003E7C59">
        <w:rPr>
          <w:rFonts w:ascii="Arial" w:hAnsi="Arial" w:cs="Arial"/>
          <w:color w:val="000000" w:themeColor="text1"/>
          <w:sz w:val="22"/>
          <w:szCs w:val="22"/>
          <w:shd w:val="clear" w:color="auto" w:fill="FFFFFF"/>
        </w:rPr>
        <w:t xml:space="preserve"> </w:t>
      </w:r>
      <w:r w:rsidRPr="003E7C59">
        <w:rPr>
          <w:rFonts w:ascii="Arial" w:hAnsi="Arial" w:cs="Arial"/>
          <w:color w:val="000000" w:themeColor="text1"/>
          <w:sz w:val="22"/>
          <w:szCs w:val="22"/>
          <w:shd w:val="clear" w:color="auto" w:fill="FFFFFF"/>
        </w:rPr>
        <w:t xml:space="preserve">environmental conditions </w:t>
      </w:r>
      <w:r w:rsidRPr="003E7C59">
        <w:rPr>
          <w:rFonts w:ascii="Arial" w:hAnsi="Arial" w:cs="Arial"/>
          <w:color w:val="000000" w:themeColor="text1"/>
          <w:sz w:val="22"/>
          <w:szCs w:val="22"/>
        </w:rPr>
        <w:t xml:space="preserve">(Dugo et al., 2005; </w:t>
      </w:r>
      <w:r w:rsidRPr="003E7C59">
        <w:rPr>
          <w:rFonts w:ascii="Arial" w:hAnsi="Arial" w:cs="Arial"/>
          <w:color w:val="000000" w:themeColor="text1"/>
          <w:sz w:val="22"/>
          <w:szCs w:val="22"/>
          <w:shd w:val="clear" w:color="auto" w:fill="FCFCFC"/>
        </w:rPr>
        <w:t>Perchepied et al., 2005; Linde et al., 2006; Aghnoum et al., 2010; Faino et al., 2012; Parikh et al., 2017</w:t>
      </w:r>
      <w:r w:rsidRPr="003E7C59">
        <w:rPr>
          <w:rFonts w:ascii="Arial" w:hAnsi="Arial" w:cs="Arial"/>
          <w:color w:val="000000" w:themeColor="text1"/>
          <w:sz w:val="22"/>
          <w:szCs w:val="22"/>
        </w:rPr>
        <w:t>). W</w:t>
      </w:r>
      <w:r w:rsidRPr="003E7C59">
        <w:rPr>
          <w:rFonts w:ascii="Arial" w:hAnsi="Arial" w:cs="Arial"/>
          <w:color w:val="000000" w:themeColor="text1"/>
          <w:sz w:val="22"/>
          <w:szCs w:val="22"/>
          <w:shd w:val="clear" w:color="auto" w:fill="FCFCFC"/>
        </w:rPr>
        <w:t xml:space="preserve">e hypothesized that flowering dogwood resistance to PM </w:t>
      </w:r>
      <w:proofErr w:type="gramStart"/>
      <w:r w:rsidRPr="003E7C59">
        <w:rPr>
          <w:rFonts w:ascii="Arial" w:hAnsi="Arial" w:cs="Arial"/>
          <w:color w:val="000000" w:themeColor="text1"/>
          <w:sz w:val="22"/>
          <w:szCs w:val="22"/>
          <w:shd w:val="clear" w:color="auto" w:fill="FCFCFC"/>
        </w:rPr>
        <w:t>is not inherited</w:t>
      </w:r>
      <w:proofErr w:type="gramEnd"/>
      <w:r w:rsidRPr="003E7C59">
        <w:rPr>
          <w:rFonts w:ascii="Arial" w:hAnsi="Arial" w:cs="Arial"/>
          <w:color w:val="000000" w:themeColor="text1"/>
          <w:sz w:val="22"/>
          <w:szCs w:val="22"/>
          <w:shd w:val="clear" w:color="auto" w:fill="FCFCFC"/>
        </w:rPr>
        <w:t xml:space="preserve"> in a simple Mendelian manner by a single gene because of </w:t>
      </w:r>
      <w:r w:rsidRPr="003E7C59">
        <w:rPr>
          <w:rFonts w:ascii="Arial" w:hAnsi="Arial" w:cs="Arial"/>
          <w:color w:val="000000" w:themeColor="text1"/>
          <w:sz w:val="22"/>
          <w:szCs w:val="22"/>
          <w:shd w:val="clear" w:color="auto" w:fill="FFFFFF"/>
        </w:rPr>
        <w:t>continuous</w:t>
      </w:r>
      <w:r w:rsidRPr="003E7C59">
        <w:rPr>
          <w:rStyle w:val="apple-converted-space"/>
          <w:rFonts w:ascii="Arial" w:hAnsi="Arial" w:cs="Arial"/>
          <w:color w:val="000000" w:themeColor="text1"/>
          <w:sz w:val="22"/>
          <w:szCs w:val="22"/>
          <w:shd w:val="clear" w:color="auto" w:fill="FFFFFF"/>
        </w:rPr>
        <w:t> </w:t>
      </w:r>
      <w:r w:rsidRPr="003E7C59">
        <w:rPr>
          <w:rFonts w:ascii="Arial" w:hAnsi="Arial" w:cs="Arial"/>
          <w:color w:val="000000" w:themeColor="text1"/>
          <w:sz w:val="22"/>
          <w:szCs w:val="22"/>
          <w:shd w:val="clear" w:color="auto" w:fill="FFFFFF"/>
        </w:rPr>
        <w:t xml:space="preserve">phenotypic variation </w:t>
      </w:r>
      <w:r w:rsidRPr="003E7C59">
        <w:rPr>
          <w:rFonts w:ascii="Arial" w:hAnsi="Arial" w:cs="Arial"/>
          <w:color w:val="000000" w:themeColor="text1"/>
          <w:sz w:val="22"/>
          <w:szCs w:val="22"/>
          <w:shd w:val="clear" w:color="auto" w:fill="FCFCFC"/>
        </w:rPr>
        <w:t xml:space="preserve">observed in a natural population. </w:t>
      </w:r>
      <w:r w:rsidRPr="003E7C59">
        <w:rPr>
          <w:rFonts w:ascii="Arial" w:hAnsi="Arial" w:cs="Arial"/>
          <w:color w:val="000000" w:themeColor="text1"/>
          <w:sz w:val="22"/>
          <w:szCs w:val="22"/>
        </w:rPr>
        <w:t xml:space="preserve">Thus, this study aimed to uncover the mode of inheritance of PM resistance by </w:t>
      </w:r>
      <w:r w:rsidR="009022B4" w:rsidRPr="003E7C59">
        <w:rPr>
          <w:rFonts w:ascii="Arial" w:hAnsi="Arial" w:cs="Arial"/>
          <w:color w:val="000000" w:themeColor="text1"/>
          <w:sz w:val="22"/>
          <w:szCs w:val="22"/>
        </w:rPr>
        <w:t>phenotyping</w:t>
      </w:r>
      <w:r w:rsidRPr="003E7C59">
        <w:rPr>
          <w:rFonts w:ascii="Arial" w:hAnsi="Arial" w:cs="Arial"/>
          <w:color w:val="000000" w:themeColor="text1"/>
          <w:sz w:val="22"/>
          <w:szCs w:val="22"/>
        </w:rPr>
        <w:t xml:space="preserve"> 14</w:t>
      </w:r>
      <w:r w:rsidR="00086566" w:rsidRPr="003E7C59">
        <w:rPr>
          <w:rFonts w:ascii="Arial" w:hAnsi="Arial" w:cs="Arial"/>
          <w:color w:val="000000" w:themeColor="text1"/>
          <w:sz w:val="22"/>
          <w:szCs w:val="22"/>
        </w:rPr>
        <w:t>1</w:t>
      </w:r>
      <w:r w:rsidRPr="003E7C59">
        <w:rPr>
          <w:rFonts w:ascii="Arial" w:hAnsi="Arial" w:cs="Arial"/>
          <w:color w:val="000000" w:themeColor="text1"/>
          <w:sz w:val="22"/>
          <w:szCs w:val="22"/>
        </w:rPr>
        <w:t xml:space="preserve"> pseudo-F2 individuals derived from 'Appalachian Spring' and 'Cherokee Brave' (Wang et al., 2009), and to detect </w:t>
      </w:r>
      <w:r w:rsidRPr="003E7C59">
        <w:rPr>
          <w:rFonts w:ascii="Arial" w:hAnsi="Arial" w:cs="Arial"/>
          <w:color w:val="000000" w:themeColor="text1"/>
          <w:sz w:val="22"/>
          <w:szCs w:val="22"/>
          <w:shd w:val="clear" w:color="auto" w:fill="FCFCFC"/>
        </w:rPr>
        <w:t>major stable and transient QTLs conferring the trait</w:t>
      </w:r>
      <w:r w:rsidRPr="003E7C59">
        <w:rPr>
          <w:rStyle w:val="apple-converted-space"/>
          <w:rFonts w:ascii="Arial" w:hAnsi="Arial" w:cs="Arial"/>
          <w:color w:val="000000" w:themeColor="text1"/>
          <w:sz w:val="22"/>
          <w:szCs w:val="22"/>
          <w:shd w:val="clear" w:color="auto" w:fill="FCFCFC"/>
        </w:rPr>
        <w:t xml:space="preserve"> in this population. A better understanding of the genetics of </w:t>
      </w:r>
      <w:r w:rsidRPr="003E7C59">
        <w:rPr>
          <w:rFonts w:ascii="Arial" w:hAnsi="Arial" w:cs="Arial"/>
          <w:color w:val="000000" w:themeColor="text1"/>
          <w:sz w:val="22"/>
          <w:szCs w:val="22"/>
        </w:rPr>
        <w:t xml:space="preserve">PM resistance in flowering dogwood will </w:t>
      </w:r>
      <w:r w:rsidRPr="003E7C59">
        <w:rPr>
          <w:rFonts w:ascii="Arial" w:hAnsi="Arial" w:cs="Arial"/>
          <w:color w:val="000000" w:themeColor="text1"/>
          <w:sz w:val="22"/>
          <w:szCs w:val="22"/>
          <w:shd w:val="clear" w:color="auto" w:fill="FCFCFC"/>
        </w:rPr>
        <w:t>provide the basis</w:t>
      </w:r>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shd w:val="clear" w:color="auto" w:fill="FCFCFC"/>
        </w:rPr>
        <w:t>for the location of candidate</w:t>
      </w:r>
      <w:r w:rsidRPr="003E7C59">
        <w:rPr>
          <w:rFonts w:ascii="Arial" w:hAnsi="Arial" w:cs="Arial"/>
          <w:color w:val="000000" w:themeColor="text1"/>
          <w:sz w:val="22"/>
          <w:szCs w:val="22"/>
        </w:rPr>
        <w:t xml:space="preserve"> genes controlling this important ornamental trait and offer resources to both MAS programs</w:t>
      </w:r>
      <w:r w:rsidR="00572F5B"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and </w:t>
      </w:r>
      <w:r w:rsidRPr="003E7C59">
        <w:rPr>
          <w:rFonts w:ascii="Arial" w:hAnsi="Arial" w:cs="Arial"/>
          <w:color w:val="000000" w:themeColor="text1"/>
          <w:sz w:val="22"/>
          <w:szCs w:val="22"/>
          <w:shd w:val="clear" w:color="auto" w:fill="FFFFFF"/>
        </w:rPr>
        <w:t xml:space="preserve">functional genomics approaches </w:t>
      </w:r>
      <w:r w:rsidRPr="003E7C59">
        <w:rPr>
          <w:rFonts w:ascii="Arial" w:hAnsi="Arial" w:cs="Arial"/>
          <w:color w:val="000000" w:themeColor="text1"/>
          <w:sz w:val="22"/>
          <w:szCs w:val="22"/>
        </w:rPr>
        <w:t>in dogwoods.</w:t>
      </w:r>
    </w:p>
    <w:p w14:paraId="6855D6D5" w14:textId="77777777" w:rsidR="00A86363" w:rsidRPr="003E7C59" w:rsidRDefault="00A86363" w:rsidP="006622F2">
      <w:pPr>
        <w:spacing w:line="360" w:lineRule="auto"/>
        <w:ind w:firstLine="720"/>
        <w:rPr>
          <w:rFonts w:ascii="Arial" w:hAnsi="Arial" w:cs="Arial"/>
          <w:color w:val="000000" w:themeColor="text1"/>
          <w:sz w:val="22"/>
          <w:szCs w:val="22"/>
        </w:rPr>
      </w:pPr>
    </w:p>
    <w:p w14:paraId="375E9084" w14:textId="77777777" w:rsidR="00A86363" w:rsidRPr="003E7C59" w:rsidRDefault="00A86363" w:rsidP="006622F2">
      <w:pPr>
        <w:pStyle w:val="Heading3"/>
        <w:spacing w:before="0" w:beforeAutospacing="0" w:after="0" w:afterAutospacing="0" w:line="360" w:lineRule="auto"/>
        <w:rPr>
          <w:rFonts w:ascii="Arial" w:hAnsi="Arial" w:cs="Arial"/>
          <w:color w:val="000000" w:themeColor="text1"/>
          <w:sz w:val="22"/>
          <w:szCs w:val="22"/>
        </w:rPr>
      </w:pPr>
      <w:bookmarkStart w:id="144" w:name="_Toc117166856"/>
    </w:p>
    <w:p w14:paraId="08F6395A" w14:textId="77777777" w:rsidR="00A86363" w:rsidRPr="003E7C59" w:rsidRDefault="00A86363" w:rsidP="006622F2">
      <w:pPr>
        <w:pStyle w:val="Heading3"/>
        <w:spacing w:before="0" w:beforeAutospacing="0" w:after="0" w:afterAutospacing="0" w:line="360" w:lineRule="auto"/>
        <w:rPr>
          <w:rFonts w:ascii="Arial" w:hAnsi="Arial" w:cs="Arial"/>
          <w:color w:val="000000" w:themeColor="text1"/>
          <w:sz w:val="22"/>
          <w:szCs w:val="22"/>
        </w:rPr>
      </w:pPr>
    </w:p>
    <w:p w14:paraId="3D0A57FD" w14:textId="77777777" w:rsidR="005E7DCF" w:rsidRDefault="005E7DCF" w:rsidP="006622F2">
      <w:pPr>
        <w:pStyle w:val="Heading3"/>
        <w:spacing w:before="0" w:beforeAutospacing="0" w:after="0" w:afterAutospacing="0" w:line="360" w:lineRule="auto"/>
        <w:rPr>
          <w:rFonts w:ascii="Arial" w:hAnsi="Arial" w:cs="Arial"/>
          <w:color w:val="000000" w:themeColor="text1"/>
          <w:sz w:val="22"/>
          <w:szCs w:val="22"/>
        </w:rPr>
      </w:pPr>
    </w:p>
    <w:p w14:paraId="7FF4B722" w14:textId="41B44D68" w:rsidR="006112FD"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145" w:name="_Toc121821941"/>
      <w:r w:rsidRPr="003E7C59">
        <w:rPr>
          <w:rFonts w:ascii="Arial" w:hAnsi="Arial" w:cs="Arial"/>
          <w:color w:val="000000" w:themeColor="text1"/>
          <w:sz w:val="22"/>
          <w:szCs w:val="22"/>
        </w:rPr>
        <w:lastRenderedPageBreak/>
        <w:t>Material and Methods</w:t>
      </w:r>
      <w:bookmarkEnd w:id="144"/>
      <w:bookmarkEnd w:id="145"/>
      <w:r w:rsidRPr="003E7C59">
        <w:rPr>
          <w:rFonts w:ascii="Arial" w:hAnsi="Arial" w:cs="Arial"/>
          <w:color w:val="000000" w:themeColor="text1"/>
          <w:sz w:val="22"/>
          <w:szCs w:val="22"/>
        </w:rPr>
        <w:t xml:space="preserve"> </w:t>
      </w:r>
      <w:bookmarkStart w:id="146" w:name="_Toc117166857"/>
    </w:p>
    <w:p w14:paraId="07DA8013" w14:textId="77777777" w:rsidR="00A86363" w:rsidRPr="003E7C59" w:rsidRDefault="00A86363" w:rsidP="006622F2">
      <w:pPr>
        <w:pStyle w:val="Heading4"/>
        <w:rPr>
          <w:rStyle w:val="SubtleEmphasis"/>
          <w:rFonts w:ascii="Arial" w:hAnsi="Arial" w:cs="Arial"/>
          <w:i/>
          <w:iCs/>
          <w:color w:val="000000" w:themeColor="text1"/>
          <w:sz w:val="22"/>
          <w:szCs w:val="22"/>
        </w:rPr>
      </w:pPr>
    </w:p>
    <w:p w14:paraId="0F73AF7B" w14:textId="2A974262"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147" w:name="_Toc121821942"/>
      <w:r w:rsidRPr="003E7C59">
        <w:rPr>
          <w:rStyle w:val="SubtleEmphasis"/>
          <w:rFonts w:ascii="Arial" w:hAnsi="Arial" w:cs="Arial"/>
          <w:i/>
          <w:iCs/>
          <w:color w:val="000000" w:themeColor="text1"/>
          <w:sz w:val="22"/>
          <w:szCs w:val="22"/>
        </w:rPr>
        <w:t>Population development and assessment of PM resistance to determine the mode of inheritance and QTL associated with PM</w:t>
      </w:r>
      <w:bookmarkEnd w:id="146"/>
      <w:bookmarkEnd w:id="147"/>
    </w:p>
    <w:p w14:paraId="641FAFB0" w14:textId="77777777" w:rsidR="00B51BF9" w:rsidRPr="003E7C59" w:rsidRDefault="00B51BF9" w:rsidP="006622F2">
      <w:pPr>
        <w:rPr>
          <w:rFonts w:ascii="Arial" w:hAnsi="Arial" w:cs="Arial"/>
          <w:color w:val="000000" w:themeColor="text1"/>
          <w:sz w:val="22"/>
          <w:szCs w:val="22"/>
        </w:rPr>
      </w:pPr>
    </w:p>
    <w:p w14:paraId="2EA3E102" w14:textId="6ED01952"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Pseudo-F</w:t>
      </w:r>
      <w:r w:rsidRPr="003E7C59">
        <w:rPr>
          <w:rFonts w:ascii="Arial" w:hAnsi="Arial" w:cs="Arial"/>
          <w:color w:val="000000" w:themeColor="text1"/>
          <w:sz w:val="22"/>
          <w:szCs w:val="22"/>
          <w:vertAlign w:val="subscript"/>
        </w:rPr>
        <w:t>2</w:t>
      </w:r>
      <w:r w:rsidRPr="003E7C59">
        <w:rPr>
          <w:rFonts w:ascii="Arial" w:hAnsi="Arial" w:cs="Arial"/>
          <w:color w:val="000000" w:themeColor="text1"/>
          <w:sz w:val="22"/>
          <w:szCs w:val="22"/>
        </w:rPr>
        <w:t xml:space="preserve"> population originating from crossing two </w:t>
      </w:r>
      <w:r w:rsidRPr="003E7C59">
        <w:rPr>
          <w:rFonts w:ascii="Arial" w:hAnsi="Arial" w:cs="Arial"/>
          <w:i/>
          <w:iCs/>
          <w:color w:val="000000" w:themeColor="text1"/>
          <w:sz w:val="22"/>
          <w:szCs w:val="22"/>
        </w:rPr>
        <w:t>C</w:t>
      </w:r>
      <w:r w:rsidR="00A22023" w:rsidRPr="003E7C59">
        <w:rPr>
          <w:rFonts w:ascii="Arial" w:hAnsi="Arial" w:cs="Arial"/>
          <w:i/>
          <w:iCs/>
          <w:color w:val="000000" w:themeColor="text1"/>
          <w:sz w:val="22"/>
          <w:szCs w:val="22"/>
        </w:rPr>
        <w:t>.</w:t>
      </w:r>
      <w:r w:rsidRPr="003E7C59">
        <w:rPr>
          <w:rFonts w:ascii="Arial" w:hAnsi="Arial" w:cs="Arial"/>
          <w:i/>
          <w:iCs/>
          <w:color w:val="000000" w:themeColor="text1"/>
          <w:sz w:val="22"/>
          <w:szCs w:val="22"/>
        </w:rPr>
        <w:t xml:space="preserve"> florida</w:t>
      </w:r>
      <w:r w:rsidRPr="003E7C59">
        <w:rPr>
          <w:rFonts w:ascii="Arial" w:hAnsi="Arial" w:cs="Arial"/>
          <w:color w:val="000000" w:themeColor="text1"/>
          <w:sz w:val="22"/>
          <w:szCs w:val="22"/>
        </w:rPr>
        <w:t xml:space="preserve"> F</w:t>
      </w:r>
      <w:r w:rsidRPr="003E7C59">
        <w:rPr>
          <w:rFonts w:ascii="Arial" w:hAnsi="Arial" w:cs="Arial"/>
          <w:color w:val="000000" w:themeColor="text1"/>
          <w:sz w:val="22"/>
          <w:szCs w:val="22"/>
          <w:vertAlign w:val="subscript"/>
        </w:rPr>
        <w:t>1</w:t>
      </w:r>
      <w:r w:rsidRPr="003E7C59">
        <w:rPr>
          <w:rFonts w:ascii="Arial" w:hAnsi="Arial" w:cs="Arial"/>
          <w:color w:val="000000" w:themeColor="text1"/>
          <w:sz w:val="22"/>
          <w:szCs w:val="22"/>
        </w:rPr>
        <w:t xml:space="preserve"> trees, breeding lines 96-6 and 96-7, derived initially from honeybee mediated cross between </w:t>
      </w:r>
      <w:r w:rsidRPr="003E7C59">
        <w:rPr>
          <w:rFonts w:ascii="Cambria Math" w:hAnsi="Cambria Math" w:cs="Cambria Math"/>
          <w:color w:val="000000" w:themeColor="text1"/>
          <w:sz w:val="22"/>
          <w:szCs w:val="22"/>
        </w:rPr>
        <w:t>⧬</w:t>
      </w:r>
      <w:r w:rsidRPr="003E7C59">
        <w:rPr>
          <w:rFonts w:ascii="Arial" w:hAnsi="Arial" w:cs="Arial"/>
          <w:color w:val="000000" w:themeColor="text1"/>
          <w:sz w:val="22"/>
          <w:szCs w:val="22"/>
        </w:rPr>
        <w:t xml:space="preserve"> ‘Appalachian Spring,’ PM </w:t>
      </w:r>
      <w:r w:rsidR="00A22023" w:rsidRPr="003E7C59">
        <w:rPr>
          <w:rFonts w:ascii="Arial" w:hAnsi="Arial" w:cs="Arial"/>
          <w:color w:val="000000" w:themeColor="text1"/>
          <w:sz w:val="22"/>
          <w:szCs w:val="22"/>
        </w:rPr>
        <w:t xml:space="preserve">putative </w:t>
      </w:r>
      <w:r w:rsidRPr="003E7C59">
        <w:rPr>
          <w:rFonts w:ascii="Arial" w:hAnsi="Arial" w:cs="Arial"/>
          <w:color w:val="000000" w:themeColor="text1"/>
          <w:sz w:val="22"/>
          <w:szCs w:val="22"/>
        </w:rPr>
        <w:t xml:space="preserve">resistant cultivar, and ♂ ‘Cherokee Brave’ PM moderately resistant cultivar (Wang et al. 2009) was assessed for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disease severity. </w:t>
      </w:r>
      <w:proofErr w:type="gramStart"/>
      <w:r w:rsidRPr="003E7C59">
        <w:rPr>
          <w:rFonts w:ascii="Arial" w:hAnsi="Arial" w:cs="Arial"/>
          <w:color w:val="000000" w:themeColor="text1"/>
          <w:sz w:val="22"/>
          <w:szCs w:val="22"/>
        </w:rPr>
        <w:t xml:space="preserve">Although the population of 250 trees (5-year-old) was initially transferred from the </w:t>
      </w:r>
      <w:r w:rsidRPr="003E7C59">
        <w:rPr>
          <w:rFonts w:ascii="Arial" w:hAnsi="Arial" w:cs="Arial"/>
          <w:color w:val="000000" w:themeColor="text1"/>
          <w:sz w:val="22"/>
          <w:szCs w:val="22"/>
          <w:shd w:val="clear" w:color="auto" w:fill="FCFCFC"/>
        </w:rPr>
        <w:t xml:space="preserve">Agricultural Experimental Station of the University of Tennessee, Crossville, </w:t>
      </w:r>
      <w:r w:rsidR="00255EDC" w:rsidRPr="003E7C59">
        <w:rPr>
          <w:rFonts w:ascii="Arial" w:hAnsi="Arial" w:cs="Arial"/>
          <w:color w:val="000000" w:themeColor="text1"/>
          <w:sz w:val="22"/>
          <w:szCs w:val="22"/>
          <w:shd w:val="clear" w:color="auto" w:fill="FCFCFC"/>
        </w:rPr>
        <w:t xml:space="preserve">to </w:t>
      </w:r>
      <w:r w:rsidR="00ED5035" w:rsidRPr="003E7C59">
        <w:rPr>
          <w:rFonts w:ascii="Arial" w:hAnsi="Arial" w:cs="Arial"/>
          <w:color w:val="000000" w:themeColor="text1"/>
          <w:sz w:val="22"/>
          <w:szCs w:val="22"/>
        </w:rPr>
        <w:t>UT Arboretum, Oak Ridge, Tennessee, USA</w:t>
      </w:r>
      <w:r w:rsidR="00ED5035" w:rsidRPr="003E7C59">
        <w:rPr>
          <w:rFonts w:ascii="Arial" w:hAnsi="Arial" w:cs="Arial"/>
          <w:color w:val="000000" w:themeColor="text1"/>
          <w:sz w:val="22"/>
          <w:szCs w:val="22"/>
          <w:shd w:val="clear" w:color="auto" w:fill="FCFCFC"/>
        </w:rPr>
        <w:t xml:space="preserve"> </w:t>
      </w:r>
      <w:r w:rsidRPr="003E7C59">
        <w:rPr>
          <w:rFonts w:ascii="Arial" w:hAnsi="Arial" w:cs="Arial"/>
          <w:color w:val="000000" w:themeColor="text1"/>
          <w:sz w:val="22"/>
          <w:szCs w:val="22"/>
          <w:shd w:val="clear" w:color="auto" w:fill="FCFCFC"/>
        </w:rPr>
        <w:t>due to harsh environmental conditions such as frost and drought, shallow soil, deer grazing, inbreeding depression</w:t>
      </w:r>
      <w:r w:rsidR="00F74896" w:rsidRPr="003E7C59">
        <w:rPr>
          <w:rFonts w:ascii="Arial" w:hAnsi="Arial" w:cs="Arial"/>
          <w:color w:val="000000" w:themeColor="text1"/>
          <w:sz w:val="22"/>
          <w:szCs w:val="22"/>
          <w:shd w:val="clear" w:color="auto" w:fill="FCFCFC"/>
        </w:rPr>
        <w:t>,</w:t>
      </w:r>
      <w:r w:rsidRPr="003E7C59">
        <w:rPr>
          <w:rFonts w:ascii="Arial" w:hAnsi="Arial" w:cs="Arial"/>
          <w:color w:val="000000" w:themeColor="text1"/>
          <w:sz w:val="22"/>
          <w:szCs w:val="22"/>
          <w:shd w:val="clear" w:color="auto" w:fill="FCFCFC"/>
        </w:rPr>
        <w:t xml:space="preserve"> and disease susceptibility to both PM and spot anthracnose, only 141 trees were successfully </w:t>
      </w:r>
      <w:r w:rsidRPr="003E7C59">
        <w:rPr>
          <w:rFonts w:ascii="Arial" w:eastAsiaTheme="minorHAnsi" w:hAnsi="Arial" w:cs="Arial"/>
          <w:color w:val="000000" w:themeColor="text1"/>
          <w:sz w:val="22"/>
          <w:szCs w:val="22"/>
        </w:rPr>
        <w:t>established in 2017.</w:t>
      </w:r>
      <w:proofErr w:type="gramEnd"/>
      <w:r w:rsidRPr="003E7C59">
        <w:rPr>
          <w:rFonts w:ascii="Arial" w:eastAsiaTheme="minorHAnsi" w:hAnsi="Arial" w:cs="Arial"/>
          <w:color w:val="000000" w:themeColor="text1"/>
          <w:sz w:val="22"/>
          <w:szCs w:val="22"/>
        </w:rPr>
        <w:t xml:space="preserve"> </w:t>
      </w:r>
      <w:r w:rsidRPr="003E7C59">
        <w:rPr>
          <w:rFonts w:ascii="Arial" w:hAnsi="Arial" w:cs="Arial"/>
          <w:color w:val="000000" w:themeColor="text1"/>
          <w:sz w:val="22"/>
          <w:szCs w:val="22"/>
          <w:shd w:val="clear" w:color="auto" w:fill="FCFCFC"/>
        </w:rPr>
        <w:t xml:space="preserve">Therefore, </w:t>
      </w:r>
      <w:r w:rsidRPr="003E7C59">
        <w:rPr>
          <w:rFonts w:ascii="Arial" w:hAnsi="Arial" w:cs="Arial"/>
          <w:color w:val="000000" w:themeColor="text1"/>
          <w:sz w:val="22"/>
          <w:szCs w:val="22"/>
        </w:rPr>
        <w:t xml:space="preserve">the population of 141 individuals was phenotyped for PM presence over the </w:t>
      </w:r>
      <w:r w:rsidR="00B04DD5" w:rsidRPr="003E7C59">
        <w:rPr>
          <w:rFonts w:ascii="Arial" w:hAnsi="Arial" w:cs="Arial"/>
          <w:color w:val="000000" w:themeColor="text1"/>
          <w:sz w:val="22"/>
          <w:szCs w:val="22"/>
        </w:rPr>
        <w:t>six</w:t>
      </w:r>
      <w:r w:rsidRPr="003E7C59">
        <w:rPr>
          <w:rFonts w:ascii="Arial" w:hAnsi="Arial" w:cs="Arial"/>
          <w:color w:val="000000" w:themeColor="text1"/>
          <w:sz w:val="22"/>
          <w:szCs w:val="22"/>
        </w:rPr>
        <w:t xml:space="preserve"> years, from 2017 to 202</w:t>
      </w:r>
      <w:r w:rsidR="00B04DD5" w:rsidRPr="003E7C59">
        <w:rPr>
          <w:rFonts w:ascii="Arial" w:hAnsi="Arial" w:cs="Arial"/>
          <w:color w:val="000000" w:themeColor="text1"/>
          <w:sz w:val="22"/>
          <w:szCs w:val="22"/>
        </w:rPr>
        <w:t>2</w:t>
      </w:r>
      <w:r w:rsidRPr="003E7C59">
        <w:rPr>
          <w:rFonts w:ascii="Arial" w:hAnsi="Arial" w:cs="Arial"/>
          <w:color w:val="000000" w:themeColor="text1"/>
          <w:sz w:val="22"/>
          <w:szCs w:val="22"/>
        </w:rPr>
        <w:t>. Among 141 trees assessed for PM, 71 trees were still viable out of 94 trees initially genotyped (Wang et al., 2009). When</w:t>
      </w:r>
      <w:r w:rsidRPr="003E7C59">
        <w:rPr>
          <w:rFonts w:ascii="Arial" w:eastAsiaTheme="minorHAnsi" w:hAnsi="Arial" w:cs="Arial"/>
          <w:color w:val="000000" w:themeColor="text1"/>
          <w:sz w:val="22"/>
          <w:szCs w:val="22"/>
        </w:rPr>
        <w:t xml:space="preserve"> the phenotyping started in 2017, the trees were 15 years old. </w:t>
      </w:r>
      <w:r w:rsidRPr="003E7C59">
        <w:rPr>
          <w:rFonts w:ascii="Arial" w:hAnsi="Arial" w:cs="Arial"/>
          <w:color w:val="000000" w:themeColor="text1"/>
          <w:sz w:val="22"/>
          <w:szCs w:val="22"/>
          <w:shd w:val="clear" w:color="auto" w:fill="FCFCFC"/>
        </w:rPr>
        <w:t xml:space="preserve">Disease scores </w:t>
      </w:r>
      <w:proofErr w:type="gramStart"/>
      <w:r w:rsidRPr="003E7C59">
        <w:rPr>
          <w:rFonts w:ascii="Arial" w:hAnsi="Arial" w:cs="Arial"/>
          <w:color w:val="000000" w:themeColor="text1"/>
          <w:sz w:val="22"/>
          <w:szCs w:val="22"/>
          <w:shd w:val="clear" w:color="auto" w:fill="FCFCFC"/>
        </w:rPr>
        <w:t>were recorded</w:t>
      </w:r>
      <w:proofErr w:type="gramEnd"/>
      <w:r w:rsidRPr="003E7C59">
        <w:rPr>
          <w:rFonts w:ascii="Arial" w:hAnsi="Arial" w:cs="Arial"/>
          <w:color w:val="000000" w:themeColor="text1"/>
          <w:sz w:val="22"/>
          <w:szCs w:val="22"/>
          <w:shd w:val="clear" w:color="auto" w:fill="FCFCFC"/>
        </w:rPr>
        <w:t xml:space="preserve"> annually on fully expanded leaves </w:t>
      </w:r>
      <w:r w:rsidRPr="003E7C59">
        <w:rPr>
          <w:rFonts w:ascii="Arial" w:hAnsi="Arial" w:cs="Arial"/>
          <w:color w:val="000000" w:themeColor="text1"/>
          <w:sz w:val="22"/>
          <w:szCs w:val="22"/>
        </w:rPr>
        <w:t xml:space="preserve">in the field after natural infection in mid-August when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symptom manifestation was at its peak. </w:t>
      </w:r>
      <w:proofErr w:type="gramStart"/>
      <w:r w:rsidRPr="003E7C59">
        <w:rPr>
          <w:rFonts w:ascii="Arial" w:hAnsi="Arial" w:cs="Arial"/>
          <w:color w:val="000000" w:themeColor="text1"/>
          <w:sz w:val="22"/>
          <w:szCs w:val="22"/>
        </w:rPr>
        <w:t xml:space="preserve">Disease severity was visually scored using a modified scale adapted from Horsfall and Barratt (1945) and Kloos et al. (2005), where 0 represented trees with no apparent disease symptoms and no colonies of PM detected on any leaves (R), “1” represented plants displaying </w:t>
      </w:r>
      <w:r w:rsidRPr="003E7C59">
        <w:rPr>
          <w:rFonts w:ascii="Arial" w:hAnsi="Arial" w:cs="Arial"/>
          <w:color w:val="000000" w:themeColor="text1"/>
          <w:sz w:val="22"/>
          <w:szCs w:val="22"/>
          <w:shd w:val="clear" w:color="auto" w:fill="FCFCFC"/>
        </w:rPr>
        <w:t xml:space="preserve">up to 30 % symptomatic leaf area as light sporulation present on some leaves (MR), “2” represented  30 to 60 % of colonies with moderate sporulation coalescing into large regions (MS), and “3” represented 60 to100 % of abundant sporulation merged into large areas or entire adaxial surface covered with PM </w:t>
      </w:r>
      <w:r w:rsidRPr="003E7C59">
        <w:rPr>
          <w:rFonts w:ascii="Arial" w:hAnsi="Arial" w:cs="Arial"/>
          <w:color w:val="000000" w:themeColor="text1"/>
          <w:sz w:val="22"/>
          <w:szCs w:val="22"/>
        </w:rPr>
        <w:t>of plant foliage exhibiting disease signs and symptoms (S), respectively.</w:t>
      </w:r>
      <w:proofErr w:type="gramEnd"/>
    </w:p>
    <w:p w14:paraId="5FFBDD0C" w14:textId="77777777" w:rsidR="00B51BF9" w:rsidRPr="003E7C59" w:rsidRDefault="00B51BF9" w:rsidP="006622F2">
      <w:pPr>
        <w:rPr>
          <w:rFonts w:ascii="Arial" w:hAnsi="Arial" w:cs="Arial"/>
          <w:color w:val="000000" w:themeColor="text1"/>
          <w:sz w:val="22"/>
          <w:szCs w:val="22"/>
        </w:rPr>
      </w:pPr>
    </w:p>
    <w:p w14:paraId="4DDD4A3C" w14:textId="49399A68" w:rsidR="00B51BF9" w:rsidRPr="003E7C59" w:rsidRDefault="00B51BF9" w:rsidP="006622F2">
      <w:pPr>
        <w:spacing w:line="360" w:lineRule="auto"/>
        <w:jc w:val="both"/>
        <w:rPr>
          <w:rStyle w:val="SubtleEmphasis"/>
          <w:rFonts w:ascii="Arial" w:hAnsi="Arial" w:cs="Arial"/>
          <w:color w:val="000000" w:themeColor="text1"/>
          <w:sz w:val="22"/>
          <w:szCs w:val="22"/>
        </w:rPr>
      </w:pPr>
      <w:r w:rsidRPr="003E7C59">
        <w:rPr>
          <w:rStyle w:val="SubtleEmphasis"/>
          <w:rFonts w:ascii="Arial" w:hAnsi="Arial" w:cs="Arial"/>
          <w:color w:val="000000" w:themeColor="text1"/>
          <w:sz w:val="22"/>
          <w:szCs w:val="22"/>
        </w:rPr>
        <w:t xml:space="preserve">Inheritance of </w:t>
      </w:r>
      <w:r w:rsidR="00E36DB1" w:rsidRPr="003E7C59">
        <w:rPr>
          <w:rStyle w:val="SubtleEmphasis"/>
          <w:rFonts w:ascii="Arial" w:hAnsi="Arial" w:cs="Arial"/>
          <w:color w:val="000000" w:themeColor="text1"/>
          <w:sz w:val="22"/>
          <w:szCs w:val="22"/>
        </w:rPr>
        <w:t>PM</w:t>
      </w:r>
      <w:r w:rsidRPr="003E7C59">
        <w:rPr>
          <w:rStyle w:val="SubtleEmphasis"/>
          <w:rFonts w:ascii="Arial" w:hAnsi="Arial" w:cs="Arial"/>
          <w:color w:val="000000" w:themeColor="text1"/>
          <w:sz w:val="22"/>
          <w:szCs w:val="22"/>
        </w:rPr>
        <w:t xml:space="preserve"> Resistance</w:t>
      </w:r>
    </w:p>
    <w:p w14:paraId="16F8ECC8" w14:textId="77777777" w:rsidR="00A86363" w:rsidRPr="003E7C59" w:rsidRDefault="00A86363" w:rsidP="006622F2">
      <w:pPr>
        <w:spacing w:line="360" w:lineRule="auto"/>
        <w:ind w:firstLine="720"/>
        <w:rPr>
          <w:rFonts w:ascii="Arial" w:hAnsi="Arial" w:cs="Arial"/>
          <w:color w:val="000000" w:themeColor="text1"/>
          <w:sz w:val="22"/>
          <w:szCs w:val="22"/>
        </w:rPr>
      </w:pPr>
    </w:p>
    <w:p w14:paraId="734094EF" w14:textId="7ACF40FC" w:rsidR="00794BA6" w:rsidRDefault="00B51BF9" w:rsidP="006622F2">
      <w:pPr>
        <w:spacing w:line="360" w:lineRule="auto"/>
        <w:ind w:firstLine="720"/>
        <w:rPr>
          <w:rFonts w:ascii="Arial" w:hAnsi="Arial" w:cs="Arial"/>
          <w:color w:val="000000" w:themeColor="text1"/>
          <w:sz w:val="22"/>
          <w:szCs w:val="22"/>
          <w:shd w:val="clear" w:color="auto" w:fill="FCFCFC"/>
        </w:rPr>
      </w:pPr>
      <w:r w:rsidRPr="003E7C59">
        <w:rPr>
          <w:rFonts w:ascii="Arial" w:hAnsi="Arial" w:cs="Arial"/>
          <w:color w:val="000000" w:themeColor="text1"/>
          <w:sz w:val="22"/>
          <w:szCs w:val="22"/>
        </w:rPr>
        <w:t>The inheritance of PM resistance in 141 flowering dogwood pseudo-F</w:t>
      </w:r>
      <w:r w:rsidRPr="003E7C59">
        <w:rPr>
          <w:rFonts w:ascii="Arial" w:hAnsi="Arial" w:cs="Arial"/>
          <w:color w:val="000000" w:themeColor="text1"/>
          <w:sz w:val="22"/>
          <w:szCs w:val="22"/>
          <w:vertAlign w:val="subscript"/>
        </w:rPr>
        <w:t>2</w:t>
      </w:r>
      <w:r w:rsidRPr="003E7C59">
        <w:rPr>
          <w:rFonts w:ascii="Arial" w:hAnsi="Arial" w:cs="Arial"/>
          <w:color w:val="000000" w:themeColor="text1"/>
          <w:sz w:val="22"/>
          <w:szCs w:val="22"/>
        </w:rPr>
        <w:t xml:space="preserve"> trees </w:t>
      </w:r>
      <w:proofErr w:type="gramStart"/>
      <w:r w:rsidRPr="003E7C59">
        <w:rPr>
          <w:rFonts w:ascii="Arial" w:hAnsi="Arial" w:cs="Arial"/>
          <w:color w:val="000000" w:themeColor="text1"/>
          <w:sz w:val="22"/>
          <w:szCs w:val="22"/>
        </w:rPr>
        <w:t>was analyzed</w:t>
      </w:r>
      <w:proofErr w:type="gramEnd"/>
      <w:r w:rsidRPr="003E7C59">
        <w:rPr>
          <w:rFonts w:ascii="Arial" w:hAnsi="Arial" w:cs="Arial"/>
          <w:color w:val="000000" w:themeColor="text1"/>
          <w:sz w:val="22"/>
          <w:szCs w:val="22"/>
        </w:rPr>
        <w:t xml:space="preserve"> using the chi-square test (</w:t>
      </w:r>
      <w:r w:rsidRPr="003E7C59">
        <w:rPr>
          <w:rFonts w:ascii="Arial" w:hAnsi="Arial" w:cs="Arial"/>
          <w:color w:val="000000" w:themeColor="text1"/>
          <w:sz w:val="22"/>
          <w:szCs w:val="22"/>
          <w:shd w:val="clear" w:color="auto" w:fill="FCFCFC"/>
        </w:rPr>
        <w:t>χ</w:t>
      </w:r>
      <w:r w:rsidRPr="003E7C59">
        <w:rPr>
          <w:rFonts w:ascii="Arial" w:hAnsi="Arial" w:cs="Arial"/>
          <w:color w:val="000000" w:themeColor="text1"/>
          <w:sz w:val="22"/>
          <w:szCs w:val="22"/>
          <w:vertAlign w:val="superscript"/>
        </w:rPr>
        <w:t>2</w:t>
      </w:r>
      <w:r w:rsidRPr="003E7C59">
        <w:rPr>
          <w:rStyle w:val="apple-converted-space"/>
          <w:rFonts w:ascii="Arial" w:hAnsi="Arial" w:cs="Arial"/>
          <w:color w:val="000000" w:themeColor="text1"/>
          <w:sz w:val="22"/>
          <w:szCs w:val="22"/>
          <w:shd w:val="clear" w:color="auto" w:fill="FCFCFC"/>
        </w:rPr>
        <w:t xml:space="preserve"> test) in Microsoft Excel (Microsoft Office, 2021) to </w:t>
      </w:r>
      <w:r w:rsidRPr="003E7C59">
        <w:rPr>
          <w:rFonts w:ascii="Arial" w:eastAsiaTheme="minorHAnsi" w:hAnsi="Arial" w:cs="Arial"/>
          <w:color w:val="000000" w:themeColor="text1"/>
          <w:sz w:val="22"/>
          <w:szCs w:val="22"/>
        </w:rPr>
        <w:t xml:space="preserve">test the goodness-of-fit between observed and expected segregation ratios. </w:t>
      </w:r>
      <w:r w:rsidRPr="003E7C59">
        <w:rPr>
          <w:rStyle w:val="apple-converted-space"/>
          <w:rFonts w:ascii="Arial" w:hAnsi="Arial" w:cs="Arial"/>
          <w:color w:val="000000" w:themeColor="text1"/>
          <w:sz w:val="22"/>
          <w:szCs w:val="22"/>
          <w:shd w:val="clear" w:color="auto" w:fill="FCFCFC"/>
        </w:rPr>
        <w:t>The resistant (R) and susceptible (S) categories were defined as R = very resistant</w:t>
      </w:r>
      <w:r w:rsidRPr="003E7C59">
        <w:rPr>
          <w:rFonts w:ascii="Arial" w:hAnsi="Arial" w:cs="Arial"/>
          <w:color w:val="000000" w:themeColor="text1"/>
          <w:sz w:val="22"/>
          <w:szCs w:val="22"/>
        </w:rPr>
        <w:t>, MR= moderately resistant,</w:t>
      </w:r>
      <w:r w:rsidRPr="003E7C59">
        <w:rPr>
          <w:rFonts w:ascii="Arial" w:hAnsi="Arial" w:cs="Arial"/>
          <w:color w:val="000000" w:themeColor="text1"/>
          <w:sz w:val="22"/>
          <w:szCs w:val="22"/>
          <w:shd w:val="clear" w:color="auto" w:fill="FCFCFC"/>
        </w:rPr>
        <w:t xml:space="preserve"> MS= moderately susceptible, and S= susceptible.  </w:t>
      </w:r>
      <w:bookmarkStart w:id="148" w:name="_Toc117166858"/>
    </w:p>
    <w:p w14:paraId="7BFCF1B0" w14:textId="77777777" w:rsidR="005E7DCF" w:rsidRPr="005E7DCF" w:rsidRDefault="005E7DCF" w:rsidP="006622F2">
      <w:pPr>
        <w:spacing w:line="360" w:lineRule="auto"/>
        <w:ind w:firstLine="720"/>
        <w:rPr>
          <w:rStyle w:val="SubtleEmphasis"/>
          <w:rFonts w:ascii="Arial" w:hAnsi="Arial" w:cs="Arial"/>
          <w:i w:val="0"/>
          <w:iCs w:val="0"/>
          <w:color w:val="000000" w:themeColor="text1"/>
          <w:sz w:val="22"/>
          <w:szCs w:val="22"/>
          <w:shd w:val="clear" w:color="auto" w:fill="FCFCFC"/>
        </w:rPr>
      </w:pPr>
    </w:p>
    <w:p w14:paraId="17796163" w14:textId="411239CF"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149" w:name="_Toc121821943"/>
      <w:r w:rsidRPr="003E7C59">
        <w:rPr>
          <w:rStyle w:val="SubtleEmphasis"/>
          <w:rFonts w:ascii="Arial" w:hAnsi="Arial" w:cs="Arial"/>
          <w:i/>
          <w:iCs/>
          <w:color w:val="000000" w:themeColor="text1"/>
          <w:sz w:val="22"/>
          <w:szCs w:val="22"/>
        </w:rPr>
        <w:lastRenderedPageBreak/>
        <w:t>Genetic map improvement and QTL analysis</w:t>
      </w:r>
      <w:bookmarkEnd w:id="148"/>
      <w:bookmarkEnd w:id="149"/>
      <w:r w:rsidRPr="003E7C59">
        <w:rPr>
          <w:rStyle w:val="SubtleEmphasis"/>
          <w:rFonts w:ascii="Arial" w:hAnsi="Arial" w:cs="Arial"/>
          <w:i/>
          <w:iCs/>
          <w:color w:val="000000" w:themeColor="text1"/>
          <w:sz w:val="22"/>
          <w:szCs w:val="22"/>
        </w:rPr>
        <w:t xml:space="preserve"> </w:t>
      </w:r>
    </w:p>
    <w:p w14:paraId="2699C3F8" w14:textId="77777777" w:rsidR="00B51BF9" w:rsidRPr="003E7C59" w:rsidRDefault="00B51BF9" w:rsidP="006622F2">
      <w:pPr>
        <w:rPr>
          <w:rFonts w:ascii="Arial" w:hAnsi="Arial" w:cs="Arial"/>
          <w:color w:val="000000" w:themeColor="text1"/>
          <w:sz w:val="22"/>
          <w:szCs w:val="22"/>
        </w:rPr>
      </w:pPr>
    </w:p>
    <w:p w14:paraId="73FFD2FD" w14:textId="751282B3" w:rsidR="00B51BF9" w:rsidRPr="003E7C59" w:rsidRDefault="00B51BF9" w:rsidP="006622F2">
      <w:pPr>
        <w:spacing w:line="360" w:lineRule="auto"/>
        <w:ind w:firstLine="720"/>
        <w:rPr>
          <w:rFonts w:ascii="Arial" w:hAnsi="Arial" w:cs="Arial"/>
          <w:color w:val="000000" w:themeColor="text1"/>
          <w:sz w:val="22"/>
          <w:szCs w:val="22"/>
        </w:rPr>
      </w:pPr>
      <w:proofErr w:type="gramStart"/>
      <w:r w:rsidRPr="003E7C59">
        <w:rPr>
          <w:rFonts w:ascii="Arial" w:hAnsi="Arial" w:cs="Arial"/>
          <w:color w:val="000000" w:themeColor="text1"/>
          <w:sz w:val="22"/>
          <w:szCs w:val="22"/>
        </w:rPr>
        <w:t>Mapping population development using reciprocal honeybee-mediated crosses was detailed by Wang et al. (2009)</w:t>
      </w:r>
      <w:proofErr w:type="gramEnd"/>
      <w:r w:rsidRPr="003E7C59">
        <w:rPr>
          <w:rFonts w:ascii="Arial" w:hAnsi="Arial" w:cs="Arial"/>
          <w:color w:val="000000" w:themeColor="text1"/>
          <w:sz w:val="22"/>
          <w:szCs w:val="22"/>
        </w:rPr>
        <w:t xml:space="preserve">. Briefly, SSR </w:t>
      </w:r>
      <w:r w:rsidRPr="003E7C59">
        <w:rPr>
          <w:rFonts w:ascii="Arial" w:hAnsi="Arial" w:cs="Arial"/>
          <w:color w:val="000000" w:themeColor="text1"/>
          <w:sz w:val="22"/>
          <w:szCs w:val="22"/>
          <w:shd w:val="clear" w:color="auto" w:fill="FCFCFC"/>
        </w:rPr>
        <w:t xml:space="preserve">markers </w:t>
      </w:r>
      <w:proofErr w:type="gramStart"/>
      <w:r w:rsidRPr="003E7C59">
        <w:rPr>
          <w:rFonts w:ascii="Arial" w:hAnsi="Arial" w:cs="Arial"/>
          <w:color w:val="000000" w:themeColor="text1"/>
          <w:sz w:val="22"/>
          <w:szCs w:val="22"/>
          <w:shd w:val="clear" w:color="auto" w:fill="FCFCFC"/>
        </w:rPr>
        <w:t>were defined</w:t>
      </w:r>
      <w:proofErr w:type="gramEnd"/>
      <w:r w:rsidRPr="003E7C59">
        <w:rPr>
          <w:rFonts w:ascii="Arial" w:hAnsi="Arial" w:cs="Arial"/>
          <w:color w:val="000000" w:themeColor="text1"/>
          <w:sz w:val="22"/>
          <w:szCs w:val="22"/>
          <w:shd w:val="clear" w:color="auto" w:fill="FCFCFC"/>
        </w:rPr>
        <w:t xml:space="preserve"> as follows:  72 markers (maternal marker labeled as ‘B’) dominant in ‘Cherokee Brave’ and null in ‘Appalachian Spring’ (1:1 segregation), and 41 markers (paternal marker labeled as ‘A’) dominant in ‘Appalachian Spring’ and null in ‘Cherokee Brave’ (1:1 segregation), whereas 142 co-dominant markers (labeled as ‘C’) segregated within both parents (1:2:1). Approximately 23 markers were </w:t>
      </w:r>
      <w:r w:rsidRPr="003E7C59">
        <w:rPr>
          <w:rFonts w:ascii="Arial" w:hAnsi="Arial" w:cs="Arial"/>
          <w:color w:val="000000" w:themeColor="text1"/>
          <w:sz w:val="22"/>
          <w:szCs w:val="22"/>
          <w:shd w:val="clear" w:color="auto" w:fill="FFFFFF"/>
        </w:rPr>
        <w:t>evenly spaced on each of </w:t>
      </w:r>
      <w:r w:rsidRPr="003E7C59">
        <w:rPr>
          <w:rFonts w:ascii="Arial" w:hAnsi="Arial" w:cs="Arial"/>
          <w:i/>
          <w:iCs/>
          <w:color w:val="000000" w:themeColor="text1"/>
          <w:sz w:val="22"/>
          <w:szCs w:val="22"/>
          <w:shd w:val="clear" w:color="auto" w:fill="FFFFFF"/>
        </w:rPr>
        <w:t>C</w:t>
      </w:r>
      <w:r w:rsidRPr="003E7C59">
        <w:rPr>
          <w:rFonts w:ascii="Arial" w:hAnsi="Arial" w:cs="Arial"/>
          <w:color w:val="000000" w:themeColor="text1"/>
          <w:sz w:val="22"/>
          <w:szCs w:val="22"/>
          <w:shd w:val="clear" w:color="auto" w:fill="FFFFFF"/>
        </w:rPr>
        <w:t xml:space="preserve">. </w:t>
      </w:r>
      <w:r w:rsidRPr="003E7C59">
        <w:rPr>
          <w:rFonts w:ascii="Arial" w:hAnsi="Arial" w:cs="Arial"/>
          <w:i/>
          <w:iCs/>
          <w:color w:val="000000" w:themeColor="text1"/>
          <w:sz w:val="22"/>
          <w:szCs w:val="22"/>
          <w:shd w:val="clear" w:color="auto" w:fill="FFFFFF"/>
        </w:rPr>
        <w:t>florida</w:t>
      </w:r>
      <w:r w:rsidRPr="003E7C59">
        <w:rPr>
          <w:rFonts w:ascii="Arial" w:hAnsi="Arial" w:cs="Arial"/>
          <w:color w:val="000000" w:themeColor="text1"/>
          <w:sz w:val="22"/>
          <w:szCs w:val="22"/>
          <w:shd w:val="clear" w:color="auto" w:fill="FFFFFF"/>
        </w:rPr>
        <w:t xml:space="preserve"> 11 chromosomes except for </w:t>
      </w:r>
      <w:r w:rsidRPr="003E7C59">
        <w:rPr>
          <w:rFonts w:ascii="Arial" w:hAnsi="Arial" w:cs="Arial"/>
          <w:color w:val="000000" w:themeColor="text1"/>
          <w:sz w:val="22"/>
          <w:szCs w:val="22"/>
          <w:shd w:val="clear" w:color="auto" w:fill="FCFCFC"/>
        </w:rPr>
        <w:t xml:space="preserve">slight marker clustering on LGs 5, 7, and 11. </w:t>
      </w:r>
      <w:r w:rsidRPr="003E7C59">
        <w:rPr>
          <w:rFonts w:ascii="Arial" w:hAnsi="Arial" w:cs="Arial"/>
          <w:color w:val="000000" w:themeColor="text1"/>
          <w:sz w:val="22"/>
          <w:szCs w:val="22"/>
        </w:rPr>
        <w:t>Pairwise recombination fractions estimation, genetic map re-estimation using the hidden Markov technology, identification of markers with potentially switched allele</w:t>
      </w:r>
      <w:r w:rsidR="00F74896"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and investigation of marker orders for a given chromosome while comparing all possible permutations of a sliding window of markers were applied before performing QTL mapping in R/qtl version 1.52 (Broman et al., 2003). </w:t>
      </w:r>
    </w:p>
    <w:p w14:paraId="384E2235" w14:textId="77777777" w:rsidR="00B51BF9" w:rsidRPr="003E7C59" w:rsidRDefault="00B51BF9" w:rsidP="006622F2">
      <w:pPr>
        <w:spacing w:line="360" w:lineRule="auto"/>
        <w:ind w:firstLine="720"/>
        <w:rPr>
          <w:rFonts w:ascii="Arial" w:hAnsi="Arial" w:cs="Arial"/>
          <w:color w:val="000000" w:themeColor="text1"/>
          <w:sz w:val="22"/>
          <w:szCs w:val="22"/>
        </w:rPr>
      </w:pPr>
    </w:p>
    <w:p w14:paraId="28830D1E" w14:textId="70512BA7"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The composite interval mapping (CIM) method was employed for the QTL detection at a walking speed of 1 cM in R/qtl version 1.52 (Broman et al., 2003), as implemented in R version 4.2.1 (R Core Team, 2022).  Pseudo-F</w:t>
      </w:r>
      <w:r w:rsidRPr="003E7C59">
        <w:rPr>
          <w:rFonts w:ascii="Arial" w:hAnsi="Arial" w:cs="Arial"/>
          <w:color w:val="000000" w:themeColor="text1"/>
          <w:sz w:val="22"/>
          <w:szCs w:val="22"/>
          <w:vertAlign w:val="subscript"/>
        </w:rPr>
        <w:t>2</w:t>
      </w:r>
      <w:r w:rsidRPr="003E7C59">
        <w:rPr>
          <w:rFonts w:ascii="Arial" w:hAnsi="Arial" w:cs="Arial"/>
          <w:color w:val="000000" w:themeColor="text1"/>
          <w:sz w:val="22"/>
          <w:szCs w:val="22"/>
        </w:rPr>
        <w:t xml:space="preserve"> population originating from crossing two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F</w:t>
      </w:r>
      <w:r w:rsidRPr="003E7C59">
        <w:rPr>
          <w:rFonts w:ascii="Arial" w:hAnsi="Arial" w:cs="Arial"/>
          <w:color w:val="000000" w:themeColor="text1"/>
          <w:sz w:val="22"/>
          <w:szCs w:val="22"/>
          <w:vertAlign w:val="subscript"/>
        </w:rPr>
        <w:t>1</w:t>
      </w:r>
      <w:r w:rsidRPr="003E7C59">
        <w:rPr>
          <w:rFonts w:ascii="Arial" w:hAnsi="Arial" w:cs="Arial"/>
          <w:color w:val="000000" w:themeColor="text1"/>
          <w:sz w:val="22"/>
          <w:szCs w:val="22"/>
        </w:rPr>
        <w:t xml:space="preserve"> breeding lines 96-6 and 96-7 was treated as lines created by repeated selfing F</w:t>
      </w:r>
      <w:r w:rsidRPr="003E7C59">
        <w:rPr>
          <w:rFonts w:ascii="Arial" w:hAnsi="Arial" w:cs="Arial"/>
          <w:i/>
          <w:iCs/>
          <w:color w:val="000000" w:themeColor="text1"/>
          <w:sz w:val="22"/>
          <w:szCs w:val="22"/>
          <w:vertAlign w:val="subscript"/>
        </w:rPr>
        <w:t>t</w:t>
      </w:r>
      <w:r w:rsidRPr="003E7C59">
        <w:rPr>
          <w:rFonts w:ascii="Arial" w:hAnsi="Arial" w:cs="Arial"/>
          <w:color w:val="000000" w:themeColor="text1"/>
          <w:sz w:val="22"/>
          <w:szCs w:val="22"/>
        </w:rPr>
        <w:t xml:space="preserve">. Thus, the cross-type was </w:t>
      </w:r>
      <w:r w:rsidRPr="003E7C59">
        <w:rPr>
          <w:rFonts w:ascii="Arial" w:hAnsi="Arial" w:cs="Arial"/>
          <w:i/>
          <w:iCs/>
          <w:color w:val="000000" w:themeColor="text1"/>
          <w:sz w:val="22"/>
          <w:szCs w:val="22"/>
        </w:rPr>
        <w:t>bcsft</w:t>
      </w:r>
      <w:r w:rsidRPr="003E7C59">
        <w:rPr>
          <w:rFonts w:ascii="Arial" w:hAnsi="Arial" w:cs="Arial"/>
          <w:color w:val="000000" w:themeColor="text1"/>
          <w:sz w:val="22"/>
          <w:szCs w:val="22"/>
        </w:rPr>
        <w:t xml:space="preserve">, whereas </w:t>
      </w:r>
      <w:proofErr w:type="gramStart"/>
      <w:r w:rsidRPr="003E7C59">
        <w:rPr>
          <w:rFonts w:ascii="Arial" w:hAnsi="Arial" w:cs="Arial"/>
          <w:color w:val="000000" w:themeColor="text1"/>
          <w:sz w:val="22"/>
          <w:szCs w:val="22"/>
        </w:rPr>
        <w:t>0</w:t>
      </w:r>
      <w:proofErr w:type="gramEnd"/>
      <w:r w:rsidRPr="003E7C59">
        <w:rPr>
          <w:rFonts w:ascii="Arial" w:hAnsi="Arial" w:cs="Arial"/>
          <w:color w:val="000000" w:themeColor="text1"/>
          <w:sz w:val="22"/>
          <w:szCs w:val="22"/>
        </w:rPr>
        <w:t xml:space="preserve"> was indicated as the number of backcrosses</w:t>
      </w:r>
      <w:r w:rsidRPr="003E7C59">
        <w:rPr>
          <w:rFonts w:ascii="Arial" w:hAnsi="Arial" w:cs="Arial"/>
          <w:i/>
          <w:iCs/>
          <w:color w:val="000000" w:themeColor="text1"/>
          <w:sz w:val="22"/>
          <w:szCs w:val="22"/>
        </w:rPr>
        <w:t>.</w:t>
      </w:r>
      <w:r w:rsidRPr="003E7C59">
        <w:rPr>
          <w:rFonts w:ascii="Arial" w:hAnsi="Arial" w:cs="Arial"/>
          <w:color w:val="000000" w:themeColor="text1"/>
          <w:sz w:val="22"/>
          <w:szCs w:val="22"/>
        </w:rPr>
        <w:t xml:space="preserve"> Data CIM scans were performed for single QTLs using the Haley-Knott regression (HK) and multiple imputation (imp) methods allowing for up to </w:t>
      </w:r>
      <w:proofErr w:type="gramStart"/>
      <w:r w:rsidRPr="003E7C59">
        <w:rPr>
          <w:rFonts w:ascii="Arial" w:hAnsi="Arial" w:cs="Arial"/>
          <w:color w:val="000000" w:themeColor="text1"/>
          <w:sz w:val="22"/>
          <w:szCs w:val="22"/>
        </w:rPr>
        <w:t>4</w:t>
      </w:r>
      <w:proofErr w:type="gramEnd"/>
      <w:r w:rsidRPr="003E7C59">
        <w:rPr>
          <w:rFonts w:ascii="Arial" w:hAnsi="Arial" w:cs="Arial"/>
          <w:color w:val="000000" w:themeColor="text1"/>
          <w:sz w:val="22"/>
          <w:szCs w:val="22"/>
        </w:rPr>
        <w:t xml:space="preserve"> covariate markers within a 10-marker window. The mapping of statistically sound QTLs was determined by the likelihood of odds (LOD) thresholds set by 1000 permutations (α = 0.05) (Churchill and Doerge, 1994). The percent of phenotypic variance explained by each QTL </w:t>
      </w:r>
      <w:proofErr w:type="gramStart"/>
      <w:r w:rsidRPr="003E7C59">
        <w:rPr>
          <w:rFonts w:ascii="Arial" w:hAnsi="Arial" w:cs="Arial"/>
          <w:color w:val="000000" w:themeColor="text1"/>
          <w:sz w:val="22"/>
          <w:szCs w:val="22"/>
        </w:rPr>
        <w:t>was estimated</w:t>
      </w:r>
      <w:proofErr w:type="gramEnd"/>
      <w:r w:rsidRPr="003E7C59">
        <w:rPr>
          <w:rFonts w:ascii="Arial" w:hAnsi="Arial" w:cs="Arial"/>
          <w:color w:val="000000" w:themeColor="text1"/>
          <w:sz w:val="22"/>
          <w:szCs w:val="22"/>
        </w:rPr>
        <w:t xml:space="preserve"> by using the coefficient of determination (R</w:t>
      </w:r>
      <w:r w:rsidRPr="003E7C59">
        <w:rPr>
          <w:rFonts w:ascii="Arial" w:hAnsi="Arial" w:cs="Arial"/>
          <w:color w:val="000000" w:themeColor="text1"/>
          <w:sz w:val="22"/>
          <w:szCs w:val="22"/>
          <w:vertAlign w:val="superscript"/>
        </w:rPr>
        <w:t>2</w:t>
      </w:r>
      <w:r w:rsidRPr="003E7C59">
        <w:rPr>
          <w:rFonts w:ascii="Arial" w:hAnsi="Arial" w:cs="Arial"/>
          <w:color w:val="000000" w:themeColor="text1"/>
          <w:sz w:val="22"/>
          <w:szCs w:val="22"/>
        </w:rPr>
        <w:t xml:space="preserve">) based on Haley-Knott regression (Haley and Knott, 1992). </w:t>
      </w:r>
    </w:p>
    <w:p w14:paraId="75048A85" w14:textId="77777777" w:rsidR="00EC16C3" w:rsidRPr="003E7C59" w:rsidRDefault="00EC16C3" w:rsidP="006622F2">
      <w:pPr>
        <w:spacing w:line="360" w:lineRule="auto"/>
        <w:ind w:firstLine="720"/>
        <w:rPr>
          <w:rFonts w:ascii="Arial" w:hAnsi="Arial" w:cs="Arial"/>
          <w:color w:val="000000" w:themeColor="text1"/>
          <w:sz w:val="22"/>
          <w:szCs w:val="22"/>
        </w:rPr>
      </w:pPr>
    </w:p>
    <w:p w14:paraId="469B04C6" w14:textId="14690A9A"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150" w:name="_Toc117166859"/>
      <w:bookmarkStart w:id="151" w:name="_Toc121821944"/>
      <w:r w:rsidRPr="003E7C59">
        <w:rPr>
          <w:rFonts w:ascii="Arial" w:hAnsi="Arial" w:cs="Arial"/>
          <w:color w:val="000000" w:themeColor="text1"/>
          <w:sz w:val="22"/>
          <w:szCs w:val="22"/>
        </w:rPr>
        <w:t>Results</w:t>
      </w:r>
      <w:bookmarkEnd w:id="150"/>
      <w:bookmarkEnd w:id="151"/>
    </w:p>
    <w:p w14:paraId="1CC86B5F"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p>
    <w:p w14:paraId="441307B5" w14:textId="1921300E"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152" w:name="_Toc117166860"/>
      <w:bookmarkStart w:id="153" w:name="_Toc121821945"/>
      <w:r w:rsidRPr="003E7C59">
        <w:rPr>
          <w:rStyle w:val="SubtleEmphasis"/>
          <w:rFonts w:ascii="Arial" w:hAnsi="Arial" w:cs="Arial"/>
          <w:i/>
          <w:iCs/>
          <w:color w:val="000000" w:themeColor="text1"/>
          <w:sz w:val="22"/>
          <w:szCs w:val="22"/>
        </w:rPr>
        <w:t xml:space="preserve">Inheritance of </w:t>
      </w:r>
      <w:r w:rsidR="00E36DB1" w:rsidRPr="003E7C59">
        <w:rPr>
          <w:rStyle w:val="SubtleEmphasis"/>
          <w:rFonts w:ascii="Arial" w:hAnsi="Arial" w:cs="Arial"/>
          <w:i/>
          <w:iCs/>
          <w:color w:val="000000" w:themeColor="text1"/>
          <w:sz w:val="22"/>
          <w:szCs w:val="22"/>
        </w:rPr>
        <w:t>PM</w:t>
      </w:r>
      <w:r w:rsidRPr="003E7C59">
        <w:rPr>
          <w:rStyle w:val="SubtleEmphasis"/>
          <w:rFonts w:ascii="Arial" w:hAnsi="Arial" w:cs="Arial"/>
          <w:i/>
          <w:iCs/>
          <w:color w:val="000000" w:themeColor="text1"/>
          <w:sz w:val="22"/>
          <w:szCs w:val="22"/>
        </w:rPr>
        <w:t xml:space="preserve"> Resistance</w:t>
      </w:r>
      <w:bookmarkEnd w:id="152"/>
      <w:bookmarkEnd w:id="153"/>
    </w:p>
    <w:p w14:paraId="291B742F" w14:textId="77777777" w:rsidR="00B51BF9" w:rsidRPr="003E7C59" w:rsidRDefault="00B51BF9" w:rsidP="006622F2">
      <w:pPr>
        <w:rPr>
          <w:rFonts w:ascii="Arial" w:hAnsi="Arial" w:cs="Arial"/>
          <w:color w:val="000000" w:themeColor="text1"/>
          <w:sz w:val="22"/>
          <w:szCs w:val="22"/>
        </w:rPr>
      </w:pPr>
    </w:p>
    <w:p w14:paraId="6B0415A0" w14:textId="77777777" w:rsidR="00253D14" w:rsidRDefault="00A22023"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Starting </w:t>
      </w:r>
      <w:r w:rsidR="009071C8" w:rsidRPr="003E7C59">
        <w:rPr>
          <w:rFonts w:ascii="Arial" w:hAnsi="Arial" w:cs="Arial"/>
          <w:color w:val="000000" w:themeColor="text1"/>
          <w:sz w:val="22"/>
          <w:szCs w:val="22"/>
        </w:rPr>
        <w:t>in</w:t>
      </w:r>
      <w:r w:rsidRPr="003E7C59">
        <w:rPr>
          <w:rFonts w:ascii="Arial" w:hAnsi="Arial" w:cs="Arial"/>
          <w:color w:val="000000" w:themeColor="text1"/>
          <w:sz w:val="22"/>
          <w:szCs w:val="22"/>
        </w:rPr>
        <w:t xml:space="preserve"> 2017, d</w:t>
      </w:r>
      <w:r w:rsidR="00B51BF9" w:rsidRPr="003E7C59">
        <w:rPr>
          <w:rFonts w:ascii="Arial" w:hAnsi="Arial" w:cs="Arial"/>
          <w:color w:val="000000" w:themeColor="text1"/>
          <w:sz w:val="22"/>
          <w:szCs w:val="22"/>
        </w:rPr>
        <w:t xml:space="preserve">isease scores were visually collected when </w:t>
      </w:r>
      <w:r w:rsidR="00D57124" w:rsidRPr="003E7C59">
        <w:rPr>
          <w:rFonts w:ascii="Arial" w:hAnsi="Arial" w:cs="Arial"/>
          <w:color w:val="000000" w:themeColor="text1"/>
          <w:sz w:val="22"/>
          <w:szCs w:val="22"/>
        </w:rPr>
        <w:t xml:space="preserve">PM </w:t>
      </w:r>
      <w:r w:rsidR="00B51BF9" w:rsidRPr="003E7C59">
        <w:rPr>
          <w:rFonts w:ascii="Arial" w:hAnsi="Arial" w:cs="Arial"/>
          <w:color w:val="000000" w:themeColor="text1"/>
          <w:sz w:val="22"/>
          <w:szCs w:val="22"/>
        </w:rPr>
        <w:t xml:space="preserve">symptom manifestation was at its peak over </w:t>
      </w:r>
      <w:r w:rsidR="00B04DD5" w:rsidRPr="003E7C59">
        <w:rPr>
          <w:rFonts w:ascii="Arial" w:hAnsi="Arial" w:cs="Arial"/>
          <w:color w:val="000000" w:themeColor="text1"/>
          <w:sz w:val="22"/>
          <w:szCs w:val="22"/>
        </w:rPr>
        <w:t xml:space="preserve">six </w:t>
      </w:r>
      <w:r w:rsidR="006112FD" w:rsidRPr="003E7C59">
        <w:rPr>
          <w:rFonts w:ascii="Arial" w:hAnsi="Arial" w:cs="Arial"/>
          <w:color w:val="000000" w:themeColor="text1"/>
          <w:sz w:val="22"/>
          <w:szCs w:val="22"/>
        </w:rPr>
        <w:t>years.</w:t>
      </w:r>
      <w:r w:rsidR="00B51BF9" w:rsidRPr="003E7C59">
        <w:rPr>
          <w:rFonts w:ascii="Arial" w:hAnsi="Arial" w:cs="Arial"/>
          <w:color w:val="000000" w:themeColor="text1"/>
          <w:sz w:val="22"/>
          <w:szCs w:val="22"/>
        </w:rPr>
        <w:t xml:space="preserve"> Infections levels were lower in 2017, 2020, and 2022 compared to 2018, 2019</w:t>
      </w:r>
      <w:r w:rsidR="009071C8" w:rsidRPr="003E7C59">
        <w:rPr>
          <w:rFonts w:ascii="Arial" w:hAnsi="Arial" w:cs="Arial"/>
          <w:color w:val="000000" w:themeColor="text1"/>
          <w:sz w:val="22"/>
          <w:szCs w:val="22"/>
        </w:rPr>
        <w:t>,</w:t>
      </w:r>
      <w:r w:rsidR="00B51BF9" w:rsidRPr="003E7C59">
        <w:rPr>
          <w:rFonts w:ascii="Arial" w:hAnsi="Arial" w:cs="Arial"/>
          <w:color w:val="000000" w:themeColor="text1"/>
          <w:sz w:val="22"/>
          <w:szCs w:val="22"/>
        </w:rPr>
        <w:t xml:space="preserve"> </w:t>
      </w:r>
      <w:r w:rsidR="009071C8" w:rsidRPr="003E7C59">
        <w:rPr>
          <w:rFonts w:ascii="Arial" w:hAnsi="Arial" w:cs="Arial"/>
          <w:color w:val="000000" w:themeColor="text1"/>
          <w:sz w:val="22"/>
          <w:szCs w:val="22"/>
        </w:rPr>
        <w:t>and</w:t>
      </w:r>
      <w:r w:rsidR="00B51BF9" w:rsidRPr="003E7C59">
        <w:rPr>
          <w:rFonts w:ascii="Arial" w:hAnsi="Arial" w:cs="Arial"/>
          <w:color w:val="000000" w:themeColor="text1"/>
          <w:sz w:val="22"/>
          <w:szCs w:val="22"/>
        </w:rPr>
        <w:t xml:space="preserve"> 202</w:t>
      </w:r>
      <w:r w:rsidR="006F586B" w:rsidRPr="003E7C59">
        <w:rPr>
          <w:rFonts w:ascii="Arial" w:hAnsi="Arial" w:cs="Arial"/>
          <w:color w:val="000000" w:themeColor="text1"/>
          <w:sz w:val="22"/>
          <w:szCs w:val="22"/>
        </w:rPr>
        <w:t>1</w:t>
      </w:r>
      <w:r w:rsidR="00B51BF9" w:rsidRPr="003E7C59">
        <w:rPr>
          <w:rFonts w:ascii="Arial" w:hAnsi="Arial" w:cs="Arial"/>
          <w:color w:val="000000" w:themeColor="text1"/>
          <w:sz w:val="22"/>
          <w:szCs w:val="22"/>
        </w:rPr>
        <w:t xml:space="preserve"> (Figure 2.2. A-F). In 2017 only 19 trees exhibited moderate PM symptoms (2), and 121 trees did not show any symptoms (0), whereas, in 2018, </w:t>
      </w:r>
    </w:p>
    <w:p w14:paraId="1D450937" w14:textId="6EAFD826" w:rsidR="00B51BF9" w:rsidRPr="003E7C59" w:rsidRDefault="00B51BF9" w:rsidP="006622F2">
      <w:pPr>
        <w:spacing w:line="360" w:lineRule="auto"/>
        <w:rPr>
          <w:rFonts w:ascii="Arial" w:hAnsi="Arial" w:cs="Arial"/>
          <w:color w:val="000000" w:themeColor="text1"/>
          <w:sz w:val="22"/>
          <w:szCs w:val="22"/>
        </w:rPr>
      </w:pPr>
      <w:proofErr w:type="gramStart"/>
      <w:r w:rsidRPr="003E7C59">
        <w:rPr>
          <w:rFonts w:ascii="Arial" w:hAnsi="Arial" w:cs="Arial"/>
          <w:color w:val="000000" w:themeColor="text1"/>
          <w:sz w:val="22"/>
          <w:szCs w:val="22"/>
        </w:rPr>
        <w:lastRenderedPageBreak/>
        <w:t>only</w:t>
      </w:r>
      <w:proofErr w:type="gramEnd"/>
      <w:r w:rsidRPr="003E7C59">
        <w:rPr>
          <w:rFonts w:ascii="Arial" w:hAnsi="Arial" w:cs="Arial"/>
          <w:color w:val="000000" w:themeColor="text1"/>
          <w:sz w:val="22"/>
          <w:szCs w:val="22"/>
        </w:rPr>
        <w:t xml:space="preserve"> two progenies were scored with the highest disease incidence (3). Infection severity was highest in 2021, with only 22 PM-free genotypes (0) (Fig. 1), compared to 2020, with 130 PM-free trees. In 2022, we experienced significant tree loss (&gt;10), despite lower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disease incidence. </w:t>
      </w:r>
    </w:p>
    <w:p w14:paraId="7C7F4A29" w14:textId="77777777" w:rsidR="00B51BF9" w:rsidRPr="003E7C59" w:rsidRDefault="00B51BF9" w:rsidP="006622F2">
      <w:pPr>
        <w:spacing w:line="360" w:lineRule="auto"/>
        <w:rPr>
          <w:rFonts w:ascii="Arial" w:hAnsi="Arial" w:cs="Arial"/>
          <w:color w:val="000000" w:themeColor="text1"/>
          <w:sz w:val="22"/>
          <w:szCs w:val="22"/>
        </w:rPr>
      </w:pPr>
    </w:p>
    <w:p w14:paraId="31BC8328" w14:textId="14293C8E"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Dogwood </w:t>
      </w:r>
      <w:r w:rsidR="00D57124"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w:t>
      </w:r>
      <w:proofErr w:type="gramStart"/>
      <w:r w:rsidR="00A22023" w:rsidRPr="003E7C59">
        <w:rPr>
          <w:rFonts w:ascii="Arial" w:hAnsi="Arial" w:cs="Arial"/>
          <w:color w:val="000000" w:themeColor="text1"/>
          <w:sz w:val="22"/>
          <w:szCs w:val="22"/>
        </w:rPr>
        <w:t>resistance</w:t>
      </w:r>
      <w:proofErr w:type="gramEnd"/>
      <w:r w:rsidR="00A22023"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was reported to be inherited quantitatively and controlled by loci with additive gene effects (Parikh et al., 2016a; b). However, segregation for PM resistance in the pseudo-F2 population originating from reciprocal crosses between breeding lines 96-6 and 96-7 fit the two-gene model in </w:t>
      </w:r>
      <w:r w:rsidR="009850E4" w:rsidRPr="003E7C59">
        <w:rPr>
          <w:rFonts w:ascii="Arial" w:hAnsi="Arial" w:cs="Arial"/>
          <w:color w:val="000000" w:themeColor="text1"/>
          <w:sz w:val="22"/>
          <w:szCs w:val="22"/>
        </w:rPr>
        <w:t>five</w:t>
      </w:r>
      <w:r w:rsidRPr="003E7C59">
        <w:rPr>
          <w:rFonts w:ascii="Arial" w:hAnsi="Arial" w:cs="Arial"/>
          <w:color w:val="000000" w:themeColor="text1"/>
          <w:sz w:val="22"/>
          <w:szCs w:val="22"/>
        </w:rPr>
        <w:t xml:space="preserve"> of six PM disease-scoring events (2017-2022). The segregation data fit a ratio of 15 resistant (R):</w:t>
      </w:r>
      <w:proofErr w:type="gramStart"/>
      <w:r w:rsidRPr="003E7C59">
        <w:rPr>
          <w:rFonts w:ascii="Arial" w:hAnsi="Arial" w:cs="Arial"/>
          <w:color w:val="000000" w:themeColor="text1"/>
          <w:sz w:val="22"/>
          <w:szCs w:val="22"/>
        </w:rPr>
        <w:t>1</w:t>
      </w:r>
      <w:proofErr w:type="gramEnd"/>
      <w:r w:rsidRPr="003E7C59">
        <w:rPr>
          <w:rFonts w:ascii="Arial" w:hAnsi="Arial" w:cs="Arial"/>
          <w:color w:val="000000" w:themeColor="text1"/>
          <w:sz w:val="22"/>
          <w:szCs w:val="22"/>
        </w:rPr>
        <w:t xml:space="preserve"> susceptible (S), indicating that duplicate gene action, a form of dominant epistasis, </w:t>
      </w:r>
      <w:r w:rsidR="004B0CBC" w:rsidRPr="003E7C59">
        <w:rPr>
          <w:rFonts w:ascii="Arial" w:hAnsi="Arial" w:cs="Arial"/>
          <w:color w:val="000000" w:themeColor="text1"/>
          <w:sz w:val="22"/>
          <w:szCs w:val="22"/>
        </w:rPr>
        <w:t xml:space="preserve">most likely </w:t>
      </w:r>
      <w:r w:rsidRPr="003E7C59">
        <w:rPr>
          <w:rFonts w:ascii="Arial" w:hAnsi="Arial" w:cs="Arial"/>
          <w:color w:val="000000" w:themeColor="text1"/>
          <w:sz w:val="22"/>
          <w:szCs w:val="22"/>
        </w:rPr>
        <w:t>controls resistance to PM. However, data from 202</w:t>
      </w:r>
      <w:r w:rsidR="006672F9" w:rsidRPr="003E7C59">
        <w:rPr>
          <w:rFonts w:ascii="Arial" w:hAnsi="Arial" w:cs="Arial"/>
          <w:color w:val="000000" w:themeColor="text1"/>
          <w:sz w:val="22"/>
          <w:szCs w:val="22"/>
        </w:rPr>
        <w:t>1</w:t>
      </w:r>
      <w:r w:rsidRPr="003E7C59">
        <w:rPr>
          <w:rFonts w:ascii="Arial" w:hAnsi="Arial" w:cs="Arial"/>
          <w:color w:val="000000" w:themeColor="text1"/>
          <w:sz w:val="22"/>
          <w:szCs w:val="22"/>
        </w:rPr>
        <w:t xml:space="preserve"> did not provide conclusive evidence for duplicate gene action P &gt; 0.05.</w:t>
      </w:r>
      <w:r w:rsidR="00A10DE1" w:rsidRPr="003E7C59">
        <w:rPr>
          <w:rFonts w:ascii="Arial" w:hAnsi="Arial" w:cs="Arial"/>
          <w:color w:val="000000" w:themeColor="text1"/>
          <w:sz w:val="22"/>
          <w:szCs w:val="22"/>
        </w:rPr>
        <w:t xml:space="preserve"> Duplicate gene action</w:t>
      </w:r>
      <w:r w:rsidR="0055536D" w:rsidRPr="003E7C59">
        <w:rPr>
          <w:rFonts w:ascii="Arial" w:hAnsi="Arial" w:cs="Arial"/>
          <w:color w:val="000000" w:themeColor="text1"/>
          <w:sz w:val="22"/>
          <w:szCs w:val="22"/>
        </w:rPr>
        <w:t xml:space="preserve"> occurs when the dominant allele at either of two loci can mask the expression of recessive alleles at the two loci. Segregation</w:t>
      </w:r>
      <w:r w:rsidRPr="003E7C59">
        <w:rPr>
          <w:rFonts w:ascii="Arial" w:hAnsi="Arial" w:cs="Arial"/>
          <w:color w:val="000000" w:themeColor="text1"/>
          <w:sz w:val="22"/>
          <w:szCs w:val="22"/>
        </w:rPr>
        <w:t xml:space="preserve"> data and proposed gene action </w:t>
      </w:r>
      <w:proofErr w:type="gramStart"/>
      <w:r w:rsidRPr="003E7C59">
        <w:rPr>
          <w:rFonts w:ascii="Arial" w:hAnsi="Arial" w:cs="Arial"/>
          <w:color w:val="000000" w:themeColor="text1"/>
          <w:sz w:val="22"/>
          <w:szCs w:val="22"/>
        </w:rPr>
        <w:t>are summarized</w:t>
      </w:r>
      <w:proofErr w:type="gramEnd"/>
      <w:r w:rsidRPr="003E7C59">
        <w:rPr>
          <w:rFonts w:ascii="Arial" w:hAnsi="Arial" w:cs="Arial"/>
          <w:color w:val="000000" w:themeColor="text1"/>
          <w:sz w:val="22"/>
          <w:szCs w:val="22"/>
        </w:rPr>
        <w:t xml:space="preserve"> in Table 2.1.</w:t>
      </w:r>
    </w:p>
    <w:p w14:paraId="3D23C2CF" w14:textId="77777777" w:rsidR="005C666F" w:rsidRPr="003E7C59" w:rsidRDefault="005C666F" w:rsidP="006622F2">
      <w:pPr>
        <w:spacing w:line="360" w:lineRule="auto"/>
        <w:ind w:firstLine="720"/>
        <w:rPr>
          <w:rStyle w:val="SubtleEmphasis"/>
          <w:rFonts w:ascii="Arial" w:hAnsi="Arial" w:cs="Arial"/>
          <w:i w:val="0"/>
          <w:iCs w:val="0"/>
          <w:color w:val="000000" w:themeColor="text1"/>
          <w:sz w:val="22"/>
          <w:szCs w:val="22"/>
        </w:rPr>
      </w:pPr>
    </w:p>
    <w:p w14:paraId="280057EB" w14:textId="77777777"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154" w:name="_Toc117166861"/>
      <w:bookmarkStart w:id="155" w:name="_Toc121821946"/>
      <w:r w:rsidRPr="003E7C59">
        <w:rPr>
          <w:rStyle w:val="SubtleEmphasis"/>
          <w:rFonts w:ascii="Arial" w:hAnsi="Arial" w:cs="Arial"/>
          <w:i/>
          <w:iCs/>
          <w:color w:val="000000" w:themeColor="text1"/>
          <w:sz w:val="22"/>
          <w:szCs w:val="22"/>
        </w:rPr>
        <w:t>QTL mapping</w:t>
      </w:r>
      <w:bookmarkEnd w:id="154"/>
      <w:bookmarkEnd w:id="155"/>
    </w:p>
    <w:p w14:paraId="3039A9AA" w14:textId="77777777" w:rsidR="00B51BF9" w:rsidRPr="003E7C59" w:rsidRDefault="00B51BF9" w:rsidP="006622F2">
      <w:pPr>
        <w:rPr>
          <w:rFonts w:ascii="Arial" w:hAnsi="Arial" w:cs="Arial"/>
          <w:color w:val="000000" w:themeColor="text1"/>
          <w:sz w:val="22"/>
          <w:szCs w:val="22"/>
        </w:rPr>
      </w:pPr>
    </w:p>
    <w:p w14:paraId="2F2EA9B0" w14:textId="1FB91288" w:rsidR="00B51BF9" w:rsidRPr="003E7C59" w:rsidRDefault="00B51BF9" w:rsidP="006622F2">
      <w:pPr>
        <w:spacing w:line="360" w:lineRule="auto"/>
        <w:ind w:firstLine="720"/>
        <w:rPr>
          <w:rStyle w:val="SubtleEmphasis"/>
          <w:rFonts w:ascii="Arial" w:hAnsi="Arial" w:cs="Arial"/>
          <w:i w:val="0"/>
          <w:iCs w:val="0"/>
          <w:color w:val="000000" w:themeColor="text1"/>
          <w:sz w:val="22"/>
          <w:szCs w:val="22"/>
        </w:rPr>
      </w:pPr>
      <w:r w:rsidRPr="003E7C59">
        <w:rPr>
          <w:rStyle w:val="SubtleEmphasis"/>
          <w:rFonts w:ascii="Arial" w:hAnsi="Arial" w:cs="Arial"/>
          <w:i w:val="0"/>
          <w:iCs w:val="0"/>
          <w:color w:val="000000" w:themeColor="text1"/>
          <w:sz w:val="22"/>
          <w:szCs w:val="22"/>
        </w:rPr>
        <w:t xml:space="preserve">Among 11 LG present in </w:t>
      </w:r>
      <w:r w:rsidRPr="003E7C59">
        <w:rPr>
          <w:rStyle w:val="SubtleEmphasis"/>
          <w:rFonts w:ascii="Arial" w:hAnsi="Arial" w:cs="Arial"/>
          <w:color w:val="000000" w:themeColor="text1"/>
          <w:sz w:val="22"/>
          <w:szCs w:val="22"/>
        </w:rPr>
        <w:t>C</w:t>
      </w:r>
      <w:r w:rsidRPr="003E7C59">
        <w:rPr>
          <w:rStyle w:val="SubtleEmphasis"/>
          <w:rFonts w:ascii="Arial" w:hAnsi="Arial" w:cs="Arial"/>
          <w:i w:val="0"/>
          <w:iCs w:val="0"/>
          <w:color w:val="000000" w:themeColor="text1"/>
          <w:sz w:val="22"/>
          <w:szCs w:val="22"/>
        </w:rPr>
        <w:t xml:space="preserve">. </w:t>
      </w:r>
      <w:r w:rsidRPr="003E7C59">
        <w:rPr>
          <w:rStyle w:val="SubtleEmphasis"/>
          <w:rFonts w:ascii="Arial" w:hAnsi="Arial" w:cs="Arial"/>
          <w:color w:val="000000" w:themeColor="text1"/>
          <w:sz w:val="22"/>
          <w:szCs w:val="22"/>
        </w:rPr>
        <w:t>florida</w:t>
      </w:r>
      <w:r w:rsidRPr="003E7C59">
        <w:rPr>
          <w:rStyle w:val="SubtleEmphasis"/>
          <w:rFonts w:ascii="Arial" w:hAnsi="Arial" w:cs="Arial"/>
          <w:i w:val="0"/>
          <w:iCs w:val="0"/>
          <w:color w:val="000000" w:themeColor="text1"/>
          <w:sz w:val="22"/>
          <w:szCs w:val="22"/>
        </w:rPr>
        <w:t xml:space="preserve"> genome (Wang et al., 2009; Pfarr et al., 2022) QTL with the largest effect was detected in LG 8 and 9 in two consecutive years, 2017 and 2018, respectively (Table 3.2). In 2017, QTL analysis showed one significant QTL on LG 8 associated with marker CF696C (further designated as QTLPM-7) (Figure 3.3. A), whereas the LOD threshold was 3.6, and explained 19% of phenotypic variation. The additive effect of QTLPM-7 was -61.2. Furthermore, QTL analysis of 2018 phenotypic data returned significant QTL on LG 9, with LOD score of 4.3 and 25 % of phenotypic variation explained (Figure 3.3. B). Marker CF290C corresponding to QTL on LG 9, was designated as QTLPM-8 and had an additive effect of -1.04. LOD thresholds above 3.0 </w:t>
      </w:r>
      <w:proofErr w:type="gramStart"/>
      <w:r w:rsidRPr="003E7C59">
        <w:rPr>
          <w:rStyle w:val="SubtleEmphasis"/>
          <w:rFonts w:ascii="Arial" w:hAnsi="Arial" w:cs="Arial"/>
          <w:i w:val="0"/>
          <w:iCs w:val="0"/>
          <w:color w:val="000000" w:themeColor="text1"/>
          <w:sz w:val="22"/>
          <w:szCs w:val="22"/>
        </w:rPr>
        <w:t>were not detected</w:t>
      </w:r>
      <w:proofErr w:type="gramEnd"/>
      <w:r w:rsidRPr="003E7C59">
        <w:rPr>
          <w:rStyle w:val="SubtleEmphasis"/>
          <w:rFonts w:ascii="Arial" w:hAnsi="Arial" w:cs="Arial"/>
          <w:i w:val="0"/>
          <w:iCs w:val="0"/>
          <w:color w:val="000000" w:themeColor="text1"/>
          <w:sz w:val="22"/>
          <w:szCs w:val="22"/>
        </w:rPr>
        <w:t xml:space="preserve"> in 2019, 2020, 2021, and 2022.</w:t>
      </w:r>
    </w:p>
    <w:p w14:paraId="1A08AB53" w14:textId="77777777" w:rsidR="00EC16C3" w:rsidRPr="003E7C59" w:rsidRDefault="00EC16C3" w:rsidP="006622F2">
      <w:pPr>
        <w:spacing w:line="360" w:lineRule="auto"/>
        <w:ind w:firstLine="720"/>
        <w:rPr>
          <w:rFonts w:ascii="Arial" w:hAnsi="Arial" w:cs="Arial"/>
          <w:i/>
          <w:iCs/>
          <w:color w:val="000000" w:themeColor="text1"/>
          <w:sz w:val="22"/>
          <w:szCs w:val="22"/>
        </w:rPr>
      </w:pPr>
    </w:p>
    <w:p w14:paraId="1A2CD02C" w14:textId="77777777" w:rsidR="00EC16C3"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156" w:name="_Toc117166862"/>
      <w:bookmarkStart w:id="157" w:name="_Toc121821947"/>
      <w:r w:rsidRPr="003E7C59">
        <w:rPr>
          <w:rFonts w:ascii="Arial" w:hAnsi="Arial" w:cs="Arial"/>
          <w:color w:val="000000" w:themeColor="text1"/>
          <w:sz w:val="22"/>
          <w:szCs w:val="22"/>
        </w:rPr>
        <w:t>Discussion</w:t>
      </w:r>
      <w:bookmarkEnd w:id="156"/>
      <w:bookmarkEnd w:id="157"/>
    </w:p>
    <w:p w14:paraId="2C3090FE" w14:textId="59A1404E"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r w:rsidRPr="003E7C59">
        <w:rPr>
          <w:rFonts w:ascii="Arial" w:hAnsi="Arial" w:cs="Arial"/>
          <w:color w:val="000000" w:themeColor="text1"/>
          <w:sz w:val="22"/>
          <w:szCs w:val="22"/>
        </w:rPr>
        <w:t xml:space="preserve"> </w:t>
      </w:r>
    </w:p>
    <w:p w14:paraId="5E3721C2" w14:textId="46A89C86"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Powdery mildew, a paradigm for obligate biotrophic parasites, represents a constant and ubiquitous threat for many monocotyledonous and dicotyledonous plants, including cereals and grapevine vegetables, and ornamental plants (Agrios, 2005; Glawe, 2008). In temperate climates, PM outbreaks of ornamental plants such as sweet cherry (</w:t>
      </w:r>
      <w:r w:rsidRPr="003E7C59">
        <w:rPr>
          <w:rFonts w:ascii="Arial" w:hAnsi="Arial" w:cs="Arial"/>
          <w:i/>
          <w:iCs/>
          <w:color w:val="000000" w:themeColor="text1"/>
          <w:sz w:val="22"/>
          <w:szCs w:val="22"/>
        </w:rPr>
        <w:t>Prunus avium</w:t>
      </w:r>
      <w:r w:rsidR="00D57124" w:rsidRPr="003E7C59">
        <w:rPr>
          <w:rFonts w:ascii="Arial" w:hAnsi="Arial" w:cs="Arial"/>
          <w:i/>
          <w:iCs/>
          <w:color w:val="000000" w:themeColor="text1"/>
          <w:sz w:val="22"/>
          <w:szCs w:val="22"/>
        </w:rPr>
        <w:t xml:space="preserve"> </w:t>
      </w:r>
      <w:r w:rsidR="00D57124" w:rsidRPr="003E7C59">
        <w:rPr>
          <w:rFonts w:ascii="Arial" w:hAnsi="Arial" w:cs="Arial"/>
          <w:color w:val="000000" w:themeColor="text1"/>
          <w:sz w:val="22"/>
          <w:szCs w:val="22"/>
        </w:rPr>
        <w:t>L.</w:t>
      </w:r>
      <w:r w:rsidRPr="003E7C59">
        <w:rPr>
          <w:rFonts w:ascii="Arial" w:hAnsi="Arial" w:cs="Arial"/>
          <w:color w:val="000000" w:themeColor="text1"/>
          <w:sz w:val="22"/>
          <w:szCs w:val="22"/>
        </w:rPr>
        <w:t>) (Olmstead et al., 2001), gerbera daisy (</w:t>
      </w:r>
      <w:r w:rsidRPr="003E7C59">
        <w:rPr>
          <w:rFonts w:ascii="Arial" w:hAnsi="Arial" w:cs="Arial"/>
          <w:i/>
          <w:iCs/>
          <w:color w:val="000000" w:themeColor="text1"/>
          <w:sz w:val="22"/>
          <w:szCs w:val="22"/>
        </w:rPr>
        <w:t>Gerbera hybrida</w:t>
      </w:r>
      <w:r w:rsidR="002A06AF" w:rsidRPr="003E7C59">
        <w:rPr>
          <w:rFonts w:ascii="Arial" w:hAnsi="Arial" w:cs="Arial"/>
          <w:color w:val="000000" w:themeColor="text1"/>
          <w:sz w:val="22"/>
          <w:szCs w:val="22"/>
        </w:rPr>
        <w:t xml:space="preserve"> L.</w:t>
      </w:r>
      <w:r w:rsidRPr="003E7C59">
        <w:rPr>
          <w:rFonts w:ascii="Arial" w:hAnsi="Arial" w:cs="Arial"/>
          <w:color w:val="000000" w:themeColor="text1"/>
          <w:sz w:val="22"/>
          <w:szCs w:val="22"/>
        </w:rPr>
        <w:t>) (Kloos et al., 2005), rose (</w:t>
      </w:r>
      <w:r w:rsidRPr="003E7C59">
        <w:rPr>
          <w:rFonts w:ascii="Arial" w:hAnsi="Arial" w:cs="Arial"/>
          <w:i/>
          <w:iCs/>
          <w:color w:val="000000" w:themeColor="text1"/>
          <w:sz w:val="22"/>
          <w:szCs w:val="22"/>
        </w:rPr>
        <w:t>Rosa hybrida</w:t>
      </w:r>
      <w:r w:rsidR="002A06AF" w:rsidRPr="003E7C59">
        <w:rPr>
          <w:rFonts w:ascii="Arial" w:hAnsi="Arial" w:cs="Arial"/>
          <w:i/>
          <w:iCs/>
          <w:color w:val="000000" w:themeColor="text1"/>
          <w:sz w:val="22"/>
          <w:szCs w:val="22"/>
        </w:rPr>
        <w:t xml:space="preserve"> </w:t>
      </w:r>
      <w:r w:rsidR="002A06AF" w:rsidRPr="003E7C59">
        <w:rPr>
          <w:rFonts w:ascii="Arial" w:hAnsi="Arial" w:cs="Arial"/>
          <w:color w:val="000000" w:themeColor="text1"/>
          <w:sz w:val="22"/>
          <w:szCs w:val="22"/>
        </w:rPr>
        <w:t>L.</w:t>
      </w:r>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lastRenderedPageBreak/>
        <w:t>(Linde et al., 2006), petunia (</w:t>
      </w:r>
      <w:r w:rsidRPr="003E7C59">
        <w:rPr>
          <w:rFonts w:ascii="Arial" w:hAnsi="Arial" w:cs="Arial"/>
          <w:i/>
          <w:iCs/>
          <w:color w:val="000000" w:themeColor="text1"/>
          <w:sz w:val="22"/>
          <w:szCs w:val="22"/>
        </w:rPr>
        <w:t>Petunia hybrida</w:t>
      </w:r>
      <w:r w:rsidR="002A06AF" w:rsidRPr="003E7C59">
        <w:rPr>
          <w:rFonts w:ascii="Arial" w:hAnsi="Arial" w:cs="Arial"/>
          <w:i/>
          <w:iCs/>
          <w:color w:val="000000" w:themeColor="text1"/>
          <w:sz w:val="22"/>
          <w:szCs w:val="22"/>
        </w:rPr>
        <w:t xml:space="preserve"> </w:t>
      </w:r>
      <w:r w:rsidR="002A06AF" w:rsidRPr="003E7C59">
        <w:rPr>
          <w:rFonts w:ascii="Arial" w:hAnsi="Arial" w:cs="Arial"/>
          <w:color w:val="000000" w:themeColor="text1"/>
          <w:sz w:val="22"/>
          <w:szCs w:val="22"/>
          <w:shd w:val="clear" w:color="auto" w:fill="F8F9FA"/>
        </w:rPr>
        <w:t>D. Don ex W. H. Baxte</w:t>
      </w:r>
      <w:r w:rsidR="00221C89" w:rsidRPr="003E7C59">
        <w:rPr>
          <w:rFonts w:ascii="Arial" w:hAnsi="Arial" w:cs="Arial"/>
          <w:color w:val="000000" w:themeColor="text1"/>
          <w:sz w:val="22"/>
          <w:szCs w:val="22"/>
          <w:shd w:val="clear" w:color="auto" w:fill="F8F9FA"/>
        </w:rPr>
        <w:t>r</w:t>
      </w:r>
      <w:r w:rsidRPr="003E7C59">
        <w:rPr>
          <w:rFonts w:ascii="Arial" w:hAnsi="Arial" w:cs="Arial"/>
          <w:color w:val="000000" w:themeColor="text1"/>
          <w:sz w:val="22"/>
          <w:szCs w:val="22"/>
        </w:rPr>
        <w:t>) (Kiss et al., 2008), and flowering dogwood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(Li et al., 2009) result in severe economic losses. The simultaneous spread of dogwood PM in a forest, landscape, and nursery planting statewide in Alabama and Tennessee left many nursery fields abandoned, whereas a lack of formal management strategies resulted in the loss of tens of millions of dollars of dogwood (Hagan and Mullen, 1999; Li et al., 2009). Subsequently, </w:t>
      </w:r>
      <w:r w:rsidRPr="003E7C59">
        <w:rPr>
          <w:rFonts w:ascii="Arial" w:hAnsi="Arial" w:cs="Arial"/>
          <w:i/>
          <w:iCs/>
          <w:color w:val="000000" w:themeColor="text1"/>
          <w:sz w:val="22"/>
          <w:szCs w:val="22"/>
        </w:rPr>
        <w:t>E</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pulchra </w:t>
      </w:r>
      <w:r w:rsidRPr="003E7C59">
        <w:rPr>
          <w:rFonts w:ascii="Arial" w:hAnsi="Arial" w:cs="Arial"/>
          <w:color w:val="000000" w:themeColor="text1"/>
          <w:sz w:val="22"/>
          <w:szCs w:val="22"/>
        </w:rPr>
        <w:t xml:space="preserve">emerged as a nationwide disease of flowering dogwood (Daughtrey and Hagan, 2001), and studies conducted by Wyman et al. (2019) showed that dogwood PM was an exotic pathogen recently introduced to North America. </w:t>
      </w:r>
    </w:p>
    <w:p w14:paraId="0417063E" w14:textId="77777777" w:rsidR="00B51BF9" w:rsidRPr="003E7C59" w:rsidRDefault="00B51BF9" w:rsidP="006622F2">
      <w:pPr>
        <w:spacing w:line="360" w:lineRule="auto"/>
        <w:ind w:firstLine="720"/>
        <w:rPr>
          <w:rFonts w:ascii="Arial" w:hAnsi="Arial" w:cs="Arial"/>
          <w:color w:val="000000" w:themeColor="text1"/>
          <w:sz w:val="22"/>
          <w:szCs w:val="22"/>
        </w:rPr>
      </w:pPr>
    </w:p>
    <w:p w14:paraId="0257282F" w14:textId="10E1A906"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The most economically important traits, such as resistance to PM, for which continuous phenotypic variation in natural populations </w:t>
      </w:r>
      <w:proofErr w:type="gramStart"/>
      <w:r w:rsidRPr="003E7C59">
        <w:rPr>
          <w:rFonts w:ascii="Arial" w:hAnsi="Arial" w:cs="Arial"/>
          <w:color w:val="000000" w:themeColor="text1"/>
          <w:sz w:val="22"/>
          <w:szCs w:val="22"/>
        </w:rPr>
        <w:t>is observed</w:t>
      </w:r>
      <w:proofErr w:type="gramEnd"/>
      <w:r w:rsidRPr="003E7C59">
        <w:rPr>
          <w:rFonts w:ascii="Arial" w:hAnsi="Arial" w:cs="Arial"/>
          <w:color w:val="000000" w:themeColor="text1"/>
          <w:sz w:val="22"/>
          <w:szCs w:val="22"/>
        </w:rPr>
        <w:t xml:space="preserve">, are quantitatively inherited. </w:t>
      </w:r>
      <w:proofErr w:type="gramStart"/>
      <w:r w:rsidRPr="003E7C59">
        <w:rPr>
          <w:rFonts w:ascii="Arial" w:hAnsi="Arial" w:cs="Arial"/>
          <w:color w:val="000000" w:themeColor="text1"/>
          <w:sz w:val="22"/>
          <w:szCs w:val="22"/>
        </w:rPr>
        <w:t>Quantitative inheritance (cumulative, polygenic) is determined by two or more genes present on different loci, which generally have an additive or cumulative effect</w:t>
      </w:r>
      <w:proofErr w:type="gramEnd"/>
      <w:r w:rsidRPr="003E7C59">
        <w:rPr>
          <w:rFonts w:ascii="Arial" w:hAnsi="Arial" w:cs="Arial"/>
          <w:color w:val="000000" w:themeColor="text1"/>
          <w:sz w:val="22"/>
          <w:szCs w:val="22"/>
        </w:rPr>
        <w:t xml:space="preserve">. Thus, </w:t>
      </w:r>
      <w:proofErr w:type="gramStart"/>
      <w:r w:rsidRPr="003E7C59">
        <w:rPr>
          <w:rFonts w:ascii="Arial" w:hAnsi="Arial" w:cs="Arial"/>
          <w:color w:val="000000" w:themeColor="text1"/>
          <w:sz w:val="22"/>
          <w:szCs w:val="22"/>
        </w:rPr>
        <w:t>being controlled</w:t>
      </w:r>
      <w:proofErr w:type="gramEnd"/>
      <w:r w:rsidRPr="003E7C59">
        <w:rPr>
          <w:rFonts w:ascii="Arial" w:hAnsi="Arial" w:cs="Arial"/>
          <w:color w:val="000000" w:themeColor="text1"/>
          <w:sz w:val="22"/>
          <w:szCs w:val="22"/>
        </w:rPr>
        <w:t xml:space="preserve"> by many genes </w:t>
      </w:r>
      <w:r w:rsidR="002F6E3C" w:rsidRPr="003E7C59">
        <w:rPr>
          <w:rFonts w:ascii="Arial" w:hAnsi="Arial" w:cs="Arial"/>
          <w:color w:val="000000" w:themeColor="text1"/>
          <w:sz w:val="22"/>
          <w:szCs w:val="22"/>
        </w:rPr>
        <w:t xml:space="preserve">and </w:t>
      </w:r>
      <w:r w:rsidR="00932E2B" w:rsidRPr="003E7C59">
        <w:rPr>
          <w:rFonts w:ascii="Arial" w:hAnsi="Arial" w:cs="Arial"/>
          <w:color w:val="000000" w:themeColor="text1"/>
          <w:sz w:val="22"/>
          <w:szCs w:val="22"/>
        </w:rPr>
        <w:t xml:space="preserve">QTL genetic regions, </w:t>
      </w:r>
      <w:r w:rsidRPr="003E7C59">
        <w:rPr>
          <w:rFonts w:ascii="Arial" w:hAnsi="Arial" w:cs="Arial"/>
          <w:color w:val="000000" w:themeColor="text1"/>
          <w:sz w:val="22"/>
          <w:szCs w:val="22"/>
        </w:rPr>
        <w:t>whose gene expression is sensitive to the environment and depends on genetic background and sex (Aust and Hoyningen-Huene, 1986; Windham and Witte, 1998; Kloos et al., 2005; Windham et al., 2005; Sakata et al., 2006; Parikh et al., 2016a; 2016b).</w:t>
      </w:r>
      <w:r w:rsidR="00AB3394"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 The broad sense heritability study in the F1 population derived from four parental crosses (susceptible: ‘Cherokee Princess’ and moderate or resistant: ‘Cherokee Brave, ‘R14 ‘and ‘MI9 ‘) showed that PM phenotypic variance can be attributed to genetic cause (0.9) and not to the environment (Parikh et al., 2016a). Moreover, narrow sense heritability estimates of the same F1 population indicated high narrow sense heritability for PM disease, ranging from 0.74 to 0.89 in three consecutive years</w:t>
      </w:r>
      <w:r w:rsidR="00954A48" w:rsidRPr="003E7C59">
        <w:rPr>
          <w:rFonts w:ascii="Arial" w:hAnsi="Arial" w:cs="Arial"/>
          <w:color w:val="000000" w:themeColor="text1"/>
          <w:sz w:val="22"/>
          <w:szCs w:val="22"/>
        </w:rPr>
        <w:t xml:space="preserve"> attributing</w:t>
      </w:r>
      <w:r w:rsidR="00C85E61" w:rsidRPr="003E7C59">
        <w:rPr>
          <w:rFonts w:ascii="Arial" w:hAnsi="Arial" w:cs="Arial"/>
          <w:color w:val="000000" w:themeColor="text1"/>
          <w:sz w:val="22"/>
          <w:szCs w:val="22"/>
        </w:rPr>
        <w:t xml:space="preserve"> variance to </w:t>
      </w:r>
      <w:r w:rsidR="004E3747" w:rsidRPr="003E7C59">
        <w:rPr>
          <w:rFonts w:ascii="Arial" w:hAnsi="Arial" w:cs="Arial"/>
          <w:color w:val="000000" w:themeColor="text1"/>
          <w:sz w:val="22"/>
          <w:szCs w:val="22"/>
        </w:rPr>
        <w:t>additive gene effect</w:t>
      </w:r>
      <w:r w:rsidR="006D1E9D"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(Parikh et al., 2016b). La</w:t>
      </w:r>
      <w:r w:rsidR="005D55BA" w:rsidRPr="003E7C59">
        <w:rPr>
          <w:rFonts w:ascii="Arial" w:hAnsi="Arial" w:cs="Arial"/>
          <w:color w:val="000000" w:themeColor="text1"/>
          <w:sz w:val="22"/>
          <w:szCs w:val="22"/>
        </w:rPr>
        <w:t>t</w:t>
      </w:r>
      <w:r w:rsidRPr="003E7C59">
        <w:rPr>
          <w:rFonts w:ascii="Arial" w:hAnsi="Arial" w:cs="Arial"/>
          <w:color w:val="000000" w:themeColor="text1"/>
          <w:sz w:val="22"/>
          <w:szCs w:val="22"/>
        </w:rPr>
        <w:t xml:space="preserve">ter, it suggested that PM phenotypic variance is due to variation in the additive genes effects, indicating the absence of epistatic gene interaction (Parikh et al., 2016a; 2016b). However, our study finds duplicate gene action, a form of dominant epistasis to control resistance to PM in the pseudo-F2 population. </w:t>
      </w:r>
    </w:p>
    <w:p w14:paraId="64AD3444" w14:textId="77777777" w:rsidR="00B51BF9" w:rsidRPr="003E7C59" w:rsidRDefault="00B51BF9" w:rsidP="006622F2">
      <w:pPr>
        <w:spacing w:line="360" w:lineRule="auto"/>
        <w:ind w:firstLine="720"/>
        <w:rPr>
          <w:rFonts w:ascii="Arial" w:hAnsi="Arial" w:cs="Arial"/>
          <w:color w:val="000000" w:themeColor="text1"/>
          <w:sz w:val="22"/>
          <w:szCs w:val="22"/>
        </w:rPr>
      </w:pPr>
    </w:p>
    <w:p w14:paraId="63BB0073" w14:textId="12DB1ABB"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Conversely, the importance of epistasis for quantitative traits </w:t>
      </w:r>
      <w:proofErr w:type="gramStart"/>
      <w:r w:rsidRPr="003E7C59">
        <w:rPr>
          <w:rFonts w:ascii="Arial" w:hAnsi="Arial" w:cs="Arial"/>
          <w:color w:val="000000" w:themeColor="text1"/>
          <w:sz w:val="22"/>
          <w:szCs w:val="22"/>
        </w:rPr>
        <w:t>has been debated</w:t>
      </w:r>
      <w:proofErr w:type="gramEnd"/>
      <w:r w:rsidRPr="003E7C59">
        <w:rPr>
          <w:rFonts w:ascii="Arial" w:hAnsi="Arial" w:cs="Arial"/>
          <w:color w:val="000000" w:themeColor="text1"/>
          <w:sz w:val="22"/>
          <w:szCs w:val="22"/>
        </w:rPr>
        <w:t xml:space="preserve"> since the nineteen-thirties, when fundamentals of quantitative genetics were established, and it is continued until today (Wright, 1931; Fisher, 1958; Carlborg et al., 2004; Mackay, 2014). Quantitative genetics defines epistasis as the gene interaction between genotypes at two or more loci (Cheverud and Routman, 1994; Falconer, 1996; Lynch and Walsh, 1998), but epistasis also refers to the moderation of the additive or dominant effects of the interacting loci, whereas it either enhances or suppresses a phenotype or changes the direction of the effect </w:t>
      </w:r>
      <w:r w:rsidRPr="003E7C59">
        <w:rPr>
          <w:rFonts w:ascii="Arial" w:hAnsi="Arial" w:cs="Arial"/>
          <w:color w:val="000000" w:themeColor="text1"/>
          <w:sz w:val="22"/>
          <w:szCs w:val="22"/>
        </w:rPr>
        <w:lastRenderedPageBreak/>
        <w:t xml:space="preserve">(Mackay, 2014). Genetic variance components such as additive, dominance, and epistatic variance depend on allele frequency. Recent years brought genetic technological advancements, which allowed for a better understanding of recombination frequency at a more refined genomic level in different species. Therefore, it </w:t>
      </w:r>
      <w:proofErr w:type="gramStart"/>
      <w:r w:rsidRPr="003E7C59">
        <w:rPr>
          <w:rFonts w:ascii="Arial" w:hAnsi="Arial" w:cs="Arial"/>
          <w:color w:val="000000" w:themeColor="text1"/>
          <w:sz w:val="22"/>
          <w:szCs w:val="22"/>
        </w:rPr>
        <w:t>has been found</w:t>
      </w:r>
      <w:proofErr w:type="gramEnd"/>
      <w:r w:rsidRPr="003E7C59">
        <w:rPr>
          <w:rFonts w:ascii="Arial" w:hAnsi="Arial" w:cs="Arial"/>
          <w:color w:val="000000" w:themeColor="text1"/>
          <w:sz w:val="22"/>
          <w:szCs w:val="22"/>
        </w:rPr>
        <w:t xml:space="preserve"> that recombination events do not occur randomly on the chromosome, and two patterns follow these events. The first is the presence of crossing-over interference, and the second is the existence of hotspots, representing narrow localizations of higher recombination magnitude (Hillers, 2004). Although different taxa have different mechanisms to control recombination frequency events, hotspots have been observed in plants (Choi and Henderson, 2015), fungal pathogens (Croll et al., 2015), yeasts (Gerton et al., 2000), mammals (Latrille et al., 2017) and birds (Singhal, et al., 2015). For instance, determining genetic variance is not crucial if the study aims to estimate heritability, predict phenotype among genetically correlated individuals, or estimate short-term population response to artificial or natural selection because these are mainly altered by additive variance. However, underlying gene interactions become essential if the goal is to explore gene interaction effects on genetic drift or inbreeding to quantitative traits (Mackay, 2014). Finally, comprehensive studies of model organisms demonstrated that quantitative genetic variation may be undetected and cannot be inferred from analyses of main effects, such as broad or narrow sense heritability (Gerton et al., 2000; Choi and Henderson, 2015, Croll et al., 2015, Singhai, et al., 2015; Latrille et al., 2017)</w:t>
      </w:r>
    </w:p>
    <w:p w14:paraId="180D3444" w14:textId="77777777" w:rsidR="00B51BF9" w:rsidRPr="003E7C59" w:rsidRDefault="00B51BF9" w:rsidP="006622F2">
      <w:pPr>
        <w:spacing w:line="360" w:lineRule="auto"/>
        <w:ind w:firstLine="720"/>
        <w:rPr>
          <w:rFonts w:ascii="Arial" w:hAnsi="Arial" w:cs="Arial"/>
          <w:color w:val="000000" w:themeColor="text1"/>
          <w:sz w:val="22"/>
          <w:szCs w:val="22"/>
        </w:rPr>
      </w:pPr>
    </w:p>
    <w:p w14:paraId="258344DC" w14:textId="5676D74B" w:rsidR="00CB4BAA"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Complex</w:t>
      </w:r>
      <w:r w:rsidR="00793B18" w:rsidRPr="003E7C59">
        <w:rPr>
          <w:rFonts w:ascii="Arial" w:hAnsi="Arial" w:cs="Arial"/>
          <w:color w:val="000000" w:themeColor="text1"/>
          <w:sz w:val="22"/>
          <w:szCs w:val="22"/>
        </w:rPr>
        <w:t>ity of</w:t>
      </w:r>
      <w:r w:rsidRPr="003E7C59">
        <w:rPr>
          <w:rFonts w:ascii="Arial" w:hAnsi="Arial" w:cs="Arial"/>
          <w:color w:val="000000" w:themeColor="text1"/>
          <w:sz w:val="22"/>
          <w:szCs w:val="22"/>
        </w:rPr>
        <w:t xml:space="preserve"> dogwood</w:t>
      </w:r>
      <w:r w:rsidR="00793B18" w:rsidRPr="003E7C59">
        <w:rPr>
          <w:rFonts w:ascii="Arial" w:hAnsi="Arial" w:cs="Arial"/>
          <w:color w:val="000000" w:themeColor="text1"/>
          <w:sz w:val="22"/>
          <w:szCs w:val="22"/>
        </w:rPr>
        <w:t xml:space="preserve"> cultivar development</w:t>
      </w:r>
      <w:r w:rsidRPr="003E7C59">
        <w:rPr>
          <w:rFonts w:ascii="Arial" w:hAnsi="Arial" w:cs="Arial"/>
          <w:color w:val="000000" w:themeColor="text1"/>
          <w:sz w:val="22"/>
          <w:szCs w:val="22"/>
        </w:rPr>
        <w:t xml:space="preserve"> is impairing advanced genetic studies, linkage map construction, and genome-wide association studies due to the highly heterozygous and self-incompatibly outbreeding nature of flowering dogwoods. Furthermore, obtaining a classical dogwood F2 population is impossible and impractical (Reed, 2004). Therefore, few breeding strategies are applied in dogwood population development, such as pseudo-te</w:t>
      </w:r>
      <w:r w:rsidR="00D51668" w:rsidRPr="003E7C59">
        <w:rPr>
          <w:rFonts w:ascii="Arial" w:hAnsi="Arial" w:cs="Arial"/>
          <w:color w:val="000000" w:themeColor="text1"/>
          <w:sz w:val="22"/>
          <w:szCs w:val="22"/>
        </w:rPr>
        <w:t>st</w:t>
      </w:r>
      <w:r w:rsidR="001F774B" w:rsidRPr="003E7C59">
        <w:rPr>
          <w:rFonts w:ascii="Arial" w:hAnsi="Arial" w:cs="Arial"/>
          <w:color w:val="000000" w:themeColor="text1"/>
          <w:sz w:val="22"/>
          <w:szCs w:val="22"/>
        </w:rPr>
        <w:t>cross</w:t>
      </w:r>
      <w:r w:rsidRPr="003E7C59">
        <w:rPr>
          <w:rFonts w:ascii="Arial" w:hAnsi="Arial" w:cs="Arial"/>
          <w:color w:val="000000" w:themeColor="text1"/>
          <w:sz w:val="22"/>
          <w:szCs w:val="22"/>
        </w:rPr>
        <w:t>, pseudo-F2, and even F1 population (considered as F2 due to high heterozygosity) (van der Voort et al., 1999; Verde et al., 2005; Lanteri et al., 2006; Lowe and Walker, 2006; Okogbenin et al., 2008; Wang et al., 2008; Honig et al., 2019; Wu et al., 2021).</w:t>
      </w:r>
      <w:r w:rsidR="00892C6A" w:rsidRPr="003E7C59">
        <w:rPr>
          <w:rFonts w:ascii="Arial" w:hAnsi="Arial" w:cs="Arial"/>
          <w:color w:val="000000" w:themeColor="text1"/>
          <w:sz w:val="22"/>
          <w:szCs w:val="22"/>
        </w:rPr>
        <w:t xml:space="preserve"> Pseudo-testcross </w:t>
      </w:r>
      <w:proofErr w:type="gramStart"/>
      <w:r w:rsidR="00892C6A" w:rsidRPr="003E7C59">
        <w:rPr>
          <w:rFonts w:ascii="Arial" w:hAnsi="Arial" w:cs="Arial"/>
          <w:color w:val="000000" w:themeColor="text1"/>
          <w:sz w:val="22"/>
          <w:szCs w:val="22"/>
        </w:rPr>
        <w:t>is defined</w:t>
      </w:r>
      <w:proofErr w:type="gramEnd"/>
      <w:r w:rsidR="00892C6A" w:rsidRPr="003E7C59">
        <w:rPr>
          <w:rFonts w:ascii="Arial" w:hAnsi="Arial" w:cs="Arial"/>
          <w:color w:val="000000" w:themeColor="text1"/>
          <w:sz w:val="22"/>
          <w:szCs w:val="22"/>
        </w:rPr>
        <w:t xml:space="preserve"> as a single full-sib population created by crossing two outbred parents in which one parent is heterozygous at one locus, and the other parent is homozygous at other loci</w:t>
      </w:r>
      <w:r w:rsidR="00170ED0" w:rsidRPr="003E7C59">
        <w:rPr>
          <w:rFonts w:ascii="Arial" w:hAnsi="Arial" w:cs="Arial"/>
          <w:color w:val="000000" w:themeColor="text1"/>
          <w:sz w:val="22"/>
          <w:szCs w:val="22"/>
        </w:rPr>
        <w:t xml:space="preserve"> </w:t>
      </w:r>
      <w:r w:rsidR="00892C6A" w:rsidRPr="003E7C59">
        <w:rPr>
          <w:rFonts w:ascii="Arial" w:hAnsi="Arial" w:cs="Arial"/>
          <w:color w:val="000000" w:themeColor="text1"/>
          <w:sz w:val="22"/>
          <w:szCs w:val="22"/>
        </w:rPr>
        <w:t xml:space="preserve">(Grattapaglia and Sederof, 1994). This strategy </w:t>
      </w:r>
      <w:proofErr w:type="gramStart"/>
      <w:r w:rsidR="00892C6A" w:rsidRPr="003E7C59">
        <w:rPr>
          <w:rFonts w:ascii="Arial" w:hAnsi="Arial" w:cs="Arial"/>
          <w:color w:val="000000" w:themeColor="text1"/>
          <w:sz w:val="22"/>
          <w:szCs w:val="22"/>
        </w:rPr>
        <w:t>is commonly used</w:t>
      </w:r>
      <w:proofErr w:type="gramEnd"/>
      <w:r w:rsidR="00892C6A" w:rsidRPr="003E7C59">
        <w:rPr>
          <w:rFonts w:ascii="Arial" w:hAnsi="Arial" w:cs="Arial"/>
          <w:color w:val="000000" w:themeColor="text1"/>
          <w:sz w:val="22"/>
          <w:szCs w:val="22"/>
        </w:rPr>
        <w:t xml:space="preserve"> for QTL mapping; however, it employs markers only segregating in one parent</w:t>
      </w:r>
      <w:r w:rsidR="00725772" w:rsidRPr="003E7C59">
        <w:rPr>
          <w:rFonts w:ascii="Arial" w:hAnsi="Arial" w:cs="Arial"/>
          <w:color w:val="000000" w:themeColor="text1"/>
          <w:sz w:val="22"/>
          <w:szCs w:val="22"/>
        </w:rPr>
        <w:t xml:space="preserve"> (</w:t>
      </w:r>
      <w:r w:rsidR="00102BAF" w:rsidRPr="003E7C59">
        <w:rPr>
          <w:rFonts w:ascii="Arial" w:hAnsi="Arial" w:cs="Arial"/>
          <w:color w:val="000000" w:themeColor="text1"/>
          <w:sz w:val="22"/>
          <w:szCs w:val="22"/>
        </w:rPr>
        <w:t>Cervera et al., 2001;</w:t>
      </w:r>
      <w:r w:rsidR="00CF01AA" w:rsidRPr="003E7C59">
        <w:rPr>
          <w:rFonts w:ascii="Arial" w:hAnsi="Arial" w:cs="Arial"/>
          <w:color w:val="000000" w:themeColor="text1"/>
          <w:sz w:val="22"/>
          <w:szCs w:val="22"/>
        </w:rPr>
        <w:t xml:space="preserve"> Yin et al., 2004</w:t>
      </w:r>
      <w:r w:rsidR="00170ED0" w:rsidRPr="003E7C59">
        <w:rPr>
          <w:rFonts w:ascii="Arial" w:hAnsi="Arial" w:cs="Arial"/>
          <w:color w:val="000000" w:themeColor="text1"/>
          <w:sz w:val="22"/>
          <w:szCs w:val="22"/>
        </w:rPr>
        <w:t>; Wu et al., 2010</w:t>
      </w:r>
      <w:r w:rsidR="00725772" w:rsidRPr="003E7C59">
        <w:rPr>
          <w:rFonts w:ascii="Arial" w:hAnsi="Arial" w:cs="Arial"/>
          <w:color w:val="000000" w:themeColor="text1"/>
          <w:sz w:val="22"/>
          <w:szCs w:val="22"/>
        </w:rPr>
        <w:t>)</w:t>
      </w:r>
      <w:r w:rsidR="00892C6A" w:rsidRPr="003E7C59">
        <w:rPr>
          <w:rFonts w:ascii="Arial" w:hAnsi="Arial" w:cs="Arial"/>
          <w:color w:val="000000" w:themeColor="text1"/>
          <w:sz w:val="22"/>
          <w:szCs w:val="22"/>
        </w:rPr>
        <w:t>.</w:t>
      </w:r>
      <w:r w:rsidR="00480312" w:rsidRPr="003E7C59">
        <w:rPr>
          <w:rFonts w:ascii="Arial" w:hAnsi="Arial" w:cs="Arial"/>
          <w:color w:val="000000" w:themeColor="text1"/>
          <w:sz w:val="22"/>
          <w:szCs w:val="22"/>
        </w:rPr>
        <w:t xml:space="preserve"> </w:t>
      </w:r>
      <w:r w:rsidR="00480312" w:rsidRPr="003E7C59">
        <w:rPr>
          <w:rFonts w:ascii="Arial" w:hAnsi="Arial" w:cs="Arial"/>
          <w:color w:val="0E101A"/>
          <w:sz w:val="22"/>
          <w:szCs w:val="22"/>
        </w:rPr>
        <w:t xml:space="preserve">The pseudo-F2 strategy </w:t>
      </w:r>
      <w:proofErr w:type="gramStart"/>
      <w:r w:rsidR="00480312" w:rsidRPr="003E7C59">
        <w:rPr>
          <w:rFonts w:ascii="Arial" w:hAnsi="Arial" w:cs="Arial"/>
          <w:color w:val="0E101A"/>
          <w:sz w:val="22"/>
          <w:szCs w:val="22"/>
        </w:rPr>
        <w:t>was proposed by van der Voort et al. (1999) and allowed the construction of a linkage map for the yellow potato cyst nematode (</w:t>
      </w:r>
      <w:r w:rsidR="00480312" w:rsidRPr="003E7C59">
        <w:rPr>
          <w:rFonts w:ascii="Arial" w:hAnsi="Arial" w:cs="Arial"/>
          <w:i/>
          <w:iCs/>
          <w:color w:val="0E101A"/>
          <w:sz w:val="22"/>
          <w:szCs w:val="22"/>
        </w:rPr>
        <w:t>Globodera rostochiensis</w:t>
      </w:r>
      <w:r w:rsidR="00480312" w:rsidRPr="003E7C59">
        <w:rPr>
          <w:rFonts w:ascii="Arial" w:hAnsi="Arial" w:cs="Arial"/>
          <w:color w:val="0E101A"/>
          <w:sz w:val="22"/>
          <w:szCs w:val="22"/>
        </w:rPr>
        <w:t xml:space="preserve">) in combination </w:t>
      </w:r>
      <w:r w:rsidR="00480312" w:rsidRPr="003E7C59">
        <w:rPr>
          <w:rFonts w:ascii="Arial" w:hAnsi="Arial" w:cs="Arial"/>
          <w:color w:val="0E101A"/>
          <w:sz w:val="22"/>
          <w:szCs w:val="22"/>
        </w:rPr>
        <w:lastRenderedPageBreak/>
        <w:t>with AFLP markers</w:t>
      </w:r>
      <w:proofErr w:type="gramEnd"/>
      <w:r w:rsidR="00480312" w:rsidRPr="003E7C59">
        <w:rPr>
          <w:rFonts w:ascii="Arial" w:hAnsi="Arial" w:cs="Arial"/>
          <w:color w:val="0E101A"/>
          <w:sz w:val="22"/>
          <w:szCs w:val="22"/>
        </w:rPr>
        <w:t xml:space="preserve">. Applying this strategy escapes the impracticality of creating F2 population in self-incompatible species or in </w:t>
      </w:r>
      <w:r w:rsidR="00B41E5B" w:rsidRPr="003E7C59">
        <w:rPr>
          <w:rFonts w:ascii="Arial" w:hAnsi="Arial" w:cs="Arial"/>
          <w:color w:val="0E101A"/>
          <w:sz w:val="22"/>
          <w:szCs w:val="22"/>
        </w:rPr>
        <w:t xml:space="preserve">species in </w:t>
      </w:r>
      <w:r w:rsidR="00480312" w:rsidRPr="003E7C59">
        <w:rPr>
          <w:rFonts w:ascii="Arial" w:hAnsi="Arial" w:cs="Arial"/>
          <w:color w:val="0E101A"/>
          <w:sz w:val="22"/>
          <w:szCs w:val="22"/>
        </w:rPr>
        <w:t>which</w:t>
      </w:r>
      <w:r w:rsidR="00B41E5B" w:rsidRPr="003E7C59">
        <w:rPr>
          <w:rFonts w:ascii="Arial" w:hAnsi="Arial" w:cs="Arial"/>
          <w:color w:val="0E101A"/>
          <w:sz w:val="22"/>
          <w:szCs w:val="22"/>
        </w:rPr>
        <w:t>,</w:t>
      </w:r>
      <w:r w:rsidR="00480312" w:rsidRPr="003E7C59">
        <w:rPr>
          <w:rFonts w:ascii="Arial" w:hAnsi="Arial" w:cs="Arial"/>
          <w:color w:val="0E101A"/>
          <w:sz w:val="22"/>
          <w:szCs w:val="22"/>
        </w:rPr>
        <w:t xml:space="preserve"> homozygous lines are unavailable (Wang et al., 2009). In general, F1 progenies derived from a single progeny of a full-sib population are either selfed like in cassava (</w:t>
      </w:r>
      <w:r w:rsidR="00480312" w:rsidRPr="003E7C59">
        <w:rPr>
          <w:rFonts w:ascii="Arial" w:hAnsi="Arial" w:cs="Arial"/>
          <w:i/>
          <w:iCs/>
          <w:color w:val="0E101A"/>
          <w:sz w:val="22"/>
          <w:szCs w:val="22"/>
        </w:rPr>
        <w:t>Manihot esculenta</w:t>
      </w:r>
      <w:r w:rsidR="00480312" w:rsidRPr="003E7C59">
        <w:rPr>
          <w:rFonts w:ascii="Arial" w:hAnsi="Arial" w:cs="Arial"/>
          <w:color w:val="0E101A"/>
          <w:sz w:val="22"/>
          <w:szCs w:val="22"/>
        </w:rPr>
        <w:t xml:space="preserve"> Crantz) (Okogbenin et al., 2008) or crossed to F1 breeding lines like in flowering dogwood (Wang et al., 2009) and switchgrass (</w:t>
      </w:r>
      <w:r w:rsidR="00480312" w:rsidRPr="003E7C59">
        <w:rPr>
          <w:rStyle w:val="Emphasis"/>
          <w:rFonts w:ascii="Arial" w:eastAsiaTheme="majorEastAsia" w:hAnsi="Arial" w:cs="Arial"/>
          <w:color w:val="0E101A"/>
          <w:sz w:val="22"/>
          <w:szCs w:val="22"/>
        </w:rPr>
        <w:t>Panicum virgatum </w:t>
      </w:r>
      <w:r w:rsidR="00480312" w:rsidRPr="003E7C59">
        <w:rPr>
          <w:rFonts w:ascii="Arial" w:hAnsi="Arial" w:cs="Arial"/>
          <w:color w:val="0E101A"/>
          <w:sz w:val="22"/>
          <w:szCs w:val="22"/>
        </w:rPr>
        <w:t>L.) (Tornqvist et al., 2018). </w:t>
      </w:r>
    </w:p>
    <w:p w14:paraId="5BF7B69D" w14:textId="77777777" w:rsidR="00CB4BAA" w:rsidRPr="003E7C59" w:rsidRDefault="00CB4BAA" w:rsidP="006622F2">
      <w:pPr>
        <w:spacing w:line="360" w:lineRule="auto"/>
        <w:ind w:firstLine="720"/>
        <w:rPr>
          <w:rFonts w:ascii="Arial" w:hAnsi="Arial" w:cs="Arial"/>
          <w:color w:val="000000" w:themeColor="text1"/>
          <w:sz w:val="22"/>
          <w:szCs w:val="22"/>
        </w:rPr>
      </w:pPr>
    </w:p>
    <w:p w14:paraId="4D9ACB2D" w14:textId="0A3349D0"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 </w:t>
      </w:r>
      <w:r w:rsidR="00CB4BAA" w:rsidRPr="003E7C59">
        <w:rPr>
          <w:rFonts w:ascii="Arial" w:hAnsi="Arial" w:cs="Arial"/>
          <w:color w:val="000000" w:themeColor="text1"/>
          <w:sz w:val="22"/>
          <w:szCs w:val="22"/>
        </w:rPr>
        <w:t>Allele</w:t>
      </w:r>
      <w:r w:rsidRPr="003E7C59">
        <w:rPr>
          <w:rFonts w:ascii="Arial" w:hAnsi="Arial" w:cs="Arial"/>
          <w:color w:val="000000" w:themeColor="text1"/>
          <w:sz w:val="22"/>
          <w:szCs w:val="22"/>
        </w:rPr>
        <w:t xml:space="preserve"> recombination is critical for the progress in genomic selection programs, whereas the resolution of genetic mapping and QTL analysis depends on recombination frequency. For instance, decreased recombination in a population will have a slower accumulation of advantageous mutations in evolving filial generations (Muller, 1964; Felsenstein, 1974). Parikh et al. (2016a; b)</w:t>
      </w:r>
      <w:r w:rsidR="00A01394" w:rsidRPr="003E7C59">
        <w:rPr>
          <w:rFonts w:ascii="Arial" w:hAnsi="Arial" w:cs="Arial"/>
          <w:color w:val="000000" w:themeColor="text1"/>
          <w:sz w:val="22"/>
          <w:szCs w:val="22"/>
        </w:rPr>
        <w:t xml:space="preserve"> and Pfarr et al. (2022)</w:t>
      </w:r>
      <w:r w:rsidRPr="003E7C59">
        <w:rPr>
          <w:rFonts w:ascii="Arial" w:hAnsi="Arial" w:cs="Arial"/>
          <w:color w:val="000000" w:themeColor="text1"/>
          <w:sz w:val="22"/>
          <w:szCs w:val="22"/>
        </w:rPr>
        <w:t xml:space="preserve"> considered their F1 population pseudo-F2</w:t>
      </w:r>
      <w:r w:rsidR="00C26CF3" w:rsidRPr="003E7C59">
        <w:rPr>
          <w:rFonts w:ascii="Arial" w:hAnsi="Arial" w:cs="Arial"/>
          <w:color w:val="000000" w:themeColor="text1"/>
          <w:sz w:val="22"/>
          <w:szCs w:val="22"/>
        </w:rPr>
        <w:t xml:space="preserve"> </w:t>
      </w:r>
      <w:r w:rsidR="006B3D6A" w:rsidRPr="003E7C59">
        <w:rPr>
          <w:rFonts w:ascii="Arial" w:hAnsi="Arial" w:cs="Arial"/>
          <w:color w:val="000000" w:themeColor="text1"/>
          <w:sz w:val="22"/>
          <w:szCs w:val="22"/>
        </w:rPr>
        <w:t>because of allele se</w:t>
      </w:r>
      <w:r w:rsidR="0093049F" w:rsidRPr="003E7C59">
        <w:rPr>
          <w:rFonts w:ascii="Arial" w:hAnsi="Arial" w:cs="Arial"/>
          <w:color w:val="000000" w:themeColor="text1"/>
          <w:sz w:val="22"/>
          <w:szCs w:val="22"/>
        </w:rPr>
        <w:t>grega</w:t>
      </w:r>
      <w:r w:rsidR="006B3D6A" w:rsidRPr="003E7C59">
        <w:rPr>
          <w:rFonts w:ascii="Arial" w:hAnsi="Arial" w:cs="Arial"/>
          <w:color w:val="000000" w:themeColor="text1"/>
          <w:sz w:val="22"/>
          <w:szCs w:val="22"/>
        </w:rPr>
        <w:t>tion</w:t>
      </w:r>
      <w:r w:rsidR="0093049F" w:rsidRPr="003E7C59">
        <w:rPr>
          <w:rFonts w:ascii="Arial" w:hAnsi="Arial" w:cs="Arial"/>
          <w:color w:val="000000" w:themeColor="text1"/>
          <w:sz w:val="22"/>
          <w:szCs w:val="22"/>
        </w:rPr>
        <w:t xml:space="preserve"> from</w:t>
      </w:r>
      <w:r w:rsidR="00827F7C" w:rsidRPr="003E7C59">
        <w:rPr>
          <w:rFonts w:ascii="Arial" w:hAnsi="Arial" w:cs="Arial"/>
        </w:rPr>
        <w:t xml:space="preserve"> </w:t>
      </w:r>
      <w:r w:rsidR="00827F7C" w:rsidRPr="003E7C59">
        <w:rPr>
          <w:rFonts w:ascii="Arial" w:hAnsi="Arial" w:cs="Arial"/>
          <w:color w:val="000000" w:themeColor="text1"/>
          <w:sz w:val="22"/>
          <w:szCs w:val="22"/>
        </w:rPr>
        <w:t>highly heterozygous parents</w:t>
      </w:r>
      <w:proofErr w:type="gramStart"/>
      <w:r w:rsidR="00827F7C" w:rsidRPr="003E7C59">
        <w:rPr>
          <w:rFonts w:ascii="Arial" w:hAnsi="Arial" w:cs="Arial"/>
          <w:color w:val="000000" w:themeColor="text1"/>
          <w:sz w:val="22"/>
          <w:szCs w:val="22"/>
        </w:rPr>
        <w:t>;</w:t>
      </w:r>
      <w:proofErr w:type="gramEnd"/>
      <w:r w:rsidRPr="003E7C59">
        <w:rPr>
          <w:rFonts w:ascii="Arial" w:hAnsi="Arial" w:cs="Arial"/>
          <w:color w:val="000000" w:themeColor="text1"/>
          <w:sz w:val="22"/>
          <w:szCs w:val="22"/>
        </w:rPr>
        <w:t xml:space="preserve"> </w:t>
      </w:r>
      <w:r w:rsidR="00877E4C" w:rsidRPr="003E7C59">
        <w:rPr>
          <w:rFonts w:ascii="Arial" w:hAnsi="Arial" w:cs="Arial"/>
          <w:color w:val="000000" w:themeColor="text1"/>
          <w:sz w:val="22"/>
          <w:szCs w:val="22"/>
        </w:rPr>
        <w:t>whereas</w:t>
      </w:r>
      <w:r w:rsidRPr="003E7C59">
        <w:rPr>
          <w:rFonts w:ascii="Arial" w:hAnsi="Arial" w:cs="Arial"/>
          <w:color w:val="000000" w:themeColor="text1"/>
          <w:sz w:val="22"/>
          <w:szCs w:val="22"/>
        </w:rPr>
        <w:t xml:space="preserve"> Wang et al. (2008) </w:t>
      </w:r>
      <w:r w:rsidR="00877E4C" w:rsidRPr="003E7C59">
        <w:rPr>
          <w:rFonts w:ascii="Arial" w:hAnsi="Arial" w:cs="Arial"/>
          <w:color w:val="000000" w:themeColor="text1"/>
          <w:sz w:val="22"/>
          <w:szCs w:val="22"/>
        </w:rPr>
        <w:t>created</w:t>
      </w:r>
      <w:r w:rsidRPr="003E7C59">
        <w:rPr>
          <w:rFonts w:ascii="Arial" w:hAnsi="Arial" w:cs="Arial"/>
          <w:color w:val="000000" w:themeColor="text1"/>
          <w:sz w:val="22"/>
          <w:szCs w:val="22"/>
        </w:rPr>
        <w:t xml:space="preserve"> pseudo-F2 by crossing two F1 trees</w:t>
      </w:r>
      <w:r w:rsidR="009C3185" w:rsidRPr="003E7C59">
        <w:rPr>
          <w:rFonts w:ascii="Arial" w:hAnsi="Arial" w:cs="Arial"/>
          <w:color w:val="000000" w:themeColor="text1"/>
          <w:sz w:val="22"/>
          <w:szCs w:val="22"/>
        </w:rPr>
        <w:t xml:space="preserve"> to</w:t>
      </w:r>
      <w:r w:rsidRPr="003E7C59">
        <w:rPr>
          <w:rFonts w:ascii="Arial" w:hAnsi="Arial" w:cs="Arial"/>
          <w:color w:val="000000" w:themeColor="text1"/>
          <w:sz w:val="22"/>
          <w:szCs w:val="22"/>
        </w:rPr>
        <w:t>, which showed genetic identity at a given locus</w:t>
      </w:r>
      <w:r w:rsidR="00877E4C"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 </w:t>
      </w:r>
    </w:p>
    <w:p w14:paraId="46715936" w14:textId="77777777" w:rsidR="00B51BF9" w:rsidRPr="003E7C59" w:rsidRDefault="00B51BF9" w:rsidP="006622F2">
      <w:pPr>
        <w:spacing w:line="360" w:lineRule="auto"/>
        <w:ind w:firstLine="720"/>
        <w:rPr>
          <w:rFonts w:ascii="Arial" w:hAnsi="Arial" w:cs="Arial"/>
          <w:color w:val="000000" w:themeColor="text1"/>
          <w:sz w:val="22"/>
          <w:szCs w:val="22"/>
        </w:rPr>
      </w:pPr>
    </w:p>
    <w:p w14:paraId="05783A9F" w14:textId="0C0D0238"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Inheritance of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resistance in several other horticultural crops including apples (</w:t>
      </w:r>
      <w:r w:rsidRPr="003E7C59">
        <w:rPr>
          <w:rFonts w:ascii="Arial" w:hAnsi="Arial" w:cs="Arial"/>
          <w:i/>
          <w:iCs/>
          <w:color w:val="000000" w:themeColor="text1"/>
          <w:sz w:val="22"/>
          <w:szCs w:val="22"/>
        </w:rPr>
        <w:t>Malus domestica</w:t>
      </w:r>
      <w:r w:rsidRPr="003E7C59">
        <w:rPr>
          <w:rFonts w:ascii="Arial" w:hAnsi="Arial" w:cs="Arial"/>
          <w:color w:val="000000" w:themeColor="text1"/>
          <w:sz w:val="22"/>
          <w:szCs w:val="22"/>
        </w:rPr>
        <w:t>) (Sestras et al., 2011), gerbera (</w:t>
      </w:r>
      <w:r w:rsidRPr="003E7C59">
        <w:rPr>
          <w:rFonts w:ascii="Arial" w:hAnsi="Arial" w:cs="Arial"/>
          <w:i/>
          <w:iCs/>
          <w:color w:val="000000" w:themeColor="text1"/>
          <w:sz w:val="22"/>
          <w:szCs w:val="22"/>
        </w:rPr>
        <w:t>Gerbera hybrida</w:t>
      </w:r>
      <w:r w:rsidRPr="003E7C59">
        <w:rPr>
          <w:rFonts w:ascii="Arial" w:hAnsi="Arial" w:cs="Arial"/>
          <w:color w:val="000000" w:themeColor="text1"/>
          <w:sz w:val="22"/>
          <w:szCs w:val="22"/>
        </w:rPr>
        <w:t>) (Kloos et al., 2005), melons (</w:t>
      </w:r>
      <w:r w:rsidRPr="003E7C59">
        <w:rPr>
          <w:rFonts w:ascii="Arial" w:hAnsi="Arial" w:cs="Arial"/>
          <w:i/>
          <w:iCs/>
          <w:color w:val="000000" w:themeColor="text1"/>
          <w:sz w:val="22"/>
          <w:szCs w:val="22"/>
        </w:rPr>
        <w:t xml:space="preserve">Cucumis melo </w:t>
      </w:r>
      <w:r w:rsidRPr="003E7C59">
        <w:rPr>
          <w:rFonts w:ascii="Arial" w:hAnsi="Arial" w:cs="Arial"/>
          <w:color w:val="000000" w:themeColor="text1"/>
          <w:sz w:val="22"/>
          <w:szCs w:val="22"/>
        </w:rPr>
        <w:t>L.) (Angelov and Krasteva, 2000; Tetteh et al., 2013), sweet cherry (</w:t>
      </w:r>
      <w:r w:rsidR="00D57124" w:rsidRPr="003E7C59">
        <w:rPr>
          <w:rFonts w:ascii="Arial" w:hAnsi="Arial" w:cs="Arial"/>
          <w:i/>
          <w:iCs/>
          <w:color w:val="000000" w:themeColor="text1"/>
          <w:sz w:val="22"/>
          <w:szCs w:val="22"/>
        </w:rPr>
        <w:t>Prunus</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avium</w:t>
      </w:r>
      <w:r w:rsidRPr="003E7C59">
        <w:rPr>
          <w:rFonts w:ascii="Arial" w:hAnsi="Arial" w:cs="Arial"/>
          <w:color w:val="000000" w:themeColor="text1"/>
          <w:sz w:val="22"/>
          <w:szCs w:val="22"/>
        </w:rPr>
        <w:t xml:space="preserve">) (Olmstead and Lang, 2001), was reported to be monogenic. </w:t>
      </w:r>
      <w:proofErr w:type="gramStart"/>
      <w:r w:rsidRPr="003E7C59">
        <w:rPr>
          <w:rFonts w:ascii="Arial" w:hAnsi="Arial" w:cs="Arial"/>
          <w:color w:val="000000" w:themeColor="text1"/>
          <w:sz w:val="22"/>
          <w:szCs w:val="22"/>
        </w:rPr>
        <w:t>Powdery mildew resistance in mung bean (</w:t>
      </w:r>
      <w:r w:rsidRPr="003E7C59">
        <w:rPr>
          <w:rFonts w:ascii="Arial" w:hAnsi="Arial" w:cs="Arial"/>
          <w:i/>
          <w:iCs/>
          <w:color w:val="000000" w:themeColor="text1"/>
          <w:sz w:val="22"/>
          <w:szCs w:val="22"/>
        </w:rPr>
        <w:t xml:space="preserve">Vigna radiata </w:t>
      </w:r>
      <w:r w:rsidRPr="003E7C59">
        <w:rPr>
          <w:rFonts w:ascii="Arial" w:hAnsi="Arial" w:cs="Arial"/>
          <w:color w:val="000000" w:themeColor="text1"/>
          <w:sz w:val="22"/>
          <w:szCs w:val="22"/>
        </w:rPr>
        <w:t>Wilczek) is controlled by two dominant genes (Reddy et al., 1994</w:t>
      </w:r>
      <w:proofErr w:type="gramEnd"/>
      <w:r w:rsidRPr="003E7C59">
        <w:rPr>
          <w:rFonts w:ascii="Arial" w:hAnsi="Arial" w:cs="Arial"/>
          <w:color w:val="000000" w:themeColor="text1"/>
          <w:sz w:val="22"/>
          <w:szCs w:val="22"/>
        </w:rPr>
        <w:t xml:space="preserve">). In contrast, Tiwari et al. (1997) described two single recessive genes to control </w:t>
      </w:r>
      <w:r w:rsidR="00E36DB1"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resistance in Canadian pea (</w:t>
      </w:r>
      <w:r w:rsidRPr="003E7C59">
        <w:rPr>
          <w:rFonts w:ascii="Arial" w:hAnsi="Arial" w:cs="Arial"/>
          <w:i/>
          <w:iCs/>
          <w:color w:val="000000" w:themeColor="text1"/>
          <w:sz w:val="22"/>
          <w:szCs w:val="22"/>
        </w:rPr>
        <w:t xml:space="preserve">Pisum sativum </w:t>
      </w:r>
      <w:r w:rsidRPr="003E7C59">
        <w:rPr>
          <w:rFonts w:ascii="Arial" w:hAnsi="Arial" w:cs="Arial"/>
          <w:color w:val="000000" w:themeColor="text1"/>
          <w:sz w:val="22"/>
          <w:szCs w:val="22"/>
        </w:rPr>
        <w:t xml:space="preserve">L.) cultivars. Plant disease resistance </w:t>
      </w:r>
      <w:proofErr w:type="gramStart"/>
      <w:r w:rsidRPr="003E7C59">
        <w:rPr>
          <w:rFonts w:ascii="Arial" w:hAnsi="Arial" w:cs="Arial"/>
          <w:color w:val="000000" w:themeColor="text1"/>
          <w:sz w:val="22"/>
          <w:szCs w:val="22"/>
        </w:rPr>
        <w:t>is classified</w:t>
      </w:r>
      <w:proofErr w:type="gramEnd"/>
      <w:r w:rsidRPr="003E7C59">
        <w:rPr>
          <w:rFonts w:ascii="Arial" w:hAnsi="Arial" w:cs="Arial"/>
          <w:color w:val="000000" w:themeColor="text1"/>
          <w:sz w:val="22"/>
          <w:szCs w:val="22"/>
        </w:rPr>
        <w:t xml:space="preserve"> into two categories, qualitative and quantitative resistance. </w:t>
      </w:r>
      <w:proofErr w:type="gramStart"/>
      <w:r w:rsidRPr="003E7C59">
        <w:rPr>
          <w:rFonts w:ascii="Arial" w:hAnsi="Arial" w:cs="Arial"/>
          <w:color w:val="000000" w:themeColor="text1"/>
          <w:sz w:val="22"/>
          <w:szCs w:val="22"/>
        </w:rPr>
        <w:t>Qualitative resistance is controlled by a single resistance gene (</w:t>
      </w:r>
      <w:r w:rsidRPr="003E7C59">
        <w:rPr>
          <w:rFonts w:ascii="Arial" w:hAnsi="Arial" w:cs="Arial"/>
          <w:i/>
          <w:iCs/>
          <w:color w:val="000000" w:themeColor="text1"/>
          <w:sz w:val="22"/>
          <w:szCs w:val="22"/>
        </w:rPr>
        <w:t>R</w:t>
      </w:r>
      <w:r w:rsidRPr="003E7C59">
        <w:rPr>
          <w:rFonts w:ascii="Arial" w:hAnsi="Arial" w:cs="Arial"/>
          <w:color w:val="000000" w:themeColor="text1"/>
          <w:sz w:val="22"/>
          <w:szCs w:val="22"/>
        </w:rPr>
        <w:t>), including receptor genes</w:t>
      </w:r>
      <w:proofErr w:type="gramEnd"/>
      <w:r w:rsidRPr="003E7C59">
        <w:rPr>
          <w:rFonts w:ascii="Arial" w:hAnsi="Arial" w:cs="Arial"/>
          <w:color w:val="000000" w:themeColor="text1"/>
          <w:sz w:val="22"/>
          <w:szCs w:val="22"/>
        </w:rPr>
        <w:t xml:space="preserve">. On the contrary, </w:t>
      </w:r>
      <w:proofErr w:type="gramStart"/>
      <w:r w:rsidRPr="003E7C59">
        <w:rPr>
          <w:rFonts w:ascii="Arial" w:hAnsi="Arial" w:cs="Arial"/>
          <w:color w:val="000000" w:themeColor="text1"/>
          <w:sz w:val="22"/>
          <w:szCs w:val="22"/>
        </w:rPr>
        <w:t>broad-spectrum resistance (BSR) and durable resistance (DR) is conferred by multiple genes or quantitative trait loci (QTL</w:t>
      </w:r>
      <w:proofErr w:type="gramEnd"/>
      <w:r w:rsidRPr="003E7C59">
        <w:rPr>
          <w:rFonts w:ascii="Arial" w:hAnsi="Arial" w:cs="Arial"/>
          <w:color w:val="000000" w:themeColor="text1"/>
          <w:sz w:val="22"/>
          <w:szCs w:val="22"/>
        </w:rPr>
        <w:t xml:space="preserve">), and both are advantageous for crop improvement through breeding. BSR is defined as resistance against two or more pathogen species (including sometimes even the majority of races), whereas DR persists during prolonged times shaped by different environmental conditions (Johnson, 1981; Randall et al., 2005; Kou and Wang, 2010). </w:t>
      </w:r>
    </w:p>
    <w:p w14:paraId="706D9C9B" w14:textId="77777777" w:rsidR="00B51BF9" w:rsidRPr="003E7C59" w:rsidRDefault="00B51BF9" w:rsidP="006622F2">
      <w:pPr>
        <w:spacing w:line="360" w:lineRule="auto"/>
        <w:ind w:firstLine="720"/>
        <w:rPr>
          <w:rFonts w:ascii="Arial" w:hAnsi="Arial" w:cs="Arial"/>
          <w:color w:val="000000" w:themeColor="text1"/>
          <w:sz w:val="22"/>
          <w:szCs w:val="22"/>
        </w:rPr>
      </w:pPr>
    </w:p>
    <w:p w14:paraId="381DE503" w14:textId="4334D7CD"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 Multiple QTL associated with PM in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have been identified in two published studies so far and had a variant effect on PM resistance (Parikh et al., 2017; Pfarr et al., 2022). Parikh et al. (2017) detected four QTL in three linkage groups (4, 8, and 9) with either minor or intermediate/major effects. QTL explaining </w:t>
      </w:r>
      <w:r w:rsidR="002D0BC0" w:rsidRPr="003E7C59">
        <w:rPr>
          <w:rFonts w:ascii="Arial" w:hAnsi="Arial" w:cs="Arial"/>
          <w:color w:val="000000" w:themeColor="text1"/>
          <w:sz w:val="22"/>
          <w:szCs w:val="22"/>
        </w:rPr>
        <w:t>less than</w:t>
      </w:r>
      <w:r w:rsidR="00D3172E"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10% of phenotypic variance </w:t>
      </w:r>
      <w:proofErr w:type="gramStart"/>
      <w:r w:rsidRPr="003E7C59">
        <w:rPr>
          <w:rFonts w:ascii="Arial" w:hAnsi="Arial" w:cs="Arial"/>
          <w:color w:val="000000" w:themeColor="text1"/>
          <w:sz w:val="22"/>
          <w:szCs w:val="22"/>
        </w:rPr>
        <w:t>is considered</w:t>
      </w:r>
      <w:proofErr w:type="gramEnd"/>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lastRenderedPageBreak/>
        <w:t xml:space="preserve">minor, </w:t>
      </w:r>
      <w:r w:rsidR="002D0BC0" w:rsidRPr="003E7C59">
        <w:rPr>
          <w:rFonts w:ascii="Arial" w:hAnsi="Arial" w:cs="Arial"/>
          <w:color w:val="000000" w:themeColor="text1"/>
          <w:sz w:val="22"/>
          <w:szCs w:val="22"/>
        </w:rPr>
        <w:t>whereas</w:t>
      </w:r>
      <w:r w:rsidRPr="003E7C59">
        <w:rPr>
          <w:rFonts w:ascii="Arial" w:hAnsi="Arial" w:cs="Arial"/>
          <w:color w:val="000000" w:themeColor="text1"/>
          <w:sz w:val="22"/>
          <w:szCs w:val="22"/>
        </w:rPr>
        <w:t xml:space="preserve"> QTL </w:t>
      </w:r>
      <w:r w:rsidR="002D0BC0" w:rsidRPr="003E7C59">
        <w:rPr>
          <w:rFonts w:ascii="Arial" w:hAnsi="Arial" w:cs="Arial"/>
          <w:color w:val="000000" w:themeColor="text1"/>
          <w:sz w:val="22"/>
          <w:szCs w:val="22"/>
        </w:rPr>
        <w:t xml:space="preserve">explaining more 10% phenotypic variance is considered major </w:t>
      </w:r>
      <w:r w:rsidRPr="003E7C59">
        <w:rPr>
          <w:rFonts w:ascii="Arial" w:hAnsi="Arial" w:cs="Arial"/>
          <w:color w:val="000000" w:themeColor="text1"/>
          <w:sz w:val="22"/>
          <w:szCs w:val="22"/>
        </w:rPr>
        <w:t xml:space="preserve">(Kou and Wang, 2010). Major QTLPM-3 (R2 = 12.48%, LOD = 4.5) and QTLPM-4 (R2 = 13.21%, LOD = 5.3) </w:t>
      </w:r>
      <w:r w:rsidR="003B0F64" w:rsidRPr="003E7C59">
        <w:rPr>
          <w:rFonts w:ascii="Arial" w:hAnsi="Arial" w:cs="Arial"/>
          <w:color w:val="000000" w:themeColor="text1"/>
          <w:sz w:val="22"/>
          <w:szCs w:val="22"/>
        </w:rPr>
        <w:t xml:space="preserve">were </w:t>
      </w:r>
      <w:r w:rsidRPr="003E7C59">
        <w:rPr>
          <w:rFonts w:ascii="Arial" w:hAnsi="Arial" w:cs="Arial"/>
          <w:color w:val="000000" w:themeColor="text1"/>
          <w:sz w:val="22"/>
          <w:szCs w:val="22"/>
        </w:rPr>
        <w:t xml:space="preserve">either the same or co-linked due </w:t>
      </w:r>
      <w:r w:rsidR="00A72D83" w:rsidRPr="003E7C59">
        <w:rPr>
          <w:rFonts w:ascii="Arial" w:hAnsi="Arial" w:cs="Arial"/>
          <w:color w:val="000000" w:themeColor="text1"/>
          <w:sz w:val="22"/>
          <w:szCs w:val="22"/>
        </w:rPr>
        <w:t xml:space="preserve">to </w:t>
      </w:r>
      <w:r w:rsidRPr="003E7C59">
        <w:rPr>
          <w:rFonts w:ascii="Arial" w:hAnsi="Arial" w:cs="Arial"/>
          <w:color w:val="000000" w:themeColor="text1"/>
          <w:sz w:val="22"/>
          <w:szCs w:val="22"/>
        </w:rPr>
        <w:t xml:space="preserve">their proximity (LOD peaks were 7 cM apart) (Parikh et al., 2017). Thus, QTL detected in their study explained only a small proportion of the total phenotypic variance, and additional genetic loci </w:t>
      </w:r>
      <w:proofErr w:type="gramStart"/>
      <w:r w:rsidRPr="003E7C59">
        <w:rPr>
          <w:rFonts w:ascii="Arial" w:hAnsi="Arial" w:cs="Arial"/>
          <w:color w:val="000000" w:themeColor="text1"/>
          <w:sz w:val="22"/>
          <w:szCs w:val="22"/>
        </w:rPr>
        <w:t>were identified</w:t>
      </w:r>
      <w:proofErr w:type="gramEnd"/>
      <w:r w:rsidRPr="003E7C59">
        <w:rPr>
          <w:rFonts w:ascii="Arial" w:hAnsi="Arial" w:cs="Arial"/>
          <w:color w:val="000000" w:themeColor="text1"/>
          <w:sz w:val="22"/>
          <w:szCs w:val="22"/>
        </w:rPr>
        <w:t xml:space="preserve"> in a study conducted by Pfarr et al. (2022). However, the two QTL detected on LG 3, QTLPM-5 (R2 =7.8%, LOD = 3.3) and QTLPM-6 (R2 =58.9%, LOD = 11.36), respectively, also might be at the same locus or co-linked due their similar locations. Interestingly, two QTL found in this study, QTLPM-7 (R2 = 19%, LOD = 3.6) and QTLPM-8 (R2 = 25.19%, LOD = 4.3), </w:t>
      </w:r>
      <w:r w:rsidR="00006514" w:rsidRPr="003E7C59">
        <w:rPr>
          <w:rFonts w:ascii="Arial" w:hAnsi="Arial" w:cs="Arial"/>
          <w:color w:val="000000" w:themeColor="text1"/>
          <w:sz w:val="22"/>
          <w:szCs w:val="22"/>
        </w:rPr>
        <w:t>coincided with QTL</w:t>
      </w:r>
      <w:r w:rsidR="009F4DDF" w:rsidRPr="003E7C59">
        <w:rPr>
          <w:rFonts w:ascii="Arial" w:hAnsi="Arial" w:cs="Arial"/>
          <w:color w:val="000000" w:themeColor="text1"/>
          <w:sz w:val="22"/>
          <w:szCs w:val="22"/>
        </w:rPr>
        <w:t xml:space="preserve"> on linkage group 8 and 9 previously</w:t>
      </w:r>
      <w:r w:rsidR="00006514"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 xml:space="preserve">published by Parikh et al. (2017). Negative additive effects of both QTL implied that heterozygotes (markers designated with the letter “C”) in the pseudo-F2 population had higher ratings than homozygotes (Wang et al., 2009), and similar results were found by Pfarr et al. (2022). Interestingly, although phenotypic data on PM resistance </w:t>
      </w:r>
      <w:proofErr w:type="gramStart"/>
      <w:r w:rsidRPr="003E7C59">
        <w:rPr>
          <w:rFonts w:ascii="Arial" w:hAnsi="Arial" w:cs="Arial"/>
          <w:color w:val="000000" w:themeColor="text1"/>
          <w:sz w:val="22"/>
          <w:szCs w:val="22"/>
        </w:rPr>
        <w:t>was collected</w:t>
      </w:r>
      <w:proofErr w:type="gramEnd"/>
      <w:r w:rsidRPr="003E7C59">
        <w:rPr>
          <w:rFonts w:ascii="Arial" w:hAnsi="Arial" w:cs="Arial"/>
          <w:color w:val="000000" w:themeColor="text1"/>
          <w:sz w:val="22"/>
          <w:szCs w:val="22"/>
        </w:rPr>
        <w:t xml:space="preserve"> over the six years (2017-2022), no significant QTL were detected in the following years: 2019, 2020, 2021, and 2022, which may be due to varying disease pressure followed by different environmental conditions such as the amount of rainfall and frost intensity. </w:t>
      </w:r>
      <w:r w:rsidR="00880110" w:rsidRPr="003E7C59">
        <w:rPr>
          <w:rFonts w:ascii="Arial" w:hAnsi="Arial" w:cs="Arial"/>
          <w:color w:val="000000" w:themeColor="text1"/>
          <w:sz w:val="22"/>
          <w:szCs w:val="22"/>
        </w:rPr>
        <w:t>La</w:t>
      </w:r>
      <w:r w:rsidR="005D55BA" w:rsidRPr="003E7C59">
        <w:rPr>
          <w:rFonts w:ascii="Arial" w:hAnsi="Arial" w:cs="Arial"/>
          <w:color w:val="000000" w:themeColor="text1"/>
          <w:sz w:val="22"/>
          <w:szCs w:val="22"/>
        </w:rPr>
        <w:t>t</w:t>
      </w:r>
      <w:r w:rsidR="00880110" w:rsidRPr="003E7C59">
        <w:rPr>
          <w:rFonts w:ascii="Arial" w:hAnsi="Arial" w:cs="Arial"/>
          <w:color w:val="000000" w:themeColor="text1"/>
          <w:sz w:val="22"/>
          <w:szCs w:val="22"/>
        </w:rPr>
        <w:t>ter</w:t>
      </w:r>
      <w:r w:rsidRPr="003E7C59">
        <w:rPr>
          <w:rFonts w:ascii="Arial" w:hAnsi="Arial" w:cs="Arial"/>
          <w:color w:val="000000" w:themeColor="text1"/>
          <w:sz w:val="22"/>
          <w:szCs w:val="22"/>
        </w:rPr>
        <w:t xml:space="preserve">, confirmed difficulties of working with the obligate parasitic nature of PM pathogens. Likewise, Pfarr et al. (2022) did not detect significant QTL in 2020 due to low disease pressure, whereas Parikh et al. (2017) had only one year of data collection. QTL detection is affected by numerous factors, such as population size, absence of genotypic replication due to difficulty in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propagation, and the quantitative nature of PM disease resistance. For instance, Parikh et al. (2017) found only 41% of 105 tested SSR markers previously developed by Wang et al. (2009) to be polymorphic in their F1 populations containing 147 individuals. On the contrary, Pfarr et al. (2022) constructed the first two high-density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florida</w:t>
      </w:r>
      <w:r w:rsidRPr="003E7C59">
        <w:rPr>
          <w:rFonts w:ascii="Arial" w:hAnsi="Arial" w:cs="Arial"/>
          <w:color w:val="000000" w:themeColor="text1"/>
          <w:sz w:val="22"/>
          <w:szCs w:val="22"/>
        </w:rPr>
        <w:t xml:space="preserve"> linkage maps using double digest restriction-site associated DNA sequencing-derived (ddRadseq) single nucleotide polymorphisms (SNP), which yielded 2265 markers. However, the F1 H4AR15P25 x H4AR15P</w:t>
      </w:r>
      <w:r w:rsidR="008E4476" w:rsidRPr="003E7C59">
        <w:rPr>
          <w:rFonts w:ascii="Arial" w:hAnsi="Arial" w:cs="Arial"/>
          <w:color w:val="000000" w:themeColor="text1"/>
          <w:sz w:val="22"/>
          <w:szCs w:val="22"/>
        </w:rPr>
        <w:t>35</w:t>
      </w:r>
      <w:r w:rsidRPr="003E7C59">
        <w:rPr>
          <w:rFonts w:ascii="Arial" w:hAnsi="Arial" w:cs="Arial"/>
          <w:color w:val="000000" w:themeColor="text1"/>
          <w:sz w:val="22"/>
          <w:szCs w:val="22"/>
        </w:rPr>
        <w:t xml:space="preserve"> population had only 84 individuals compared to 196 of the F1 H4AR15P25 x H4AR15P28, whereas a major QTLPM-6 </w:t>
      </w:r>
      <w:proofErr w:type="gramStart"/>
      <w:r w:rsidRPr="003E7C59">
        <w:rPr>
          <w:rFonts w:ascii="Arial" w:hAnsi="Arial" w:cs="Arial"/>
          <w:color w:val="000000" w:themeColor="text1"/>
          <w:sz w:val="22"/>
          <w:szCs w:val="22"/>
        </w:rPr>
        <w:t>was f</w:t>
      </w:r>
      <w:r w:rsidR="002107A5" w:rsidRPr="003E7C59">
        <w:rPr>
          <w:rFonts w:ascii="Arial" w:hAnsi="Arial" w:cs="Arial"/>
          <w:color w:val="000000" w:themeColor="text1"/>
          <w:sz w:val="22"/>
          <w:szCs w:val="22"/>
        </w:rPr>
        <w:t>ound</w:t>
      </w:r>
      <w:proofErr w:type="gramEnd"/>
      <w:r w:rsidR="002107A5" w:rsidRPr="003E7C59">
        <w:rPr>
          <w:rFonts w:ascii="Arial" w:hAnsi="Arial" w:cs="Arial"/>
          <w:color w:val="000000" w:themeColor="text1"/>
          <w:sz w:val="22"/>
          <w:szCs w:val="22"/>
        </w:rPr>
        <w:t xml:space="preserve"> in</w:t>
      </w:r>
      <w:r w:rsidR="003B0F64"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H4AR15P25 x H4AR15P</w:t>
      </w:r>
      <w:r w:rsidR="008E4476" w:rsidRPr="003E7C59">
        <w:rPr>
          <w:rFonts w:ascii="Arial" w:hAnsi="Arial" w:cs="Arial"/>
          <w:color w:val="000000" w:themeColor="text1"/>
          <w:sz w:val="22"/>
          <w:szCs w:val="22"/>
        </w:rPr>
        <w:t>35</w:t>
      </w:r>
      <w:r w:rsidRPr="003E7C59">
        <w:rPr>
          <w:rFonts w:ascii="Arial" w:hAnsi="Arial" w:cs="Arial"/>
          <w:color w:val="000000" w:themeColor="text1"/>
          <w:sz w:val="22"/>
          <w:szCs w:val="22"/>
        </w:rPr>
        <w:t xml:space="preserve"> population. This study was the only one to employ a pseudo-F2 map population for QTL detection. However, due to harsh environmental conditions, shallow soil, deer grazing, and disease susceptibility to both PM and spot anthracnose, only 71 trees out of 94 genotyped were included in the study, which could have impacted the ability to detect additional QTL. Hence, to complement obtained results, we conducted additional studies, which included ddRadseq, and PM </w:t>
      </w:r>
      <w:proofErr w:type="gramStart"/>
      <w:r w:rsidRPr="003E7C59">
        <w:rPr>
          <w:rFonts w:ascii="Arial" w:hAnsi="Arial" w:cs="Arial"/>
          <w:color w:val="000000" w:themeColor="text1"/>
          <w:sz w:val="22"/>
          <w:szCs w:val="22"/>
        </w:rPr>
        <w:t>phenotyping</w:t>
      </w:r>
      <w:proofErr w:type="gramEnd"/>
      <w:r w:rsidRPr="003E7C59">
        <w:rPr>
          <w:rFonts w:ascii="Arial" w:hAnsi="Arial" w:cs="Arial"/>
          <w:color w:val="000000" w:themeColor="text1"/>
          <w:sz w:val="22"/>
          <w:szCs w:val="22"/>
        </w:rPr>
        <w:t xml:space="preserve"> of 140 individuals (data unshown). Still, we did not obtain the map that we </w:t>
      </w:r>
      <w:r w:rsidRPr="003E7C59">
        <w:rPr>
          <w:rFonts w:ascii="Arial" w:hAnsi="Arial" w:cs="Arial"/>
          <w:color w:val="000000" w:themeColor="text1"/>
          <w:sz w:val="22"/>
          <w:szCs w:val="22"/>
        </w:rPr>
        <w:lastRenderedPageBreak/>
        <w:t xml:space="preserve">anticipated, which could have been due to the following factors: the sample’s age, </w:t>
      </w:r>
      <w:proofErr w:type="gramStart"/>
      <w:r w:rsidRPr="003E7C59">
        <w:rPr>
          <w:rFonts w:ascii="Arial" w:hAnsi="Arial" w:cs="Arial"/>
          <w:color w:val="000000" w:themeColor="text1"/>
          <w:sz w:val="22"/>
          <w:szCs w:val="22"/>
        </w:rPr>
        <w:t>ddRadseq library preparation protocol</w:t>
      </w:r>
      <w:proofErr w:type="gramEnd"/>
      <w:r w:rsidRPr="003E7C59">
        <w:rPr>
          <w:rFonts w:ascii="Arial" w:hAnsi="Arial" w:cs="Arial"/>
          <w:color w:val="000000" w:themeColor="text1"/>
          <w:sz w:val="22"/>
          <w:szCs w:val="22"/>
        </w:rPr>
        <w:t>, and sequence quality</w:t>
      </w:r>
      <w:r w:rsidR="001A5B43" w:rsidRPr="003E7C59">
        <w:rPr>
          <w:rFonts w:ascii="Arial" w:hAnsi="Arial" w:cs="Arial"/>
          <w:color w:val="000000" w:themeColor="text1"/>
          <w:sz w:val="22"/>
          <w:szCs w:val="22"/>
        </w:rPr>
        <w:t xml:space="preserve"> (data not shown)</w:t>
      </w:r>
      <w:r w:rsidRPr="003E7C59">
        <w:rPr>
          <w:rFonts w:ascii="Arial" w:hAnsi="Arial" w:cs="Arial"/>
          <w:color w:val="000000" w:themeColor="text1"/>
          <w:sz w:val="22"/>
          <w:szCs w:val="22"/>
        </w:rPr>
        <w:t xml:space="preserve">.  </w:t>
      </w:r>
    </w:p>
    <w:p w14:paraId="6DE783EC" w14:textId="77777777" w:rsidR="00B51BF9" w:rsidRPr="003E7C59" w:rsidRDefault="00B51BF9" w:rsidP="006622F2">
      <w:pPr>
        <w:spacing w:line="360" w:lineRule="auto"/>
        <w:ind w:firstLine="720"/>
        <w:rPr>
          <w:rFonts w:ascii="Arial" w:hAnsi="Arial" w:cs="Arial"/>
          <w:color w:val="000000" w:themeColor="text1"/>
          <w:sz w:val="22"/>
          <w:szCs w:val="22"/>
        </w:rPr>
      </w:pPr>
    </w:p>
    <w:p w14:paraId="65BCDAC9" w14:textId="03847F52" w:rsidR="00B51BF9" w:rsidRPr="003E7C59" w:rsidRDefault="00B51BF9" w:rsidP="006622F2">
      <w:pPr>
        <w:spacing w:line="360" w:lineRule="auto"/>
        <w:ind w:firstLine="720"/>
        <w:rPr>
          <w:rFonts w:ascii="Arial" w:hAnsi="Arial" w:cs="Arial"/>
          <w:color w:val="000000" w:themeColor="text1"/>
          <w:sz w:val="22"/>
          <w:szCs w:val="22"/>
          <w:shd w:val="clear" w:color="auto" w:fill="FCFCFC"/>
        </w:rPr>
      </w:pPr>
      <w:r w:rsidRPr="003E7C59">
        <w:rPr>
          <w:rFonts w:ascii="Arial" w:hAnsi="Arial" w:cs="Arial"/>
          <w:color w:val="000000" w:themeColor="text1"/>
          <w:sz w:val="22"/>
          <w:szCs w:val="22"/>
          <w:shd w:val="clear" w:color="auto" w:fill="FCFCFC"/>
        </w:rPr>
        <w:t xml:space="preserve">New emerging genotyping technologies such as Target SNP-seq combine multiplex PCR amplification and </w:t>
      </w:r>
      <w:proofErr w:type="gramStart"/>
      <w:r w:rsidRPr="003E7C59">
        <w:rPr>
          <w:rFonts w:ascii="Arial" w:hAnsi="Arial" w:cs="Arial"/>
          <w:color w:val="000000" w:themeColor="text1"/>
          <w:sz w:val="22"/>
          <w:szCs w:val="22"/>
          <w:shd w:val="clear" w:color="auto" w:fill="FCFCFC"/>
        </w:rPr>
        <w:t xml:space="preserve">high throughput sequencing </w:t>
      </w:r>
      <w:r w:rsidR="003B0F64" w:rsidRPr="003E7C59">
        <w:rPr>
          <w:rFonts w:ascii="Arial" w:hAnsi="Arial" w:cs="Arial"/>
          <w:color w:val="000000" w:themeColor="text1"/>
          <w:sz w:val="22"/>
          <w:szCs w:val="22"/>
          <w:shd w:val="clear" w:color="auto" w:fill="FCFCFC"/>
        </w:rPr>
        <w:t xml:space="preserve">is </w:t>
      </w:r>
      <w:r w:rsidRPr="003E7C59">
        <w:rPr>
          <w:rFonts w:ascii="Arial" w:hAnsi="Arial" w:cs="Arial"/>
          <w:color w:val="000000" w:themeColor="text1"/>
          <w:sz w:val="22"/>
          <w:szCs w:val="22"/>
          <w:shd w:val="clear" w:color="auto" w:fill="FCFCFC"/>
        </w:rPr>
        <w:t>leading to increased accuracy in SNP genome genotyping with high polymorphism and conserved flanking sequences (Zhang et al., 2020)</w:t>
      </w:r>
      <w:proofErr w:type="gramEnd"/>
      <w:r w:rsidRPr="003E7C59">
        <w:rPr>
          <w:rFonts w:ascii="Arial" w:hAnsi="Arial" w:cs="Arial"/>
          <w:color w:val="000000" w:themeColor="text1"/>
          <w:sz w:val="22"/>
          <w:szCs w:val="22"/>
          <w:shd w:val="clear" w:color="auto" w:fill="FCFCFC"/>
        </w:rPr>
        <w:t xml:space="preserve">. Target SSR-seq is another advanced methodology involving X </w:t>
      </w:r>
      <w:proofErr w:type="gramStart"/>
      <w:r w:rsidRPr="003E7C59">
        <w:rPr>
          <w:rFonts w:ascii="Arial" w:hAnsi="Arial" w:cs="Arial"/>
          <w:color w:val="000000" w:themeColor="text1"/>
          <w:sz w:val="22"/>
          <w:szCs w:val="22"/>
          <w:shd w:val="clear" w:color="auto" w:fill="FCFCFC"/>
        </w:rPr>
        <w:t>Ten</w:t>
      </w:r>
      <w:proofErr w:type="gramEnd"/>
      <w:r w:rsidRPr="003E7C59">
        <w:rPr>
          <w:rFonts w:ascii="Arial" w:hAnsi="Arial" w:cs="Arial"/>
          <w:color w:val="000000" w:themeColor="text1"/>
          <w:sz w:val="22"/>
          <w:szCs w:val="22"/>
          <w:shd w:val="clear" w:color="auto" w:fill="FCFCFC"/>
        </w:rPr>
        <w:t xml:space="preserve"> platform to capture genome-wide SSRs with stable motifs and flanking regions (Yang et al., 2019). Implementing these and other methods, such as Ion Torrent (Zhang et al., 2017; Onda et al., 2018) and AmpSeq (Yang et al., 2016), lead the way to overcome some of the difficulties related to marker data generation indicated above.</w:t>
      </w:r>
    </w:p>
    <w:p w14:paraId="19223A26" w14:textId="77777777" w:rsidR="00B51BF9" w:rsidRPr="003E7C59" w:rsidRDefault="00B51BF9" w:rsidP="006622F2">
      <w:pPr>
        <w:spacing w:line="360" w:lineRule="auto"/>
        <w:ind w:firstLine="720"/>
        <w:rPr>
          <w:rFonts w:ascii="Arial" w:hAnsi="Arial" w:cs="Arial"/>
          <w:color w:val="000000" w:themeColor="text1"/>
          <w:sz w:val="22"/>
          <w:szCs w:val="22"/>
          <w:shd w:val="clear" w:color="auto" w:fill="FCFCFC"/>
        </w:rPr>
      </w:pPr>
    </w:p>
    <w:p w14:paraId="511D7136" w14:textId="760B38D0" w:rsidR="00B51BF9" w:rsidRPr="003E7C59" w:rsidRDefault="00B51BF9" w:rsidP="006622F2">
      <w:pPr>
        <w:spacing w:line="360" w:lineRule="auto"/>
        <w:ind w:firstLine="720"/>
        <w:rPr>
          <w:rFonts w:ascii="Arial" w:hAnsi="Arial" w:cs="Arial"/>
          <w:color w:val="000000" w:themeColor="text1"/>
          <w:sz w:val="22"/>
          <w:szCs w:val="22"/>
          <w:shd w:val="clear" w:color="auto" w:fill="FCFCFC"/>
        </w:rPr>
      </w:pPr>
      <w:r w:rsidRPr="003E7C59">
        <w:rPr>
          <w:rFonts w:ascii="Arial" w:hAnsi="Arial" w:cs="Arial"/>
          <w:color w:val="000000" w:themeColor="text1"/>
          <w:sz w:val="22"/>
          <w:szCs w:val="22"/>
          <w:shd w:val="clear" w:color="auto" w:fill="FCFCFC"/>
        </w:rPr>
        <w:t xml:space="preserve">To date, applied dogwood breeding relied on repetitive selection to improve quantitative traits of horticultural importance (Windham and Witte, 1998; Windham et al., 2003; Wadl et al., 2013; Molnar et al., 2017). Although, during the last decade, efforts were made to incorporate MAS into challenging dogwood breeding (Wang et al., 2008; Wang et al., 2009; Wadl et al., 2011; Wadl et al., 2014; Parkih et al., 2017; </w:t>
      </w:r>
      <w:r w:rsidRPr="003E7C59">
        <w:rPr>
          <w:rFonts w:ascii="Arial" w:hAnsi="Arial" w:cs="Arial"/>
          <w:color w:val="000000" w:themeColor="text1"/>
          <w:sz w:val="22"/>
          <w:szCs w:val="22"/>
        </w:rPr>
        <w:t xml:space="preserve">Yu et al., 2017; </w:t>
      </w:r>
      <w:r w:rsidRPr="003E7C59">
        <w:rPr>
          <w:rFonts w:ascii="Arial" w:hAnsi="Arial" w:cs="Arial"/>
          <w:color w:val="000000" w:themeColor="text1"/>
          <w:sz w:val="22"/>
          <w:szCs w:val="22"/>
          <w:shd w:val="clear" w:color="auto" w:fill="FCFCFC"/>
        </w:rPr>
        <w:t>Pfarr et al., 2022). MAS employs a DNA marker strategy to detect the presence of new allelic combinations in the genes controlling traits of interest, such as BSR, DR, and tolerance to abiotic stress (Ribaut and Hoisington, 1988; Collard and Mackill, 2008; Xu and Crouch, 2008). Using DNA markers to detect QTL controlling important traits brought one of the most significant advances in the characterization of quantitative traits. However, confirming and validating QTL positions is crucial besides solely identifying QTL. QTL validation involves the application of markers within a 10 cM window spanning and flanking a QTL (Collard and Mackill, 2008; Yang et al., 2019; Zhang et al., 2020). Therefore, the next step towards applying MAS in dogwood breeding based on identified QTL (</w:t>
      </w:r>
      <w:r w:rsidRPr="003E7C59">
        <w:rPr>
          <w:rFonts w:ascii="Arial" w:hAnsi="Arial" w:cs="Arial"/>
          <w:color w:val="000000" w:themeColor="text1"/>
          <w:sz w:val="22"/>
          <w:szCs w:val="22"/>
        </w:rPr>
        <w:t>QTLPM-7 and QTLPM-8</w:t>
      </w:r>
      <w:r w:rsidRPr="003E7C59">
        <w:rPr>
          <w:rFonts w:ascii="Arial" w:hAnsi="Arial" w:cs="Arial"/>
          <w:color w:val="000000" w:themeColor="text1"/>
          <w:sz w:val="22"/>
          <w:szCs w:val="22"/>
          <w:shd w:val="clear" w:color="auto" w:fill="FCFCFC"/>
        </w:rPr>
        <w:t xml:space="preserve">) associated with </w:t>
      </w:r>
      <w:r w:rsidR="006D5733" w:rsidRPr="003E7C59">
        <w:rPr>
          <w:rFonts w:ascii="Arial" w:hAnsi="Arial" w:cs="Arial"/>
          <w:color w:val="000000" w:themeColor="text1"/>
          <w:sz w:val="22"/>
          <w:szCs w:val="22"/>
          <w:shd w:val="clear" w:color="auto" w:fill="FCFCFC"/>
        </w:rPr>
        <w:t>PM</w:t>
      </w:r>
      <w:r w:rsidRPr="003E7C59">
        <w:rPr>
          <w:rFonts w:ascii="Arial" w:hAnsi="Arial" w:cs="Arial"/>
          <w:color w:val="000000" w:themeColor="text1"/>
          <w:sz w:val="22"/>
          <w:szCs w:val="22"/>
          <w:shd w:val="clear" w:color="auto" w:fill="FCFCFC"/>
        </w:rPr>
        <w:t xml:space="preserve"> requires more studies with various breeding populations over several years </w:t>
      </w:r>
      <w:proofErr w:type="gramStart"/>
      <w:r w:rsidRPr="003E7C59">
        <w:rPr>
          <w:rFonts w:ascii="Arial" w:hAnsi="Arial" w:cs="Arial"/>
          <w:color w:val="000000" w:themeColor="text1"/>
          <w:sz w:val="22"/>
          <w:szCs w:val="22"/>
          <w:shd w:val="clear" w:color="auto" w:fill="FCFCFC"/>
        </w:rPr>
        <w:t>to further verify</w:t>
      </w:r>
      <w:proofErr w:type="gramEnd"/>
      <w:r w:rsidRPr="003E7C59">
        <w:rPr>
          <w:rFonts w:ascii="Arial" w:hAnsi="Arial" w:cs="Arial"/>
          <w:color w:val="000000" w:themeColor="text1"/>
          <w:sz w:val="22"/>
          <w:szCs w:val="22"/>
          <w:shd w:val="clear" w:color="auto" w:fill="FCFCFC"/>
        </w:rPr>
        <w:t xml:space="preserve"> identified QTL. </w:t>
      </w:r>
    </w:p>
    <w:p w14:paraId="718D014D" w14:textId="77777777" w:rsidR="00B51BF9" w:rsidRPr="003E7C59" w:rsidRDefault="00B51BF9" w:rsidP="006622F2">
      <w:pPr>
        <w:pStyle w:val="Heading3"/>
        <w:spacing w:line="360" w:lineRule="auto"/>
        <w:rPr>
          <w:rFonts w:ascii="Arial" w:hAnsi="Arial" w:cs="Arial"/>
          <w:color w:val="000000" w:themeColor="text1"/>
          <w:sz w:val="22"/>
          <w:szCs w:val="22"/>
          <w:lang w:bidi="en-US"/>
        </w:rPr>
      </w:pPr>
    </w:p>
    <w:p w14:paraId="4977DB43" w14:textId="77777777" w:rsidR="00B51BF9" w:rsidRPr="003E7C59" w:rsidRDefault="00B51BF9" w:rsidP="006622F2">
      <w:pPr>
        <w:pStyle w:val="Heading3"/>
        <w:spacing w:line="360" w:lineRule="auto"/>
        <w:rPr>
          <w:rFonts w:ascii="Arial" w:hAnsi="Arial" w:cs="Arial"/>
          <w:color w:val="000000" w:themeColor="text1"/>
          <w:sz w:val="22"/>
          <w:szCs w:val="22"/>
          <w:lang w:bidi="en-US"/>
        </w:rPr>
      </w:pPr>
    </w:p>
    <w:p w14:paraId="16236F96" w14:textId="77777777" w:rsidR="00B51BF9" w:rsidRPr="003E7C59" w:rsidRDefault="00B51BF9" w:rsidP="006622F2">
      <w:pPr>
        <w:pStyle w:val="Heading3"/>
        <w:spacing w:line="360" w:lineRule="auto"/>
        <w:rPr>
          <w:rFonts w:ascii="Arial" w:hAnsi="Arial" w:cs="Arial"/>
          <w:color w:val="000000" w:themeColor="text1"/>
          <w:sz w:val="22"/>
          <w:szCs w:val="22"/>
          <w:lang w:bidi="en-US"/>
        </w:rPr>
      </w:pPr>
    </w:p>
    <w:p w14:paraId="23AFBE6F" w14:textId="77777777" w:rsidR="00EC16C3" w:rsidRPr="003E7C59" w:rsidRDefault="00EC16C3" w:rsidP="006622F2">
      <w:pPr>
        <w:pStyle w:val="Heading3"/>
        <w:spacing w:before="0" w:beforeAutospacing="0" w:after="0" w:afterAutospacing="0"/>
        <w:rPr>
          <w:rFonts w:ascii="Arial" w:hAnsi="Arial" w:cs="Arial"/>
          <w:color w:val="000000" w:themeColor="text1"/>
          <w:sz w:val="22"/>
          <w:szCs w:val="22"/>
          <w:lang w:bidi="en-US"/>
        </w:rPr>
        <w:sectPr w:rsidR="00EC16C3" w:rsidRPr="003E7C59" w:rsidSect="001B1244">
          <w:pgSz w:w="12240" w:h="15840"/>
          <w:pgMar w:top="1440" w:right="1440" w:bottom="1440" w:left="1440" w:header="720" w:footer="720" w:gutter="0"/>
          <w:cols w:space="720"/>
          <w:titlePg/>
          <w:docGrid w:linePitch="360"/>
        </w:sectPr>
      </w:pPr>
    </w:p>
    <w:p w14:paraId="51972190" w14:textId="77777777" w:rsidR="00794BA6" w:rsidRPr="003E7C59" w:rsidRDefault="00FC5BAB" w:rsidP="006622F2">
      <w:pPr>
        <w:pStyle w:val="Heading3"/>
        <w:spacing w:before="0" w:beforeAutospacing="0" w:after="0" w:afterAutospacing="0"/>
        <w:rPr>
          <w:rFonts w:ascii="Arial" w:hAnsi="Arial" w:cs="Arial"/>
          <w:color w:val="000000" w:themeColor="text1"/>
          <w:sz w:val="22"/>
          <w:szCs w:val="22"/>
          <w:lang w:bidi="en-US"/>
        </w:rPr>
      </w:pPr>
      <w:bookmarkStart w:id="158" w:name="_Toc121476130"/>
      <w:bookmarkStart w:id="159" w:name="_Toc121476320"/>
      <w:bookmarkStart w:id="160" w:name="_Toc121476414"/>
      <w:bookmarkStart w:id="161" w:name="_Toc121476465"/>
      <w:bookmarkStart w:id="162" w:name="_Toc121476723"/>
      <w:bookmarkStart w:id="163" w:name="_Toc121478477"/>
      <w:bookmarkStart w:id="164" w:name="_Toc121506892"/>
      <w:bookmarkStart w:id="165" w:name="_Toc121821888"/>
      <w:bookmarkStart w:id="166" w:name="_Toc121821948"/>
      <w:r w:rsidRPr="003E7C59">
        <w:rPr>
          <w:rFonts w:ascii="Arial" w:hAnsi="Arial" w:cs="Arial"/>
          <w:color w:val="000000" w:themeColor="text1"/>
          <w:sz w:val="22"/>
          <w:szCs w:val="22"/>
          <w:lang w:bidi="en-US"/>
        </w:rPr>
        <w:softHyphen/>
      </w:r>
      <w:bookmarkEnd w:id="158"/>
      <w:bookmarkEnd w:id="159"/>
      <w:bookmarkEnd w:id="160"/>
      <w:bookmarkEnd w:id="161"/>
      <w:bookmarkEnd w:id="162"/>
      <w:bookmarkEnd w:id="163"/>
      <w:bookmarkEnd w:id="164"/>
      <w:bookmarkEnd w:id="165"/>
      <w:bookmarkEnd w:id="166"/>
    </w:p>
    <w:p w14:paraId="0E4525F2" w14:textId="0F9E93C2" w:rsidR="00FC5BAB" w:rsidRPr="003E7C59" w:rsidRDefault="00FC5BAB" w:rsidP="006622F2">
      <w:pPr>
        <w:pStyle w:val="Heading3"/>
        <w:spacing w:before="0" w:beforeAutospacing="0" w:after="0" w:afterAutospacing="0"/>
        <w:rPr>
          <w:rFonts w:ascii="Arial" w:hAnsi="Arial" w:cs="Arial"/>
          <w:color w:val="000000" w:themeColor="text1"/>
          <w:sz w:val="22"/>
          <w:szCs w:val="22"/>
          <w:lang w:bidi="en-US"/>
        </w:rPr>
      </w:pPr>
      <w:bookmarkStart w:id="167" w:name="_Toc121821949"/>
      <w:r w:rsidRPr="003E7C59">
        <w:rPr>
          <w:rFonts w:ascii="Arial" w:hAnsi="Arial" w:cs="Arial"/>
          <w:color w:val="000000" w:themeColor="text1"/>
          <w:sz w:val="22"/>
          <w:szCs w:val="22"/>
          <w:lang w:bidi="en-US"/>
        </w:rPr>
        <w:lastRenderedPageBreak/>
        <w:t>Appendix: Tables and Figure</w:t>
      </w:r>
      <w:bookmarkEnd w:id="167"/>
    </w:p>
    <w:p w14:paraId="7232B376" w14:textId="77777777" w:rsidR="00EC16C3" w:rsidRPr="003E7C59" w:rsidRDefault="00EC16C3" w:rsidP="006622F2">
      <w:pPr>
        <w:pStyle w:val="Heading3"/>
        <w:spacing w:before="0" w:beforeAutospacing="0" w:after="0" w:afterAutospacing="0"/>
        <w:rPr>
          <w:rFonts w:ascii="Arial" w:hAnsi="Arial" w:cs="Arial"/>
          <w:color w:val="000000" w:themeColor="text1"/>
          <w:sz w:val="22"/>
          <w:szCs w:val="22"/>
          <w:lang w:bidi="en-US"/>
        </w:rPr>
      </w:pPr>
    </w:p>
    <w:p w14:paraId="0DCD6C24" w14:textId="5BA6889A" w:rsidR="00FC5BAB" w:rsidRPr="003E7C59" w:rsidRDefault="00FC5BAB" w:rsidP="00C312F7">
      <w:pPr>
        <w:pStyle w:val="TableofAuthorities"/>
        <w:rPr>
          <w:rFonts w:ascii="Arial" w:hAnsi="Arial" w:cs="Arial"/>
          <w:sz w:val="22"/>
          <w:szCs w:val="22"/>
        </w:rPr>
      </w:pPr>
      <w:bookmarkStart w:id="168" w:name="_Toc121475350"/>
      <w:bookmarkStart w:id="169" w:name="_Toc121476622"/>
      <w:bookmarkStart w:id="170" w:name="_Toc121478552"/>
      <w:bookmarkStart w:id="171" w:name="_Toc121479473"/>
      <w:bookmarkStart w:id="172" w:name="_Toc121479903"/>
      <w:r w:rsidRPr="003E7C59">
        <w:rPr>
          <w:rFonts w:ascii="Arial" w:hAnsi="Arial" w:cs="Arial"/>
          <w:sz w:val="22"/>
          <w:szCs w:val="22"/>
        </w:rPr>
        <w:t xml:space="preserve">Table 2.1. Segregation data and proposed gene action for powdery mildew resistance in pseudo-F2 </w:t>
      </w:r>
      <w:r w:rsidRPr="00C312F7">
        <w:rPr>
          <w:rFonts w:ascii="Arial" w:hAnsi="Arial" w:cs="Arial"/>
          <w:i/>
          <w:iCs/>
          <w:sz w:val="22"/>
          <w:szCs w:val="22"/>
        </w:rPr>
        <w:t xml:space="preserve">Cornus </w:t>
      </w:r>
      <w:proofErr w:type="gramStart"/>
      <w:r w:rsidRPr="00C312F7">
        <w:rPr>
          <w:rFonts w:ascii="Arial" w:hAnsi="Arial" w:cs="Arial"/>
          <w:i/>
          <w:iCs/>
          <w:sz w:val="22"/>
          <w:szCs w:val="22"/>
        </w:rPr>
        <w:t>florida</w:t>
      </w:r>
      <w:proofErr w:type="gramEnd"/>
      <w:r w:rsidRPr="003E7C59">
        <w:rPr>
          <w:rFonts w:ascii="Arial" w:hAnsi="Arial" w:cs="Arial"/>
          <w:sz w:val="22"/>
          <w:szCs w:val="22"/>
        </w:rPr>
        <w:t xml:space="preserve"> population over </w:t>
      </w:r>
      <w:r w:rsidR="002D4597" w:rsidRPr="003E7C59">
        <w:rPr>
          <w:rFonts w:ascii="Arial" w:hAnsi="Arial" w:cs="Arial"/>
          <w:sz w:val="22"/>
          <w:szCs w:val="22"/>
        </w:rPr>
        <w:t xml:space="preserve">five </w:t>
      </w:r>
      <w:r w:rsidRPr="003E7C59">
        <w:rPr>
          <w:rFonts w:ascii="Arial" w:hAnsi="Arial" w:cs="Arial"/>
          <w:sz w:val="22"/>
          <w:szCs w:val="22"/>
        </w:rPr>
        <w:t>years.</w:t>
      </w:r>
      <w:bookmarkEnd w:id="168"/>
      <w:bookmarkEnd w:id="169"/>
      <w:bookmarkEnd w:id="170"/>
      <w:bookmarkEnd w:id="171"/>
      <w:bookmarkEnd w:id="172"/>
    </w:p>
    <w:p w14:paraId="1CBA4F89" w14:textId="77777777" w:rsidR="00FC5BAB" w:rsidRPr="003E7C59" w:rsidRDefault="00FC5BAB" w:rsidP="006622F2">
      <w:pPr>
        <w:rPr>
          <w:rFonts w:ascii="Arial" w:hAnsi="Arial" w:cs="Arial"/>
          <w:color w:val="000000" w:themeColor="text1"/>
          <w:sz w:val="22"/>
          <w:szCs w:val="22"/>
        </w:rPr>
      </w:pPr>
    </w:p>
    <w:p w14:paraId="328A05EC" w14:textId="77777777" w:rsidR="00FC5BAB" w:rsidRPr="003E7C59" w:rsidRDefault="00FC5BAB" w:rsidP="006622F2">
      <w:pPr>
        <w:rPr>
          <w:rFonts w:ascii="Arial" w:hAnsi="Arial" w:cs="Arial"/>
          <w:color w:val="000000" w:themeColor="text1"/>
          <w:sz w:val="22"/>
          <w:szCs w:val="22"/>
        </w:rPr>
      </w:pPr>
    </w:p>
    <w:tbl>
      <w:tblPr>
        <w:tblStyle w:val="TableGrid"/>
        <w:tblW w:w="5000" w:type="pct"/>
        <w:tblLook w:val="04A0" w:firstRow="1" w:lastRow="0" w:firstColumn="1" w:lastColumn="0" w:noHBand="0" w:noVBand="1"/>
      </w:tblPr>
      <w:tblGrid>
        <w:gridCol w:w="776"/>
        <w:gridCol w:w="943"/>
        <w:gridCol w:w="1027"/>
        <w:gridCol w:w="1277"/>
        <w:gridCol w:w="1289"/>
        <w:gridCol w:w="1289"/>
        <w:gridCol w:w="657"/>
        <w:gridCol w:w="729"/>
        <w:gridCol w:w="1373"/>
      </w:tblGrid>
      <w:tr w:rsidR="00E34EA6" w:rsidRPr="003E7C59" w14:paraId="74B05DAC" w14:textId="77777777" w:rsidTr="00654748">
        <w:trPr>
          <w:trHeight w:val="670"/>
        </w:trPr>
        <w:tc>
          <w:tcPr>
            <w:tcW w:w="414" w:type="pct"/>
            <w:vMerge w:val="restart"/>
            <w:tcBorders>
              <w:top w:val="single" w:sz="4" w:space="0" w:color="auto"/>
              <w:left w:val="nil"/>
              <w:bottom w:val="single" w:sz="4" w:space="0" w:color="auto"/>
              <w:right w:val="nil"/>
            </w:tcBorders>
          </w:tcPr>
          <w:p w14:paraId="74120FB0"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Dates</w:t>
            </w:r>
          </w:p>
        </w:tc>
        <w:tc>
          <w:tcPr>
            <w:tcW w:w="504" w:type="pct"/>
            <w:vMerge w:val="restart"/>
            <w:tcBorders>
              <w:top w:val="single" w:sz="4" w:space="0" w:color="auto"/>
              <w:left w:val="nil"/>
              <w:bottom w:val="single" w:sz="4" w:space="0" w:color="auto"/>
              <w:right w:val="nil"/>
            </w:tcBorders>
          </w:tcPr>
          <w:p w14:paraId="73F0D4C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Total number (no.) of trees</w:t>
            </w:r>
          </w:p>
        </w:tc>
        <w:tc>
          <w:tcPr>
            <w:tcW w:w="2609" w:type="pct"/>
            <w:gridSpan w:val="4"/>
            <w:tcBorders>
              <w:top w:val="single" w:sz="4" w:space="0" w:color="auto"/>
              <w:left w:val="nil"/>
              <w:bottom w:val="single" w:sz="4" w:space="0" w:color="auto"/>
              <w:right w:val="nil"/>
            </w:tcBorders>
          </w:tcPr>
          <w:p w14:paraId="79201AFA" w14:textId="77777777" w:rsidR="00FC5BAB" w:rsidRPr="003E7C59" w:rsidRDefault="00FC5BAB" w:rsidP="0038148F">
            <w:pPr>
              <w:rPr>
                <w:rFonts w:ascii="Arial" w:hAnsi="Arial" w:cs="Arial"/>
                <w:color w:val="000000" w:themeColor="text1"/>
                <w:sz w:val="22"/>
                <w:szCs w:val="22"/>
              </w:rPr>
            </w:pPr>
          </w:p>
          <w:p w14:paraId="5FB7E1AE"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Powdery mildew resistance</w:t>
            </w:r>
          </w:p>
        </w:tc>
        <w:tc>
          <w:tcPr>
            <w:tcW w:w="351" w:type="pct"/>
            <w:vMerge w:val="restart"/>
            <w:tcBorders>
              <w:top w:val="single" w:sz="4" w:space="0" w:color="auto"/>
              <w:left w:val="nil"/>
              <w:bottom w:val="single" w:sz="4" w:space="0" w:color="auto"/>
              <w:right w:val="nil"/>
            </w:tcBorders>
          </w:tcPr>
          <w:p w14:paraId="2C59A99A" w14:textId="77777777" w:rsidR="00FC5BAB" w:rsidRPr="003E7C59" w:rsidRDefault="00FC5BAB" w:rsidP="0038148F">
            <w:pPr>
              <w:jc w:val="center"/>
              <w:rPr>
                <w:rFonts w:ascii="Arial" w:hAnsi="Arial" w:cs="Arial"/>
                <w:color w:val="000000" w:themeColor="text1"/>
                <w:sz w:val="22"/>
                <w:szCs w:val="22"/>
              </w:rPr>
            </w:pPr>
            <m:oMathPara>
              <m:oMath>
                <m:r>
                  <m:rPr>
                    <m:sty m:val="p"/>
                  </m:rPr>
                  <w:rPr>
                    <w:rFonts w:ascii="Cambria Math" w:hAnsi="Cambria Math" w:cs="Arial"/>
                    <w:color w:val="000000" w:themeColor="text1"/>
                    <w:sz w:val="22"/>
                    <w:szCs w:val="22"/>
                  </w:rPr>
                  <m:t>χ2</m:t>
                </m:r>
              </m:oMath>
            </m:oMathPara>
          </w:p>
          <w:p w14:paraId="06CC472D"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(1:1)</w:t>
            </w:r>
          </w:p>
        </w:tc>
        <w:tc>
          <w:tcPr>
            <w:tcW w:w="389" w:type="pct"/>
            <w:vMerge w:val="restart"/>
            <w:tcBorders>
              <w:top w:val="single" w:sz="4" w:space="0" w:color="auto"/>
              <w:left w:val="nil"/>
              <w:bottom w:val="single" w:sz="4" w:space="0" w:color="auto"/>
              <w:right w:val="nil"/>
            </w:tcBorders>
          </w:tcPr>
          <w:p w14:paraId="65D32EBC"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P</w:t>
            </w:r>
          </w:p>
          <w:p w14:paraId="71B4D4A2"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value</w:t>
            </w:r>
          </w:p>
        </w:tc>
        <w:tc>
          <w:tcPr>
            <w:tcW w:w="733" w:type="pct"/>
            <w:vMerge w:val="restart"/>
            <w:tcBorders>
              <w:top w:val="single" w:sz="4" w:space="0" w:color="auto"/>
              <w:left w:val="nil"/>
              <w:bottom w:val="single" w:sz="4" w:space="0" w:color="auto"/>
              <w:right w:val="nil"/>
            </w:tcBorders>
          </w:tcPr>
          <w:p w14:paraId="414E521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Proposed gene action</w:t>
            </w:r>
          </w:p>
        </w:tc>
      </w:tr>
      <w:tr w:rsidR="00684DEF" w:rsidRPr="003E7C59" w14:paraId="7149397A" w14:textId="77777777" w:rsidTr="00654748">
        <w:trPr>
          <w:trHeight w:val="670"/>
        </w:trPr>
        <w:tc>
          <w:tcPr>
            <w:tcW w:w="414" w:type="pct"/>
            <w:vMerge/>
            <w:tcBorders>
              <w:top w:val="single" w:sz="4" w:space="0" w:color="auto"/>
              <w:left w:val="nil"/>
              <w:bottom w:val="single" w:sz="4" w:space="0" w:color="auto"/>
              <w:right w:val="nil"/>
            </w:tcBorders>
          </w:tcPr>
          <w:p w14:paraId="2D069276" w14:textId="77777777" w:rsidR="00FC5BAB" w:rsidRPr="003E7C59" w:rsidRDefault="00FC5BAB" w:rsidP="0038148F">
            <w:pPr>
              <w:jc w:val="center"/>
              <w:rPr>
                <w:rFonts w:ascii="Arial" w:hAnsi="Arial" w:cs="Arial"/>
                <w:color w:val="000000" w:themeColor="text1"/>
                <w:sz w:val="22"/>
                <w:szCs w:val="22"/>
              </w:rPr>
            </w:pPr>
          </w:p>
        </w:tc>
        <w:tc>
          <w:tcPr>
            <w:tcW w:w="504" w:type="pct"/>
            <w:vMerge/>
            <w:tcBorders>
              <w:top w:val="single" w:sz="4" w:space="0" w:color="auto"/>
              <w:left w:val="nil"/>
              <w:bottom w:val="single" w:sz="4" w:space="0" w:color="auto"/>
              <w:right w:val="nil"/>
            </w:tcBorders>
          </w:tcPr>
          <w:p w14:paraId="702D7FD2" w14:textId="77777777" w:rsidR="00FC5BAB" w:rsidRPr="003E7C59" w:rsidRDefault="00FC5BAB" w:rsidP="0038148F">
            <w:pPr>
              <w:jc w:val="center"/>
              <w:rPr>
                <w:rFonts w:ascii="Arial" w:hAnsi="Arial" w:cs="Arial"/>
                <w:color w:val="000000" w:themeColor="text1"/>
                <w:sz w:val="22"/>
                <w:szCs w:val="22"/>
              </w:rPr>
            </w:pPr>
          </w:p>
        </w:tc>
        <w:tc>
          <w:tcPr>
            <w:tcW w:w="549" w:type="pct"/>
            <w:tcBorders>
              <w:top w:val="single" w:sz="4" w:space="0" w:color="auto"/>
              <w:left w:val="nil"/>
              <w:bottom w:val="single" w:sz="4" w:space="0" w:color="auto"/>
              <w:right w:val="nil"/>
            </w:tcBorders>
          </w:tcPr>
          <w:p w14:paraId="1C8D9C05" w14:textId="77777777" w:rsidR="00FC5BAB" w:rsidRPr="003E7C59" w:rsidRDefault="00FC5BAB" w:rsidP="0038148F">
            <w:pPr>
              <w:jc w:val="center"/>
              <w:rPr>
                <w:rFonts w:ascii="Arial" w:hAnsi="Arial" w:cs="Arial"/>
                <w:color w:val="000000" w:themeColor="text1"/>
                <w:sz w:val="22"/>
                <w:szCs w:val="22"/>
              </w:rPr>
            </w:pPr>
          </w:p>
          <w:p w14:paraId="7FA721B0"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No. resistant</w:t>
            </w:r>
          </w:p>
        </w:tc>
        <w:tc>
          <w:tcPr>
            <w:tcW w:w="682" w:type="pct"/>
            <w:tcBorders>
              <w:top w:val="single" w:sz="4" w:space="0" w:color="auto"/>
              <w:left w:val="nil"/>
              <w:bottom w:val="single" w:sz="4" w:space="0" w:color="auto"/>
              <w:right w:val="nil"/>
            </w:tcBorders>
          </w:tcPr>
          <w:p w14:paraId="49C44DC7" w14:textId="77777777" w:rsidR="00FC5BAB" w:rsidRPr="003E7C59" w:rsidRDefault="00FC5BAB" w:rsidP="0038148F">
            <w:pPr>
              <w:jc w:val="center"/>
              <w:rPr>
                <w:rFonts w:ascii="Arial" w:hAnsi="Arial" w:cs="Arial"/>
                <w:color w:val="000000" w:themeColor="text1"/>
                <w:sz w:val="22"/>
                <w:szCs w:val="22"/>
              </w:rPr>
            </w:pPr>
          </w:p>
          <w:p w14:paraId="0AE8BA6A"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No. moderately resistant</w:t>
            </w:r>
          </w:p>
        </w:tc>
        <w:tc>
          <w:tcPr>
            <w:tcW w:w="689" w:type="pct"/>
            <w:tcBorders>
              <w:top w:val="single" w:sz="4" w:space="0" w:color="auto"/>
              <w:left w:val="nil"/>
              <w:bottom w:val="single" w:sz="4" w:space="0" w:color="auto"/>
              <w:right w:val="nil"/>
            </w:tcBorders>
          </w:tcPr>
          <w:p w14:paraId="1D44364C" w14:textId="77777777" w:rsidR="00FC5BAB" w:rsidRPr="003E7C59" w:rsidRDefault="00FC5BAB" w:rsidP="0038148F">
            <w:pPr>
              <w:jc w:val="center"/>
              <w:rPr>
                <w:rFonts w:ascii="Arial" w:hAnsi="Arial" w:cs="Arial"/>
                <w:color w:val="000000" w:themeColor="text1"/>
                <w:sz w:val="22"/>
                <w:szCs w:val="22"/>
              </w:rPr>
            </w:pPr>
          </w:p>
          <w:p w14:paraId="5CE3C784"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No. moderately susceptible</w:t>
            </w:r>
          </w:p>
        </w:tc>
        <w:tc>
          <w:tcPr>
            <w:tcW w:w="689" w:type="pct"/>
            <w:tcBorders>
              <w:top w:val="single" w:sz="4" w:space="0" w:color="auto"/>
              <w:left w:val="nil"/>
              <w:bottom w:val="single" w:sz="4" w:space="0" w:color="auto"/>
              <w:right w:val="nil"/>
            </w:tcBorders>
          </w:tcPr>
          <w:p w14:paraId="2969FEDA" w14:textId="77777777" w:rsidR="00FC5BAB" w:rsidRPr="003E7C59" w:rsidRDefault="00FC5BAB" w:rsidP="0038148F">
            <w:pPr>
              <w:jc w:val="center"/>
              <w:rPr>
                <w:rFonts w:ascii="Arial" w:hAnsi="Arial" w:cs="Arial"/>
                <w:color w:val="000000" w:themeColor="text1"/>
                <w:sz w:val="22"/>
                <w:szCs w:val="22"/>
              </w:rPr>
            </w:pPr>
          </w:p>
          <w:p w14:paraId="6262BA40"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No.</w:t>
            </w:r>
          </w:p>
          <w:p w14:paraId="009006EA"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susceptible</w:t>
            </w:r>
          </w:p>
        </w:tc>
        <w:tc>
          <w:tcPr>
            <w:tcW w:w="351" w:type="pct"/>
            <w:vMerge/>
            <w:tcBorders>
              <w:top w:val="single" w:sz="4" w:space="0" w:color="auto"/>
              <w:left w:val="nil"/>
              <w:bottom w:val="single" w:sz="4" w:space="0" w:color="auto"/>
              <w:right w:val="nil"/>
            </w:tcBorders>
          </w:tcPr>
          <w:p w14:paraId="3065F46F" w14:textId="77777777" w:rsidR="00FC5BAB" w:rsidRPr="003E7C59" w:rsidRDefault="00FC5BAB" w:rsidP="0038148F">
            <w:pPr>
              <w:jc w:val="center"/>
              <w:rPr>
                <w:rFonts w:ascii="Arial" w:hAnsi="Arial" w:cs="Arial"/>
                <w:color w:val="000000" w:themeColor="text1"/>
                <w:sz w:val="22"/>
                <w:szCs w:val="22"/>
              </w:rPr>
            </w:pPr>
          </w:p>
        </w:tc>
        <w:tc>
          <w:tcPr>
            <w:tcW w:w="389" w:type="pct"/>
            <w:vMerge/>
            <w:tcBorders>
              <w:top w:val="single" w:sz="4" w:space="0" w:color="auto"/>
              <w:left w:val="nil"/>
              <w:bottom w:val="single" w:sz="4" w:space="0" w:color="auto"/>
              <w:right w:val="nil"/>
            </w:tcBorders>
          </w:tcPr>
          <w:p w14:paraId="525F0D5B" w14:textId="77777777" w:rsidR="00FC5BAB" w:rsidRPr="003E7C59" w:rsidRDefault="00FC5BAB" w:rsidP="0038148F">
            <w:pPr>
              <w:jc w:val="center"/>
              <w:rPr>
                <w:rFonts w:ascii="Arial" w:hAnsi="Arial" w:cs="Arial"/>
                <w:color w:val="000000" w:themeColor="text1"/>
                <w:sz w:val="22"/>
                <w:szCs w:val="22"/>
              </w:rPr>
            </w:pPr>
          </w:p>
        </w:tc>
        <w:tc>
          <w:tcPr>
            <w:tcW w:w="733" w:type="pct"/>
            <w:vMerge/>
            <w:tcBorders>
              <w:top w:val="single" w:sz="4" w:space="0" w:color="auto"/>
              <w:left w:val="nil"/>
              <w:bottom w:val="single" w:sz="4" w:space="0" w:color="auto"/>
              <w:right w:val="nil"/>
            </w:tcBorders>
          </w:tcPr>
          <w:p w14:paraId="239048E5" w14:textId="77777777" w:rsidR="00FC5BAB" w:rsidRPr="003E7C59" w:rsidRDefault="00FC5BAB" w:rsidP="0038148F">
            <w:pPr>
              <w:jc w:val="center"/>
              <w:rPr>
                <w:rFonts w:ascii="Arial" w:hAnsi="Arial" w:cs="Arial"/>
                <w:color w:val="000000" w:themeColor="text1"/>
                <w:sz w:val="22"/>
                <w:szCs w:val="22"/>
              </w:rPr>
            </w:pPr>
          </w:p>
        </w:tc>
      </w:tr>
      <w:tr w:rsidR="00684DEF" w:rsidRPr="003E7C59" w14:paraId="5E6EDF7C" w14:textId="77777777" w:rsidTr="00654748">
        <w:trPr>
          <w:trHeight w:val="447"/>
        </w:trPr>
        <w:tc>
          <w:tcPr>
            <w:tcW w:w="414" w:type="pct"/>
            <w:vMerge w:val="restart"/>
            <w:tcBorders>
              <w:top w:val="single" w:sz="4" w:space="0" w:color="auto"/>
              <w:left w:val="nil"/>
              <w:bottom w:val="nil"/>
              <w:right w:val="nil"/>
            </w:tcBorders>
          </w:tcPr>
          <w:p w14:paraId="212EF7AE" w14:textId="77777777" w:rsidR="00FC5BAB" w:rsidRPr="003E7C59" w:rsidRDefault="00FC5BAB" w:rsidP="0038148F">
            <w:pPr>
              <w:jc w:val="center"/>
              <w:rPr>
                <w:rFonts w:ascii="Arial" w:hAnsi="Arial" w:cs="Arial"/>
                <w:color w:val="000000" w:themeColor="text1"/>
                <w:sz w:val="22"/>
                <w:szCs w:val="22"/>
              </w:rPr>
            </w:pPr>
          </w:p>
          <w:p w14:paraId="21E09984"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2017</w:t>
            </w:r>
          </w:p>
        </w:tc>
        <w:tc>
          <w:tcPr>
            <w:tcW w:w="504" w:type="pct"/>
            <w:vMerge w:val="restart"/>
            <w:tcBorders>
              <w:top w:val="single" w:sz="4" w:space="0" w:color="auto"/>
              <w:left w:val="nil"/>
              <w:bottom w:val="nil"/>
              <w:right w:val="nil"/>
            </w:tcBorders>
          </w:tcPr>
          <w:p w14:paraId="406E257C" w14:textId="77777777" w:rsidR="00FC5BAB" w:rsidRPr="003E7C59" w:rsidRDefault="00FC5BAB" w:rsidP="0038148F">
            <w:pPr>
              <w:jc w:val="center"/>
              <w:rPr>
                <w:rFonts w:ascii="Arial" w:hAnsi="Arial" w:cs="Arial"/>
                <w:color w:val="000000" w:themeColor="text1"/>
                <w:sz w:val="22"/>
                <w:szCs w:val="22"/>
              </w:rPr>
            </w:pPr>
          </w:p>
          <w:p w14:paraId="5CA0D94A"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141</w:t>
            </w:r>
          </w:p>
        </w:tc>
        <w:tc>
          <w:tcPr>
            <w:tcW w:w="549" w:type="pct"/>
            <w:vMerge w:val="restart"/>
            <w:tcBorders>
              <w:top w:val="single" w:sz="4" w:space="0" w:color="auto"/>
              <w:left w:val="nil"/>
              <w:bottom w:val="nil"/>
              <w:right w:val="nil"/>
            </w:tcBorders>
          </w:tcPr>
          <w:p w14:paraId="21BCE485" w14:textId="77777777" w:rsidR="00FC5BAB" w:rsidRPr="003E7C59" w:rsidRDefault="00FC5BAB" w:rsidP="0038148F">
            <w:pPr>
              <w:rPr>
                <w:rFonts w:ascii="Arial" w:hAnsi="Arial" w:cs="Arial"/>
                <w:color w:val="000000" w:themeColor="text1"/>
                <w:sz w:val="22"/>
                <w:szCs w:val="22"/>
              </w:rPr>
            </w:pPr>
          </w:p>
          <w:p w14:paraId="669786B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122</w:t>
            </w:r>
          </w:p>
        </w:tc>
        <w:tc>
          <w:tcPr>
            <w:tcW w:w="682" w:type="pct"/>
            <w:vMerge w:val="restart"/>
            <w:tcBorders>
              <w:top w:val="single" w:sz="4" w:space="0" w:color="auto"/>
              <w:left w:val="nil"/>
              <w:bottom w:val="nil"/>
              <w:right w:val="nil"/>
            </w:tcBorders>
          </w:tcPr>
          <w:p w14:paraId="5E186130" w14:textId="77777777" w:rsidR="00FC5BAB" w:rsidRPr="003E7C59" w:rsidRDefault="00FC5BAB" w:rsidP="0038148F">
            <w:pPr>
              <w:rPr>
                <w:rFonts w:ascii="Arial" w:hAnsi="Arial" w:cs="Arial"/>
                <w:color w:val="000000" w:themeColor="text1"/>
                <w:sz w:val="22"/>
                <w:szCs w:val="22"/>
              </w:rPr>
            </w:pPr>
          </w:p>
          <w:p w14:paraId="6855638C"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w:t>
            </w:r>
          </w:p>
        </w:tc>
        <w:tc>
          <w:tcPr>
            <w:tcW w:w="689" w:type="pct"/>
            <w:vMerge w:val="restart"/>
            <w:tcBorders>
              <w:top w:val="single" w:sz="4" w:space="0" w:color="auto"/>
              <w:left w:val="nil"/>
              <w:bottom w:val="nil"/>
              <w:right w:val="nil"/>
            </w:tcBorders>
          </w:tcPr>
          <w:p w14:paraId="2ED8EE64" w14:textId="77777777" w:rsidR="00FC5BAB" w:rsidRPr="003E7C59" w:rsidRDefault="00FC5BAB" w:rsidP="0038148F">
            <w:pPr>
              <w:rPr>
                <w:rFonts w:ascii="Arial" w:hAnsi="Arial" w:cs="Arial"/>
                <w:color w:val="000000" w:themeColor="text1"/>
                <w:sz w:val="22"/>
                <w:szCs w:val="22"/>
              </w:rPr>
            </w:pPr>
          </w:p>
          <w:p w14:paraId="533E47D2"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19</w:t>
            </w:r>
          </w:p>
        </w:tc>
        <w:tc>
          <w:tcPr>
            <w:tcW w:w="689" w:type="pct"/>
            <w:vMerge w:val="restart"/>
            <w:tcBorders>
              <w:top w:val="single" w:sz="4" w:space="0" w:color="auto"/>
              <w:left w:val="nil"/>
              <w:bottom w:val="nil"/>
              <w:right w:val="nil"/>
            </w:tcBorders>
          </w:tcPr>
          <w:p w14:paraId="175626CC" w14:textId="77777777" w:rsidR="00FC5BAB" w:rsidRPr="003E7C59" w:rsidRDefault="00FC5BAB" w:rsidP="0038148F">
            <w:pPr>
              <w:rPr>
                <w:rFonts w:ascii="Arial" w:hAnsi="Arial" w:cs="Arial"/>
                <w:color w:val="000000" w:themeColor="text1"/>
                <w:sz w:val="22"/>
                <w:szCs w:val="22"/>
              </w:rPr>
            </w:pPr>
          </w:p>
          <w:p w14:paraId="5F1B1BFA"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w:t>
            </w:r>
          </w:p>
        </w:tc>
        <w:tc>
          <w:tcPr>
            <w:tcW w:w="351" w:type="pct"/>
            <w:tcBorders>
              <w:top w:val="single" w:sz="4" w:space="0" w:color="auto"/>
              <w:left w:val="nil"/>
              <w:bottom w:val="nil"/>
              <w:right w:val="nil"/>
            </w:tcBorders>
          </w:tcPr>
          <w:p w14:paraId="2E0D24AE"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9.4</w:t>
            </w:r>
          </w:p>
        </w:tc>
        <w:tc>
          <w:tcPr>
            <w:tcW w:w="389" w:type="pct"/>
            <w:tcBorders>
              <w:top w:val="single" w:sz="4" w:space="0" w:color="auto"/>
              <w:left w:val="nil"/>
              <w:bottom w:val="nil"/>
              <w:right w:val="nil"/>
            </w:tcBorders>
          </w:tcPr>
          <w:p w14:paraId="4944FF67"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0.05</w:t>
            </w:r>
          </w:p>
        </w:tc>
        <w:tc>
          <w:tcPr>
            <w:tcW w:w="733" w:type="pct"/>
            <w:tcBorders>
              <w:top w:val="single" w:sz="4" w:space="0" w:color="auto"/>
              <w:left w:val="nil"/>
              <w:bottom w:val="nil"/>
              <w:right w:val="nil"/>
            </w:tcBorders>
          </w:tcPr>
          <w:p w14:paraId="7706E43D"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Duplicate gene action (15:1)</w:t>
            </w:r>
          </w:p>
        </w:tc>
      </w:tr>
      <w:tr w:rsidR="00684DEF" w:rsidRPr="003E7C59" w14:paraId="2D63CE6B" w14:textId="77777777" w:rsidTr="00654748">
        <w:trPr>
          <w:trHeight w:val="447"/>
        </w:trPr>
        <w:tc>
          <w:tcPr>
            <w:tcW w:w="414" w:type="pct"/>
            <w:vMerge/>
            <w:tcBorders>
              <w:top w:val="nil"/>
              <w:left w:val="nil"/>
              <w:bottom w:val="nil"/>
              <w:right w:val="nil"/>
            </w:tcBorders>
          </w:tcPr>
          <w:p w14:paraId="5E808477" w14:textId="77777777" w:rsidR="00FC5BAB" w:rsidRPr="003E7C59" w:rsidRDefault="00FC5BAB" w:rsidP="0038148F">
            <w:pPr>
              <w:jc w:val="center"/>
              <w:rPr>
                <w:rFonts w:ascii="Arial" w:hAnsi="Arial" w:cs="Arial"/>
                <w:color w:val="000000" w:themeColor="text1"/>
                <w:sz w:val="22"/>
                <w:szCs w:val="22"/>
              </w:rPr>
            </w:pPr>
          </w:p>
        </w:tc>
        <w:tc>
          <w:tcPr>
            <w:tcW w:w="504" w:type="pct"/>
            <w:vMerge/>
            <w:tcBorders>
              <w:top w:val="nil"/>
              <w:left w:val="nil"/>
              <w:bottom w:val="nil"/>
              <w:right w:val="nil"/>
            </w:tcBorders>
          </w:tcPr>
          <w:p w14:paraId="0366C311" w14:textId="77777777" w:rsidR="00FC5BAB" w:rsidRPr="003E7C59" w:rsidRDefault="00FC5BAB" w:rsidP="0038148F">
            <w:pPr>
              <w:jc w:val="center"/>
              <w:rPr>
                <w:rFonts w:ascii="Arial" w:hAnsi="Arial" w:cs="Arial"/>
                <w:color w:val="000000" w:themeColor="text1"/>
                <w:sz w:val="22"/>
                <w:szCs w:val="22"/>
              </w:rPr>
            </w:pPr>
          </w:p>
        </w:tc>
        <w:tc>
          <w:tcPr>
            <w:tcW w:w="549" w:type="pct"/>
            <w:vMerge/>
            <w:tcBorders>
              <w:top w:val="nil"/>
              <w:left w:val="nil"/>
              <w:bottom w:val="nil"/>
              <w:right w:val="nil"/>
            </w:tcBorders>
          </w:tcPr>
          <w:p w14:paraId="185623FE" w14:textId="77777777" w:rsidR="00FC5BAB" w:rsidRPr="003E7C59" w:rsidRDefault="00FC5BAB" w:rsidP="0038148F">
            <w:pPr>
              <w:jc w:val="center"/>
              <w:rPr>
                <w:rFonts w:ascii="Arial" w:hAnsi="Arial" w:cs="Arial"/>
                <w:color w:val="000000" w:themeColor="text1"/>
                <w:sz w:val="22"/>
                <w:szCs w:val="22"/>
              </w:rPr>
            </w:pPr>
          </w:p>
        </w:tc>
        <w:tc>
          <w:tcPr>
            <w:tcW w:w="682" w:type="pct"/>
            <w:vMerge/>
            <w:tcBorders>
              <w:top w:val="nil"/>
              <w:left w:val="nil"/>
              <w:bottom w:val="nil"/>
              <w:right w:val="nil"/>
            </w:tcBorders>
          </w:tcPr>
          <w:p w14:paraId="3BAF7F52" w14:textId="77777777" w:rsidR="00FC5BAB" w:rsidRPr="003E7C59" w:rsidRDefault="00FC5BAB" w:rsidP="0038148F">
            <w:pPr>
              <w:jc w:val="center"/>
              <w:rPr>
                <w:rFonts w:ascii="Arial" w:hAnsi="Arial" w:cs="Arial"/>
                <w:color w:val="000000" w:themeColor="text1"/>
                <w:sz w:val="22"/>
                <w:szCs w:val="22"/>
              </w:rPr>
            </w:pPr>
          </w:p>
        </w:tc>
        <w:tc>
          <w:tcPr>
            <w:tcW w:w="689" w:type="pct"/>
            <w:vMerge/>
            <w:tcBorders>
              <w:top w:val="nil"/>
              <w:left w:val="nil"/>
              <w:bottom w:val="nil"/>
              <w:right w:val="nil"/>
            </w:tcBorders>
          </w:tcPr>
          <w:p w14:paraId="56B44188" w14:textId="77777777" w:rsidR="00FC5BAB" w:rsidRPr="003E7C59" w:rsidRDefault="00FC5BAB" w:rsidP="0038148F">
            <w:pPr>
              <w:jc w:val="center"/>
              <w:rPr>
                <w:rFonts w:ascii="Arial" w:hAnsi="Arial" w:cs="Arial"/>
                <w:color w:val="000000" w:themeColor="text1"/>
                <w:sz w:val="22"/>
                <w:szCs w:val="22"/>
              </w:rPr>
            </w:pPr>
          </w:p>
        </w:tc>
        <w:tc>
          <w:tcPr>
            <w:tcW w:w="689" w:type="pct"/>
            <w:vMerge/>
            <w:tcBorders>
              <w:top w:val="nil"/>
              <w:left w:val="nil"/>
              <w:bottom w:val="nil"/>
              <w:right w:val="nil"/>
            </w:tcBorders>
          </w:tcPr>
          <w:p w14:paraId="5C42E8F4" w14:textId="77777777" w:rsidR="00FC5BAB" w:rsidRPr="003E7C59" w:rsidRDefault="00FC5BAB" w:rsidP="0038148F">
            <w:pPr>
              <w:jc w:val="center"/>
              <w:rPr>
                <w:rFonts w:ascii="Arial" w:hAnsi="Arial" w:cs="Arial"/>
                <w:color w:val="000000" w:themeColor="text1"/>
                <w:sz w:val="22"/>
                <w:szCs w:val="22"/>
              </w:rPr>
            </w:pPr>
          </w:p>
        </w:tc>
        <w:tc>
          <w:tcPr>
            <w:tcW w:w="351" w:type="pct"/>
            <w:tcBorders>
              <w:top w:val="nil"/>
              <w:left w:val="nil"/>
              <w:bottom w:val="nil"/>
              <w:right w:val="nil"/>
            </w:tcBorders>
          </w:tcPr>
          <w:p w14:paraId="0DEFBDB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13.4</w:t>
            </w:r>
          </w:p>
        </w:tc>
        <w:tc>
          <w:tcPr>
            <w:tcW w:w="389" w:type="pct"/>
            <w:tcBorders>
              <w:top w:val="nil"/>
              <w:left w:val="nil"/>
              <w:bottom w:val="nil"/>
              <w:right w:val="nil"/>
            </w:tcBorders>
          </w:tcPr>
          <w:p w14:paraId="414E16F5"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0.01-0.05</w:t>
            </w:r>
          </w:p>
        </w:tc>
        <w:tc>
          <w:tcPr>
            <w:tcW w:w="733" w:type="pct"/>
            <w:tcBorders>
              <w:top w:val="nil"/>
              <w:left w:val="nil"/>
              <w:bottom w:val="nil"/>
              <w:right w:val="nil"/>
            </w:tcBorders>
          </w:tcPr>
          <w:p w14:paraId="6BD38A0C"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Dominant epistasis (12:3:1)</w:t>
            </w:r>
          </w:p>
        </w:tc>
      </w:tr>
      <w:tr w:rsidR="00684DEF" w:rsidRPr="003E7C59" w14:paraId="7DA0A58B" w14:textId="77777777" w:rsidTr="00654748">
        <w:trPr>
          <w:trHeight w:val="670"/>
        </w:trPr>
        <w:tc>
          <w:tcPr>
            <w:tcW w:w="414" w:type="pct"/>
            <w:tcBorders>
              <w:top w:val="nil"/>
              <w:left w:val="nil"/>
              <w:bottom w:val="nil"/>
              <w:right w:val="nil"/>
            </w:tcBorders>
          </w:tcPr>
          <w:p w14:paraId="68F2B39D" w14:textId="77777777" w:rsidR="00FC5BAB" w:rsidRPr="003E7C59" w:rsidRDefault="00FC5BAB" w:rsidP="0038148F">
            <w:pPr>
              <w:jc w:val="center"/>
              <w:rPr>
                <w:rFonts w:ascii="Arial" w:hAnsi="Arial" w:cs="Arial"/>
                <w:color w:val="000000" w:themeColor="text1"/>
                <w:sz w:val="22"/>
                <w:szCs w:val="22"/>
              </w:rPr>
            </w:pPr>
          </w:p>
          <w:p w14:paraId="41E17895"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2018</w:t>
            </w:r>
          </w:p>
        </w:tc>
        <w:tc>
          <w:tcPr>
            <w:tcW w:w="504" w:type="pct"/>
            <w:tcBorders>
              <w:top w:val="nil"/>
              <w:left w:val="nil"/>
              <w:bottom w:val="nil"/>
              <w:right w:val="nil"/>
            </w:tcBorders>
          </w:tcPr>
          <w:p w14:paraId="01DBD136" w14:textId="77777777" w:rsidR="00FC5BAB" w:rsidRPr="003E7C59" w:rsidRDefault="00FC5BAB" w:rsidP="0038148F">
            <w:pPr>
              <w:jc w:val="center"/>
              <w:rPr>
                <w:rFonts w:ascii="Arial" w:hAnsi="Arial" w:cs="Arial"/>
                <w:color w:val="000000" w:themeColor="text1"/>
                <w:sz w:val="22"/>
                <w:szCs w:val="22"/>
              </w:rPr>
            </w:pPr>
          </w:p>
          <w:p w14:paraId="68F5B95D"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141</w:t>
            </w:r>
          </w:p>
        </w:tc>
        <w:tc>
          <w:tcPr>
            <w:tcW w:w="549" w:type="pct"/>
            <w:tcBorders>
              <w:top w:val="nil"/>
              <w:left w:val="nil"/>
              <w:bottom w:val="nil"/>
              <w:right w:val="nil"/>
            </w:tcBorders>
          </w:tcPr>
          <w:p w14:paraId="35D52032" w14:textId="77777777" w:rsidR="00FC5BAB" w:rsidRPr="003E7C59" w:rsidRDefault="00FC5BAB" w:rsidP="0038148F">
            <w:pPr>
              <w:jc w:val="center"/>
              <w:rPr>
                <w:rFonts w:ascii="Arial" w:hAnsi="Arial" w:cs="Arial"/>
                <w:sz w:val="22"/>
                <w:szCs w:val="22"/>
              </w:rPr>
            </w:pPr>
          </w:p>
          <w:p w14:paraId="4C40EEDD" w14:textId="77777777" w:rsidR="00FC5BAB" w:rsidRPr="003E7C59" w:rsidRDefault="00FC5BAB" w:rsidP="0038148F">
            <w:pPr>
              <w:jc w:val="center"/>
              <w:rPr>
                <w:rFonts w:ascii="Arial" w:hAnsi="Arial" w:cs="Arial"/>
                <w:sz w:val="22"/>
                <w:szCs w:val="22"/>
              </w:rPr>
            </w:pPr>
            <w:r w:rsidRPr="003E7C59">
              <w:rPr>
                <w:rFonts w:ascii="Arial" w:hAnsi="Arial" w:cs="Arial"/>
                <w:sz w:val="22"/>
                <w:szCs w:val="22"/>
              </w:rPr>
              <w:t>126</w:t>
            </w:r>
          </w:p>
        </w:tc>
        <w:tc>
          <w:tcPr>
            <w:tcW w:w="682" w:type="pct"/>
            <w:tcBorders>
              <w:top w:val="nil"/>
              <w:left w:val="nil"/>
              <w:bottom w:val="nil"/>
              <w:right w:val="nil"/>
            </w:tcBorders>
          </w:tcPr>
          <w:p w14:paraId="72185FCF" w14:textId="77777777" w:rsidR="00FC5BAB" w:rsidRPr="003E7C59" w:rsidRDefault="00FC5BAB" w:rsidP="0038148F">
            <w:pPr>
              <w:jc w:val="center"/>
              <w:rPr>
                <w:rFonts w:ascii="Arial" w:hAnsi="Arial" w:cs="Arial"/>
                <w:color w:val="000000" w:themeColor="text1"/>
                <w:sz w:val="22"/>
                <w:szCs w:val="22"/>
              </w:rPr>
            </w:pPr>
          </w:p>
          <w:p w14:paraId="2C208C00"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6</w:t>
            </w:r>
          </w:p>
        </w:tc>
        <w:tc>
          <w:tcPr>
            <w:tcW w:w="689" w:type="pct"/>
            <w:tcBorders>
              <w:top w:val="nil"/>
              <w:left w:val="nil"/>
              <w:bottom w:val="nil"/>
              <w:right w:val="nil"/>
            </w:tcBorders>
          </w:tcPr>
          <w:p w14:paraId="77A7A2F4" w14:textId="77777777" w:rsidR="00FC5BAB" w:rsidRPr="003E7C59" w:rsidRDefault="00FC5BAB" w:rsidP="0038148F">
            <w:pPr>
              <w:jc w:val="center"/>
              <w:rPr>
                <w:rFonts w:ascii="Arial" w:hAnsi="Arial" w:cs="Arial"/>
                <w:color w:val="000000" w:themeColor="text1"/>
                <w:sz w:val="22"/>
                <w:szCs w:val="22"/>
              </w:rPr>
            </w:pPr>
          </w:p>
          <w:p w14:paraId="75236B5D"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7</w:t>
            </w:r>
          </w:p>
        </w:tc>
        <w:tc>
          <w:tcPr>
            <w:tcW w:w="689" w:type="pct"/>
            <w:tcBorders>
              <w:top w:val="nil"/>
              <w:left w:val="nil"/>
              <w:bottom w:val="nil"/>
              <w:right w:val="nil"/>
            </w:tcBorders>
          </w:tcPr>
          <w:p w14:paraId="6ADAD162" w14:textId="77777777" w:rsidR="00FC5BAB" w:rsidRPr="003E7C59" w:rsidRDefault="00FC5BAB" w:rsidP="0038148F">
            <w:pPr>
              <w:jc w:val="center"/>
              <w:rPr>
                <w:rFonts w:ascii="Arial" w:hAnsi="Arial" w:cs="Arial"/>
                <w:color w:val="000000" w:themeColor="text1"/>
                <w:sz w:val="22"/>
                <w:szCs w:val="22"/>
              </w:rPr>
            </w:pPr>
          </w:p>
          <w:p w14:paraId="679F8D84"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2</w:t>
            </w:r>
          </w:p>
        </w:tc>
        <w:tc>
          <w:tcPr>
            <w:tcW w:w="351" w:type="pct"/>
            <w:tcBorders>
              <w:top w:val="nil"/>
              <w:left w:val="nil"/>
              <w:bottom w:val="nil"/>
              <w:right w:val="nil"/>
            </w:tcBorders>
          </w:tcPr>
          <w:p w14:paraId="6F04F6F6"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5.62</w:t>
            </w:r>
          </w:p>
        </w:tc>
        <w:tc>
          <w:tcPr>
            <w:tcW w:w="389" w:type="pct"/>
            <w:tcBorders>
              <w:top w:val="nil"/>
              <w:left w:val="nil"/>
              <w:bottom w:val="nil"/>
              <w:right w:val="nil"/>
            </w:tcBorders>
          </w:tcPr>
          <w:p w14:paraId="2C833ECB"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0.05</w:t>
            </w:r>
          </w:p>
        </w:tc>
        <w:tc>
          <w:tcPr>
            <w:tcW w:w="733" w:type="pct"/>
            <w:tcBorders>
              <w:top w:val="nil"/>
              <w:left w:val="nil"/>
              <w:bottom w:val="nil"/>
              <w:right w:val="nil"/>
            </w:tcBorders>
          </w:tcPr>
          <w:p w14:paraId="420CBC4D"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Duplicate gene action (15:1)</w:t>
            </w:r>
          </w:p>
        </w:tc>
      </w:tr>
      <w:tr w:rsidR="00684DEF" w:rsidRPr="003E7C59" w14:paraId="0C8A51F8" w14:textId="77777777" w:rsidTr="00654748">
        <w:trPr>
          <w:trHeight w:val="312"/>
        </w:trPr>
        <w:tc>
          <w:tcPr>
            <w:tcW w:w="414" w:type="pct"/>
            <w:vMerge w:val="restart"/>
            <w:tcBorders>
              <w:top w:val="nil"/>
              <w:left w:val="nil"/>
              <w:bottom w:val="nil"/>
              <w:right w:val="nil"/>
            </w:tcBorders>
          </w:tcPr>
          <w:p w14:paraId="16FBC1F4" w14:textId="77777777" w:rsidR="00FC5BAB" w:rsidRPr="003E7C59" w:rsidRDefault="00FC5BAB" w:rsidP="0038148F">
            <w:pPr>
              <w:jc w:val="center"/>
              <w:rPr>
                <w:rFonts w:ascii="Arial" w:hAnsi="Arial" w:cs="Arial"/>
                <w:color w:val="000000" w:themeColor="text1"/>
                <w:sz w:val="22"/>
                <w:szCs w:val="22"/>
              </w:rPr>
            </w:pPr>
          </w:p>
          <w:p w14:paraId="534C7C3D"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2019</w:t>
            </w:r>
          </w:p>
        </w:tc>
        <w:tc>
          <w:tcPr>
            <w:tcW w:w="504" w:type="pct"/>
            <w:vMerge w:val="restart"/>
            <w:tcBorders>
              <w:top w:val="nil"/>
              <w:left w:val="nil"/>
              <w:bottom w:val="nil"/>
              <w:right w:val="nil"/>
            </w:tcBorders>
          </w:tcPr>
          <w:p w14:paraId="38471EC1" w14:textId="77777777" w:rsidR="00FC5BAB" w:rsidRPr="003E7C59" w:rsidRDefault="00FC5BAB" w:rsidP="0038148F">
            <w:pPr>
              <w:jc w:val="center"/>
              <w:rPr>
                <w:rFonts w:ascii="Arial" w:hAnsi="Arial" w:cs="Arial"/>
                <w:color w:val="000000" w:themeColor="text1"/>
                <w:sz w:val="22"/>
                <w:szCs w:val="22"/>
              </w:rPr>
            </w:pPr>
          </w:p>
          <w:p w14:paraId="1B73AFDA"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141</w:t>
            </w:r>
          </w:p>
        </w:tc>
        <w:tc>
          <w:tcPr>
            <w:tcW w:w="549" w:type="pct"/>
            <w:vMerge w:val="restart"/>
            <w:tcBorders>
              <w:top w:val="nil"/>
              <w:left w:val="nil"/>
              <w:bottom w:val="nil"/>
              <w:right w:val="nil"/>
            </w:tcBorders>
          </w:tcPr>
          <w:p w14:paraId="402DFA96" w14:textId="77777777" w:rsidR="00FC5BAB" w:rsidRPr="003E7C59" w:rsidRDefault="00FC5BAB" w:rsidP="0038148F">
            <w:pPr>
              <w:jc w:val="center"/>
              <w:rPr>
                <w:rFonts w:ascii="Arial" w:hAnsi="Arial" w:cs="Arial"/>
                <w:color w:val="000000" w:themeColor="text1"/>
                <w:sz w:val="22"/>
                <w:szCs w:val="22"/>
              </w:rPr>
            </w:pPr>
          </w:p>
          <w:p w14:paraId="3EF335C4"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87</w:t>
            </w:r>
          </w:p>
        </w:tc>
        <w:tc>
          <w:tcPr>
            <w:tcW w:w="682" w:type="pct"/>
            <w:vMerge w:val="restart"/>
            <w:tcBorders>
              <w:top w:val="nil"/>
              <w:left w:val="nil"/>
              <w:bottom w:val="nil"/>
              <w:right w:val="nil"/>
            </w:tcBorders>
          </w:tcPr>
          <w:p w14:paraId="136281EA" w14:textId="77777777" w:rsidR="00FC5BAB" w:rsidRPr="003E7C59" w:rsidRDefault="00FC5BAB" w:rsidP="0038148F">
            <w:pPr>
              <w:jc w:val="center"/>
              <w:rPr>
                <w:rFonts w:ascii="Arial" w:hAnsi="Arial" w:cs="Arial"/>
                <w:color w:val="000000" w:themeColor="text1"/>
                <w:sz w:val="22"/>
                <w:szCs w:val="22"/>
              </w:rPr>
            </w:pPr>
          </w:p>
          <w:p w14:paraId="451E9C17"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34</w:t>
            </w:r>
          </w:p>
        </w:tc>
        <w:tc>
          <w:tcPr>
            <w:tcW w:w="689" w:type="pct"/>
            <w:vMerge w:val="restart"/>
            <w:tcBorders>
              <w:top w:val="nil"/>
              <w:left w:val="nil"/>
              <w:bottom w:val="nil"/>
              <w:right w:val="nil"/>
            </w:tcBorders>
          </w:tcPr>
          <w:p w14:paraId="4256ED08" w14:textId="77777777" w:rsidR="00FC5BAB" w:rsidRPr="003E7C59" w:rsidRDefault="00FC5BAB" w:rsidP="0038148F">
            <w:pPr>
              <w:jc w:val="center"/>
              <w:rPr>
                <w:rFonts w:ascii="Arial" w:hAnsi="Arial" w:cs="Arial"/>
                <w:color w:val="000000" w:themeColor="text1"/>
                <w:sz w:val="22"/>
                <w:szCs w:val="22"/>
              </w:rPr>
            </w:pPr>
          </w:p>
          <w:p w14:paraId="1BD01B1C"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17</w:t>
            </w:r>
          </w:p>
        </w:tc>
        <w:tc>
          <w:tcPr>
            <w:tcW w:w="689" w:type="pct"/>
            <w:vMerge w:val="restart"/>
            <w:tcBorders>
              <w:top w:val="nil"/>
              <w:left w:val="nil"/>
              <w:bottom w:val="nil"/>
              <w:right w:val="nil"/>
            </w:tcBorders>
          </w:tcPr>
          <w:p w14:paraId="19ACB46D" w14:textId="77777777" w:rsidR="00FC5BAB" w:rsidRPr="003E7C59" w:rsidRDefault="00FC5BAB" w:rsidP="0038148F">
            <w:pPr>
              <w:jc w:val="center"/>
              <w:rPr>
                <w:rFonts w:ascii="Arial" w:hAnsi="Arial" w:cs="Arial"/>
                <w:color w:val="000000" w:themeColor="text1"/>
                <w:sz w:val="22"/>
                <w:szCs w:val="22"/>
              </w:rPr>
            </w:pPr>
          </w:p>
          <w:p w14:paraId="1192765E"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3</w:t>
            </w:r>
          </w:p>
        </w:tc>
        <w:tc>
          <w:tcPr>
            <w:tcW w:w="351" w:type="pct"/>
            <w:tcBorders>
              <w:top w:val="nil"/>
              <w:left w:val="nil"/>
              <w:bottom w:val="nil"/>
              <w:right w:val="nil"/>
            </w:tcBorders>
          </w:tcPr>
          <w:p w14:paraId="3AD3B38A"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4.09</w:t>
            </w:r>
          </w:p>
        </w:tc>
        <w:tc>
          <w:tcPr>
            <w:tcW w:w="389" w:type="pct"/>
            <w:vMerge w:val="restart"/>
            <w:tcBorders>
              <w:top w:val="nil"/>
              <w:left w:val="nil"/>
              <w:bottom w:val="nil"/>
              <w:right w:val="nil"/>
            </w:tcBorders>
          </w:tcPr>
          <w:p w14:paraId="669B823B"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0.05</w:t>
            </w:r>
          </w:p>
        </w:tc>
        <w:tc>
          <w:tcPr>
            <w:tcW w:w="733" w:type="pct"/>
            <w:tcBorders>
              <w:top w:val="nil"/>
              <w:left w:val="nil"/>
              <w:bottom w:val="nil"/>
              <w:right w:val="nil"/>
            </w:tcBorders>
          </w:tcPr>
          <w:p w14:paraId="76E00E1C"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Duplicate gene action (15:1)</w:t>
            </w:r>
          </w:p>
        </w:tc>
      </w:tr>
      <w:tr w:rsidR="00684DEF" w:rsidRPr="003E7C59" w14:paraId="1A96677A" w14:textId="77777777" w:rsidTr="00654748">
        <w:trPr>
          <w:trHeight w:val="312"/>
        </w:trPr>
        <w:tc>
          <w:tcPr>
            <w:tcW w:w="414" w:type="pct"/>
            <w:vMerge/>
            <w:tcBorders>
              <w:top w:val="nil"/>
              <w:left w:val="nil"/>
              <w:bottom w:val="nil"/>
              <w:right w:val="nil"/>
            </w:tcBorders>
          </w:tcPr>
          <w:p w14:paraId="31774C12" w14:textId="77777777" w:rsidR="00FC5BAB" w:rsidRPr="003E7C59" w:rsidRDefault="00FC5BAB" w:rsidP="0038148F">
            <w:pPr>
              <w:jc w:val="center"/>
              <w:rPr>
                <w:rFonts w:ascii="Arial" w:hAnsi="Arial" w:cs="Arial"/>
                <w:color w:val="000000" w:themeColor="text1"/>
                <w:sz w:val="22"/>
                <w:szCs w:val="22"/>
              </w:rPr>
            </w:pPr>
          </w:p>
        </w:tc>
        <w:tc>
          <w:tcPr>
            <w:tcW w:w="504" w:type="pct"/>
            <w:vMerge/>
            <w:tcBorders>
              <w:top w:val="nil"/>
              <w:left w:val="nil"/>
              <w:bottom w:val="nil"/>
              <w:right w:val="nil"/>
            </w:tcBorders>
          </w:tcPr>
          <w:p w14:paraId="48AE1220" w14:textId="77777777" w:rsidR="00FC5BAB" w:rsidRPr="003E7C59" w:rsidRDefault="00FC5BAB" w:rsidP="0038148F">
            <w:pPr>
              <w:jc w:val="center"/>
              <w:rPr>
                <w:rFonts w:ascii="Arial" w:hAnsi="Arial" w:cs="Arial"/>
                <w:color w:val="000000" w:themeColor="text1"/>
                <w:sz w:val="22"/>
                <w:szCs w:val="22"/>
              </w:rPr>
            </w:pPr>
          </w:p>
        </w:tc>
        <w:tc>
          <w:tcPr>
            <w:tcW w:w="549" w:type="pct"/>
            <w:vMerge/>
            <w:tcBorders>
              <w:top w:val="nil"/>
              <w:left w:val="nil"/>
              <w:bottom w:val="nil"/>
              <w:right w:val="nil"/>
            </w:tcBorders>
          </w:tcPr>
          <w:p w14:paraId="58FA2952" w14:textId="77777777" w:rsidR="00FC5BAB" w:rsidRPr="003E7C59" w:rsidRDefault="00FC5BAB" w:rsidP="0038148F">
            <w:pPr>
              <w:jc w:val="center"/>
              <w:rPr>
                <w:rFonts w:ascii="Arial" w:hAnsi="Arial" w:cs="Arial"/>
                <w:color w:val="000000" w:themeColor="text1"/>
                <w:sz w:val="22"/>
                <w:szCs w:val="22"/>
              </w:rPr>
            </w:pPr>
          </w:p>
        </w:tc>
        <w:tc>
          <w:tcPr>
            <w:tcW w:w="682" w:type="pct"/>
            <w:vMerge/>
            <w:tcBorders>
              <w:top w:val="nil"/>
              <w:left w:val="nil"/>
              <w:bottom w:val="nil"/>
              <w:right w:val="nil"/>
            </w:tcBorders>
          </w:tcPr>
          <w:p w14:paraId="10100483" w14:textId="77777777" w:rsidR="00FC5BAB" w:rsidRPr="003E7C59" w:rsidRDefault="00FC5BAB" w:rsidP="0038148F">
            <w:pPr>
              <w:jc w:val="center"/>
              <w:rPr>
                <w:rFonts w:ascii="Arial" w:hAnsi="Arial" w:cs="Arial"/>
                <w:color w:val="000000" w:themeColor="text1"/>
                <w:sz w:val="22"/>
                <w:szCs w:val="22"/>
              </w:rPr>
            </w:pPr>
          </w:p>
        </w:tc>
        <w:tc>
          <w:tcPr>
            <w:tcW w:w="689" w:type="pct"/>
            <w:vMerge/>
            <w:tcBorders>
              <w:top w:val="nil"/>
              <w:left w:val="nil"/>
              <w:bottom w:val="nil"/>
              <w:right w:val="nil"/>
            </w:tcBorders>
          </w:tcPr>
          <w:p w14:paraId="5189C146" w14:textId="77777777" w:rsidR="00FC5BAB" w:rsidRPr="003E7C59" w:rsidRDefault="00FC5BAB" w:rsidP="0038148F">
            <w:pPr>
              <w:jc w:val="center"/>
              <w:rPr>
                <w:rFonts w:ascii="Arial" w:hAnsi="Arial" w:cs="Arial"/>
                <w:color w:val="000000" w:themeColor="text1"/>
                <w:sz w:val="22"/>
                <w:szCs w:val="22"/>
              </w:rPr>
            </w:pPr>
          </w:p>
        </w:tc>
        <w:tc>
          <w:tcPr>
            <w:tcW w:w="689" w:type="pct"/>
            <w:vMerge/>
            <w:tcBorders>
              <w:top w:val="nil"/>
              <w:left w:val="nil"/>
              <w:bottom w:val="nil"/>
              <w:right w:val="nil"/>
            </w:tcBorders>
          </w:tcPr>
          <w:p w14:paraId="2CC8704D" w14:textId="77777777" w:rsidR="00FC5BAB" w:rsidRPr="003E7C59" w:rsidRDefault="00FC5BAB" w:rsidP="0038148F">
            <w:pPr>
              <w:jc w:val="center"/>
              <w:rPr>
                <w:rFonts w:ascii="Arial" w:hAnsi="Arial" w:cs="Arial"/>
                <w:color w:val="000000" w:themeColor="text1"/>
                <w:sz w:val="22"/>
                <w:szCs w:val="22"/>
              </w:rPr>
            </w:pPr>
          </w:p>
        </w:tc>
        <w:tc>
          <w:tcPr>
            <w:tcW w:w="351" w:type="pct"/>
            <w:tcBorders>
              <w:top w:val="nil"/>
              <w:left w:val="nil"/>
              <w:bottom w:val="nil"/>
              <w:right w:val="nil"/>
            </w:tcBorders>
          </w:tcPr>
          <w:p w14:paraId="2088F398"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4.1</w:t>
            </w:r>
          </w:p>
        </w:tc>
        <w:tc>
          <w:tcPr>
            <w:tcW w:w="389" w:type="pct"/>
            <w:vMerge/>
            <w:tcBorders>
              <w:top w:val="nil"/>
              <w:left w:val="nil"/>
              <w:bottom w:val="nil"/>
              <w:right w:val="nil"/>
            </w:tcBorders>
          </w:tcPr>
          <w:p w14:paraId="40F5DBD8" w14:textId="77777777" w:rsidR="00FC5BAB" w:rsidRPr="003E7C59" w:rsidRDefault="00FC5BAB" w:rsidP="0038148F">
            <w:pPr>
              <w:jc w:val="center"/>
              <w:rPr>
                <w:rFonts w:ascii="Arial" w:hAnsi="Arial" w:cs="Arial"/>
                <w:color w:val="000000" w:themeColor="text1"/>
                <w:sz w:val="22"/>
                <w:szCs w:val="22"/>
              </w:rPr>
            </w:pPr>
          </w:p>
        </w:tc>
        <w:tc>
          <w:tcPr>
            <w:tcW w:w="733" w:type="pct"/>
            <w:tcBorders>
              <w:top w:val="nil"/>
              <w:left w:val="nil"/>
              <w:bottom w:val="nil"/>
              <w:right w:val="nil"/>
            </w:tcBorders>
          </w:tcPr>
          <w:p w14:paraId="32FFCE34"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Dominant suppression epistasis (13:3)</w:t>
            </w:r>
          </w:p>
        </w:tc>
      </w:tr>
      <w:tr w:rsidR="00684DEF" w:rsidRPr="003E7C59" w14:paraId="139D6AF3" w14:textId="77777777" w:rsidTr="00654748">
        <w:trPr>
          <w:trHeight w:val="828"/>
        </w:trPr>
        <w:tc>
          <w:tcPr>
            <w:tcW w:w="414" w:type="pct"/>
            <w:tcBorders>
              <w:top w:val="nil"/>
              <w:left w:val="nil"/>
              <w:bottom w:val="nil"/>
              <w:right w:val="nil"/>
            </w:tcBorders>
          </w:tcPr>
          <w:p w14:paraId="170C6AD8" w14:textId="77777777" w:rsidR="00FC5BAB" w:rsidRPr="003E7C59" w:rsidRDefault="00FC5BAB" w:rsidP="0038148F">
            <w:pPr>
              <w:rPr>
                <w:rFonts w:ascii="Arial" w:hAnsi="Arial" w:cs="Arial"/>
                <w:color w:val="000000" w:themeColor="text1"/>
                <w:sz w:val="22"/>
                <w:szCs w:val="22"/>
              </w:rPr>
            </w:pPr>
          </w:p>
          <w:p w14:paraId="526BAACC"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2020</w:t>
            </w:r>
          </w:p>
        </w:tc>
        <w:tc>
          <w:tcPr>
            <w:tcW w:w="504" w:type="pct"/>
            <w:tcBorders>
              <w:top w:val="nil"/>
              <w:left w:val="nil"/>
              <w:bottom w:val="nil"/>
              <w:right w:val="nil"/>
            </w:tcBorders>
          </w:tcPr>
          <w:p w14:paraId="07843525" w14:textId="77777777" w:rsidR="00FC5BAB" w:rsidRPr="003E7C59" w:rsidRDefault="00FC5BAB" w:rsidP="0038148F">
            <w:pPr>
              <w:jc w:val="center"/>
              <w:rPr>
                <w:rFonts w:ascii="Arial" w:hAnsi="Arial" w:cs="Arial"/>
                <w:color w:val="000000" w:themeColor="text1"/>
                <w:sz w:val="22"/>
                <w:szCs w:val="22"/>
              </w:rPr>
            </w:pPr>
          </w:p>
          <w:p w14:paraId="75F78888"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141</w:t>
            </w:r>
          </w:p>
        </w:tc>
        <w:tc>
          <w:tcPr>
            <w:tcW w:w="549" w:type="pct"/>
            <w:tcBorders>
              <w:top w:val="nil"/>
              <w:left w:val="nil"/>
              <w:bottom w:val="nil"/>
              <w:right w:val="nil"/>
            </w:tcBorders>
          </w:tcPr>
          <w:p w14:paraId="343DBD2C" w14:textId="77777777" w:rsidR="00FC5BAB" w:rsidRPr="003E7C59" w:rsidRDefault="00FC5BAB" w:rsidP="0038148F">
            <w:pPr>
              <w:jc w:val="center"/>
              <w:rPr>
                <w:rFonts w:ascii="Arial" w:hAnsi="Arial" w:cs="Arial"/>
                <w:color w:val="000000" w:themeColor="text1"/>
                <w:sz w:val="22"/>
                <w:szCs w:val="22"/>
              </w:rPr>
            </w:pPr>
          </w:p>
          <w:p w14:paraId="3F8F0CE3"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131</w:t>
            </w:r>
          </w:p>
        </w:tc>
        <w:tc>
          <w:tcPr>
            <w:tcW w:w="682" w:type="pct"/>
            <w:tcBorders>
              <w:top w:val="nil"/>
              <w:left w:val="nil"/>
              <w:bottom w:val="nil"/>
              <w:right w:val="nil"/>
            </w:tcBorders>
          </w:tcPr>
          <w:p w14:paraId="6DEE3A60" w14:textId="77777777" w:rsidR="00FC5BAB" w:rsidRPr="003E7C59" w:rsidRDefault="00FC5BAB" w:rsidP="0038148F">
            <w:pPr>
              <w:jc w:val="center"/>
              <w:rPr>
                <w:rFonts w:ascii="Arial" w:hAnsi="Arial" w:cs="Arial"/>
                <w:color w:val="000000" w:themeColor="text1"/>
                <w:sz w:val="22"/>
                <w:szCs w:val="22"/>
              </w:rPr>
            </w:pPr>
          </w:p>
          <w:p w14:paraId="674273E0"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9</w:t>
            </w:r>
          </w:p>
        </w:tc>
        <w:tc>
          <w:tcPr>
            <w:tcW w:w="689" w:type="pct"/>
            <w:tcBorders>
              <w:top w:val="nil"/>
              <w:left w:val="nil"/>
              <w:bottom w:val="nil"/>
              <w:right w:val="nil"/>
            </w:tcBorders>
          </w:tcPr>
          <w:p w14:paraId="7B645414" w14:textId="77777777" w:rsidR="00FC5BAB" w:rsidRPr="003E7C59" w:rsidRDefault="00FC5BAB" w:rsidP="0038148F">
            <w:pPr>
              <w:jc w:val="center"/>
              <w:rPr>
                <w:rFonts w:ascii="Arial" w:hAnsi="Arial" w:cs="Arial"/>
                <w:color w:val="000000" w:themeColor="text1"/>
                <w:sz w:val="22"/>
                <w:szCs w:val="22"/>
              </w:rPr>
            </w:pPr>
          </w:p>
          <w:p w14:paraId="52FA7F32"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w:t>
            </w:r>
          </w:p>
        </w:tc>
        <w:tc>
          <w:tcPr>
            <w:tcW w:w="689" w:type="pct"/>
            <w:tcBorders>
              <w:top w:val="nil"/>
              <w:left w:val="nil"/>
              <w:bottom w:val="nil"/>
              <w:right w:val="nil"/>
            </w:tcBorders>
          </w:tcPr>
          <w:p w14:paraId="6EEE8BC9" w14:textId="77777777" w:rsidR="00FC5BAB" w:rsidRPr="003E7C59" w:rsidRDefault="00FC5BAB" w:rsidP="0038148F">
            <w:pPr>
              <w:jc w:val="center"/>
              <w:rPr>
                <w:rFonts w:ascii="Arial" w:hAnsi="Arial" w:cs="Arial"/>
                <w:color w:val="000000" w:themeColor="text1"/>
                <w:sz w:val="22"/>
                <w:szCs w:val="22"/>
              </w:rPr>
            </w:pPr>
          </w:p>
          <w:p w14:paraId="50758A11"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w:t>
            </w:r>
          </w:p>
        </w:tc>
        <w:tc>
          <w:tcPr>
            <w:tcW w:w="351" w:type="pct"/>
            <w:tcBorders>
              <w:top w:val="nil"/>
              <w:left w:val="nil"/>
              <w:bottom w:val="nil"/>
              <w:right w:val="nil"/>
            </w:tcBorders>
          </w:tcPr>
          <w:p w14:paraId="483E8551" w14:textId="77777777" w:rsidR="00FC5BAB" w:rsidRPr="003E7C59" w:rsidRDefault="00FC5BAB" w:rsidP="0038148F">
            <w:pPr>
              <w:jc w:val="center"/>
              <w:rPr>
                <w:rFonts w:ascii="Arial" w:hAnsi="Arial" w:cs="Arial"/>
                <w:color w:val="000000" w:themeColor="text1"/>
                <w:sz w:val="22"/>
                <w:szCs w:val="22"/>
              </w:rPr>
            </w:pPr>
          </w:p>
          <w:p w14:paraId="218D57C8"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9.4</w:t>
            </w:r>
          </w:p>
        </w:tc>
        <w:tc>
          <w:tcPr>
            <w:tcW w:w="389" w:type="pct"/>
            <w:tcBorders>
              <w:top w:val="nil"/>
              <w:left w:val="nil"/>
              <w:bottom w:val="nil"/>
              <w:right w:val="nil"/>
            </w:tcBorders>
          </w:tcPr>
          <w:p w14:paraId="466D67F3" w14:textId="77777777" w:rsidR="00FC5BAB" w:rsidRPr="003E7C59" w:rsidRDefault="00FC5BAB" w:rsidP="0038148F">
            <w:pPr>
              <w:rPr>
                <w:rFonts w:ascii="Arial" w:hAnsi="Arial" w:cs="Arial"/>
                <w:color w:val="000000" w:themeColor="text1"/>
                <w:sz w:val="22"/>
                <w:szCs w:val="22"/>
              </w:rPr>
            </w:pPr>
          </w:p>
          <w:p w14:paraId="6E39BC60" w14:textId="32E82F03"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0.01</w:t>
            </w:r>
            <w:r w:rsidR="00F9692D"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rPr>
              <w:t>0.05</w:t>
            </w:r>
          </w:p>
        </w:tc>
        <w:tc>
          <w:tcPr>
            <w:tcW w:w="733" w:type="pct"/>
            <w:tcBorders>
              <w:top w:val="nil"/>
              <w:left w:val="nil"/>
              <w:bottom w:val="nil"/>
              <w:right w:val="nil"/>
            </w:tcBorders>
          </w:tcPr>
          <w:p w14:paraId="37FCACAE" w14:textId="77777777" w:rsidR="00FC5BAB" w:rsidRPr="003E7C59" w:rsidRDefault="00FC5BAB" w:rsidP="0038148F">
            <w:pPr>
              <w:jc w:val="center"/>
              <w:rPr>
                <w:rFonts w:ascii="Arial" w:hAnsi="Arial" w:cs="Arial"/>
                <w:color w:val="000000" w:themeColor="text1"/>
                <w:sz w:val="22"/>
                <w:szCs w:val="22"/>
              </w:rPr>
            </w:pPr>
          </w:p>
          <w:p w14:paraId="73796826"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Duplicate gene action (15:1)</w:t>
            </w:r>
          </w:p>
        </w:tc>
      </w:tr>
      <w:tr w:rsidR="00684DEF" w:rsidRPr="003E7C59" w14:paraId="04F55BFE" w14:textId="77777777" w:rsidTr="00654748">
        <w:trPr>
          <w:trHeight w:val="670"/>
        </w:trPr>
        <w:tc>
          <w:tcPr>
            <w:tcW w:w="414" w:type="pct"/>
            <w:tcBorders>
              <w:top w:val="nil"/>
              <w:left w:val="nil"/>
              <w:bottom w:val="single" w:sz="4" w:space="0" w:color="auto"/>
              <w:right w:val="nil"/>
            </w:tcBorders>
          </w:tcPr>
          <w:p w14:paraId="191CAA8C" w14:textId="77777777" w:rsidR="00FC5BAB" w:rsidRPr="003E7C59" w:rsidRDefault="00FC5BAB" w:rsidP="0038148F">
            <w:pPr>
              <w:rPr>
                <w:rFonts w:ascii="Arial" w:hAnsi="Arial" w:cs="Arial"/>
                <w:color w:val="000000" w:themeColor="text1"/>
                <w:sz w:val="22"/>
                <w:szCs w:val="22"/>
              </w:rPr>
            </w:pPr>
          </w:p>
          <w:p w14:paraId="7BC76E2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2022</w:t>
            </w:r>
          </w:p>
        </w:tc>
        <w:tc>
          <w:tcPr>
            <w:tcW w:w="504" w:type="pct"/>
            <w:tcBorders>
              <w:top w:val="nil"/>
              <w:left w:val="nil"/>
              <w:bottom w:val="single" w:sz="4" w:space="0" w:color="auto"/>
              <w:right w:val="nil"/>
            </w:tcBorders>
          </w:tcPr>
          <w:p w14:paraId="2CDA08AA" w14:textId="77777777" w:rsidR="00FC5BAB" w:rsidRPr="003E7C59" w:rsidRDefault="00FC5BAB" w:rsidP="0038148F">
            <w:pPr>
              <w:jc w:val="center"/>
              <w:rPr>
                <w:rFonts w:ascii="Arial" w:hAnsi="Arial" w:cs="Arial"/>
                <w:color w:val="000000" w:themeColor="text1"/>
                <w:sz w:val="22"/>
                <w:szCs w:val="22"/>
              </w:rPr>
            </w:pPr>
          </w:p>
          <w:p w14:paraId="438B3FA5"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133</w:t>
            </w:r>
          </w:p>
        </w:tc>
        <w:tc>
          <w:tcPr>
            <w:tcW w:w="549" w:type="pct"/>
            <w:tcBorders>
              <w:top w:val="nil"/>
              <w:left w:val="nil"/>
              <w:bottom w:val="single" w:sz="4" w:space="0" w:color="auto"/>
              <w:right w:val="nil"/>
            </w:tcBorders>
          </w:tcPr>
          <w:p w14:paraId="50156745" w14:textId="77777777" w:rsidR="00FC5BAB" w:rsidRPr="003E7C59" w:rsidRDefault="00FC5BAB" w:rsidP="0038148F">
            <w:pPr>
              <w:jc w:val="center"/>
              <w:rPr>
                <w:rFonts w:ascii="Arial" w:hAnsi="Arial" w:cs="Arial"/>
                <w:color w:val="000000" w:themeColor="text1"/>
                <w:sz w:val="22"/>
                <w:szCs w:val="22"/>
              </w:rPr>
            </w:pPr>
          </w:p>
          <w:p w14:paraId="6027A31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93</w:t>
            </w:r>
          </w:p>
        </w:tc>
        <w:tc>
          <w:tcPr>
            <w:tcW w:w="682" w:type="pct"/>
            <w:tcBorders>
              <w:top w:val="nil"/>
              <w:left w:val="nil"/>
              <w:bottom w:val="single" w:sz="4" w:space="0" w:color="auto"/>
              <w:right w:val="nil"/>
            </w:tcBorders>
          </w:tcPr>
          <w:p w14:paraId="6BA8D889" w14:textId="77777777" w:rsidR="00FC5BAB" w:rsidRPr="003E7C59" w:rsidRDefault="00FC5BAB" w:rsidP="0038148F">
            <w:pPr>
              <w:jc w:val="center"/>
              <w:rPr>
                <w:rFonts w:ascii="Arial" w:hAnsi="Arial" w:cs="Arial"/>
                <w:color w:val="000000" w:themeColor="text1"/>
                <w:sz w:val="22"/>
                <w:szCs w:val="22"/>
              </w:rPr>
            </w:pPr>
          </w:p>
          <w:p w14:paraId="4787F38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30</w:t>
            </w:r>
          </w:p>
        </w:tc>
        <w:tc>
          <w:tcPr>
            <w:tcW w:w="689" w:type="pct"/>
            <w:tcBorders>
              <w:top w:val="nil"/>
              <w:left w:val="nil"/>
              <w:bottom w:val="single" w:sz="4" w:space="0" w:color="auto"/>
              <w:right w:val="nil"/>
            </w:tcBorders>
          </w:tcPr>
          <w:p w14:paraId="45969AAC" w14:textId="77777777" w:rsidR="00FC5BAB" w:rsidRPr="003E7C59" w:rsidRDefault="00FC5BAB" w:rsidP="0038148F">
            <w:pPr>
              <w:jc w:val="center"/>
              <w:rPr>
                <w:rFonts w:ascii="Arial" w:hAnsi="Arial" w:cs="Arial"/>
                <w:color w:val="000000" w:themeColor="text1"/>
                <w:sz w:val="22"/>
                <w:szCs w:val="22"/>
              </w:rPr>
            </w:pPr>
          </w:p>
          <w:p w14:paraId="3DB89266"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9</w:t>
            </w:r>
          </w:p>
        </w:tc>
        <w:tc>
          <w:tcPr>
            <w:tcW w:w="689" w:type="pct"/>
            <w:tcBorders>
              <w:top w:val="nil"/>
              <w:left w:val="nil"/>
              <w:bottom w:val="single" w:sz="4" w:space="0" w:color="auto"/>
              <w:right w:val="nil"/>
            </w:tcBorders>
          </w:tcPr>
          <w:p w14:paraId="6CD52BB1" w14:textId="77777777" w:rsidR="00FC5BAB" w:rsidRPr="003E7C59" w:rsidRDefault="00FC5BAB" w:rsidP="0038148F">
            <w:pPr>
              <w:jc w:val="center"/>
              <w:rPr>
                <w:rFonts w:ascii="Arial" w:hAnsi="Arial" w:cs="Arial"/>
                <w:color w:val="000000" w:themeColor="text1"/>
                <w:sz w:val="22"/>
                <w:szCs w:val="22"/>
              </w:rPr>
            </w:pPr>
          </w:p>
          <w:p w14:paraId="48FA20EF"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1</w:t>
            </w:r>
          </w:p>
        </w:tc>
        <w:tc>
          <w:tcPr>
            <w:tcW w:w="351" w:type="pct"/>
            <w:tcBorders>
              <w:top w:val="nil"/>
              <w:left w:val="nil"/>
              <w:bottom w:val="single" w:sz="4" w:space="0" w:color="auto"/>
              <w:right w:val="nil"/>
            </w:tcBorders>
          </w:tcPr>
          <w:p w14:paraId="3ECE3F93" w14:textId="77777777" w:rsidR="00FC5BAB" w:rsidRPr="003E7C59" w:rsidRDefault="00FC5BAB" w:rsidP="0038148F">
            <w:pPr>
              <w:rPr>
                <w:rFonts w:ascii="Arial" w:hAnsi="Arial" w:cs="Arial"/>
                <w:color w:val="000000" w:themeColor="text1"/>
                <w:sz w:val="22"/>
                <w:szCs w:val="22"/>
              </w:rPr>
            </w:pPr>
          </w:p>
          <w:p w14:paraId="0969C093"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6.86</w:t>
            </w:r>
          </w:p>
        </w:tc>
        <w:tc>
          <w:tcPr>
            <w:tcW w:w="389" w:type="pct"/>
            <w:tcBorders>
              <w:top w:val="nil"/>
              <w:left w:val="nil"/>
              <w:bottom w:val="single" w:sz="4" w:space="0" w:color="auto"/>
              <w:right w:val="nil"/>
            </w:tcBorders>
          </w:tcPr>
          <w:p w14:paraId="390D7688" w14:textId="77777777" w:rsidR="00FC5BAB" w:rsidRPr="003E7C59" w:rsidRDefault="00FC5BAB" w:rsidP="0038148F">
            <w:pPr>
              <w:rPr>
                <w:rFonts w:ascii="Arial" w:hAnsi="Arial" w:cs="Arial"/>
                <w:color w:val="000000" w:themeColor="text1"/>
                <w:sz w:val="22"/>
                <w:szCs w:val="22"/>
              </w:rPr>
            </w:pPr>
          </w:p>
          <w:p w14:paraId="548922E9"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0.01-0.05</w:t>
            </w:r>
          </w:p>
        </w:tc>
        <w:tc>
          <w:tcPr>
            <w:tcW w:w="733" w:type="pct"/>
            <w:tcBorders>
              <w:top w:val="nil"/>
              <w:left w:val="nil"/>
              <w:bottom w:val="single" w:sz="4" w:space="0" w:color="auto"/>
              <w:right w:val="nil"/>
            </w:tcBorders>
          </w:tcPr>
          <w:p w14:paraId="2C0D26E1" w14:textId="77777777" w:rsidR="00FC5BAB" w:rsidRPr="003E7C59" w:rsidRDefault="00FC5BAB" w:rsidP="0038148F">
            <w:pPr>
              <w:jc w:val="center"/>
              <w:rPr>
                <w:rFonts w:ascii="Arial" w:hAnsi="Arial" w:cs="Arial"/>
                <w:color w:val="000000" w:themeColor="text1"/>
                <w:sz w:val="22"/>
                <w:szCs w:val="22"/>
              </w:rPr>
            </w:pPr>
          </w:p>
          <w:p w14:paraId="0F993E3D" w14:textId="77777777" w:rsidR="00FC5BAB" w:rsidRPr="003E7C59" w:rsidRDefault="00FC5BAB" w:rsidP="0038148F">
            <w:pPr>
              <w:jc w:val="center"/>
              <w:rPr>
                <w:rFonts w:ascii="Arial" w:hAnsi="Arial" w:cs="Arial"/>
                <w:color w:val="000000" w:themeColor="text1"/>
                <w:sz w:val="22"/>
                <w:szCs w:val="22"/>
              </w:rPr>
            </w:pPr>
            <w:r w:rsidRPr="003E7C59">
              <w:rPr>
                <w:rFonts w:ascii="Arial" w:hAnsi="Arial" w:cs="Arial"/>
                <w:color w:val="000000" w:themeColor="text1"/>
                <w:sz w:val="22"/>
                <w:szCs w:val="22"/>
              </w:rPr>
              <w:t>Duplicate gene action (15:1)</w:t>
            </w:r>
          </w:p>
        </w:tc>
      </w:tr>
    </w:tbl>
    <w:p w14:paraId="18D64DD1" w14:textId="77777777" w:rsidR="00794BA6" w:rsidRPr="003E7C59" w:rsidRDefault="00794BA6" w:rsidP="006622F2">
      <w:pPr>
        <w:autoSpaceDE w:val="0"/>
        <w:autoSpaceDN w:val="0"/>
        <w:adjustRightInd w:val="0"/>
        <w:rPr>
          <w:rFonts w:ascii="Arial" w:hAnsi="Arial" w:cs="Arial"/>
          <w:color w:val="000000" w:themeColor="text1"/>
          <w:sz w:val="22"/>
          <w:szCs w:val="22"/>
        </w:rPr>
      </w:pPr>
    </w:p>
    <w:p w14:paraId="2E8E9499" w14:textId="77777777" w:rsidR="00794BA6" w:rsidRPr="003E7C59" w:rsidRDefault="00794BA6" w:rsidP="006622F2">
      <w:pPr>
        <w:autoSpaceDE w:val="0"/>
        <w:autoSpaceDN w:val="0"/>
        <w:adjustRightInd w:val="0"/>
        <w:rPr>
          <w:rFonts w:ascii="Arial" w:hAnsi="Arial" w:cs="Arial"/>
          <w:color w:val="000000" w:themeColor="text1"/>
          <w:sz w:val="22"/>
          <w:szCs w:val="22"/>
        </w:rPr>
      </w:pPr>
    </w:p>
    <w:p w14:paraId="01BA587B" w14:textId="77777777" w:rsidR="00794BA6" w:rsidRPr="003E7C59" w:rsidRDefault="00794BA6" w:rsidP="006622F2">
      <w:pPr>
        <w:autoSpaceDE w:val="0"/>
        <w:autoSpaceDN w:val="0"/>
        <w:adjustRightInd w:val="0"/>
        <w:spacing w:line="360" w:lineRule="auto"/>
        <w:rPr>
          <w:rFonts w:ascii="Arial" w:hAnsi="Arial" w:cs="Arial"/>
          <w:color w:val="000000" w:themeColor="text1"/>
          <w:sz w:val="22"/>
          <w:szCs w:val="22"/>
        </w:rPr>
      </w:pPr>
    </w:p>
    <w:p w14:paraId="2CFFCE30" w14:textId="77777777" w:rsidR="00794BA6" w:rsidRPr="003E7C59" w:rsidRDefault="00794BA6" w:rsidP="006622F2">
      <w:pPr>
        <w:autoSpaceDE w:val="0"/>
        <w:autoSpaceDN w:val="0"/>
        <w:adjustRightInd w:val="0"/>
        <w:spacing w:line="360" w:lineRule="auto"/>
        <w:rPr>
          <w:rFonts w:ascii="Arial" w:hAnsi="Arial" w:cs="Arial"/>
          <w:color w:val="000000" w:themeColor="text1"/>
          <w:sz w:val="22"/>
          <w:szCs w:val="22"/>
        </w:rPr>
      </w:pPr>
    </w:p>
    <w:p w14:paraId="4B102810" w14:textId="77777777" w:rsidR="00794BA6" w:rsidRPr="003E7C59" w:rsidRDefault="00794BA6" w:rsidP="006622F2">
      <w:pPr>
        <w:autoSpaceDE w:val="0"/>
        <w:autoSpaceDN w:val="0"/>
        <w:adjustRightInd w:val="0"/>
        <w:spacing w:line="360" w:lineRule="auto"/>
        <w:rPr>
          <w:rFonts w:ascii="Arial" w:hAnsi="Arial" w:cs="Arial"/>
          <w:color w:val="000000" w:themeColor="text1"/>
          <w:sz w:val="22"/>
          <w:szCs w:val="22"/>
        </w:rPr>
      </w:pPr>
    </w:p>
    <w:p w14:paraId="67D9A7FE" w14:textId="77777777" w:rsidR="00794BA6" w:rsidRPr="003E7C59" w:rsidRDefault="00794BA6" w:rsidP="006622F2">
      <w:pPr>
        <w:autoSpaceDE w:val="0"/>
        <w:autoSpaceDN w:val="0"/>
        <w:adjustRightInd w:val="0"/>
        <w:spacing w:line="360" w:lineRule="auto"/>
        <w:rPr>
          <w:rFonts w:ascii="Arial" w:hAnsi="Arial" w:cs="Arial"/>
          <w:color w:val="000000" w:themeColor="text1"/>
          <w:sz w:val="22"/>
          <w:szCs w:val="22"/>
        </w:rPr>
      </w:pPr>
    </w:p>
    <w:p w14:paraId="6366528F" w14:textId="77777777" w:rsidR="00794BA6" w:rsidRPr="003E7C59" w:rsidRDefault="00794BA6" w:rsidP="006622F2">
      <w:pPr>
        <w:autoSpaceDE w:val="0"/>
        <w:autoSpaceDN w:val="0"/>
        <w:adjustRightInd w:val="0"/>
        <w:spacing w:line="360" w:lineRule="auto"/>
        <w:rPr>
          <w:rFonts w:ascii="Arial" w:hAnsi="Arial" w:cs="Arial"/>
          <w:color w:val="000000" w:themeColor="text1"/>
          <w:sz w:val="22"/>
          <w:szCs w:val="22"/>
        </w:rPr>
      </w:pPr>
    </w:p>
    <w:p w14:paraId="566D05FA" w14:textId="77777777" w:rsidR="00794BA6" w:rsidRPr="003E7C59" w:rsidRDefault="00794BA6" w:rsidP="006622F2">
      <w:pPr>
        <w:autoSpaceDE w:val="0"/>
        <w:autoSpaceDN w:val="0"/>
        <w:adjustRightInd w:val="0"/>
        <w:spacing w:line="360" w:lineRule="auto"/>
        <w:rPr>
          <w:rFonts w:ascii="Arial" w:hAnsi="Arial" w:cs="Arial"/>
          <w:color w:val="000000" w:themeColor="text1"/>
          <w:sz w:val="22"/>
          <w:szCs w:val="22"/>
        </w:rPr>
      </w:pPr>
    </w:p>
    <w:p w14:paraId="0A09C5E0" w14:textId="77777777" w:rsidR="00794BA6" w:rsidRPr="003E7C59" w:rsidRDefault="00794BA6" w:rsidP="006622F2">
      <w:pPr>
        <w:autoSpaceDE w:val="0"/>
        <w:autoSpaceDN w:val="0"/>
        <w:adjustRightInd w:val="0"/>
        <w:spacing w:line="360" w:lineRule="auto"/>
        <w:rPr>
          <w:rFonts w:ascii="Arial" w:hAnsi="Arial" w:cs="Arial"/>
          <w:color w:val="000000" w:themeColor="text1"/>
          <w:sz w:val="22"/>
          <w:szCs w:val="22"/>
        </w:rPr>
      </w:pPr>
    </w:p>
    <w:p w14:paraId="0A91D739" w14:textId="77777777" w:rsidR="0038148F" w:rsidRPr="0038148F" w:rsidRDefault="0038148F" w:rsidP="0038148F">
      <w:bookmarkStart w:id="173" w:name="_Toc121475351"/>
      <w:bookmarkStart w:id="174" w:name="_Toc121476623"/>
      <w:bookmarkStart w:id="175" w:name="_Toc121478553"/>
      <w:bookmarkStart w:id="176" w:name="_Toc121479474"/>
      <w:bookmarkStart w:id="177" w:name="_Toc121479904"/>
    </w:p>
    <w:p w14:paraId="2D5807D6" w14:textId="59C480B1" w:rsidR="00B51BF9" w:rsidRPr="003E7C59" w:rsidRDefault="00B51BF9" w:rsidP="006622F2">
      <w:pPr>
        <w:pStyle w:val="TableofAuthorities"/>
        <w:ind w:left="0" w:firstLine="0"/>
        <w:rPr>
          <w:rFonts w:ascii="Arial" w:hAnsi="Arial" w:cs="Arial"/>
          <w:sz w:val="22"/>
          <w:szCs w:val="22"/>
        </w:rPr>
      </w:pPr>
      <w:r w:rsidRPr="003E7C59">
        <w:rPr>
          <w:rFonts w:ascii="Arial" w:hAnsi="Arial" w:cs="Arial"/>
          <w:sz w:val="22"/>
          <w:szCs w:val="22"/>
        </w:rPr>
        <w:t xml:space="preserve">Table 2.2. QTL statistics for two QTL detected in two consecutive years in </w:t>
      </w:r>
      <w:r w:rsidRPr="003E7C59">
        <w:rPr>
          <w:rFonts w:ascii="Arial" w:hAnsi="Arial" w:cs="Arial"/>
          <w:i/>
          <w:iCs/>
          <w:sz w:val="22"/>
          <w:szCs w:val="22"/>
        </w:rPr>
        <w:t xml:space="preserve">Cornus </w:t>
      </w:r>
      <w:proofErr w:type="gramStart"/>
      <w:r w:rsidRPr="003E7C59">
        <w:rPr>
          <w:rFonts w:ascii="Arial" w:hAnsi="Arial" w:cs="Arial"/>
          <w:i/>
          <w:iCs/>
          <w:sz w:val="22"/>
          <w:szCs w:val="22"/>
        </w:rPr>
        <w:t>florida</w:t>
      </w:r>
      <w:proofErr w:type="gramEnd"/>
      <w:r w:rsidRPr="003E7C59">
        <w:rPr>
          <w:rFonts w:ascii="Arial" w:hAnsi="Arial" w:cs="Arial"/>
          <w:i/>
          <w:iCs/>
          <w:sz w:val="22"/>
          <w:szCs w:val="22"/>
        </w:rPr>
        <w:t xml:space="preserve">, </w:t>
      </w:r>
      <w:r w:rsidRPr="003E7C59">
        <w:rPr>
          <w:rFonts w:ascii="Arial" w:hAnsi="Arial" w:cs="Arial"/>
          <w:sz w:val="22"/>
          <w:szCs w:val="22"/>
        </w:rPr>
        <w:t>pseudo-F2 population mapping populations segregating for powdery mildew resistance.</w:t>
      </w:r>
      <w:bookmarkEnd w:id="173"/>
      <w:bookmarkEnd w:id="174"/>
      <w:bookmarkEnd w:id="175"/>
      <w:bookmarkEnd w:id="176"/>
      <w:bookmarkEnd w:id="177"/>
    </w:p>
    <w:p w14:paraId="25315551" w14:textId="77777777" w:rsidR="00B51BF9" w:rsidRPr="003E7C59" w:rsidRDefault="00B51BF9" w:rsidP="006622F2">
      <w:pPr>
        <w:autoSpaceDE w:val="0"/>
        <w:autoSpaceDN w:val="0"/>
        <w:adjustRightInd w:val="0"/>
        <w:rPr>
          <w:rFonts w:ascii="Arial" w:hAnsi="Arial" w:cs="Arial"/>
          <w:i/>
          <w:iCs/>
          <w:color w:val="000000" w:themeColor="text1"/>
          <w:sz w:val="22"/>
          <w:szCs w:val="22"/>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0"/>
        <w:gridCol w:w="1170"/>
        <w:gridCol w:w="1170"/>
        <w:gridCol w:w="1170"/>
        <w:gridCol w:w="1170"/>
        <w:gridCol w:w="1170"/>
        <w:gridCol w:w="1170"/>
        <w:gridCol w:w="1170"/>
      </w:tblGrid>
      <w:tr w:rsidR="00B51BF9" w:rsidRPr="003E7C59" w14:paraId="37FF20B5" w14:textId="77777777" w:rsidTr="00654748">
        <w:trPr>
          <w:trHeight w:val="371"/>
          <w:jc w:val="center"/>
        </w:trPr>
        <w:tc>
          <w:tcPr>
            <w:tcW w:w="625" w:type="pct"/>
            <w:tcBorders>
              <w:top w:val="single" w:sz="4" w:space="0" w:color="auto"/>
              <w:bottom w:val="single" w:sz="4" w:space="0" w:color="auto"/>
            </w:tcBorders>
          </w:tcPr>
          <w:p w14:paraId="70A2BD38" w14:textId="77777777" w:rsidR="00B51BF9" w:rsidRPr="003E7C59" w:rsidRDefault="00B51BF9" w:rsidP="006622F2">
            <w:pPr>
              <w:jc w:val="center"/>
              <w:rPr>
                <w:rFonts w:ascii="Arial" w:hAnsi="Arial" w:cs="Arial"/>
                <w:color w:val="000000" w:themeColor="text1"/>
                <w:sz w:val="22"/>
                <w:szCs w:val="22"/>
              </w:rPr>
            </w:pPr>
            <w:bookmarkStart w:id="178" w:name="_GoBack"/>
            <w:bookmarkEnd w:id="178"/>
            <w:r w:rsidRPr="003E7C59">
              <w:rPr>
                <w:rFonts w:ascii="Arial" w:hAnsi="Arial" w:cs="Arial"/>
                <w:color w:val="000000" w:themeColor="text1"/>
                <w:sz w:val="22"/>
                <w:szCs w:val="22"/>
              </w:rPr>
              <w:t>QTL</w:t>
            </w:r>
          </w:p>
        </w:tc>
        <w:tc>
          <w:tcPr>
            <w:tcW w:w="625" w:type="pct"/>
            <w:tcBorders>
              <w:top w:val="single" w:sz="4" w:space="0" w:color="auto"/>
              <w:bottom w:val="single" w:sz="4" w:space="0" w:color="auto"/>
            </w:tcBorders>
          </w:tcPr>
          <w:p w14:paraId="2E420169"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Year</w:t>
            </w:r>
          </w:p>
        </w:tc>
        <w:tc>
          <w:tcPr>
            <w:tcW w:w="625" w:type="pct"/>
            <w:tcBorders>
              <w:top w:val="single" w:sz="4" w:space="0" w:color="auto"/>
              <w:bottom w:val="single" w:sz="4" w:space="0" w:color="auto"/>
            </w:tcBorders>
          </w:tcPr>
          <w:p w14:paraId="353CDA8F"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LG</w:t>
            </w:r>
          </w:p>
        </w:tc>
        <w:tc>
          <w:tcPr>
            <w:tcW w:w="625" w:type="pct"/>
            <w:tcBorders>
              <w:top w:val="single" w:sz="4" w:space="0" w:color="auto"/>
              <w:bottom w:val="single" w:sz="4" w:space="0" w:color="auto"/>
            </w:tcBorders>
          </w:tcPr>
          <w:p w14:paraId="7A996960"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Position (cM)</w:t>
            </w:r>
          </w:p>
        </w:tc>
        <w:tc>
          <w:tcPr>
            <w:tcW w:w="625" w:type="pct"/>
            <w:tcBorders>
              <w:top w:val="single" w:sz="4" w:space="0" w:color="auto"/>
              <w:bottom w:val="single" w:sz="4" w:space="0" w:color="auto"/>
            </w:tcBorders>
          </w:tcPr>
          <w:p w14:paraId="6A6C8860"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LOD</w:t>
            </w:r>
          </w:p>
        </w:tc>
        <w:tc>
          <w:tcPr>
            <w:tcW w:w="625" w:type="pct"/>
            <w:tcBorders>
              <w:top w:val="single" w:sz="4" w:space="0" w:color="auto"/>
              <w:bottom w:val="single" w:sz="4" w:space="0" w:color="auto"/>
            </w:tcBorders>
          </w:tcPr>
          <w:p w14:paraId="60B8B87E"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R</w:t>
            </w:r>
            <w:r w:rsidRPr="003E7C59">
              <w:rPr>
                <w:rFonts w:ascii="Arial" w:hAnsi="Arial" w:cs="Arial"/>
                <w:color w:val="000000" w:themeColor="text1"/>
                <w:sz w:val="22"/>
                <w:szCs w:val="22"/>
                <w:vertAlign w:val="superscript"/>
              </w:rPr>
              <w:t>2</w:t>
            </w:r>
          </w:p>
        </w:tc>
        <w:tc>
          <w:tcPr>
            <w:tcW w:w="625" w:type="pct"/>
            <w:tcBorders>
              <w:top w:val="single" w:sz="4" w:space="0" w:color="auto"/>
              <w:bottom w:val="single" w:sz="4" w:space="0" w:color="auto"/>
            </w:tcBorders>
          </w:tcPr>
          <w:p w14:paraId="298AB003"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Marker</w:t>
            </w:r>
          </w:p>
        </w:tc>
        <w:tc>
          <w:tcPr>
            <w:tcW w:w="625" w:type="pct"/>
            <w:tcBorders>
              <w:top w:val="single" w:sz="4" w:space="0" w:color="auto"/>
              <w:bottom w:val="single" w:sz="4" w:space="0" w:color="auto"/>
            </w:tcBorders>
          </w:tcPr>
          <w:p w14:paraId="488F2EB1"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Additive Effect</w:t>
            </w:r>
          </w:p>
        </w:tc>
      </w:tr>
      <w:tr w:rsidR="00B51BF9" w:rsidRPr="003E7C59" w14:paraId="4D6D2349" w14:textId="77777777" w:rsidTr="00654748">
        <w:trPr>
          <w:trHeight w:val="177"/>
          <w:jc w:val="center"/>
        </w:trPr>
        <w:tc>
          <w:tcPr>
            <w:tcW w:w="625" w:type="pct"/>
            <w:tcBorders>
              <w:top w:val="single" w:sz="4" w:space="0" w:color="auto"/>
            </w:tcBorders>
          </w:tcPr>
          <w:p w14:paraId="51968284" w14:textId="77777777" w:rsidR="00B51BF9" w:rsidRPr="003E7C59" w:rsidRDefault="00B51BF9" w:rsidP="006622F2">
            <w:pPr>
              <w:jc w:val="center"/>
              <w:rPr>
                <w:rFonts w:ascii="Arial" w:hAnsi="Arial" w:cs="Arial"/>
                <w:color w:val="000000" w:themeColor="text1"/>
                <w:sz w:val="22"/>
                <w:szCs w:val="22"/>
              </w:rPr>
            </w:pPr>
            <w:r w:rsidRPr="003E7C59">
              <w:rPr>
                <w:rStyle w:val="SubtleEmphasis"/>
                <w:rFonts w:ascii="Arial" w:hAnsi="Arial" w:cs="Arial"/>
                <w:i w:val="0"/>
                <w:iCs w:val="0"/>
                <w:color w:val="000000" w:themeColor="text1"/>
                <w:sz w:val="22"/>
                <w:szCs w:val="22"/>
              </w:rPr>
              <w:t>QTLPM-7</w:t>
            </w:r>
          </w:p>
        </w:tc>
        <w:tc>
          <w:tcPr>
            <w:tcW w:w="625" w:type="pct"/>
            <w:tcBorders>
              <w:top w:val="single" w:sz="4" w:space="0" w:color="auto"/>
            </w:tcBorders>
          </w:tcPr>
          <w:p w14:paraId="1619D5BA"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2017</w:t>
            </w:r>
          </w:p>
        </w:tc>
        <w:tc>
          <w:tcPr>
            <w:tcW w:w="625" w:type="pct"/>
            <w:tcBorders>
              <w:top w:val="single" w:sz="4" w:space="0" w:color="auto"/>
            </w:tcBorders>
          </w:tcPr>
          <w:p w14:paraId="7828F6E4"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8</w:t>
            </w:r>
          </w:p>
        </w:tc>
        <w:tc>
          <w:tcPr>
            <w:tcW w:w="625" w:type="pct"/>
            <w:tcBorders>
              <w:top w:val="single" w:sz="4" w:space="0" w:color="auto"/>
            </w:tcBorders>
          </w:tcPr>
          <w:p w14:paraId="56947D1E"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43.6</w:t>
            </w:r>
          </w:p>
        </w:tc>
        <w:tc>
          <w:tcPr>
            <w:tcW w:w="625" w:type="pct"/>
            <w:tcBorders>
              <w:top w:val="single" w:sz="4" w:space="0" w:color="auto"/>
            </w:tcBorders>
          </w:tcPr>
          <w:p w14:paraId="1990BE25" w14:textId="77777777" w:rsidR="00B51BF9" w:rsidRPr="003E7C59" w:rsidRDefault="00B51BF9" w:rsidP="006622F2">
            <w:pPr>
              <w:jc w:val="center"/>
              <w:rPr>
                <w:rFonts w:ascii="Arial" w:hAnsi="Arial" w:cs="Arial"/>
                <w:color w:val="000000" w:themeColor="text1"/>
                <w:sz w:val="22"/>
                <w:szCs w:val="22"/>
              </w:rPr>
            </w:pPr>
            <w:r w:rsidRPr="003E7C59">
              <w:rPr>
                <w:rStyle w:val="SubtleEmphasis"/>
                <w:rFonts w:ascii="Arial" w:hAnsi="Arial" w:cs="Arial"/>
                <w:i w:val="0"/>
                <w:iCs w:val="0"/>
                <w:color w:val="000000" w:themeColor="text1"/>
                <w:sz w:val="22"/>
                <w:szCs w:val="22"/>
              </w:rPr>
              <w:t>3.6</w:t>
            </w:r>
          </w:p>
        </w:tc>
        <w:tc>
          <w:tcPr>
            <w:tcW w:w="625" w:type="pct"/>
            <w:tcBorders>
              <w:top w:val="single" w:sz="4" w:space="0" w:color="auto"/>
            </w:tcBorders>
          </w:tcPr>
          <w:p w14:paraId="60DB478A" w14:textId="77777777" w:rsidR="00B51BF9" w:rsidRPr="003E7C59" w:rsidRDefault="00B51BF9" w:rsidP="006622F2">
            <w:pPr>
              <w:jc w:val="center"/>
              <w:rPr>
                <w:rFonts w:ascii="Arial" w:hAnsi="Arial" w:cs="Arial"/>
                <w:color w:val="000000" w:themeColor="text1"/>
                <w:sz w:val="22"/>
                <w:szCs w:val="22"/>
              </w:rPr>
            </w:pPr>
            <w:r w:rsidRPr="003E7C59">
              <w:rPr>
                <w:rStyle w:val="SubtleEmphasis"/>
                <w:rFonts w:ascii="Arial" w:hAnsi="Arial" w:cs="Arial"/>
                <w:i w:val="0"/>
                <w:iCs w:val="0"/>
                <w:color w:val="000000" w:themeColor="text1"/>
                <w:sz w:val="22"/>
                <w:szCs w:val="22"/>
              </w:rPr>
              <w:t>19%</w:t>
            </w:r>
          </w:p>
        </w:tc>
        <w:tc>
          <w:tcPr>
            <w:tcW w:w="625" w:type="pct"/>
            <w:tcBorders>
              <w:top w:val="single" w:sz="4" w:space="0" w:color="auto"/>
            </w:tcBorders>
          </w:tcPr>
          <w:p w14:paraId="57545884" w14:textId="77777777" w:rsidR="00B51BF9" w:rsidRPr="003E7C59" w:rsidRDefault="00B51BF9" w:rsidP="006622F2">
            <w:pPr>
              <w:jc w:val="center"/>
              <w:rPr>
                <w:rFonts w:ascii="Arial" w:hAnsi="Arial" w:cs="Arial"/>
                <w:color w:val="000000" w:themeColor="text1"/>
                <w:sz w:val="22"/>
                <w:szCs w:val="22"/>
              </w:rPr>
            </w:pPr>
            <w:r w:rsidRPr="003E7C59">
              <w:rPr>
                <w:rStyle w:val="SubtleEmphasis"/>
                <w:rFonts w:ascii="Arial" w:hAnsi="Arial" w:cs="Arial"/>
                <w:i w:val="0"/>
                <w:iCs w:val="0"/>
                <w:color w:val="000000" w:themeColor="text1"/>
                <w:sz w:val="22"/>
                <w:szCs w:val="22"/>
              </w:rPr>
              <w:t>CF696C</w:t>
            </w:r>
          </w:p>
        </w:tc>
        <w:tc>
          <w:tcPr>
            <w:tcW w:w="625" w:type="pct"/>
            <w:tcBorders>
              <w:top w:val="single" w:sz="4" w:space="0" w:color="auto"/>
            </w:tcBorders>
          </w:tcPr>
          <w:p w14:paraId="59D4A28F" w14:textId="77777777" w:rsidR="00B51BF9" w:rsidRPr="003E7C59" w:rsidRDefault="00B51BF9" w:rsidP="006622F2">
            <w:pPr>
              <w:jc w:val="center"/>
              <w:rPr>
                <w:rFonts w:ascii="Arial" w:hAnsi="Arial" w:cs="Arial"/>
                <w:color w:val="000000" w:themeColor="text1"/>
                <w:sz w:val="22"/>
                <w:szCs w:val="22"/>
              </w:rPr>
            </w:pPr>
            <w:r w:rsidRPr="003E7C59">
              <w:rPr>
                <w:rStyle w:val="SubtleEmphasis"/>
                <w:rFonts w:ascii="Arial" w:hAnsi="Arial" w:cs="Arial"/>
                <w:i w:val="0"/>
                <w:iCs w:val="0"/>
                <w:color w:val="000000" w:themeColor="text1"/>
                <w:sz w:val="22"/>
                <w:szCs w:val="22"/>
              </w:rPr>
              <w:t>-61.2</w:t>
            </w:r>
          </w:p>
        </w:tc>
      </w:tr>
      <w:tr w:rsidR="00B51BF9" w:rsidRPr="003E7C59" w14:paraId="1E52809F" w14:textId="77777777" w:rsidTr="00654748">
        <w:trPr>
          <w:trHeight w:val="350"/>
          <w:jc w:val="center"/>
        </w:trPr>
        <w:tc>
          <w:tcPr>
            <w:tcW w:w="625" w:type="pct"/>
            <w:tcBorders>
              <w:bottom w:val="single" w:sz="4" w:space="0" w:color="auto"/>
            </w:tcBorders>
          </w:tcPr>
          <w:p w14:paraId="6EEF9177" w14:textId="77777777" w:rsidR="00B51BF9" w:rsidRPr="003E7C59" w:rsidRDefault="00B51BF9" w:rsidP="006622F2">
            <w:pPr>
              <w:jc w:val="center"/>
              <w:rPr>
                <w:rFonts w:ascii="Arial" w:hAnsi="Arial" w:cs="Arial"/>
                <w:color w:val="000000" w:themeColor="text1"/>
                <w:sz w:val="22"/>
                <w:szCs w:val="22"/>
              </w:rPr>
            </w:pPr>
            <w:r w:rsidRPr="003E7C59">
              <w:rPr>
                <w:rStyle w:val="SubtleEmphasis"/>
                <w:rFonts w:ascii="Arial" w:hAnsi="Arial" w:cs="Arial"/>
                <w:i w:val="0"/>
                <w:iCs w:val="0"/>
                <w:color w:val="000000" w:themeColor="text1"/>
                <w:sz w:val="22"/>
                <w:szCs w:val="22"/>
              </w:rPr>
              <w:t>QTLPM-8</w:t>
            </w:r>
          </w:p>
        </w:tc>
        <w:tc>
          <w:tcPr>
            <w:tcW w:w="625" w:type="pct"/>
            <w:tcBorders>
              <w:bottom w:val="single" w:sz="4" w:space="0" w:color="auto"/>
            </w:tcBorders>
          </w:tcPr>
          <w:p w14:paraId="77AC7C49"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2018</w:t>
            </w:r>
          </w:p>
        </w:tc>
        <w:tc>
          <w:tcPr>
            <w:tcW w:w="625" w:type="pct"/>
            <w:tcBorders>
              <w:bottom w:val="single" w:sz="4" w:space="0" w:color="auto"/>
            </w:tcBorders>
          </w:tcPr>
          <w:p w14:paraId="2F28F8AD"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9</w:t>
            </w:r>
          </w:p>
        </w:tc>
        <w:tc>
          <w:tcPr>
            <w:tcW w:w="625" w:type="pct"/>
            <w:tcBorders>
              <w:bottom w:val="single" w:sz="4" w:space="0" w:color="auto"/>
            </w:tcBorders>
          </w:tcPr>
          <w:p w14:paraId="51D8DDF0"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49.7</w:t>
            </w:r>
          </w:p>
        </w:tc>
        <w:tc>
          <w:tcPr>
            <w:tcW w:w="625" w:type="pct"/>
            <w:tcBorders>
              <w:bottom w:val="single" w:sz="4" w:space="0" w:color="auto"/>
            </w:tcBorders>
          </w:tcPr>
          <w:p w14:paraId="07C718E8"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4.3</w:t>
            </w:r>
          </w:p>
        </w:tc>
        <w:tc>
          <w:tcPr>
            <w:tcW w:w="625" w:type="pct"/>
            <w:tcBorders>
              <w:bottom w:val="single" w:sz="4" w:space="0" w:color="auto"/>
            </w:tcBorders>
          </w:tcPr>
          <w:p w14:paraId="7C133227"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25%</w:t>
            </w:r>
          </w:p>
        </w:tc>
        <w:tc>
          <w:tcPr>
            <w:tcW w:w="625" w:type="pct"/>
            <w:tcBorders>
              <w:bottom w:val="single" w:sz="4" w:space="0" w:color="auto"/>
            </w:tcBorders>
          </w:tcPr>
          <w:p w14:paraId="0777F304" w14:textId="77777777" w:rsidR="00B51BF9" w:rsidRPr="003E7C59" w:rsidRDefault="00B51BF9" w:rsidP="006622F2">
            <w:pPr>
              <w:jc w:val="center"/>
              <w:rPr>
                <w:rFonts w:ascii="Arial" w:hAnsi="Arial" w:cs="Arial"/>
                <w:color w:val="000000" w:themeColor="text1"/>
                <w:sz w:val="22"/>
                <w:szCs w:val="22"/>
              </w:rPr>
            </w:pPr>
            <w:r w:rsidRPr="003E7C59">
              <w:rPr>
                <w:rStyle w:val="SubtleEmphasis"/>
                <w:rFonts w:ascii="Arial" w:hAnsi="Arial" w:cs="Arial"/>
                <w:i w:val="0"/>
                <w:iCs w:val="0"/>
                <w:color w:val="000000" w:themeColor="text1"/>
                <w:sz w:val="22"/>
                <w:szCs w:val="22"/>
              </w:rPr>
              <w:t>CF290C</w:t>
            </w:r>
          </w:p>
        </w:tc>
        <w:tc>
          <w:tcPr>
            <w:tcW w:w="625" w:type="pct"/>
            <w:tcBorders>
              <w:bottom w:val="single" w:sz="4" w:space="0" w:color="auto"/>
            </w:tcBorders>
          </w:tcPr>
          <w:p w14:paraId="1FB282D9" w14:textId="77777777" w:rsidR="00B51BF9" w:rsidRPr="003E7C59" w:rsidRDefault="00B51BF9" w:rsidP="006622F2">
            <w:pPr>
              <w:jc w:val="center"/>
              <w:rPr>
                <w:rFonts w:ascii="Arial" w:hAnsi="Arial" w:cs="Arial"/>
                <w:color w:val="000000" w:themeColor="text1"/>
                <w:sz w:val="22"/>
                <w:szCs w:val="22"/>
              </w:rPr>
            </w:pPr>
            <w:r w:rsidRPr="003E7C59">
              <w:rPr>
                <w:rFonts w:ascii="Arial" w:hAnsi="Arial" w:cs="Arial"/>
                <w:color w:val="000000" w:themeColor="text1"/>
                <w:sz w:val="22"/>
                <w:szCs w:val="22"/>
              </w:rPr>
              <w:t>-1.04</w:t>
            </w:r>
          </w:p>
        </w:tc>
      </w:tr>
    </w:tbl>
    <w:p w14:paraId="77E6EA90" w14:textId="080A003F" w:rsidR="00B51BF9" w:rsidRPr="003E7C59" w:rsidRDefault="00B51BF9" w:rsidP="006622F2">
      <w:pPr>
        <w:rPr>
          <w:rFonts w:ascii="Arial" w:hAnsi="Arial" w:cs="Arial"/>
          <w:color w:val="000000" w:themeColor="text1"/>
          <w:sz w:val="22"/>
          <w:szCs w:val="22"/>
        </w:rPr>
      </w:pPr>
    </w:p>
    <w:p w14:paraId="02B823B1" w14:textId="6D3DF69E" w:rsidR="004F151B" w:rsidRPr="003E7C59" w:rsidRDefault="004F151B" w:rsidP="006622F2">
      <w:pPr>
        <w:rPr>
          <w:rFonts w:ascii="Arial" w:hAnsi="Arial" w:cs="Arial"/>
          <w:color w:val="000000" w:themeColor="text1"/>
          <w:sz w:val="22"/>
          <w:szCs w:val="22"/>
        </w:rPr>
      </w:pPr>
    </w:p>
    <w:p w14:paraId="7D2B09E0" w14:textId="7726DEAB" w:rsidR="004F151B" w:rsidRPr="003E7C59" w:rsidRDefault="004F151B" w:rsidP="006622F2">
      <w:pPr>
        <w:rPr>
          <w:rFonts w:ascii="Arial" w:hAnsi="Arial" w:cs="Arial"/>
          <w:color w:val="000000" w:themeColor="text1"/>
          <w:sz w:val="22"/>
          <w:szCs w:val="22"/>
        </w:rPr>
      </w:pPr>
    </w:p>
    <w:p w14:paraId="29392F8C" w14:textId="11E1D738" w:rsidR="004F151B" w:rsidRPr="003E7C59" w:rsidRDefault="004F151B" w:rsidP="006622F2">
      <w:pPr>
        <w:rPr>
          <w:rFonts w:ascii="Arial" w:hAnsi="Arial" w:cs="Arial"/>
          <w:color w:val="000000" w:themeColor="text1"/>
          <w:sz w:val="22"/>
          <w:szCs w:val="22"/>
        </w:rPr>
      </w:pPr>
    </w:p>
    <w:p w14:paraId="200A2C27" w14:textId="414C9F79" w:rsidR="004F151B" w:rsidRPr="003E7C59" w:rsidRDefault="004F151B" w:rsidP="006622F2">
      <w:pPr>
        <w:rPr>
          <w:rFonts w:ascii="Arial" w:hAnsi="Arial" w:cs="Arial"/>
          <w:color w:val="000000" w:themeColor="text1"/>
          <w:sz w:val="22"/>
          <w:szCs w:val="22"/>
        </w:rPr>
      </w:pPr>
    </w:p>
    <w:p w14:paraId="338EAD7D" w14:textId="03A267A9" w:rsidR="004F151B" w:rsidRPr="003E7C59" w:rsidRDefault="004F151B" w:rsidP="006622F2">
      <w:pPr>
        <w:rPr>
          <w:rFonts w:ascii="Arial" w:hAnsi="Arial" w:cs="Arial"/>
          <w:color w:val="000000" w:themeColor="text1"/>
          <w:sz w:val="22"/>
          <w:szCs w:val="22"/>
        </w:rPr>
      </w:pPr>
    </w:p>
    <w:p w14:paraId="086F6A4E" w14:textId="354DF6BF" w:rsidR="004F151B" w:rsidRPr="003E7C59" w:rsidRDefault="004F151B" w:rsidP="006622F2">
      <w:pPr>
        <w:rPr>
          <w:rFonts w:ascii="Arial" w:hAnsi="Arial" w:cs="Arial"/>
          <w:color w:val="000000" w:themeColor="text1"/>
          <w:sz w:val="22"/>
          <w:szCs w:val="22"/>
        </w:rPr>
      </w:pPr>
    </w:p>
    <w:p w14:paraId="0AFFD103" w14:textId="1302087B" w:rsidR="004F151B" w:rsidRPr="003E7C59" w:rsidRDefault="004F151B" w:rsidP="006622F2">
      <w:pPr>
        <w:rPr>
          <w:rFonts w:ascii="Arial" w:hAnsi="Arial" w:cs="Arial"/>
          <w:color w:val="000000" w:themeColor="text1"/>
          <w:sz w:val="22"/>
          <w:szCs w:val="22"/>
        </w:rPr>
      </w:pPr>
    </w:p>
    <w:p w14:paraId="500C067D" w14:textId="7861BEE6" w:rsidR="004F151B" w:rsidRPr="003E7C59" w:rsidRDefault="004F151B" w:rsidP="006622F2">
      <w:pPr>
        <w:rPr>
          <w:rFonts w:ascii="Arial" w:hAnsi="Arial" w:cs="Arial"/>
          <w:color w:val="000000" w:themeColor="text1"/>
          <w:sz w:val="22"/>
          <w:szCs w:val="22"/>
        </w:rPr>
      </w:pPr>
    </w:p>
    <w:p w14:paraId="58E5876C" w14:textId="78891C76" w:rsidR="004F151B" w:rsidRPr="003E7C59" w:rsidRDefault="004F151B" w:rsidP="006622F2">
      <w:pPr>
        <w:rPr>
          <w:rFonts w:ascii="Arial" w:hAnsi="Arial" w:cs="Arial"/>
          <w:color w:val="000000" w:themeColor="text1"/>
          <w:sz w:val="22"/>
          <w:szCs w:val="22"/>
        </w:rPr>
      </w:pPr>
    </w:p>
    <w:p w14:paraId="3F15E017" w14:textId="4542AAB2" w:rsidR="004F151B" w:rsidRPr="003E7C59" w:rsidRDefault="004F151B" w:rsidP="006622F2">
      <w:pPr>
        <w:rPr>
          <w:rFonts w:ascii="Arial" w:hAnsi="Arial" w:cs="Arial"/>
          <w:color w:val="000000" w:themeColor="text1"/>
          <w:sz w:val="22"/>
          <w:szCs w:val="22"/>
        </w:rPr>
      </w:pPr>
    </w:p>
    <w:p w14:paraId="299B4E6D" w14:textId="461C6451" w:rsidR="004F151B" w:rsidRPr="003E7C59" w:rsidRDefault="004F151B" w:rsidP="006622F2">
      <w:pPr>
        <w:rPr>
          <w:rFonts w:ascii="Arial" w:hAnsi="Arial" w:cs="Arial"/>
          <w:color w:val="000000" w:themeColor="text1"/>
          <w:sz w:val="22"/>
          <w:szCs w:val="22"/>
        </w:rPr>
      </w:pPr>
    </w:p>
    <w:p w14:paraId="4A416485" w14:textId="49BA2E23" w:rsidR="004F151B" w:rsidRPr="003E7C59" w:rsidRDefault="004F151B" w:rsidP="006622F2">
      <w:pPr>
        <w:rPr>
          <w:rFonts w:ascii="Arial" w:hAnsi="Arial" w:cs="Arial"/>
          <w:color w:val="000000" w:themeColor="text1"/>
          <w:sz w:val="22"/>
          <w:szCs w:val="22"/>
        </w:rPr>
      </w:pPr>
    </w:p>
    <w:p w14:paraId="0688DD2B" w14:textId="4B99760A" w:rsidR="004F151B" w:rsidRPr="003E7C59" w:rsidRDefault="004F151B" w:rsidP="006622F2">
      <w:pPr>
        <w:rPr>
          <w:rFonts w:ascii="Arial" w:hAnsi="Arial" w:cs="Arial"/>
          <w:color w:val="000000" w:themeColor="text1"/>
          <w:sz w:val="22"/>
          <w:szCs w:val="22"/>
        </w:rPr>
      </w:pPr>
    </w:p>
    <w:p w14:paraId="5952390B" w14:textId="42634BEA" w:rsidR="004F151B" w:rsidRPr="003E7C59" w:rsidRDefault="004F151B" w:rsidP="006622F2">
      <w:pPr>
        <w:rPr>
          <w:rFonts w:ascii="Arial" w:hAnsi="Arial" w:cs="Arial"/>
          <w:color w:val="000000" w:themeColor="text1"/>
          <w:sz w:val="22"/>
          <w:szCs w:val="22"/>
        </w:rPr>
      </w:pPr>
    </w:p>
    <w:p w14:paraId="76641F94" w14:textId="7A1C6D38" w:rsidR="004F151B" w:rsidRPr="003E7C59" w:rsidRDefault="004F151B" w:rsidP="006622F2">
      <w:pPr>
        <w:rPr>
          <w:rFonts w:ascii="Arial" w:hAnsi="Arial" w:cs="Arial"/>
          <w:color w:val="000000" w:themeColor="text1"/>
          <w:sz w:val="22"/>
          <w:szCs w:val="22"/>
        </w:rPr>
      </w:pPr>
    </w:p>
    <w:p w14:paraId="2F96F24F" w14:textId="4CDA8901" w:rsidR="004F151B" w:rsidRPr="003E7C59" w:rsidRDefault="004F151B" w:rsidP="006622F2">
      <w:pPr>
        <w:rPr>
          <w:rFonts w:ascii="Arial" w:hAnsi="Arial" w:cs="Arial"/>
          <w:color w:val="000000" w:themeColor="text1"/>
          <w:sz w:val="22"/>
          <w:szCs w:val="22"/>
        </w:rPr>
      </w:pPr>
    </w:p>
    <w:p w14:paraId="76C6D010" w14:textId="4428FACF" w:rsidR="004F151B" w:rsidRPr="003E7C59" w:rsidRDefault="004F151B" w:rsidP="006622F2">
      <w:pPr>
        <w:rPr>
          <w:rFonts w:ascii="Arial" w:hAnsi="Arial" w:cs="Arial"/>
          <w:color w:val="000000" w:themeColor="text1"/>
          <w:sz w:val="22"/>
          <w:szCs w:val="22"/>
        </w:rPr>
      </w:pPr>
    </w:p>
    <w:p w14:paraId="732AC0EC" w14:textId="77777777" w:rsidR="004F151B" w:rsidRPr="003E7C59" w:rsidRDefault="004F151B" w:rsidP="006622F2">
      <w:pPr>
        <w:rPr>
          <w:rFonts w:ascii="Arial" w:hAnsi="Arial" w:cs="Arial"/>
          <w:color w:val="000000" w:themeColor="text1"/>
          <w:sz w:val="22"/>
          <w:szCs w:val="22"/>
        </w:rPr>
      </w:pPr>
    </w:p>
    <w:p w14:paraId="70C17D09" w14:textId="77777777" w:rsidR="00B51BF9" w:rsidRPr="003E7C59" w:rsidRDefault="00B51BF9" w:rsidP="006622F2">
      <w:pPr>
        <w:rPr>
          <w:rFonts w:ascii="Arial" w:hAnsi="Arial" w:cs="Arial"/>
          <w:color w:val="000000" w:themeColor="text1"/>
          <w:sz w:val="22"/>
          <w:szCs w:val="22"/>
        </w:rPr>
      </w:pPr>
    </w:p>
    <w:p w14:paraId="49E6C3AC" w14:textId="681800D9" w:rsidR="00B51BF9" w:rsidRDefault="00B51BF9" w:rsidP="006622F2">
      <w:pPr>
        <w:rPr>
          <w:rFonts w:ascii="Arial" w:hAnsi="Arial" w:cs="Arial"/>
          <w:color w:val="000000" w:themeColor="text1"/>
          <w:sz w:val="22"/>
          <w:szCs w:val="22"/>
        </w:rPr>
      </w:pPr>
    </w:p>
    <w:p w14:paraId="7BE566D6" w14:textId="6325F4F4" w:rsidR="00253D14" w:rsidRDefault="00253D14" w:rsidP="006622F2">
      <w:pPr>
        <w:rPr>
          <w:rFonts w:ascii="Arial" w:hAnsi="Arial" w:cs="Arial"/>
          <w:color w:val="000000" w:themeColor="text1"/>
          <w:sz w:val="22"/>
          <w:szCs w:val="22"/>
        </w:rPr>
      </w:pPr>
    </w:p>
    <w:p w14:paraId="423320FD" w14:textId="3E85566A" w:rsidR="006622F2" w:rsidRDefault="006622F2" w:rsidP="006622F2">
      <w:pPr>
        <w:rPr>
          <w:rFonts w:ascii="Arial" w:hAnsi="Arial" w:cs="Arial"/>
          <w:color w:val="000000" w:themeColor="text1"/>
          <w:sz w:val="22"/>
          <w:szCs w:val="22"/>
        </w:rPr>
      </w:pPr>
    </w:p>
    <w:p w14:paraId="1C50E572" w14:textId="667EFE15" w:rsidR="006622F2" w:rsidRDefault="006622F2" w:rsidP="006622F2">
      <w:pPr>
        <w:rPr>
          <w:rFonts w:ascii="Arial" w:hAnsi="Arial" w:cs="Arial"/>
          <w:color w:val="000000" w:themeColor="text1"/>
          <w:sz w:val="22"/>
          <w:szCs w:val="22"/>
        </w:rPr>
      </w:pPr>
    </w:p>
    <w:p w14:paraId="30E66A42" w14:textId="12873EC5" w:rsidR="006622F2" w:rsidRDefault="006622F2" w:rsidP="006622F2">
      <w:pPr>
        <w:rPr>
          <w:rFonts w:ascii="Arial" w:hAnsi="Arial" w:cs="Arial"/>
          <w:color w:val="000000" w:themeColor="text1"/>
          <w:sz w:val="22"/>
          <w:szCs w:val="22"/>
        </w:rPr>
      </w:pPr>
    </w:p>
    <w:p w14:paraId="697FC868" w14:textId="66382A80" w:rsidR="006622F2" w:rsidRDefault="006622F2" w:rsidP="006622F2">
      <w:pPr>
        <w:rPr>
          <w:rFonts w:ascii="Arial" w:hAnsi="Arial" w:cs="Arial"/>
          <w:color w:val="000000" w:themeColor="text1"/>
          <w:sz w:val="22"/>
          <w:szCs w:val="22"/>
        </w:rPr>
      </w:pPr>
    </w:p>
    <w:p w14:paraId="13C35FD9" w14:textId="77777777" w:rsidR="006622F2" w:rsidRDefault="006622F2" w:rsidP="006622F2">
      <w:pPr>
        <w:rPr>
          <w:rFonts w:ascii="Arial" w:hAnsi="Arial" w:cs="Arial"/>
          <w:color w:val="000000" w:themeColor="text1"/>
          <w:sz w:val="22"/>
          <w:szCs w:val="22"/>
        </w:rPr>
      </w:pPr>
    </w:p>
    <w:p w14:paraId="1BEFEA3C" w14:textId="77777777" w:rsidR="00253D14" w:rsidRPr="003E7C59" w:rsidRDefault="00253D14" w:rsidP="006622F2">
      <w:pPr>
        <w:rPr>
          <w:rFonts w:ascii="Arial" w:hAnsi="Arial" w:cs="Arial"/>
          <w:color w:val="000000" w:themeColor="text1"/>
          <w:sz w:val="22"/>
          <w:szCs w:val="22"/>
        </w:rPr>
      </w:pPr>
    </w:p>
    <w:p w14:paraId="34ED6BA3" w14:textId="77777777" w:rsidR="00B51BF9" w:rsidRPr="003E7C59" w:rsidRDefault="00B51BF9" w:rsidP="006622F2">
      <w:pPr>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71B5E751" wp14:editId="6A77F5AD">
            <wp:extent cx="5943600" cy="3347085"/>
            <wp:effectExtent l="0" t="0" r="0" b="5715"/>
            <wp:docPr id="9" name="Picture 9" descr="A picture containing vegetabl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vegetable, plan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347085"/>
                    </a:xfrm>
                    <a:prstGeom prst="rect">
                      <a:avLst/>
                    </a:prstGeom>
                    <a:ln>
                      <a:noFill/>
                    </a:ln>
                  </pic:spPr>
                </pic:pic>
              </a:graphicData>
            </a:graphic>
          </wp:inline>
        </w:drawing>
      </w:r>
    </w:p>
    <w:p w14:paraId="13471101" w14:textId="77777777" w:rsidR="00B51BF9" w:rsidRPr="003E7C59" w:rsidRDefault="00B51BF9" w:rsidP="006622F2">
      <w:pPr>
        <w:spacing w:line="360" w:lineRule="auto"/>
        <w:rPr>
          <w:rFonts w:ascii="Arial" w:hAnsi="Arial" w:cs="Arial"/>
          <w:color w:val="000000" w:themeColor="text1"/>
          <w:sz w:val="22"/>
          <w:szCs w:val="22"/>
        </w:rPr>
      </w:pPr>
    </w:p>
    <w:p w14:paraId="2863FD1A" w14:textId="0DA1277E" w:rsidR="00B51BF9" w:rsidRPr="003E7C59" w:rsidRDefault="00B51BF9" w:rsidP="007976EB">
      <w:pPr>
        <w:pStyle w:val="TableofFigures"/>
        <w:rPr>
          <w:rFonts w:cs="Arial"/>
          <w:szCs w:val="22"/>
        </w:rPr>
      </w:pPr>
      <w:bookmarkStart w:id="179" w:name="_Toc121477972"/>
      <w:bookmarkStart w:id="180" w:name="_Toc121479063"/>
      <w:bookmarkStart w:id="181" w:name="_Toc121479811"/>
      <w:bookmarkStart w:id="182" w:name="_Toc121479983"/>
      <w:bookmarkStart w:id="183" w:name="_Toc121480907"/>
      <w:bookmarkStart w:id="184" w:name="_Toc121481016"/>
      <w:bookmarkStart w:id="185" w:name="_Toc121481302"/>
      <w:bookmarkStart w:id="186" w:name="_Toc121514017"/>
      <w:r w:rsidRPr="003E7C59">
        <w:rPr>
          <w:rFonts w:cs="Arial"/>
          <w:szCs w:val="22"/>
        </w:rPr>
        <w:t xml:space="preserve">Figure 2.1. Symptoms of powdery mildew </w:t>
      </w:r>
      <w:r w:rsidR="006112FD" w:rsidRPr="003E7C59">
        <w:rPr>
          <w:rFonts w:cs="Arial"/>
          <w:szCs w:val="22"/>
        </w:rPr>
        <w:t>on</w:t>
      </w:r>
      <w:r w:rsidRPr="003E7C59">
        <w:rPr>
          <w:rFonts w:cs="Arial"/>
          <w:szCs w:val="22"/>
        </w:rPr>
        <w:t xml:space="preserve"> </w:t>
      </w:r>
      <w:r w:rsidRPr="003E7C59">
        <w:rPr>
          <w:rFonts w:cs="Arial"/>
          <w:i/>
          <w:iCs/>
          <w:szCs w:val="22"/>
        </w:rPr>
        <w:t>Cornus</w:t>
      </w:r>
      <w:r w:rsidRPr="003E7C59">
        <w:rPr>
          <w:rFonts w:cs="Arial"/>
          <w:szCs w:val="22"/>
        </w:rPr>
        <w:t xml:space="preserve"> </w:t>
      </w:r>
      <w:r w:rsidRPr="003E7C59">
        <w:rPr>
          <w:rFonts w:cs="Arial"/>
          <w:i/>
          <w:iCs/>
          <w:szCs w:val="22"/>
        </w:rPr>
        <w:t xml:space="preserve">florida </w:t>
      </w:r>
      <w:r w:rsidR="006112FD" w:rsidRPr="003E7C59">
        <w:rPr>
          <w:rFonts w:cs="Arial"/>
          <w:szCs w:val="22"/>
        </w:rPr>
        <w:t xml:space="preserve">pseudo-F2 individual tree originating from reciprocal crosses between breeding lines 96-6 and 96-7 </w:t>
      </w:r>
      <w:r w:rsidRPr="003E7C59">
        <w:rPr>
          <w:rFonts w:cs="Arial"/>
          <w:szCs w:val="22"/>
        </w:rPr>
        <w:t>(A) Merged white patches of mycelia and conidia on the adaxial leaf surface (B) Curled young and mature leaves in late summer.</w:t>
      </w:r>
      <w:bookmarkEnd w:id="179"/>
      <w:bookmarkEnd w:id="180"/>
      <w:bookmarkEnd w:id="181"/>
      <w:bookmarkEnd w:id="182"/>
      <w:bookmarkEnd w:id="183"/>
      <w:bookmarkEnd w:id="184"/>
      <w:bookmarkEnd w:id="185"/>
      <w:bookmarkEnd w:id="186"/>
    </w:p>
    <w:p w14:paraId="1EF18898" w14:textId="77777777" w:rsidR="00B51BF9" w:rsidRPr="003E7C59" w:rsidRDefault="00B51BF9" w:rsidP="006622F2">
      <w:pPr>
        <w:spacing w:line="360" w:lineRule="auto"/>
        <w:rPr>
          <w:rFonts w:ascii="Arial" w:hAnsi="Arial" w:cs="Arial"/>
          <w:color w:val="000000" w:themeColor="text1"/>
          <w:sz w:val="22"/>
          <w:szCs w:val="22"/>
        </w:rPr>
      </w:pPr>
    </w:p>
    <w:p w14:paraId="3311E0E6" w14:textId="77777777" w:rsidR="00B51BF9" w:rsidRPr="003E7C59" w:rsidRDefault="00B51BF9" w:rsidP="006622F2">
      <w:pPr>
        <w:rPr>
          <w:rFonts w:ascii="Arial" w:hAnsi="Arial" w:cs="Arial"/>
          <w:color w:val="000000" w:themeColor="text1"/>
          <w:sz w:val="22"/>
          <w:szCs w:val="22"/>
        </w:rPr>
      </w:pPr>
    </w:p>
    <w:p w14:paraId="4FED9B70" w14:textId="77777777" w:rsidR="00B51BF9" w:rsidRPr="003E7C59" w:rsidRDefault="00B51BF9" w:rsidP="006622F2">
      <w:pPr>
        <w:rPr>
          <w:rFonts w:ascii="Arial" w:hAnsi="Arial" w:cs="Arial"/>
          <w:color w:val="000000" w:themeColor="text1"/>
          <w:sz w:val="22"/>
          <w:szCs w:val="22"/>
        </w:rPr>
      </w:pPr>
    </w:p>
    <w:p w14:paraId="69710741" w14:textId="77777777" w:rsidR="00B51BF9" w:rsidRPr="003E7C59" w:rsidRDefault="00B51BF9" w:rsidP="006622F2">
      <w:pPr>
        <w:rPr>
          <w:rFonts w:ascii="Arial" w:hAnsi="Arial" w:cs="Arial"/>
          <w:color w:val="000000" w:themeColor="text1"/>
          <w:sz w:val="22"/>
          <w:szCs w:val="22"/>
        </w:rPr>
      </w:pPr>
    </w:p>
    <w:p w14:paraId="30303436" w14:textId="77777777" w:rsidR="00B51BF9" w:rsidRPr="003E7C59" w:rsidRDefault="00B51BF9" w:rsidP="006622F2">
      <w:pPr>
        <w:rPr>
          <w:rFonts w:ascii="Arial" w:hAnsi="Arial" w:cs="Arial"/>
          <w:color w:val="000000" w:themeColor="text1"/>
          <w:sz w:val="22"/>
          <w:szCs w:val="22"/>
        </w:rPr>
      </w:pPr>
    </w:p>
    <w:p w14:paraId="444FCF2A" w14:textId="77777777" w:rsidR="00B51BF9" w:rsidRPr="003E7C59" w:rsidRDefault="00B51BF9" w:rsidP="006622F2">
      <w:pPr>
        <w:rPr>
          <w:rFonts w:ascii="Arial" w:hAnsi="Arial" w:cs="Arial"/>
          <w:color w:val="000000" w:themeColor="text1"/>
          <w:sz w:val="22"/>
          <w:szCs w:val="22"/>
        </w:rPr>
      </w:pPr>
    </w:p>
    <w:p w14:paraId="44CB460A" w14:textId="77777777" w:rsidR="00B51BF9" w:rsidRPr="003E7C59" w:rsidRDefault="00B51BF9" w:rsidP="006622F2">
      <w:pPr>
        <w:rPr>
          <w:rFonts w:ascii="Arial" w:hAnsi="Arial" w:cs="Arial"/>
          <w:color w:val="000000" w:themeColor="text1"/>
          <w:sz w:val="22"/>
          <w:szCs w:val="22"/>
        </w:rPr>
      </w:pPr>
    </w:p>
    <w:p w14:paraId="454AC7EC" w14:textId="77777777" w:rsidR="00B51BF9" w:rsidRPr="003E7C59" w:rsidRDefault="00B51BF9" w:rsidP="006622F2">
      <w:pPr>
        <w:rPr>
          <w:rFonts w:ascii="Arial" w:hAnsi="Arial" w:cs="Arial"/>
          <w:b/>
          <w:color w:val="000000" w:themeColor="text1"/>
          <w:sz w:val="22"/>
          <w:szCs w:val="22"/>
        </w:rPr>
      </w:pPr>
    </w:p>
    <w:p w14:paraId="60E47DDA" w14:textId="77777777" w:rsidR="00B51BF9" w:rsidRPr="003E7C59" w:rsidRDefault="00B51BF9" w:rsidP="006622F2">
      <w:pPr>
        <w:rPr>
          <w:rFonts w:ascii="Arial" w:hAnsi="Arial" w:cs="Arial"/>
          <w:color w:val="000000" w:themeColor="text1"/>
          <w:sz w:val="22"/>
          <w:szCs w:val="22"/>
        </w:rPr>
      </w:pPr>
    </w:p>
    <w:p w14:paraId="38BCFB39" w14:textId="77777777" w:rsidR="00B51BF9" w:rsidRPr="003E7C59" w:rsidRDefault="00B51BF9" w:rsidP="006622F2">
      <w:pPr>
        <w:spacing w:line="360" w:lineRule="auto"/>
        <w:rPr>
          <w:rFonts w:ascii="Arial" w:hAnsi="Arial" w:cs="Arial"/>
          <w:color w:val="000000" w:themeColor="text1"/>
          <w:sz w:val="22"/>
          <w:szCs w:val="22"/>
        </w:rPr>
      </w:pPr>
    </w:p>
    <w:p w14:paraId="1D4E318D" w14:textId="77777777" w:rsidR="00147D57" w:rsidRPr="003E7C59" w:rsidRDefault="00147D57" w:rsidP="006622F2">
      <w:pPr>
        <w:pStyle w:val="NoSpacing"/>
        <w:spacing w:line="360" w:lineRule="auto"/>
        <w:jc w:val="center"/>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030C3224" wp14:editId="2476D8D9">
            <wp:extent cx="6008914" cy="3701623"/>
            <wp:effectExtent l="0" t="0" r="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74467" cy="3742005"/>
                    </a:xfrm>
                    <a:prstGeom prst="rect">
                      <a:avLst/>
                    </a:prstGeom>
                  </pic:spPr>
                </pic:pic>
              </a:graphicData>
            </a:graphic>
          </wp:inline>
        </w:drawing>
      </w:r>
    </w:p>
    <w:p w14:paraId="3BC66E0A" w14:textId="77777777" w:rsidR="00BD0C4C" w:rsidRDefault="00BD0C4C" w:rsidP="00BD0C4C">
      <w:pPr>
        <w:pStyle w:val="TableofFigures"/>
        <w:ind w:left="0" w:firstLine="0"/>
        <w:rPr>
          <w:rFonts w:cs="Arial"/>
          <w:szCs w:val="22"/>
        </w:rPr>
      </w:pPr>
      <w:bookmarkStart w:id="187" w:name="_Toc121477973"/>
      <w:bookmarkStart w:id="188" w:name="_Toc121479064"/>
      <w:bookmarkStart w:id="189" w:name="_Toc121479812"/>
      <w:bookmarkStart w:id="190" w:name="_Toc121479984"/>
      <w:bookmarkStart w:id="191" w:name="_Toc121480908"/>
      <w:bookmarkStart w:id="192" w:name="_Toc121481017"/>
      <w:bookmarkStart w:id="193" w:name="_Toc121481303"/>
      <w:bookmarkStart w:id="194" w:name="_Toc121514018"/>
    </w:p>
    <w:p w14:paraId="44FE8A2E" w14:textId="6288F907" w:rsidR="00B51BF9" w:rsidRPr="003E7C59" w:rsidRDefault="00B51BF9" w:rsidP="001B1244">
      <w:pPr>
        <w:pStyle w:val="TableofFigures"/>
        <w:rPr>
          <w:rFonts w:cs="Arial"/>
          <w:szCs w:val="22"/>
        </w:rPr>
      </w:pPr>
      <w:r w:rsidRPr="003E7C59">
        <w:rPr>
          <w:rFonts w:cs="Arial"/>
          <w:szCs w:val="22"/>
        </w:rPr>
        <w:t xml:space="preserve">Figure 2.2. </w:t>
      </w:r>
      <w:r w:rsidR="003C5FCA" w:rsidRPr="003E7C59">
        <w:rPr>
          <w:rFonts w:cs="Arial"/>
          <w:szCs w:val="22"/>
        </w:rPr>
        <w:t>Charts</w:t>
      </w:r>
      <w:r w:rsidRPr="003E7C59">
        <w:rPr>
          <w:rFonts w:cs="Arial"/>
          <w:szCs w:val="22"/>
        </w:rPr>
        <w:t xml:space="preserve"> for powdery mildew (PM) incidence over six years (2017-2022) in the </w:t>
      </w:r>
      <w:r w:rsidRPr="003E7C59">
        <w:rPr>
          <w:rFonts w:cs="Arial"/>
          <w:i/>
          <w:szCs w:val="22"/>
        </w:rPr>
        <w:t xml:space="preserve">Cornus </w:t>
      </w:r>
      <w:proofErr w:type="gramStart"/>
      <w:r w:rsidRPr="003E7C59">
        <w:rPr>
          <w:rFonts w:cs="Arial"/>
          <w:i/>
          <w:szCs w:val="22"/>
        </w:rPr>
        <w:t>florida</w:t>
      </w:r>
      <w:proofErr w:type="gramEnd"/>
      <w:r w:rsidRPr="003E7C59">
        <w:rPr>
          <w:rFonts w:cs="Arial"/>
          <w:szCs w:val="22"/>
        </w:rPr>
        <w:t xml:space="preserve"> pseudo-F2 population. 0 represented trees with no apparent disease symptoms and no colonies of PM detected on any leaves, 1 designated plants displaying up to 30 % symptomatic leaf area as light sporulation present on some leaves, 2 </w:t>
      </w:r>
      <w:r w:rsidR="00A11F43" w:rsidRPr="003E7C59">
        <w:rPr>
          <w:rFonts w:cs="Arial"/>
          <w:szCs w:val="22"/>
        </w:rPr>
        <w:t>represented 30</w:t>
      </w:r>
      <w:r w:rsidRPr="003E7C59">
        <w:rPr>
          <w:rFonts w:cs="Arial"/>
          <w:szCs w:val="22"/>
        </w:rPr>
        <w:t xml:space="preserve"> to 60 % of colonies with moderate sporulation coalescing into large regions, and 3 represented 60 to100 % of abundant sporulation merged into large areas</w:t>
      </w:r>
      <w:r w:rsidR="00ED4CDF" w:rsidRPr="003E7C59">
        <w:rPr>
          <w:rFonts w:cs="Arial"/>
          <w:szCs w:val="22"/>
        </w:rPr>
        <w:t>.</w:t>
      </w:r>
      <w:bookmarkEnd w:id="187"/>
      <w:bookmarkEnd w:id="188"/>
      <w:bookmarkEnd w:id="189"/>
      <w:bookmarkEnd w:id="190"/>
      <w:bookmarkEnd w:id="191"/>
      <w:bookmarkEnd w:id="192"/>
      <w:bookmarkEnd w:id="193"/>
      <w:bookmarkEnd w:id="194"/>
      <w:r w:rsidR="00ED4CDF" w:rsidRPr="003E7C59">
        <w:rPr>
          <w:rFonts w:cs="Arial"/>
          <w:szCs w:val="22"/>
        </w:rPr>
        <w:t xml:space="preserve"> </w:t>
      </w:r>
    </w:p>
    <w:p w14:paraId="7407E3B2" w14:textId="3D29987C" w:rsidR="00B51BF9" w:rsidRDefault="00B51BF9" w:rsidP="006622F2">
      <w:pPr>
        <w:pStyle w:val="NoSpacing"/>
        <w:spacing w:line="360" w:lineRule="auto"/>
        <w:rPr>
          <w:rFonts w:ascii="Arial" w:hAnsi="Arial" w:cs="Arial"/>
          <w:color w:val="000000" w:themeColor="text1"/>
          <w:sz w:val="22"/>
          <w:szCs w:val="22"/>
        </w:rPr>
      </w:pPr>
    </w:p>
    <w:p w14:paraId="7FCBA3E3" w14:textId="77777777" w:rsidR="00684DEF" w:rsidRPr="003E7C59" w:rsidRDefault="00684DEF" w:rsidP="006622F2">
      <w:pPr>
        <w:pStyle w:val="NoSpacing"/>
        <w:spacing w:line="360" w:lineRule="auto"/>
        <w:rPr>
          <w:rFonts w:ascii="Arial" w:hAnsi="Arial" w:cs="Arial"/>
          <w:color w:val="000000" w:themeColor="text1"/>
          <w:sz w:val="22"/>
          <w:szCs w:val="22"/>
        </w:rPr>
      </w:pPr>
    </w:p>
    <w:p w14:paraId="228C53FE" w14:textId="77777777" w:rsidR="00B51BF9" w:rsidRPr="003E7C59" w:rsidRDefault="00B51BF9" w:rsidP="006622F2">
      <w:pPr>
        <w:spacing w:line="360" w:lineRule="auto"/>
        <w:rPr>
          <w:rFonts w:ascii="Arial" w:hAnsi="Arial" w:cs="Arial"/>
          <w:color w:val="000000" w:themeColor="text1"/>
          <w:sz w:val="22"/>
          <w:szCs w:val="22"/>
        </w:rPr>
      </w:pPr>
      <w:r w:rsidRPr="003E7C59">
        <w:rPr>
          <w:rFonts w:ascii="Arial" w:hAnsi="Arial" w:cs="Arial"/>
          <w:noProof/>
          <w:color w:val="000000" w:themeColor="text1"/>
          <w:sz w:val="22"/>
          <w:szCs w:val="22"/>
        </w:rPr>
        <w:lastRenderedPageBreak/>
        <w:drawing>
          <wp:inline distT="0" distB="0" distL="0" distR="0" wp14:anchorId="62EECD01" wp14:editId="7E3B81AA">
            <wp:extent cx="5943600" cy="2484218"/>
            <wp:effectExtent l="0" t="0" r="0" b="5080"/>
            <wp:docPr id="12" name="Picture 12"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2484218"/>
                    </a:xfrm>
                    <a:prstGeom prst="rect">
                      <a:avLst/>
                    </a:prstGeom>
                  </pic:spPr>
                </pic:pic>
              </a:graphicData>
            </a:graphic>
          </wp:inline>
        </w:drawing>
      </w:r>
    </w:p>
    <w:p w14:paraId="368D3723" w14:textId="77777777" w:rsidR="00BD0C4C" w:rsidRDefault="00BD0C4C" w:rsidP="00CA01FD">
      <w:pPr>
        <w:pStyle w:val="TableofFigures"/>
        <w:rPr>
          <w:rFonts w:cs="Arial"/>
          <w:szCs w:val="22"/>
        </w:rPr>
      </w:pPr>
      <w:bookmarkStart w:id="195" w:name="_Toc121477974"/>
      <w:bookmarkStart w:id="196" w:name="_Toc121479065"/>
      <w:bookmarkStart w:id="197" w:name="_Toc121479813"/>
      <w:bookmarkStart w:id="198" w:name="_Toc121479985"/>
      <w:bookmarkStart w:id="199" w:name="_Toc121480909"/>
      <w:bookmarkStart w:id="200" w:name="_Toc121481018"/>
      <w:bookmarkStart w:id="201" w:name="_Toc121481304"/>
      <w:bookmarkStart w:id="202" w:name="_Toc121514019"/>
    </w:p>
    <w:p w14:paraId="7C7EEEF1" w14:textId="1F0C5107" w:rsidR="00B51BF9" w:rsidRPr="003E7C59" w:rsidRDefault="00B51BF9" w:rsidP="00CA01FD">
      <w:pPr>
        <w:pStyle w:val="TableofFigures"/>
        <w:rPr>
          <w:rFonts w:cs="Arial"/>
          <w:b/>
          <w:szCs w:val="22"/>
        </w:rPr>
      </w:pPr>
      <w:r w:rsidRPr="003E7C59">
        <w:rPr>
          <w:rFonts w:cs="Arial"/>
          <w:szCs w:val="22"/>
        </w:rPr>
        <w:t xml:space="preserve">Figure 2.3. </w:t>
      </w:r>
      <w:r w:rsidRPr="003E7C59">
        <w:rPr>
          <w:rFonts w:cs="Arial"/>
          <w:i/>
          <w:szCs w:val="22"/>
        </w:rPr>
        <w:t>Cornus florida</w:t>
      </w:r>
      <w:r w:rsidRPr="003E7C59">
        <w:rPr>
          <w:rFonts w:cs="Arial"/>
          <w:szCs w:val="22"/>
        </w:rPr>
        <w:t xml:space="preserve"> QTL with the largest effect w</w:t>
      </w:r>
      <w:r w:rsidR="00E6281C" w:rsidRPr="003E7C59">
        <w:rPr>
          <w:rFonts w:cs="Arial"/>
          <w:szCs w:val="22"/>
        </w:rPr>
        <w:t>ere</w:t>
      </w:r>
      <w:r w:rsidRPr="003E7C59">
        <w:rPr>
          <w:rFonts w:cs="Arial"/>
          <w:szCs w:val="22"/>
        </w:rPr>
        <w:t xml:space="preserve"> detected in LG 8 and 9 in two consecutive years, 2017 and 2018 (A) QTL on LG 8 associated with marker CF696C and further designated as QTLPM-7 (B) QTL on LG 9 associated with marker CF290C and further designated as QTLPM-8.</w:t>
      </w:r>
      <w:bookmarkEnd w:id="195"/>
      <w:bookmarkEnd w:id="196"/>
      <w:bookmarkEnd w:id="197"/>
      <w:bookmarkEnd w:id="198"/>
      <w:bookmarkEnd w:id="199"/>
      <w:bookmarkEnd w:id="200"/>
      <w:bookmarkEnd w:id="201"/>
      <w:bookmarkEnd w:id="202"/>
    </w:p>
    <w:p w14:paraId="2CA1922E" w14:textId="77777777" w:rsidR="00B51BF9" w:rsidRPr="003E7C59" w:rsidRDefault="00B51BF9" w:rsidP="006622F2">
      <w:pPr>
        <w:pStyle w:val="Heading1"/>
        <w:spacing w:before="0" w:after="0"/>
        <w:jc w:val="center"/>
        <w:rPr>
          <w:rFonts w:ascii="Arial" w:hAnsi="Arial" w:cs="Arial"/>
          <w:color w:val="000000" w:themeColor="text1"/>
          <w:sz w:val="22"/>
          <w:szCs w:val="22"/>
        </w:rPr>
      </w:pPr>
    </w:p>
    <w:p w14:paraId="0CCD9150" w14:textId="454C7404" w:rsidR="00EC16C3" w:rsidRPr="003E7C59" w:rsidRDefault="00EC16C3" w:rsidP="006622F2">
      <w:pPr>
        <w:pStyle w:val="Heading1"/>
        <w:jc w:val="center"/>
        <w:rPr>
          <w:rFonts w:ascii="Arial" w:hAnsi="Arial" w:cs="Arial"/>
          <w:color w:val="000000" w:themeColor="text1"/>
          <w:sz w:val="22"/>
          <w:szCs w:val="22"/>
        </w:rPr>
      </w:pPr>
      <w:bookmarkStart w:id="203" w:name="_Toc117166864"/>
    </w:p>
    <w:p w14:paraId="210BA202" w14:textId="5652F76C" w:rsidR="00EC16C3" w:rsidRPr="003E7C59" w:rsidRDefault="00EC16C3" w:rsidP="006622F2">
      <w:pPr>
        <w:rPr>
          <w:rFonts w:ascii="Arial" w:hAnsi="Arial" w:cs="Arial"/>
        </w:rPr>
      </w:pPr>
    </w:p>
    <w:p w14:paraId="47EADC20" w14:textId="180B9510" w:rsidR="00EC16C3" w:rsidRPr="003E7C59" w:rsidRDefault="00EC16C3" w:rsidP="006622F2">
      <w:pPr>
        <w:rPr>
          <w:rFonts w:ascii="Arial" w:hAnsi="Arial" w:cs="Arial"/>
        </w:rPr>
      </w:pPr>
    </w:p>
    <w:p w14:paraId="0F624DB3" w14:textId="494B790F" w:rsidR="00EC16C3" w:rsidRPr="003E7C59" w:rsidRDefault="00EC16C3" w:rsidP="006622F2">
      <w:pPr>
        <w:rPr>
          <w:rFonts w:ascii="Arial" w:hAnsi="Arial" w:cs="Arial"/>
        </w:rPr>
      </w:pPr>
    </w:p>
    <w:p w14:paraId="6F7014A8" w14:textId="39D55390" w:rsidR="00EC16C3" w:rsidRPr="003E7C59" w:rsidRDefault="00EC16C3" w:rsidP="006622F2">
      <w:pPr>
        <w:rPr>
          <w:rFonts w:ascii="Arial" w:hAnsi="Arial" w:cs="Arial"/>
        </w:rPr>
      </w:pPr>
    </w:p>
    <w:p w14:paraId="47F38FC2" w14:textId="65DED426" w:rsidR="00EC16C3" w:rsidRPr="003E7C59" w:rsidRDefault="00EC16C3" w:rsidP="006622F2">
      <w:pPr>
        <w:rPr>
          <w:rFonts w:ascii="Arial" w:hAnsi="Arial" w:cs="Arial"/>
        </w:rPr>
      </w:pPr>
    </w:p>
    <w:p w14:paraId="307DAB5E" w14:textId="60240EC3" w:rsidR="00EC16C3" w:rsidRPr="003E7C59" w:rsidRDefault="00EC16C3" w:rsidP="006622F2">
      <w:pPr>
        <w:rPr>
          <w:rFonts w:ascii="Arial" w:hAnsi="Arial" w:cs="Arial"/>
        </w:rPr>
      </w:pPr>
    </w:p>
    <w:p w14:paraId="625731F8" w14:textId="4624DCD9" w:rsidR="00EC16C3" w:rsidRPr="003E7C59" w:rsidRDefault="00EC16C3" w:rsidP="006622F2">
      <w:pPr>
        <w:rPr>
          <w:rFonts w:ascii="Arial" w:hAnsi="Arial" w:cs="Arial"/>
        </w:rPr>
      </w:pPr>
    </w:p>
    <w:p w14:paraId="0F393DF0" w14:textId="2209D025" w:rsidR="00EC16C3" w:rsidRPr="003E7C59" w:rsidRDefault="00EC16C3" w:rsidP="006622F2">
      <w:pPr>
        <w:rPr>
          <w:rFonts w:ascii="Arial" w:hAnsi="Arial" w:cs="Arial"/>
        </w:rPr>
      </w:pPr>
    </w:p>
    <w:p w14:paraId="6D82D881" w14:textId="4FB8CE7D" w:rsidR="00EC16C3" w:rsidRPr="003E7C59" w:rsidRDefault="00EC16C3" w:rsidP="006622F2">
      <w:pPr>
        <w:rPr>
          <w:rFonts w:ascii="Arial" w:hAnsi="Arial" w:cs="Arial"/>
        </w:rPr>
      </w:pPr>
    </w:p>
    <w:p w14:paraId="7FD67489" w14:textId="6141B7E2" w:rsidR="00EC16C3" w:rsidRPr="003E7C59" w:rsidRDefault="00EC16C3" w:rsidP="006622F2">
      <w:pPr>
        <w:rPr>
          <w:rFonts w:ascii="Arial" w:hAnsi="Arial" w:cs="Arial"/>
        </w:rPr>
      </w:pPr>
    </w:p>
    <w:p w14:paraId="31384CB8" w14:textId="57E3ECBC" w:rsidR="00EC16C3" w:rsidRPr="003E7C59" w:rsidRDefault="00EC16C3" w:rsidP="006622F2">
      <w:pPr>
        <w:rPr>
          <w:rFonts w:ascii="Arial" w:hAnsi="Arial" w:cs="Arial"/>
        </w:rPr>
      </w:pPr>
    </w:p>
    <w:p w14:paraId="5DFDC37C" w14:textId="6B41480E" w:rsidR="00EC16C3" w:rsidRPr="003E7C59" w:rsidRDefault="00EC16C3" w:rsidP="006622F2">
      <w:pPr>
        <w:rPr>
          <w:rFonts w:ascii="Arial" w:hAnsi="Arial" w:cs="Arial"/>
        </w:rPr>
      </w:pPr>
    </w:p>
    <w:p w14:paraId="42764363" w14:textId="4E040202" w:rsidR="00EC16C3" w:rsidRPr="003E7C59" w:rsidRDefault="00EC16C3" w:rsidP="006622F2">
      <w:pPr>
        <w:rPr>
          <w:rFonts w:ascii="Arial" w:hAnsi="Arial" w:cs="Arial"/>
        </w:rPr>
      </w:pPr>
    </w:p>
    <w:p w14:paraId="0ACDE6CA" w14:textId="181B819E" w:rsidR="00EC16C3" w:rsidRPr="003E7C59" w:rsidRDefault="00EC16C3" w:rsidP="006622F2">
      <w:pPr>
        <w:rPr>
          <w:rFonts w:ascii="Arial" w:hAnsi="Arial" w:cs="Arial"/>
        </w:rPr>
      </w:pPr>
    </w:p>
    <w:p w14:paraId="724840A5" w14:textId="58E4E743" w:rsidR="00EC16C3" w:rsidRPr="003E7C59" w:rsidRDefault="00EC16C3" w:rsidP="006622F2">
      <w:pPr>
        <w:rPr>
          <w:rFonts w:ascii="Arial" w:hAnsi="Arial" w:cs="Arial"/>
        </w:rPr>
      </w:pPr>
    </w:p>
    <w:p w14:paraId="6088CFC7" w14:textId="7B97E858" w:rsidR="00EC16C3" w:rsidRPr="003E7C59" w:rsidRDefault="00EC16C3" w:rsidP="006622F2">
      <w:pPr>
        <w:rPr>
          <w:rFonts w:ascii="Arial" w:hAnsi="Arial" w:cs="Arial"/>
        </w:rPr>
      </w:pPr>
    </w:p>
    <w:p w14:paraId="0DB97D1F" w14:textId="2001B933" w:rsidR="00EC16C3" w:rsidRPr="003E7C59" w:rsidRDefault="00EC16C3" w:rsidP="006622F2">
      <w:pPr>
        <w:rPr>
          <w:rFonts w:ascii="Arial" w:hAnsi="Arial" w:cs="Arial"/>
        </w:rPr>
      </w:pPr>
    </w:p>
    <w:p w14:paraId="7D2A9012" w14:textId="64E60BBB" w:rsidR="00EC16C3" w:rsidRPr="003E7C59" w:rsidRDefault="00EC16C3" w:rsidP="006622F2">
      <w:pPr>
        <w:rPr>
          <w:rFonts w:ascii="Arial" w:hAnsi="Arial" w:cs="Arial"/>
        </w:rPr>
      </w:pPr>
    </w:p>
    <w:p w14:paraId="7ED53423" w14:textId="656A1474" w:rsidR="00794BA6" w:rsidRDefault="00794BA6" w:rsidP="006622F2">
      <w:pPr>
        <w:rPr>
          <w:rFonts w:ascii="Arial" w:hAnsi="Arial" w:cs="Arial"/>
        </w:rPr>
      </w:pPr>
    </w:p>
    <w:p w14:paraId="21051C73" w14:textId="6EBEEDAC" w:rsidR="00B51BF9" w:rsidRPr="003E7C59" w:rsidRDefault="00B51BF9" w:rsidP="00BD0C4C">
      <w:pPr>
        <w:pStyle w:val="Heading1"/>
        <w:spacing w:before="0" w:after="0"/>
        <w:jc w:val="center"/>
        <w:rPr>
          <w:rFonts w:ascii="Arial" w:hAnsi="Arial" w:cs="Arial"/>
          <w:color w:val="000000" w:themeColor="text1"/>
          <w:sz w:val="22"/>
          <w:szCs w:val="22"/>
        </w:rPr>
      </w:pPr>
      <w:bookmarkStart w:id="204" w:name="_Toc121821950"/>
      <w:r w:rsidRPr="003E7C59">
        <w:rPr>
          <w:rFonts w:ascii="Arial" w:hAnsi="Arial" w:cs="Arial"/>
          <w:color w:val="000000" w:themeColor="text1"/>
          <w:sz w:val="22"/>
          <w:szCs w:val="22"/>
        </w:rPr>
        <w:lastRenderedPageBreak/>
        <w:t>Chapter 3. Are Mlo Genes a Vital Source of Powdery Mildew Resistance in Flowering Dogwood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w:t>
      </w:r>
      <w:bookmarkEnd w:id="203"/>
      <w:bookmarkEnd w:id="204"/>
    </w:p>
    <w:p w14:paraId="5C2125E4" w14:textId="77777777" w:rsidR="00B51BF9" w:rsidRPr="003E7C59" w:rsidRDefault="00B51BF9" w:rsidP="006622F2">
      <w:pPr>
        <w:spacing w:line="360" w:lineRule="auto"/>
        <w:jc w:val="center"/>
        <w:rPr>
          <w:rFonts w:ascii="Arial" w:hAnsi="Arial" w:cs="Arial"/>
          <w:color w:val="000000" w:themeColor="text1"/>
          <w:sz w:val="22"/>
          <w:szCs w:val="22"/>
        </w:rPr>
      </w:pPr>
    </w:p>
    <w:p w14:paraId="7EB78BEB" w14:textId="77777777" w:rsidR="00B51BF9" w:rsidRPr="003E7C59" w:rsidRDefault="00B51BF9" w:rsidP="006622F2">
      <w:pPr>
        <w:spacing w:line="360" w:lineRule="auto"/>
        <w:rPr>
          <w:rFonts w:ascii="Arial" w:hAnsi="Arial" w:cs="Arial"/>
          <w:color w:val="000000" w:themeColor="text1"/>
          <w:sz w:val="22"/>
          <w:szCs w:val="22"/>
        </w:rPr>
      </w:pPr>
    </w:p>
    <w:p w14:paraId="627FAC62" w14:textId="77777777" w:rsidR="00B51BF9" w:rsidRPr="003E7C59" w:rsidRDefault="00B51BF9" w:rsidP="006622F2">
      <w:pPr>
        <w:spacing w:line="360" w:lineRule="auto"/>
        <w:rPr>
          <w:rFonts w:ascii="Arial" w:hAnsi="Arial" w:cs="Arial"/>
          <w:color w:val="000000" w:themeColor="text1"/>
          <w:sz w:val="22"/>
          <w:szCs w:val="22"/>
        </w:rPr>
      </w:pPr>
    </w:p>
    <w:p w14:paraId="570508BD" w14:textId="77777777" w:rsidR="00B51BF9" w:rsidRPr="003E7C59" w:rsidRDefault="00B51BF9" w:rsidP="006622F2">
      <w:pPr>
        <w:spacing w:line="360" w:lineRule="auto"/>
        <w:rPr>
          <w:rFonts w:ascii="Arial" w:hAnsi="Arial" w:cs="Arial"/>
          <w:color w:val="000000" w:themeColor="text1"/>
          <w:sz w:val="22"/>
          <w:szCs w:val="22"/>
        </w:rPr>
      </w:pPr>
    </w:p>
    <w:p w14:paraId="772D0C07" w14:textId="77777777" w:rsidR="00B51BF9" w:rsidRPr="003E7C59" w:rsidRDefault="00B51BF9" w:rsidP="006622F2">
      <w:pPr>
        <w:spacing w:line="360" w:lineRule="auto"/>
        <w:rPr>
          <w:rFonts w:ascii="Arial" w:hAnsi="Arial" w:cs="Arial"/>
          <w:color w:val="000000" w:themeColor="text1"/>
          <w:sz w:val="22"/>
          <w:szCs w:val="22"/>
        </w:rPr>
      </w:pPr>
    </w:p>
    <w:p w14:paraId="163372CA" w14:textId="77777777" w:rsidR="00B51BF9" w:rsidRPr="003E7C59" w:rsidRDefault="00B51BF9" w:rsidP="006622F2">
      <w:pPr>
        <w:spacing w:line="360" w:lineRule="auto"/>
        <w:rPr>
          <w:rFonts w:ascii="Arial" w:hAnsi="Arial" w:cs="Arial"/>
          <w:color w:val="000000" w:themeColor="text1"/>
          <w:sz w:val="22"/>
          <w:szCs w:val="22"/>
        </w:rPr>
      </w:pPr>
    </w:p>
    <w:p w14:paraId="4EC767CE" w14:textId="77777777" w:rsidR="00B51BF9" w:rsidRPr="003E7C59" w:rsidRDefault="00B51BF9" w:rsidP="006622F2">
      <w:pPr>
        <w:spacing w:line="360" w:lineRule="auto"/>
        <w:rPr>
          <w:rFonts w:ascii="Arial" w:hAnsi="Arial" w:cs="Arial"/>
          <w:color w:val="000000" w:themeColor="text1"/>
          <w:sz w:val="22"/>
          <w:szCs w:val="22"/>
        </w:rPr>
      </w:pPr>
    </w:p>
    <w:p w14:paraId="52E61B0F" w14:textId="77777777" w:rsidR="00B51BF9" w:rsidRPr="003E7C59" w:rsidRDefault="00B51BF9" w:rsidP="006622F2">
      <w:pPr>
        <w:spacing w:line="360" w:lineRule="auto"/>
        <w:rPr>
          <w:rFonts w:ascii="Arial" w:hAnsi="Arial" w:cs="Arial"/>
          <w:color w:val="000000" w:themeColor="text1"/>
          <w:sz w:val="22"/>
          <w:szCs w:val="22"/>
        </w:rPr>
      </w:pPr>
    </w:p>
    <w:p w14:paraId="60A8E464" w14:textId="77777777" w:rsidR="00B51BF9" w:rsidRPr="003E7C59" w:rsidRDefault="00B51BF9" w:rsidP="006622F2">
      <w:pPr>
        <w:spacing w:line="360" w:lineRule="auto"/>
        <w:rPr>
          <w:rFonts w:ascii="Arial" w:hAnsi="Arial" w:cs="Arial"/>
          <w:color w:val="000000" w:themeColor="text1"/>
          <w:sz w:val="22"/>
          <w:szCs w:val="22"/>
        </w:rPr>
      </w:pPr>
    </w:p>
    <w:p w14:paraId="4A4EB747" w14:textId="77777777" w:rsidR="00B51BF9" w:rsidRPr="003E7C59" w:rsidRDefault="00B51BF9" w:rsidP="006622F2">
      <w:pPr>
        <w:spacing w:line="360" w:lineRule="auto"/>
        <w:rPr>
          <w:rFonts w:ascii="Arial" w:hAnsi="Arial" w:cs="Arial"/>
          <w:color w:val="000000" w:themeColor="text1"/>
          <w:sz w:val="22"/>
          <w:szCs w:val="22"/>
        </w:rPr>
      </w:pPr>
    </w:p>
    <w:p w14:paraId="48DA0EA9" w14:textId="77777777" w:rsidR="00B51BF9" w:rsidRPr="003E7C59" w:rsidRDefault="00B51BF9" w:rsidP="006622F2">
      <w:pPr>
        <w:spacing w:line="360" w:lineRule="auto"/>
        <w:rPr>
          <w:rFonts w:ascii="Arial" w:hAnsi="Arial" w:cs="Arial"/>
          <w:color w:val="000000" w:themeColor="text1"/>
          <w:sz w:val="22"/>
          <w:szCs w:val="22"/>
        </w:rPr>
      </w:pPr>
    </w:p>
    <w:p w14:paraId="70714A80" w14:textId="77777777" w:rsidR="00B51BF9" w:rsidRPr="003E7C59" w:rsidRDefault="00B51BF9" w:rsidP="006622F2">
      <w:pPr>
        <w:spacing w:line="360" w:lineRule="auto"/>
        <w:rPr>
          <w:rFonts w:ascii="Arial" w:hAnsi="Arial" w:cs="Arial"/>
          <w:color w:val="000000" w:themeColor="text1"/>
          <w:sz w:val="22"/>
          <w:szCs w:val="22"/>
        </w:rPr>
      </w:pPr>
    </w:p>
    <w:p w14:paraId="4543F9ED" w14:textId="77777777" w:rsidR="00B51BF9" w:rsidRPr="003E7C59" w:rsidRDefault="00B51BF9" w:rsidP="006622F2">
      <w:pPr>
        <w:spacing w:line="360" w:lineRule="auto"/>
        <w:rPr>
          <w:rFonts w:ascii="Arial" w:hAnsi="Arial" w:cs="Arial"/>
          <w:b/>
          <w:bCs/>
          <w:color w:val="000000" w:themeColor="text1"/>
          <w:sz w:val="22"/>
          <w:szCs w:val="22"/>
        </w:rPr>
      </w:pPr>
    </w:p>
    <w:p w14:paraId="5BD7C273" w14:textId="77777777" w:rsidR="00B51BF9" w:rsidRPr="003E7C59" w:rsidRDefault="00B51BF9" w:rsidP="006622F2">
      <w:pPr>
        <w:pStyle w:val="Heading3"/>
        <w:spacing w:line="360" w:lineRule="auto"/>
        <w:rPr>
          <w:rFonts w:ascii="Arial" w:hAnsi="Arial" w:cs="Arial"/>
          <w:color w:val="000000" w:themeColor="text1"/>
          <w:sz w:val="22"/>
          <w:szCs w:val="22"/>
        </w:rPr>
      </w:pPr>
    </w:p>
    <w:p w14:paraId="7F4BAF4F" w14:textId="77777777" w:rsidR="00B51BF9" w:rsidRPr="003E7C59" w:rsidRDefault="00B51BF9" w:rsidP="006622F2">
      <w:pPr>
        <w:pStyle w:val="Heading3"/>
        <w:spacing w:line="360" w:lineRule="auto"/>
        <w:rPr>
          <w:rFonts w:ascii="Arial" w:hAnsi="Arial" w:cs="Arial"/>
          <w:color w:val="000000" w:themeColor="text1"/>
          <w:sz w:val="22"/>
          <w:szCs w:val="22"/>
        </w:rPr>
      </w:pPr>
    </w:p>
    <w:p w14:paraId="15915B5E" w14:textId="77777777" w:rsidR="00B51BF9" w:rsidRPr="003E7C59" w:rsidRDefault="00B51BF9" w:rsidP="006622F2">
      <w:pPr>
        <w:pStyle w:val="Heading3"/>
        <w:spacing w:line="360" w:lineRule="auto"/>
        <w:rPr>
          <w:rFonts w:ascii="Arial" w:hAnsi="Arial" w:cs="Arial"/>
          <w:color w:val="000000" w:themeColor="text1"/>
          <w:sz w:val="22"/>
          <w:szCs w:val="22"/>
        </w:rPr>
      </w:pPr>
    </w:p>
    <w:p w14:paraId="046AEDC2" w14:textId="77777777" w:rsidR="00B51BF9" w:rsidRPr="003E7C59" w:rsidRDefault="00B51BF9" w:rsidP="006622F2">
      <w:pPr>
        <w:pStyle w:val="Heading3"/>
        <w:spacing w:line="360" w:lineRule="auto"/>
        <w:rPr>
          <w:rFonts w:ascii="Arial" w:hAnsi="Arial" w:cs="Arial"/>
          <w:color w:val="000000" w:themeColor="text1"/>
          <w:sz w:val="22"/>
          <w:szCs w:val="22"/>
        </w:rPr>
      </w:pPr>
    </w:p>
    <w:p w14:paraId="152FDF54" w14:textId="77777777" w:rsidR="00B51BF9" w:rsidRPr="003E7C59" w:rsidRDefault="00B51BF9" w:rsidP="006622F2">
      <w:pPr>
        <w:pStyle w:val="Heading3"/>
        <w:spacing w:line="360" w:lineRule="auto"/>
        <w:rPr>
          <w:rFonts w:ascii="Arial" w:hAnsi="Arial" w:cs="Arial"/>
          <w:color w:val="000000" w:themeColor="text1"/>
          <w:sz w:val="22"/>
          <w:szCs w:val="22"/>
        </w:rPr>
      </w:pPr>
    </w:p>
    <w:p w14:paraId="689767AA" w14:textId="77777777" w:rsidR="00B51BF9" w:rsidRPr="003E7C59" w:rsidRDefault="00B51BF9" w:rsidP="006622F2">
      <w:pPr>
        <w:pStyle w:val="Heading3"/>
        <w:spacing w:line="360" w:lineRule="auto"/>
        <w:rPr>
          <w:rFonts w:ascii="Arial" w:hAnsi="Arial" w:cs="Arial"/>
          <w:color w:val="000000" w:themeColor="text1"/>
          <w:sz w:val="22"/>
          <w:szCs w:val="22"/>
        </w:rPr>
      </w:pPr>
    </w:p>
    <w:p w14:paraId="1370CFE9" w14:textId="77777777" w:rsidR="00B51BF9" w:rsidRPr="003E7C59" w:rsidRDefault="00B51BF9" w:rsidP="006622F2">
      <w:pPr>
        <w:pStyle w:val="Heading3"/>
        <w:spacing w:line="360" w:lineRule="auto"/>
        <w:rPr>
          <w:rFonts w:ascii="Arial" w:hAnsi="Arial" w:cs="Arial"/>
          <w:color w:val="000000" w:themeColor="text1"/>
          <w:sz w:val="22"/>
          <w:szCs w:val="22"/>
        </w:rPr>
      </w:pPr>
    </w:p>
    <w:p w14:paraId="69E4C761" w14:textId="77777777" w:rsidR="00B51BF9" w:rsidRPr="003E7C59" w:rsidRDefault="00B51BF9" w:rsidP="006622F2">
      <w:pPr>
        <w:pStyle w:val="Heading3"/>
        <w:spacing w:line="360" w:lineRule="auto"/>
        <w:rPr>
          <w:rFonts w:ascii="Arial" w:hAnsi="Arial" w:cs="Arial"/>
          <w:color w:val="000000" w:themeColor="text1"/>
          <w:sz w:val="22"/>
          <w:szCs w:val="22"/>
        </w:rPr>
      </w:pPr>
    </w:p>
    <w:p w14:paraId="08C1B4C0" w14:textId="77777777" w:rsidR="00B51BF9" w:rsidRPr="003E7C59" w:rsidRDefault="00B51BF9" w:rsidP="006622F2">
      <w:pPr>
        <w:pStyle w:val="Heading3"/>
        <w:spacing w:line="360" w:lineRule="auto"/>
        <w:rPr>
          <w:rFonts w:ascii="Arial" w:hAnsi="Arial" w:cs="Arial"/>
          <w:color w:val="000000" w:themeColor="text1"/>
          <w:sz w:val="22"/>
          <w:szCs w:val="22"/>
        </w:rPr>
      </w:pPr>
    </w:p>
    <w:p w14:paraId="4ED1CED8" w14:textId="77777777" w:rsidR="00B51BF9" w:rsidRPr="003E7C59" w:rsidRDefault="00B51BF9" w:rsidP="006622F2">
      <w:pPr>
        <w:pStyle w:val="Heading3"/>
        <w:spacing w:line="360" w:lineRule="auto"/>
        <w:rPr>
          <w:rFonts w:ascii="Arial" w:hAnsi="Arial" w:cs="Arial"/>
          <w:color w:val="000000" w:themeColor="text1"/>
          <w:sz w:val="22"/>
          <w:szCs w:val="22"/>
        </w:rPr>
      </w:pPr>
    </w:p>
    <w:p w14:paraId="79A2709F" w14:textId="77777777" w:rsidR="00DB1EC4" w:rsidRDefault="00DB1EC4" w:rsidP="006622F2">
      <w:pPr>
        <w:pStyle w:val="Heading3"/>
        <w:spacing w:before="0" w:beforeAutospacing="0" w:after="0" w:afterAutospacing="0" w:line="360" w:lineRule="auto"/>
        <w:rPr>
          <w:rFonts w:ascii="Arial" w:hAnsi="Arial" w:cs="Arial"/>
          <w:color w:val="000000" w:themeColor="text1"/>
          <w:sz w:val="22"/>
          <w:szCs w:val="22"/>
        </w:rPr>
      </w:pPr>
      <w:bookmarkStart w:id="205" w:name="_Toc117166865"/>
      <w:bookmarkStart w:id="206" w:name="_Toc121821951"/>
    </w:p>
    <w:p w14:paraId="43773D81" w14:textId="77777777" w:rsidR="00BD0C4C" w:rsidRDefault="00BD0C4C" w:rsidP="006622F2">
      <w:pPr>
        <w:pStyle w:val="Heading3"/>
        <w:spacing w:before="0" w:beforeAutospacing="0" w:after="0" w:afterAutospacing="0" w:line="360" w:lineRule="auto"/>
        <w:rPr>
          <w:rFonts w:ascii="Arial" w:hAnsi="Arial" w:cs="Arial"/>
          <w:color w:val="000000" w:themeColor="text1"/>
          <w:sz w:val="22"/>
          <w:szCs w:val="22"/>
        </w:rPr>
      </w:pPr>
    </w:p>
    <w:p w14:paraId="2575BB89" w14:textId="3977C96D" w:rsidR="00EC16C3"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r w:rsidRPr="003E7C59">
        <w:rPr>
          <w:rFonts w:ascii="Arial" w:hAnsi="Arial" w:cs="Arial"/>
          <w:color w:val="000000" w:themeColor="text1"/>
          <w:sz w:val="22"/>
          <w:szCs w:val="22"/>
        </w:rPr>
        <w:lastRenderedPageBreak/>
        <w:t>Abstract</w:t>
      </w:r>
      <w:bookmarkEnd w:id="205"/>
      <w:bookmarkEnd w:id="206"/>
    </w:p>
    <w:p w14:paraId="375A023E"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p>
    <w:p w14:paraId="2DE858DE" w14:textId="347F1069"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Powdery mildews (PMs) are highly specialized plant pathogens of many monocotyledonous and dicotyledonous plants including important crops such as cereals, grapevines, vegetables, and ornamental plants. </w:t>
      </w:r>
      <w:r w:rsidRPr="003E7C59">
        <w:rPr>
          <w:rFonts w:ascii="Arial" w:hAnsi="Arial" w:cs="Arial"/>
          <w:i/>
          <w:iCs/>
          <w:color w:val="000000" w:themeColor="text1"/>
          <w:sz w:val="22"/>
          <w:szCs w:val="22"/>
        </w:rPr>
        <w:t>Erysiphe pulchra</w:t>
      </w:r>
      <w:r w:rsidR="00F27373" w:rsidRPr="003E7C59">
        <w:rPr>
          <w:rFonts w:ascii="Arial" w:hAnsi="Arial" w:cs="Arial"/>
          <w:color w:val="000000" w:themeColor="text1"/>
          <w:sz w:val="22"/>
          <w:szCs w:val="22"/>
        </w:rPr>
        <w:t xml:space="preserve"> Cooke &amp; Peck</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is a</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prevalent </w:t>
      </w:r>
      <w:r w:rsidR="005810E1" w:rsidRPr="003E7C59">
        <w:rPr>
          <w:rFonts w:ascii="Arial" w:hAnsi="Arial" w:cs="Arial"/>
          <w:color w:val="000000" w:themeColor="text1"/>
          <w:sz w:val="22"/>
          <w:szCs w:val="22"/>
        </w:rPr>
        <w:t xml:space="preserve">powdery mildew </w:t>
      </w:r>
      <w:r w:rsidRPr="003E7C59">
        <w:rPr>
          <w:rFonts w:ascii="Arial" w:hAnsi="Arial" w:cs="Arial"/>
          <w:color w:val="000000" w:themeColor="text1"/>
          <w:sz w:val="22"/>
          <w:szCs w:val="22"/>
        </w:rPr>
        <w:t>pathogen of the most popular and economically important dogwood species</w:t>
      </w:r>
      <w:r w:rsidR="005810E1"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Symptoms on flowering dogwood manifest as circular or irregular white patches consisting of mycelia and conidia on the adaxial leaf surface. Recessively inherited loss-of-function mutation in the gene </w:t>
      </w:r>
      <w:r w:rsidRPr="003E7C59">
        <w:rPr>
          <w:rFonts w:ascii="Arial" w:hAnsi="Arial" w:cs="Arial"/>
          <w:i/>
          <w:color w:val="000000" w:themeColor="text1"/>
          <w:sz w:val="22"/>
          <w:szCs w:val="22"/>
        </w:rPr>
        <w:t>Mildew resistance locus o</w:t>
      </w:r>
      <w:r w:rsidRPr="003E7C59">
        <w:rPr>
          <w:rFonts w:ascii="Arial" w:hAnsi="Arial" w:cs="Arial"/>
          <w:color w:val="000000" w:themeColor="text1"/>
          <w:sz w:val="22"/>
          <w:szCs w:val="22"/>
        </w:rPr>
        <w:t xml:space="preserve"> (</w:t>
      </w:r>
      <w:r w:rsidRPr="003E7C59">
        <w:rPr>
          <w:rFonts w:ascii="Arial" w:hAnsi="Arial" w:cs="Arial"/>
          <w:i/>
          <w:color w:val="000000" w:themeColor="text1"/>
          <w:sz w:val="22"/>
          <w:szCs w:val="22"/>
        </w:rPr>
        <w:t>Mlo</w:t>
      </w:r>
      <w:r w:rsidRPr="003E7C59">
        <w:rPr>
          <w:rFonts w:ascii="Arial" w:hAnsi="Arial" w:cs="Arial"/>
          <w:color w:val="000000" w:themeColor="text1"/>
          <w:sz w:val="22"/>
          <w:szCs w:val="22"/>
        </w:rPr>
        <w:t xml:space="preserve">), initially discovered in barley, </w:t>
      </w:r>
      <w:proofErr w:type="gramStart"/>
      <w:r w:rsidRPr="003E7C59">
        <w:rPr>
          <w:rFonts w:ascii="Arial" w:hAnsi="Arial" w:cs="Arial"/>
          <w:color w:val="000000" w:themeColor="text1"/>
          <w:sz w:val="22"/>
          <w:szCs w:val="22"/>
        </w:rPr>
        <w:t>confers</w:t>
      </w:r>
      <w:proofErr w:type="gramEnd"/>
      <w:r w:rsidRPr="003E7C59">
        <w:rPr>
          <w:rFonts w:ascii="Arial" w:hAnsi="Arial" w:cs="Arial"/>
          <w:color w:val="000000" w:themeColor="text1"/>
          <w:sz w:val="22"/>
          <w:szCs w:val="22"/>
        </w:rPr>
        <w:t xml:space="preserve"> broad-spectrum powdery mildew resistance. Therefore, the early stages of PM infection are associated with increased transcript abundance of </w:t>
      </w:r>
      <w:r w:rsidRPr="003E7C59">
        <w:rPr>
          <w:rFonts w:ascii="Arial" w:hAnsi="Arial" w:cs="Arial"/>
          <w:i/>
          <w:iCs/>
          <w:color w:val="000000" w:themeColor="text1"/>
          <w:sz w:val="22"/>
          <w:szCs w:val="22"/>
        </w:rPr>
        <w:t>Mlo</w:t>
      </w:r>
      <w:r w:rsidRPr="003E7C59">
        <w:rPr>
          <w:rFonts w:ascii="Arial" w:hAnsi="Arial" w:cs="Arial"/>
          <w:color w:val="000000" w:themeColor="text1"/>
          <w:sz w:val="22"/>
          <w:szCs w:val="22"/>
        </w:rPr>
        <w:t xml:space="preserve"> susceptibility genes, showing a peak six hours after inoculation. Thus, the youngest and fully developed green leaves of disease-free </w:t>
      </w:r>
      <w:r w:rsidRPr="003E7C59">
        <w:rPr>
          <w:rFonts w:ascii="Arial" w:hAnsi="Arial" w:cs="Arial"/>
          <w:i/>
          <w:color w:val="000000" w:themeColor="text1"/>
          <w:sz w:val="22"/>
          <w:szCs w:val="22"/>
        </w:rPr>
        <w:t xml:space="preserve">C. </w:t>
      </w:r>
      <w:r w:rsidRPr="003E7C59">
        <w:rPr>
          <w:rFonts w:ascii="Arial" w:hAnsi="Arial" w:cs="Arial"/>
          <w:color w:val="000000" w:themeColor="text1"/>
          <w:sz w:val="22"/>
          <w:szCs w:val="22"/>
        </w:rPr>
        <w:t xml:space="preserve"> </w:t>
      </w:r>
      <w:proofErr w:type="gramStart"/>
      <w:r w:rsidRPr="003E7C59">
        <w:rPr>
          <w:rFonts w:ascii="Arial" w:hAnsi="Arial" w:cs="Arial"/>
          <w:i/>
          <w:color w:val="000000" w:themeColor="text1"/>
          <w:sz w:val="22"/>
          <w:szCs w:val="22"/>
        </w:rPr>
        <w:t>florida</w:t>
      </w:r>
      <w:proofErr w:type="gramEnd"/>
      <w:r w:rsidRPr="003E7C59">
        <w:rPr>
          <w:rFonts w:ascii="Arial" w:hAnsi="Arial" w:cs="Arial"/>
          <w:i/>
          <w:color w:val="000000" w:themeColor="text1"/>
          <w:sz w:val="22"/>
          <w:szCs w:val="22"/>
        </w:rPr>
        <w:t xml:space="preserve"> </w:t>
      </w:r>
      <w:r w:rsidRPr="003E7C59">
        <w:rPr>
          <w:rFonts w:ascii="Arial" w:hAnsi="Arial" w:cs="Arial"/>
          <w:color w:val="000000" w:themeColor="text1"/>
          <w:sz w:val="22"/>
          <w:szCs w:val="22"/>
        </w:rPr>
        <w:t>cultivars</w:t>
      </w:r>
      <w:r w:rsidRPr="003E7C59">
        <w:rPr>
          <w:rFonts w:ascii="Arial" w:hAnsi="Arial" w:cs="Arial"/>
          <w:i/>
          <w:color w:val="000000" w:themeColor="text1"/>
          <w:sz w:val="22"/>
          <w:szCs w:val="22"/>
        </w:rPr>
        <w:t xml:space="preserve"> </w:t>
      </w:r>
      <w:r w:rsidRPr="003E7C59">
        <w:rPr>
          <w:rFonts w:ascii="Arial" w:hAnsi="Arial" w:cs="Arial"/>
          <w:color w:val="000000" w:themeColor="text1"/>
          <w:sz w:val="22"/>
          <w:szCs w:val="22"/>
        </w:rPr>
        <w:t xml:space="preserve">Appalachian Blush (resistant), Cherokee Chief (resistance unknown), Cherokee Brave (moderate resistance), and Cloud 9 (very susceptible) were inoculated, and were collected 2-, 6-, 12- and 24-hours post-inoculation. Subsequently, RNA </w:t>
      </w:r>
      <w:proofErr w:type="gramStart"/>
      <w:r w:rsidRPr="003E7C59">
        <w:rPr>
          <w:rFonts w:ascii="Arial" w:hAnsi="Arial" w:cs="Arial"/>
          <w:color w:val="000000" w:themeColor="text1"/>
          <w:sz w:val="22"/>
          <w:szCs w:val="22"/>
        </w:rPr>
        <w:t>was extracted and prepared for RNA sequencing (RNA-Seq) according to quality requirements</w:t>
      </w:r>
      <w:proofErr w:type="gramEnd"/>
      <w:r w:rsidRPr="003E7C59">
        <w:rPr>
          <w:rFonts w:ascii="Arial" w:hAnsi="Arial" w:cs="Arial"/>
          <w:color w:val="000000" w:themeColor="text1"/>
          <w:sz w:val="22"/>
          <w:szCs w:val="22"/>
        </w:rPr>
        <w:t xml:space="preserve">. Further downstream analysis for the RNA-Seq experiment for this study </w:t>
      </w:r>
      <w:proofErr w:type="gramStart"/>
      <w:r w:rsidRPr="003E7C59">
        <w:rPr>
          <w:rFonts w:ascii="Arial" w:hAnsi="Arial" w:cs="Arial"/>
          <w:color w:val="000000" w:themeColor="text1"/>
          <w:sz w:val="22"/>
          <w:szCs w:val="22"/>
        </w:rPr>
        <w:t>was impeded</w:t>
      </w:r>
      <w:proofErr w:type="gramEnd"/>
      <w:r w:rsidRPr="003E7C59">
        <w:rPr>
          <w:rFonts w:ascii="Arial" w:hAnsi="Arial" w:cs="Arial"/>
          <w:color w:val="000000" w:themeColor="text1"/>
          <w:sz w:val="22"/>
          <w:szCs w:val="22"/>
        </w:rPr>
        <w:t xml:space="preserve"> because of erroneous protein genome annotation containing stop codon sequences in the middle of protein sequences. Therefore, data will be reanalyzed upon the availability of a new reference genome for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Data analysis will include the following RNA-Seq pipeline framework: STAR for read alignment, HTSeq for the gene-specific count, DESeq2 for normalization, visualization, and differential analysis of count data, and Gene Ontology enrichment analysis to identify the functions and biological pathways involved in the differentially expressed genes. </w:t>
      </w:r>
    </w:p>
    <w:p w14:paraId="09A55CFF" w14:textId="77777777" w:rsidR="00EC16C3" w:rsidRPr="003E7C59" w:rsidRDefault="00EC16C3" w:rsidP="006622F2">
      <w:pPr>
        <w:spacing w:line="360" w:lineRule="auto"/>
        <w:ind w:firstLine="720"/>
        <w:rPr>
          <w:rFonts w:ascii="Arial" w:hAnsi="Arial" w:cs="Arial"/>
          <w:color w:val="000000" w:themeColor="text1"/>
          <w:sz w:val="22"/>
          <w:szCs w:val="22"/>
        </w:rPr>
      </w:pPr>
    </w:p>
    <w:p w14:paraId="45A61032" w14:textId="0EC88B08"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207" w:name="_Toc117166866"/>
      <w:bookmarkStart w:id="208" w:name="_Toc121821952"/>
      <w:r w:rsidRPr="003E7C59">
        <w:rPr>
          <w:rFonts w:ascii="Arial" w:hAnsi="Arial" w:cs="Arial"/>
          <w:color w:val="000000" w:themeColor="text1"/>
          <w:sz w:val="22"/>
          <w:szCs w:val="22"/>
        </w:rPr>
        <w:t>Introduction</w:t>
      </w:r>
      <w:bookmarkEnd w:id="207"/>
      <w:bookmarkEnd w:id="208"/>
    </w:p>
    <w:p w14:paraId="56FF08DA"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p>
    <w:p w14:paraId="0EC815F3" w14:textId="77777777"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Powdery mildew (PM) is a common disease of many monocotyledonous and dicotyledonous plants. Important crops, including cereals, grapevine, vegetables, and ornamental plants, are harmed by this disease (Agrios, 2005). These highly specialized plant pathogens are obligate biotrophic Ascomycetes in the order Erysiphales, which include eighteen genera and approximately 900 described species (Braun and Cook, 2012; Takamatsu</w:t>
      </w:r>
      <w:proofErr w:type="gramStart"/>
      <w:r w:rsidRPr="003E7C59">
        <w:rPr>
          <w:rFonts w:ascii="Arial" w:hAnsi="Arial" w:cs="Arial"/>
          <w:color w:val="000000" w:themeColor="text1"/>
          <w:sz w:val="22"/>
          <w:szCs w:val="22"/>
        </w:rPr>
        <w:t>,2013</w:t>
      </w:r>
      <w:proofErr w:type="gramEnd"/>
      <w:r w:rsidRPr="003E7C59">
        <w:rPr>
          <w:rFonts w:ascii="Arial" w:hAnsi="Arial" w:cs="Arial"/>
          <w:color w:val="000000" w:themeColor="text1"/>
          <w:sz w:val="22"/>
          <w:szCs w:val="22"/>
        </w:rPr>
        <w:t xml:space="preserve">; Marmolejo et al., 2018). </w:t>
      </w:r>
    </w:p>
    <w:p w14:paraId="2CFEBF34" w14:textId="77777777" w:rsidR="00B51BF9" w:rsidRPr="003E7C59" w:rsidRDefault="00B51BF9" w:rsidP="006622F2">
      <w:pPr>
        <w:spacing w:line="360" w:lineRule="auto"/>
        <w:ind w:firstLine="720"/>
        <w:rPr>
          <w:rFonts w:ascii="Arial" w:hAnsi="Arial" w:cs="Arial"/>
          <w:color w:val="000000" w:themeColor="text1"/>
          <w:sz w:val="22"/>
          <w:szCs w:val="22"/>
        </w:rPr>
      </w:pPr>
    </w:p>
    <w:p w14:paraId="43FA0302" w14:textId="51932620"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i/>
          <w:iCs/>
          <w:color w:val="000000" w:themeColor="text1"/>
          <w:sz w:val="22"/>
          <w:szCs w:val="22"/>
        </w:rPr>
        <w:lastRenderedPageBreak/>
        <w:t>Erysiphe pulchra</w:t>
      </w:r>
      <w:r w:rsidR="00F27373" w:rsidRPr="003E7C59">
        <w:rPr>
          <w:rFonts w:ascii="Arial" w:hAnsi="Arial" w:cs="Arial"/>
          <w:color w:val="000000" w:themeColor="text1"/>
          <w:sz w:val="22"/>
          <w:szCs w:val="22"/>
        </w:rPr>
        <w:t xml:space="preserve"> Cooke &amp; Peck</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is an obligate biotrophic ascomycete, and although its life cycle consists of asexual and sexual stages, the asexual stage </w:t>
      </w:r>
      <w:r w:rsidR="00DB32BC" w:rsidRPr="003E7C59">
        <w:rPr>
          <w:rFonts w:ascii="Arial" w:hAnsi="Arial" w:cs="Arial"/>
          <w:color w:val="000000" w:themeColor="text1"/>
          <w:sz w:val="22"/>
          <w:szCs w:val="22"/>
        </w:rPr>
        <w:t>is</w:t>
      </w:r>
      <w:r w:rsidRPr="003E7C59">
        <w:rPr>
          <w:rFonts w:ascii="Arial" w:hAnsi="Arial" w:cs="Arial"/>
          <w:color w:val="000000" w:themeColor="text1"/>
          <w:sz w:val="22"/>
          <w:szCs w:val="22"/>
        </w:rPr>
        <w:t xml:space="preserve"> crucial for successful disease development </w:t>
      </w:r>
      <w:r w:rsidRPr="003E7C59">
        <w:rPr>
          <w:rFonts w:ascii="Arial" w:eastAsia="AdvGulliv-R" w:hAnsi="Arial" w:cs="Arial"/>
          <w:color w:val="000000" w:themeColor="text1"/>
          <w:sz w:val="22"/>
          <w:szCs w:val="22"/>
        </w:rPr>
        <w:t xml:space="preserve">(Martinez-Cruz et al., 2014). </w:t>
      </w:r>
      <w:r w:rsidRPr="003E7C59">
        <w:rPr>
          <w:rFonts w:ascii="Arial" w:hAnsi="Arial" w:cs="Arial"/>
          <w:color w:val="000000" w:themeColor="text1"/>
          <w:sz w:val="22"/>
          <w:szCs w:val="22"/>
        </w:rPr>
        <w:t xml:space="preserve">Disease presence </w:t>
      </w:r>
      <w:proofErr w:type="gramStart"/>
      <w:r w:rsidRPr="003E7C59">
        <w:rPr>
          <w:rFonts w:ascii="Arial" w:hAnsi="Arial" w:cs="Arial"/>
          <w:color w:val="000000" w:themeColor="text1"/>
          <w:sz w:val="22"/>
          <w:szCs w:val="22"/>
        </w:rPr>
        <w:t>is easily identified</w:t>
      </w:r>
      <w:proofErr w:type="gramEnd"/>
      <w:r w:rsidRPr="003E7C59">
        <w:rPr>
          <w:rFonts w:ascii="Arial" w:hAnsi="Arial" w:cs="Arial"/>
          <w:color w:val="000000" w:themeColor="text1"/>
          <w:sz w:val="22"/>
          <w:szCs w:val="22"/>
        </w:rPr>
        <w:t xml:space="preserve"> by the formation of typical fungal structures such as circular or irregular white patches of mycelia and conidia on the adaxial leaf surface. The asexual stage comprises the following three developmental phases: (i) conidia germination and primary appressorium formation followed by cuticle and cell wall penetration, (ii) primary haustoria formation and cell accommodation, and (iii) conidia and conidiophores differentiation (Romero et al., 2008; Weβling et al., 2012). Conidia of </w:t>
      </w:r>
      <w:r w:rsidRPr="003E7C59">
        <w:rPr>
          <w:rFonts w:ascii="Arial" w:hAnsi="Arial" w:cs="Arial"/>
          <w:i/>
          <w:iCs/>
          <w:color w:val="000000" w:themeColor="text1"/>
          <w:sz w:val="22"/>
          <w:szCs w:val="22"/>
        </w:rPr>
        <w:t>E</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pulchra </w:t>
      </w:r>
      <w:r w:rsidRPr="003E7C59">
        <w:rPr>
          <w:rFonts w:ascii="Arial" w:hAnsi="Arial" w:cs="Arial"/>
          <w:color w:val="000000" w:themeColor="text1"/>
          <w:sz w:val="22"/>
          <w:szCs w:val="22"/>
        </w:rPr>
        <w:t xml:space="preserve">(28.1 × 14.1μm) are single-celled, non-motile, ovoid to hyaline, and borne on conidiophores singly or in pseudochains (Li et al., 2005). However, only the initial phases of tissue colonization of </w:t>
      </w:r>
      <w:r w:rsidRPr="003E7C59">
        <w:rPr>
          <w:rFonts w:ascii="Arial" w:hAnsi="Arial" w:cs="Arial"/>
          <w:i/>
          <w:iCs/>
          <w:color w:val="000000" w:themeColor="text1"/>
          <w:sz w:val="22"/>
          <w:szCs w:val="22"/>
        </w:rPr>
        <w:t>E</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 xml:space="preserve">pulchra </w:t>
      </w:r>
      <w:proofErr w:type="gramStart"/>
      <w:r w:rsidRPr="003E7C59">
        <w:rPr>
          <w:rFonts w:ascii="Arial" w:hAnsi="Arial" w:cs="Arial"/>
          <w:color w:val="000000" w:themeColor="text1"/>
          <w:sz w:val="22"/>
          <w:szCs w:val="22"/>
        </w:rPr>
        <w:t>were investigated</w:t>
      </w:r>
      <w:proofErr w:type="gramEnd"/>
      <w:r w:rsidRPr="003E7C59">
        <w:rPr>
          <w:rFonts w:ascii="Arial" w:hAnsi="Arial" w:cs="Arial"/>
          <w:color w:val="000000" w:themeColor="text1"/>
          <w:sz w:val="22"/>
          <w:szCs w:val="22"/>
        </w:rPr>
        <w:t xml:space="preserve"> in dogwoods. Conidia formed one to four primary tubes by 2 h after inoculation of the host plant, and primary appressorium developed only from one or two of the primary germ tubes. A penetration peg, established under the appressorium, breaks through plant cuticle and cell wall to form haustorium, a specialized feeding structure (Li et al., 2005). </w:t>
      </w:r>
    </w:p>
    <w:p w14:paraId="69524AC0" w14:textId="77777777" w:rsidR="00B51BF9" w:rsidRPr="003E7C59" w:rsidRDefault="00B51BF9" w:rsidP="006622F2">
      <w:pPr>
        <w:spacing w:line="360" w:lineRule="auto"/>
        <w:ind w:firstLine="720"/>
        <w:rPr>
          <w:rFonts w:ascii="Arial" w:hAnsi="Arial" w:cs="Arial"/>
          <w:color w:val="000000" w:themeColor="text1"/>
          <w:sz w:val="22"/>
          <w:szCs w:val="22"/>
        </w:rPr>
      </w:pPr>
    </w:p>
    <w:p w14:paraId="150A9E97" w14:textId="7ABDB69E" w:rsidR="00B51BF9" w:rsidRPr="003E7C59" w:rsidRDefault="00B51BF9" w:rsidP="006622F2">
      <w:pPr>
        <w:autoSpaceDE w:val="0"/>
        <w:autoSpaceDN w:val="0"/>
        <w:adjustRightInd w:val="0"/>
        <w:spacing w:line="360" w:lineRule="auto"/>
        <w:ind w:firstLine="360"/>
        <w:jc w:val="both"/>
        <w:rPr>
          <w:rFonts w:ascii="Arial" w:hAnsi="Arial" w:cs="Arial"/>
          <w:bCs/>
          <w:color w:val="000000" w:themeColor="text1"/>
          <w:sz w:val="22"/>
          <w:szCs w:val="22"/>
        </w:rPr>
      </w:pPr>
      <w:bookmarkStart w:id="209" w:name="_Hlk12545212"/>
      <w:r w:rsidRPr="003E7C59">
        <w:rPr>
          <w:rFonts w:ascii="Arial" w:hAnsi="Arial" w:cs="Arial"/>
          <w:color w:val="000000" w:themeColor="text1"/>
          <w:sz w:val="22"/>
          <w:szCs w:val="22"/>
        </w:rPr>
        <w:t xml:space="preserve">Plants employ two cell defense mechanisms </w:t>
      </w:r>
      <w:bookmarkEnd w:id="209"/>
      <w:r w:rsidRPr="003E7C59">
        <w:rPr>
          <w:rFonts w:ascii="Arial" w:hAnsi="Arial" w:cs="Arial"/>
          <w:color w:val="000000" w:themeColor="text1"/>
          <w:sz w:val="22"/>
          <w:szCs w:val="22"/>
        </w:rPr>
        <w:t>to impede pathogen attack</w:t>
      </w:r>
      <w:r w:rsidR="005810E1" w:rsidRPr="003E7C59">
        <w:rPr>
          <w:rFonts w:ascii="Arial" w:hAnsi="Arial" w:cs="Arial"/>
          <w:color w:val="000000" w:themeColor="text1"/>
          <w:sz w:val="22"/>
          <w:szCs w:val="22"/>
        </w:rPr>
        <w:t>s</w:t>
      </w:r>
      <w:r w:rsidRPr="003E7C59">
        <w:rPr>
          <w:rFonts w:ascii="Arial" w:hAnsi="Arial" w:cs="Arial"/>
          <w:color w:val="000000" w:themeColor="text1"/>
          <w:sz w:val="22"/>
          <w:szCs w:val="22"/>
        </w:rPr>
        <w:t xml:space="preserve"> through both pathogen-induced and constitutive components. Pathogen-associated molecular patterns (PAMP), conserved molecular microbe features, </w:t>
      </w:r>
      <w:proofErr w:type="gramStart"/>
      <w:r w:rsidRPr="003E7C59">
        <w:rPr>
          <w:rFonts w:ascii="Arial" w:hAnsi="Arial" w:cs="Arial"/>
          <w:color w:val="000000" w:themeColor="text1"/>
          <w:sz w:val="22"/>
          <w:szCs w:val="22"/>
        </w:rPr>
        <w:t>are recognized</w:t>
      </w:r>
      <w:proofErr w:type="gramEnd"/>
      <w:r w:rsidRPr="003E7C59">
        <w:rPr>
          <w:rFonts w:ascii="Arial" w:hAnsi="Arial" w:cs="Arial"/>
          <w:color w:val="000000" w:themeColor="text1"/>
          <w:sz w:val="22"/>
          <w:szCs w:val="22"/>
        </w:rPr>
        <w:t xml:space="preserve"> by cell pattern recognition receptors (PRRs) and result in the activation of plant defense immunity, so-called PRR-triggered immunity (PTI) (Jones and Dangl, 2006). PAMPs trigger mitogen-activate of protein kinases (MAPKS), callose deposition, reactive oxygen species (ROS), and hydrogen peroxide generation (Jones and Dangl, 2006). ROS have direct microbial activity and restrict the pathogen invasion by moderating host cells' redox balance, thereby affecting cell signaling and regulatory functions. The recognition of pathogen effectors by plant resistance proteins</w:t>
      </w:r>
      <w:r w:rsidR="00A17343"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belonging to the </w:t>
      </w:r>
      <w:r w:rsidRPr="003E7C59">
        <w:rPr>
          <w:rFonts w:ascii="Arial" w:hAnsi="Arial" w:cs="Arial"/>
          <w:color w:val="000000" w:themeColor="text1"/>
          <w:sz w:val="22"/>
          <w:szCs w:val="22"/>
          <w:shd w:val="clear" w:color="auto" w:fill="FFFFFF"/>
        </w:rPr>
        <w:t xml:space="preserve">polymorphic family of intracellular nucleotide-binding/leucine-rich-repeat (NB-NLR) receptors </w:t>
      </w:r>
      <w:r w:rsidRPr="003E7C59">
        <w:rPr>
          <w:rFonts w:ascii="Arial" w:hAnsi="Arial" w:cs="Arial"/>
          <w:color w:val="000000" w:themeColor="text1"/>
          <w:sz w:val="22"/>
          <w:szCs w:val="22"/>
        </w:rPr>
        <w:t xml:space="preserve">(Cui et al., 2015) activates the </w:t>
      </w:r>
      <w:r w:rsidRPr="003E7C59">
        <w:rPr>
          <w:rFonts w:ascii="Arial" w:hAnsi="Arial" w:cs="Arial"/>
          <w:color w:val="000000" w:themeColor="text1"/>
          <w:sz w:val="22"/>
          <w:szCs w:val="22"/>
          <w:shd w:val="clear" w:color="auto" w:fill="FFFFFF"/>
        </w:rPr>
        <w:t>second mechanism of defense</w:t>
      </w:r>
      <w:r w:rsidRPr="003E7C59">
        <w:rPr>
          <w:rFonts w:ascii="Arial" w:hAnsi="Arial" w:cs="Arial"/>
          <w:color w:val="000000" w:themeColor="text1"/>
          <w:sz w:val="22"/>
          <w:szCs w:val="22"/>
        </w:rPr>
        <w:t xml:space="preserve">, </w:t>
      </w:r>
      <w:r w:rsidRPr="003E7C59">
        <w:rPr>
          <w:rFonts w:ascii="Arial" w:hAnsi="Arial" w:cs="Arial"/>
          <w:color w:val="000000" w:themeColor="text1"/>
          <w:sz w:val="22"/>
          <w:szCs w:val="22"/>
          <w:shd w:val="clear" w:color="auto" w:fill="FFFFFF"/>
        </w:rPr>
        <w:t xml:space="preserve">the Effector-Triggered Immunity (ETI). </w:t>
      </w:r>
      <w:r w:rsidRPr="003E7C59">
        <w:rPr>
          <w:rFonts w:ascii="Arial" w:hAnsi="Arial" w:cs="Arial"/>
          <w:color w:val="000000" w:themeColor="text1"/>
          <w:sz w:val="22"/>
          <w:szCs w:val="22"/>
        </w:rPr>
        <w:t xml:space="preserve">ETI robustness is stronger compared with PTI, and it is correlated with a hypersensitive response (HR), a form of programmed cell death (PCD) (Cui et al., 2015). </w:t>
      </w:r>
      <w:r w:rsidR="00F01884" w:rsidRPr="003E7C59">
        <w:rPr>
          <w:rFonts w:ascii="Arial" w:hAnsi="Arial" w:cs="Arial"/>
          <w:color w:val="000000" w:themeColor="text1"/>
          <w:sz w:val="22"/>
          <w:szCs w:val="22"/>
        </w:rPr>
        <w:t>P</w:t>
      </w:r>
      <w:r w:rsidRPr="003E7C59">
        <w:rPr>
          <w:rFonts w:ascii="Arial" w:hAnsi="Arial" w:cs="Arial"/>
          <w:color w:val="000000" w:themeColor="text1"/>
          <w:sz w:val="22"/>
          <w:szCs w:val="22"/>
        </w:rPr>
        <w:t xml:space="preserve">lant </w:t>
      </w:r>
      <w:r w:rsidR="00551508" w:rsidRPr="003E7C59">
        <w:rPr>
          <w:rFonts w:ascii="Arial" w:hAnsi="Arial" w:cs="Arial"/>
          <w:color w:val="000000" w:themeColor="text1"/>
          <w:sz w:val="22"/>
          <w:szCs w:val="22"/>
        </w:rPr>
        <w:t>response</w:t>
      </w:r>
      <w:r w:rsidRPr="003E7C59">
        <w:rPr>
          <w:rFonts w:ascii="Arial" w:hAnsi="Arial" w:cs="Arial"/>
          <w:color w:val="000000" w:themeColor="text1"/>
          <w:sz w:val="22"/>
          <w:szCs w:val="22"/>
        </w:rPr>
        <w:t xml:space="preserve"> to </w:t>
      </w:r>
      <w:r w:rsidR="006D5733"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pathogen penetration </w:t>
      </w:r>
      <w:proofErr w:type="gramStart"/>
      <w:r w:rsidRPr="003E7C59">
        <w:rPr>
          <w:rFonts w:ascii="Arial" w:hAnsi="Arial" w:cs="Arial"/>
          <w:color w:val="000000" w:themeColor="text1"/>
          <w:sz w:val="22"/>
          <w:szCs w:val="22"/>
        </w:rPr>
        <w:t>is followed</w:t>
      </w:r>
      <w:proofErr w:type="gramEnd"/>
      <w:r w:rsidRPr="003E7C59">
        <w:rPr>
          <w:rFonts w:ascii="Arial" w:hAnsi="Arial" w:cs="Arial"/>
          <w:color w:val="000000" w:themeColor="text1"/>
          <w:sz w:val="22"/>
          <w:szCs w:val="22"/>
        </w:rPr>
        <w:t xml:space="preserve"> by papilla formation, which is formed directly beneath the attempted fungal penetration site. These papillae are primarily composed of callose agglomerates (a β-1</w:t>
      </w:r>
      <w:proofErr w:type="gramStart"/>
      <w:r w:rsidRPr="003E7C59">
        <w:rPr>
          <w:rFonts w:ascii="Arial" w:hAnsi="Arial" w:cs="Arial"/>
          <w:color w:val="000000" w:themeColor="text1"/>
          <w:sz w:val="22"/>
          <w:szCs w:val="22"/>
        </w:rPr>
        <w:t>,3</w:t>
      </w:r>
      <w:proofErr w:type="gramEnd"/>
      <w:r w:rsidRPr="003E7C59">
        <w:rPr>
          <w:rFonts w:ascii="Arial" w:hAnsi="Arial" w:cs="Arial"/>
          <w:color w:val="000000" w:themeColor="text1"/>
          <w:sz w:val="22"/>
          <w:szCs w:val="22"/>
        </w:rPr>
        <w:t xml:space="preserve">- glucan polymer) and other plant-derived components, such as cellulose, hemicellulose, pectin, hydroxyproline rich glycoproteins, hyperglycosylated arabinogalactan-proteins, and lignin (highly complex phenolic polymer) (Zeyen et al., 2002; Celio et al., 2004). However, infection and tissue </w:t>
      </w:r>
      <w:r w:rsidRPr="003E7C59">
        <w:rPr>
          <w:rFonts w:ascii="Arial" w:hAnsi="Arial" w:cs="Arial"/>
          <w:color w:val="000000" w:themeColor="text1"/>
          <w:sz w:val="22"/>
          <w:szCs w:val="22"/>
        </w:rPr>
        <w:lastRenderedPageBreak/>
        <w:t xml:space="preserve">colonization processes, such as </w:t>
      </w:r>
      <w:r w:rsidRPr="003E7C59">
        <w:rPr>
          <w:rFonts w:ascii="Arial" w:hAnsi="Arial" w:cs="Arial"/>
          <w:bCs/>
          <w:color w:val="000000" w:themeColor="text1"/>
          <w:sz w:val="22"/>
          <w:szCs w:val="22"/>
        </w:rPr>
        <w:t xml:space="preserve">fungal haustorial complex, </w:t>
      </w:r>
      <w:proofErr w:type="gramStart"/>
      <w:r w:rsidRPr="003E7C59">
        <w:rPr>
          <w:rFonts w:ascii="Arial" w:hAnsi="Arial" w:cs="Arial"/>
          <w:bCs/>
          <w:color w:val="000000" w:themeColor="text1"/>
          <w:sz w:val="22"/>
          <w:szCs w:val="22"/>
        </w:rPr>
        <w:t>have not yet been explored</w:t>
      </w:r>
      <w:proofErr w:type="gramEnd"/>
      <w:r w:rsidRPr="003E7C59">
        <w:rPr>
          <w:rFonts w:ascii="Arial" w:hAnsi="Arial" w:cs="Arial"/>
          <w:bCs/>
          <w:color w:val="000000" w:themeColor="text1"/>
          <w:sz w:val="22"/>
          <w:szCs w:val="22"/>
        </w:rPr>
        <w:t xml:space="preserve"> in flowering dogwoods. Moreover, PM pathogens penetrate the host cell wall </w:t>
      </w:r>
      <w:proofErr w:type="gramStart"/>
      <w:r w:rsidRPr="003E7C59">
        <w:rPr>
          <w:rFonts w:ascii="Arial" w:hAnsi="Arial" w:cs="Arial"/>
          <w:bCs/>
          <w:color w:val="000000" w:themeColor="text1"/>
          <w:sz w:val="22"/>
          <w:szCs w:val="22"/>
        </w:rPr>
        <w:t>either through enzymatic or mechanical power or both</w:t>
      </w:r>
      <w:proofErr w:type="gramEnd"/>
      <w:r w:rsidRPr="003E7C59">
        <w:rPr>
          <w:rFonts w:ascii="Arial" w:hAnsi="Arial" w:cs="Arial"/>
          <w:bCs/>
          <w:color w:val="000000" w:themeColor="text1"/>
          <w:sz w:val="22"/>
          <w:szCs w:val="22"/>
        </w:rPr>
        <w:t xml:space="preserve"> mechanisms to invaginate plant cell membranes and accommodate fungal infection structures (Green et al., 2002). In contrast, these mechanisms </w:t>
      </w:r>
      <w:proofErr w:type="gramStart"/>
      <w:r w:rsidRPr="003E7C59">
        <w:rPr>
          <w:rFonts w:ascii="Arial" w:hAnsi="Arial" w:cs="Arial"/>
          <w:bCs/>
          <w:color w:val="000000" w:themeColor="text1"/>
          <w:sz w:val="22"/>
          <w:szCs w:val="22"/>
        </w:rPr>
        <w:t>have not been elucidated</w:t>
      </w:r>
      <w:proofErr w:type="gramEnd"/>
      <w:r w:rsidRPr="003E7C59">
        <w:rPr>
          <w:rFonts w:ascii="Arial" w:hAnsi="Arial" w:cs="Arial"/>
          <w:bCs/>
          <w:color w:val="000000" w:themeColor="text1"/>
          <w:sz w:val="22"/>
          <w:szCs w:val="22"/>
        </w:rPr>
        <w:t xml:space="preserve"> in </w:t>
      </w:r>
      <w:r w:rsidRPr="003E7C59">
        <w:rPr>
          <w:rFonts w:ascii="Arial" w:hAnsi="Arial" w:cs="Arial"/>
          <w:bCs/>
          <w:i/>
          <w:iCs/>
          <w:color w:val="000000" w:themeColor="text1"/>
          <w:sz w:val="22"/>
          <w:szCs w:val="22"/>
        </w:rPr>
        <w:t>E</w:t>
      </w:r>
      <w:r w:rsidRPr="003E7C59">
        <w:rPr>
          <w:rFonts w:ascii="Arial" w:hAnsi="Arial" w:cs="Arial"/>
          <w:bCs/>
          <w:color w:val="000000" w:themeColor="text1"/>
          <w:sz w:val="22"/>
          <w:szCs w:val="22"/>
        </w:rPr>
        <w:t xml:space="preserve">. </w:t>
      </w:r>
      <w:r w:rsidRPr="003E7C59">
        <w:rPr>
          <w:rFonts w:ascii="Arial" w:hAnsi="Arial" w:cs="Arial"/>
          <w:bCs/>
          <w:i/>
          <w:iCs/>
          <w:color w:val="000000" w:themeColor="text1"/>
          <w:sz w:val="22"/>
          <w:szCs w:val="22"/>
        </w:rPr>
        <w:t xml:space="preserve">pulchra </w:t>
      </w:r>
      <w:r w:rsidRPr="003E7C59">
        <w:rPr>
          <w:rFonts w:ascii="Arial" w:hAnsi="Arial" w:cs="Arial"/>
          <w:bCs/>
          <w:color w:val="000000" w:themeColor="text1"/>
          <w:sz w:val="22"/>
          <w:szCs w:val="22"/>
        </w:rPr>
        <w:t xml:space="preserve">penetration of dogwood leaves. </w:t>
      </w:r>
    </w:p>
    <w:p w14:paraId="5372BD7A" w14:textId="77777777" w:rsidR="00B51BF9" w:rsidRPr="003E7C59" w:rsidRDefault="00B51BF9" w:rsidP="006622F2">
      <w:pPr>
        <w:autoSpaceDE w:val="0"/>
        <w:autoSpaceDN w:val="0"/>
        <w:adjustRightInd w:val="0"/>
        <w:spacing w:line="360" w:lineRule="auto"/>
        <w:ind w:firstLine="360"/>
        <w:jc w:val="both"/>
        <w:rPr>
          <w:rFonts w:ascii="Arial" w:hAnsi="Arial" w:cs="Arial"/>
          <w:color w:val="000000" w:themeColor="text1"/>
          <w:sz w:val="22"/>
          <w:szCs w:val="22"/>
        </w:rPr>
      </w:pPr>
    </w:p>
    <w:p w14:paraId="06F8971A" w14:textId="77CC6BF5" w:rsidR="00C50D2A"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The best management strategy to tackle PM infections is the use of resistant cultivars (</w:t>
      </w:r>
      <w:r w:rsidRPr="003E7C59">
        <w:rPr>
          <w:rStyle w:val="apple-converted-space"/>
          <w:rFonts w:ascii="Arial" w:hAnsi="Arial" w:cs="Arial"/>
          <w:color w:val="000000" w:themeColor="text1"/>
          <w:sz w:val="22"/>
          <w:szCs w:val="22"/>
          <w:shd w:val="clear" w:color="auto" w:fill="FFFFFF"/>
        </w:rPr>
        <w:t xml:space="preserve">Windham et al., 2003; </w:t>
      </w:r>
      <w:r w:rsidRPr="003E7C59">
        <w:rPr>
          <w:rFonts w:ascii="Arial" w:hAnsi="Arial" w:cs="Arial"/>
          <w:color w:val="000000" w:themeColor="text1"/>
          <w:sz w:val="22"/>
          <w:szCs w:val="22"/>
        </w:rPr>
        <w:t xml:space="preserve">Li et al., 2009; Riaz et al., 2011), but dogwood </w:t>
      </w:r>
      <w:r w:rsidR="002837D4" w:rsidRPr="003E7C59">
        <w:rPr>
          <w:rFonts w:ascii="Arial" w:hAnsi="Arial" w:cs="Arial"/>
          <w:color w:val="000000" w:themeColor="text1"/>
          <w:sz w:val="22"/>
          <w:szCs w:val="22"/>
        </w:rPr>
        <w:t xml:space="preserve">cultivar development </w:t>
      </w:r>
      <w:r w:rsidRPr="003E7C59">
        <w:rPr>
          <w:rFonts w:ascii="Arial" w:hAnsi="Arial" w:cs="Arial"/>
          <w:color w:val="000000" w:themeColor="text1"/>
          <w:sz w:val="22"/>
          <w:szCs w:val="22"/>
        </w:rPr>
        <w:t xml:space="preserve">is dependent upon repeated selection for desirable traits, such as disease resistance, bract or foliage color, weeping habitat. Discovery of barley plant mutants displaying complete resistance to </w:t>
      </w:r>
      <w:r w:rsidRPr="003E7C59">
        <w:rPr>
          <w:rFonts w:ascii="Arial" w:hAnsi="Arial" w:cs="Arial"/>
          <w:i/>
          <w:color w:val="000000" w:themeColor="text1"/>
          <w:sz w:val="22"/>
          <w:szCs w:val="22"/>
        </w:rPr>
        <w:t xml:space="preserve">Blumeria gramins </w:t>
      </w:r>
      <w:r w:rsidRPr="003E7C59">
        <w:rPr>
          <w:rFonts w:ascii="Arial" w:hAnsi="Arial" w:cs="Arial"/>
          <w:color w:val="000000" w:themeColor="text1"/>
          <w:sz w:val="22"/>
          <w:szCs w:val="22"/>
        </w:rPr>
        <w:t>f.sp</w:t>
      </w:r>
      <w:r w:rsidRPr="003E7C59">
        <w:rPr>
          <w:rFonts w:ascii="Arial" w:hAnsi="Arial" w:cs="Arial"/>
          <w:i/>
          <w:color w:val="000000" w:themeColor="text1"/>
          <w:sz w:val="22"/>
          <w:szCs w:val="22"/>
        </w:rPr>
        <w:t xml:space="preserve">. </w:t>
      </w:r>
      <w:proofErr w:type="gramStart"/>
      <w:r w:rsidRPr="003E7C59">
        <w:rPr>
          <w:rFonts w:ascii="Arial" w:hAnsi="Arial" w:cs="Arial"/>
          <w:i/>
          <w:color w:val="000000" w:themeColor="text1"/>
          <w:sz w:val="22"/>
          <w:szCs w:val="22"/>
        </w:rPr>
        <w:t>hordei</w:t>
      </w:r>
      <w:proofErr w:type="gramEnd"/>
      <w:r w:rsidRPr="003E7C59">
        <w:rPr>
          <w:rFonts w:ascii="Arial" w:hAnsi="Arial" w:cs="Arial"/>
          <w:i/>
          <w:color w:val="000000" w:themeColor="text1"/>
          <w:sz w:val="22"/>
          <w:szCs w:val="22"/>
        </w:rPr>
        <w:t xml:space="preserve"> </w:t>
      </w:r>
      <w:r w:rsidRPr="003E7C59">
        <w:rPr>
          <w:rFonts w:ascii="Arial" w:hAnsi="Arial" w:cs="Arial"/>
          <w:color w:val="000000" w:themeColor="text1"/>
          <w:sz w:val="22"/>
          <w:szCs w:val="22"/>
        </w:rPr>
        <w:t>(</w:t>
      </w:r>
      <w:r w:rsidRPr="003E7C59">
        <w:rPr>
          <w:rFonts w:ascii="Arial" w:hAnsi="Arial" w:cs="Arial"/>
          <w:i/>
          <w:color w:val="000000" w:themeColor="text1"/>
          <w:sz w:val="22"/>
          <w:szCs w:val="22"/>
        </w:rPr>
        <w:t>Bgh</w:t>
      </w:r>
      <w:r w:rsidRPr="003E7C59">
        <w:rPr>
          <w:rFonts w:ascii="Arial" w:hAnsi="Arial" w:cs="Arial"/>
          <w:color w:val="000000" w:themeColor="text1"/>
          <w:sz w:val="22"/>
          <w:szCs w:val="22"/>
        </w:rPr>
        <w:t xml:space="preserve">) opened new opportunities to confer broad-spectrum resistance to </w:t>
      </w:r>
      <w:r w:rsidR="006D5733"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pathogens eight decades ago (Freisleben and Lein, 1942). Further studies reported that recessively inherited loss-of-function mutation in the gene </w:t>
      </w:r>
      <w:r w:rsidRPr="003E7C59">
        <w:rPr>
          <w:rFonts w:ascii="Arial" w:hAnsi="Arial" w:cs="Arial"/>
          <w:i/>
          <w:color w:val="000000" w:themeColor="text1"/>
          <w:sz w:val="22"/>
          <w:szCs w:val="22"/>
        </w:rPr>
        <w:t>Mildew resistance locus o</w:t>
      </w:r>
      <w:r w:rsidRPr="003E7C59">
        <w:rPr>
          <w:rFonts w:ascii="Arial" w:hAnsi="Arial" w:cs="Arial"/>
          <w:color w:val="000000" w:themeColor="text1"/>
          <w:sz w:val="22"/>
          <w:szCs w:val="22"/>
        </w:rPr>
        <w:t xml:space="preserve"> (</w:t>
      </w:r>
      <w:r w:rsidRPr="003E7C59">
        <w:rPr>
          <w:rFonts w:ascii="Arial" w:hAnsi="Arial" w:cs="Arial"/>
          <w:i/>
          <w:color w:val="000000" w:themeColor="text1"/>
          <w:sz w:val="22"/>
          <w:szCs w:val="22"/>
        </w:rPr>
        <w:t>Mlo</w:t>
      </w:r>
      <w:r w:rsidRPr="003E7C59">
        <w:rPr>
          <w:rFonts w:ascii="Arial" w:hAnsi="Arial" w:cs="Arial"/>
          <w:color w:val="000000" w:themeColor="text1"/>
          <w:sz w:val="22"/>
          <w:szCs w:val="22"/>
        </w:rPr>
        <w:t xml:space="preserve">) conferred resistance to barley plant mutants to essentially all </w:t>
      </w:r>
      <w:proofErr w:type="gramStart"/>
      <w:r w:rsidRPr="003E7C59">
        <w:rPr>
          <w:rFonts w:ascii="Arial" w:hAnsi="Arial" w:cs="Arial"/>
          <w:i/>
          <w:color w:val="000000" w:themeColor="text1"/>
          <w:sz w:val="22"/>
          <w:szCs w:val="22"/>
        </w:rPr>
        <w:t>Bgh</w:t>
      </w:r>
      <w:proofErr w:type="gramEnd"/>
      <w:r w:rsidRPr="003E7C59">
        <w:rPr>
          <w:rFonts w:ascii="Arial" w:hAnsi="Arial" w:cs="Arial"/>
          <w:i/>
          <w:color w:val="000000" w:themeColor="text1"/>
          <w:sz w:val="22"/>
          <w:szCs w:val="22"/>
        </w:rPr>
        <w:t xml:space="preserve"> </w:t>
      </w:r>
      <w:r w:rsidRPr="003E7C59">
        <w:rPr>
          <w:rFonts w:ascii="Arial" w:hAnsi="Arial" w:cs="Arial"/>
          <w:color w:val="000000" w:themeColor="text1"/>
          <w:sz w:val="22"/>
          <w:szCs w:val="22"/>
        </w:rPr>
        <w:t xml:space="preserve">isolates (Jorgensen, 1992; Büschges et al., 1997). The </w:t>
      </w:r>
      <w:r w:rsidRPr="003E7C59">
        <w:rPr>
          <w:rFonts w:ascii="Arial" w:hAnsi="Arial" w:cs="Arial"/>
          <w:i/>
          <w:color w:val="000000" w:themeColor="text1"/>
          <w:sz w:val="22"/>
          <w:szCs w:val="22"/>
        </w:rPr>
        <w:t>Mlo</w:t>
      </w:r>
      <w:r w:rsidRPr="003E7C59">
        <w:rPr>
          <w:rFonts w:ascii="Arial" w:hAnsi="Arial" w:cs="Arial"/>
          <w:color w:val="000000" w:themeColor="text1"/>
          <w:sz w:val="22"/>
          <w:szCs w:val="22"/>
        </w:rPr>
        <w:t xml:space="preserve"> gene family codes for a plant-specific type of integral membrane protein harboring a C-terminal cytoplasmic calmodulin-binding domain conferring calcium-dependent calmodulin (Hückelhoven and Panstruga, 2011) with a consensus topology of seven transmembranes domains (Acevedo-Garcia et al., 2014). </w:t>
      </w:r>
      <w:r w:rsidRPr="003E7C59">
        <w:rPr>
          <w:rFonts w:ascii="Arial" w:hAnsi="Arial" w:cs="Arial"/>
          <w:i/>
          <w:color w:val="000000" w:themeColor="text1"/>
          <w:sz w:val="22"/>
          <w:szCs w:val="22"/>
        </w:rPr>
        <w:t>In planta,</w:t>
      </w:r>
      <w:r w:rsidRPr="003E7C59">
        <w:rPr>
          <w:rFonts w:ascii="Arial" w:hAnsi="Arial" w:cs="Arial"/>
          <w:color w:val="000000" w:themeColor="text1"/>
          <w:sz w:val="22"/>
          <w:szCs w:val="22"/>
        </w:rPr>
        <w:t xml:space="preserve"> Fluorescence Resonance Energy Transfer experiments revealed that calmodulin binding to barley MLO increased ephemerally and locally at pathogen penetration sites between 14 and 24 h post-inoculation (Bhat et al., 2005), enhancing callose deposition, hydrogen peroxide bursts, and mesophyll cell death (Skou, 1984; Piffaneli et al., 2002).  </w:t>
      </w:r>
    </w:p>
    <w:p w14:paraId="78568771" w14:textId="77777777" w:rsidR="000D1331" w:rsidRPr="003E7C59" w:rsidRDefault="000D1331" w:rsidP="006622F2">
      <w:pPr>
        <w:spacing w:line="360" w:lineRule="auto"/>
        <w:ind w:firstLine="720"/>
        <w:rPr>
          <w:rFonts w:ascii="Arial" w:hAnsi="Arial" w:cs="Arial"/>
          <w:color w:val="000000" w:themeColor="text1"/>
          <w:sz w:val="22"/>
          <w:szCs w:val="22"/>
        </w:rPr>
      </w:pPr>
    </w:p>
    <w:p w14:paraId="377D01B6" w14:textId="69C0C764" w:rsidR="000D1331" w:rsidRPr="003E7C59" w:rsidRDefault="006031F3" w:rsidP="006622F2">
      <w:pPr>
        <w:spacing w:line="360" w:lineRule="auto"/>
        <w:ind w:firstLine="720"/>
        <w:rPr>
          <w:rFonts w:ascii="Arial" w:hAnsi="Arial" w:cs="Arial"/>
          <w:color w:val="0E101A"/>
          <w:sz w:val="22"/>
          <w:szCs w:val="22"/>
        </w:rPr>
      </w:pPr>
      <w:r w:rsidRPr="003E7C59">
        <w:rPr>
          <w:rFonts w:ascii="Arial" w:hAnsi="Arial" w:cs="Arial"/>
          <w:color w:val="0E101A"/>
          <w:sz w:val="22"/>
          <w:szCs w:val="22"/>
        </w:rPr>
        <w:t>Forward genetic approaches and candidate gene testing, mainly applied in barley and Arabidopsis, allowed a better understanding of molecular components required for PM </w:t>
      </w:r>
      <w:r w:rsidRPr="003E7C59">
        <w:rPr>
          <w:rStyle w:val="Emphasis"/>
          <w:rFonts w:ascii="Arial" w:eastAsiaTheme="majorEastAsia" w:hAnsi="Arial" w:cs="Arial"/>
          <w:color w:val="0E101A"/>
          <w:sz w:val="22"/>
          <w:szCs w:val="22"/>
        </w:rPr>
        <w:t>Mlo</w:t>
      </w:r>
      <w:r w:rsidRPr="003E7C59">
        <w:rPr>
          <w:rFonts w:ascii="Arial" w:hAnsi="Arial" w:cs="Arial"/>
          <w:color w:val="0E101A"/>
          <w:sz w:val="22"/>
          <w:szCs w:val="22"/>
        </w:rPr>
        <w:t>-resistance (Acevedo-Garcia et al., 2014; Collin</w:t>
      </w:r>
      <w:r w:rsidR="00647642" w:rsidRPr="003E7C59">
        <w:rPr>
          <w:rFonts w:ascii="Arial" w:hAnsi="Arial" w:cs="Arial"/>
          <w:color w:val="0E101A"/>
          <w:sz w:val="22"/>
          <w:szCs w:val="22"/>
        </w:rPr>
        <w:t>s</w:t>
      </w:r>
      <w:r w:rsidRPr="003E7C59">
        <w:rPr>
          <w:rFonts w:ascii="Arial" w:hAnsi="Arial" w:cs="Arial"/>
          <w:color w:val="0E101A"/>
          <w:sz w:val="22"/>
          <w:szCs w:val="22"/>
        </w:rPr>
        <w:t xml:space="preserve"> et al., 200</w:t>
      </w:r>
      <w:r w:rsidR="005E516C" w:rsidRPr="003E7C59">
        <w:rPr>
          <w:rFonts w:ascii="Arial" w:hAnsi="Arial" w:cs="Arial"/>
          <w:color w:val="0E101A"/>
          <w:sz w:val="22"/>
          <w:szCs w:val="22"/>
        </w:rPr>
        <w:t>3</w:t>
      </w:r>
      <w:r w:rsidRPr="003E7C59">
        <w:rPr>
          <w:rFonts w:ascii="Arial" w:hAnsi="Arial" w:cs="Arial"/>
          <w:color w:val="0E101A"/>
          <w:sz w:val="22"/>
          <w:szCs w:val="22"/>
        </w:rPr>
        <w:t>). For instance, barley </w:t>
      </w:r>
      <w:r w:rsidRPr="003E7C59">
        <w:rPr>
          <w:rStyle w:val="Emphasis"/>
          <w:rFonts w:ascii="Arial" w:eastAsiaTheme="majorEastAsia" w:hAnsi="Arial" w:cs="Arial"/>
          <w:color w:val="0E101A"/>
          <w:sz w:val="22"/>
          <w:szCs w:val="22"/>
        </w:rPr>
        <w:t>Ror2</w:t>
      </w:r>
      <w:r w:rsidRPr="003E7C59">
        <w:rPr>
          <w:rFonts w:ascii="Arial" w:hAnsi="Arial" w:cs="Arial"/>
          <w:color w:val="0E101A"/>
          <w:sz w:val="22"/>
          <w:szCs w:val="22"/>
        </w:rPr>
        <w:t> and Arabidopsis </w:t>
      </w:r>
      <w:r w:rsidRPr="003E7C59">
        <w:rPr>
          <w:rStyle w:val="Emphasis"/>
          <w:rFonts w:ascii="Arial" w:eastAsiaTheme="majorEastAsia" w:hAnsi="Arial" w:cs="Arial"/>
          <w:color w:val="0E101A"/>
          <w:sz w:val="22"/>
          <w:szCs w:val="22"/>
        </w:rPr>
        <w:t>PEN1 </w:t>
      </w:r>
      <w:r w:rsidRPr="003E7C59">
        <w:rPr>
          <w:rFonts w:ascii="Arial" w:hAnsi="Arial" w:cs="Arial"/>
          <w:color w:val="0E101A"/>
          <w:sz w:val="22"/>
          <w:szCs w:val="22"/>
        </w:rPr>
        <w:t>encode a t-SNARE (Soluble </w:t>
      </w:r>
      <w:r w:rsidRPr="003E7C59">
        <w:rPr>
          <w:rStyle w:val="Emphasis"/>
          <w:rFonts w:ascii="Arial" w:eastAsiaTheme="majorEastAsia" w:hAnsi="Arial" w:cs="Arial"/>
          <w:color w:val="0E101A"/>
          <w:sz w:val="22"/>
          <w:szCs w:val="22"/>
        </w:rPr>
        <w:t>N</w:t>
      </w:r>
      <w:r w:rsidRPr="003E7C59">
        <w:rPr>
          <w:rFonts w:ascii="Arial" w:hAnsi="Arial" w:cs="Arial"/>
          <w:color w:val="0E101A"/>
          <w:sz w:val="22"/>
          <w:szCs w:val="22"/>
        </w:rPr>
        <w:t>-ethylmalemide-sensitive factor Attachment protein REceptor) protein member, which was suggested to form a SNARE protein complex, active in the secretion of antimicrobial compounds at fungal penetration sites (Collin</w:t>
      </w:r>
      <w:r w:rsidR="00644FF5" w:rsidRPr="003E7C59">
        <w:rPr>
          <w:rFonts w:ascii="Arial" w:hAnsi="Arial" w:cs="Arial"/>
          <w:color w:val="0E101A"/>
          <w:sz w:val="22"/>
          <w:szCs w:val="22"/>
        </w:rPr>
        <w:t>s</w:t>
      </w:r>
      <w:r w:rsidRPr="003E7C59">
        <w:rPr>
          <w:rFonts w:ascii="Arial" w:hAnsi="Arial" w:cs="Arial"/>
          <w:color w:val="0E101A"/>
          <w:sz w:val="22"/>
          <w:szCs w:val="22"/>
        </w:rPr>
        <w:t xml:space="preserve"> et al., 2003; Meyer et al., 2009; Kwaaitaal et al., 2010).</w:t>
      </w:r>
    </w:p>
    <w:p w14:paraId="084FC886" w14:textId="77777777" w:rsidR="000D1331" w:rsidRPr="003E7C59" w:rsidRDefault="000D1331" w:rsidP="006622F2">
      <w:pPr>
        <w:spacing w:line="360" w:lineRule="auto"/>
        <w:ind w:firstLine="720"/>
        <w:rPr>
          <w:rFonts w:ascii="Arial" w:hAnsi="Arial" w:cs="Arial"/>
          <w:color w:val="0E101A"/>
          <w:sz w:val="22"/>
          <w:szCs w:val="22"/>
        </w:rPr>
      </w:pPr>
    </w:p>
    <w:p w14:paraId="6D0CB9F8" w14:textId="77777777" w:rsidR="00794BA6" w:rsidRPr="003E7C59" w:rsidRDefault="006031F3" w:rsidP="006622F2">
      <w:pPr>
        <w:spacing w:line="360" w:lineRule="auto"/>
        <w:ind w:firstLine="720"/>
        <w:rPr>
          <w:rFonts w:ascii="Arial" w:hAnsi="Arial" w:cs="Arial"/>
          <w:color w:val="0E101A"/>
          <w:sz w:val="22"/>
          <w:szCs w:val="22"/>
        </w:rPr>
      </w:pPr>
      <w:r w:rsidRPr="003E7C59">
        <w:rPr>
          <w:rFonts w:ascii="Arial" w:hAnsi="Arial" w:cs="Arial"/>
          <w:color w:val="0E101A"/>
          <w:sz w:val="22"/>
          <w:szCs w:val="22"/>
        </w:rPr>
        <w:t xml:space="preserve"> Other</w:t>
      </w:r>
      <w:r w:rsidR="000D1331" w:rsidRPr="003E7C59">
        <w:rPr>
          <w:rFonts w:ascii="Arial" w:hAnsi="Arial" w:cs="Arial"/>
          <w:color w:val="0E101A"/>
          <w:sz w:val="22"/>
          <w:szCs w:val="22"/>
        </w:rPr>
        <w:t xml:space="preserve"> t</w:t>
      </w:r>
      <w:r w:rsidRPr="003E7C59">
        <w:rPr>
          <w:rFonts w:ascii="Arial" w:hAnsi="Arial" w:cs="Arial"/>
          <w:color w:val="0E101A"/>
          <w:sz w:val="22"/>
          <w:szCs w:val="22"/>
        </w:rPr>
        <w:t>wo </w:t>
      </w:r>
      <w:r w:rsidRPr="003E7C59">
        <w:rPr>
          <w:rStyle w:val="Emphasis"/>
          <w:rFonts w:ascii="Arial" w:eastAsiaTheme="majorEastAsia" w:hAnsi="Arial" w:cs="Arial"/>
          <w:color w:val="0E101A"/>
          <w:sz w:val="22"/>
          <w:szCs w:val="22"/>
        </w:rPr>
        <w:t>PENETRATION </w:t>
      </w:r>
      <w:r w:rsidRPr="003E7C59">
        <w:rPr>
          <w:rFonts w:ascii="Arial" w:hAnsi="Arial" w:cs="Arial"/>
          <w:color w:val="0E101A"/>
          <w:sz w:val="22"/>
          <w:szCs w:val="22"/>
        </w:rPr>
        <w:t>genes, </w:t>
      </w:r>
      <w:r w:rsidRPr="003E7C59">
        <w:rPr>
          <w:rStyle w:val="Emphasis"/>
          <w:rFonts w:ascii="Arial" w:eastAsiaTheme="majorEastAsia" w:hAnsi="Arial" w:cs="Arial"/>
          <w:color w:val="0E101A"/>
          <w:sz w:val="22"/>
          <w:szCs w:val="22"/>
        </w:rPr>
        <w:t>PEN2</w:t>
      </w:r>
      <w:r w:rsidRPr="003E7C59">
        <w:rPr>
          <w:rFonts w:ascii="Arial" w:hAnsi="Arial" w:cs="Arial"/>
          <w:color w:val="0E101A"/>
          <w:sz w:val="22"/>
          <w:szCs w:val="22"/>
        </w:rPr>
        <w:t> and </w:t>
      </w:r>
      <w:r w:rsidRPr="003E7C59">
        <w:rPr>
          <w:rStyle w:val="Emphasis"/>
          <w:rFonts w:ascii="Arial" w:eastAsiaTheme="majorEastAsia" w:hAnsi="Arial" w:cs="Arial"/>
          <w:color w:val="0E101A"/>
          <w:sz w:val="22"/>
          <w:szCs w:val="22"/>
        </w:rPr>
        <w:t>PEN3, </w:t>
      </w:r>
      <w:r w:rsidRPr="003E7C59">
        <w:rPr>
          <w:rFonts w:ascii="Arial" w:hAnsi="Arial" w:cs="Arial"/>
          <w:color w:val="0E101A"/>
          <w:sz w:val="22"/>
          <w:szCs w:val="22"/>
        </w:rPr>
        <w:t>encode atypical myrosinase and ATP-binding cassette multidrug transporter, respectively (Lipka et al., 2005; Stein et al., 2006). </w:t>
      </w:r>
      <w:r w:rsidRPr="003E7C59">
        <w:rPr>
          <w:rStyle w:val="Emphasis"/>
          <w:rFonts w:ascii="Arial" w:eastAsiaTheme="majorEastAsia" w:hAnsi="Arial" w:cs="Arial"/>
          <w:color w:val="0E101A"/>
          <w:sz w:val="22"/>
          <w:szCs w:val="22"/>
        </w:rPr>
        <w:t>PEN2</w:t>
      </w:r>
      <w:r w:rsidRPr="003E7C59">
        <w:rPr>
          <w:rFonts w:ascii="Arial" w:hAnsi="Arial" w:cs="Arial"/>
          <w:color w:val="0E101A"/>
          <w:sz w:val="22"/>
          <w:szCs w:val="22"/>
        </w:rPr>
        <w:t> and </w:t>
      </w:r>
      <w:r w:rsidRPr="003E7C59">
        <w:rPr>
          <w:rStyle w:val="Emphasis"/>
          <w:rFonts w:ascii="Arial" w:eastAsiaTheme="majorEastAsia" w:hAnsi="Arial" w:cs="Arial"/>
          <w:color w:val="0E101A"/>
          <w:sz w:val="22"/>
          <w:szCs w:val="22"/>
        </w:rPr>
        <w:t>PEN3 </w:t>
      </w:r>
      <w:proofErr w:type="gramStart"/>
      <w:r w:rsidRPr="003E7C59">
        <w:rPr>
          <w:rFonts w:ascii="Arial" w:hAnsi="Arial" w:cs="Arial"/>
          <w:color w:val="0E101A"/>
          <w:sz w:val="22"/>
          <w:szCs w:val="22"/>
        </w:rPr>
        <w:t>were found</w:t>
      </w:r>
      <w:proofErr w:type="gramEnd"/>
      <w:r w:rsidRPr="003E7C59">
        <w:rPr>
          <w:rFonts w:ascii="Arial" w:hAnsi="Arial" w:cs="Arial"/>
          <w:color w:val="0E101A"/>
          <w:sz w:val="22"/>
          <w:szCs w:val="22"/>
        </w:rPr>
        <w:t xml:space="preserve"> to cofunction in the same pathway, whereas it was</w:t>
      </w:r>
    </w:p>
    <w:p w14:paraId="73DBDB1E" w14:textId="546CCD4C" w:rsidR="00B51BF9" w:rsidRPr="003E7C59" w:rsidRDefault="006031F3" w:rsidP="006622F2">
      <w:pPr>
        <w:spacing w:line="360" w:lineRule="auto"/>
        <w:rPr>
          <w:rFonts w:ascii="Arial" w:hAnsi="Arial" w:cs="Arial"/>
          <w:color w:val="0E101A"/>
          <w:sz w:val="22"/>
          <w:szCs w:val="22"/>
        </w:rPr>
      </w:pPr>
      <w:proofErr w:type="gramStart"/>
      <w:r w:rsidRPr="003E7C59">
        <w:rPr>
          <w:rFonts w:ascii="Arial" w:hAnsi="Arial" w:cs="Arial"/>
          <w:color w:val="0E101A"/>
          <w:sz w:val="22"/>
          <w:szCs w:val="22"/>
        </w:rPr>
        <w:lastRenderedPageBreak/>
        <w:t>proposed</w:t>
      </w:r>
      <w:proofErr w:type="gramEnd"/>
      <w:r w:rsidRPr="003E7C59">
        <w:rPr>
          <w:rFonts w:ascii="Arial" w:hAnsi="Arial" w:cs="Arial"/>
          <w:color w:val="0E101A"/>
          <w:sz w:val="22"/>
          <w:szCs w:val="22"/>
        </w:rPr>
        <w:t xml:space="preserve"> that antimicrobial compounds such as indole glucosinolate, synthesized by PEN2 and transported by PEN3, kill the fungus at attempted penetration sites (Bednarek et al., 2009; Acevedo-Garcia et al., 2014). In contrast, the </w:t>
      </w:r>
      <w:r w:rsidR="00E7596B" w:rsidRPr="003E7C59">
        <w:rPr>
          <w:rFonts w:ascii="Arial" w:hAnsi="Arial" w:cs="Arial"/>
          <w:color w:val="0E101A"/>
          <w:sz w:val="22"/>
          <w:szCs w:val="22"/>
        </w:rPr>
        <w:t>ectopic</w:t>
      </w:r>
      <w:r w:rsidRPr="003E7C59">
        <w:rPr>
          <w:rFonts w:ascii="Arial" w:hAnsi="Arial" w:cs="Arial"/>
          <w:color w:val="0E101A"/>
          <w:sz w:val="22"/>
          <w:szCs w:val="22"/>
        </w:rPr>
        <w:t xml:space="preserve"> transient gene expression in single barley leaf epidermal cells indicated that calcium-dependent calmodulin binding to the calmodulin-binding domain residing in the carboxy-terminal region of the </w:t>
      </w:r>
      <w:r w:rsidRPr="003E7C59">
        <w:rPr>
          <w:rStyle w:val="Emphasis"/>
          <w:rFonts w:ascii="Arial" w:eastAsiaTheme="majorEastAsia" w:hAnsi="Arial" w:cs="Arial"/>
          <w:color w:val="0E101A"/>
          <w:sz w:val="22"/>
          <w:szCs w:val="22"/>
        </w:rPr>
        <w:t>Mlo </w:t>
      </w:r>
      <w:r w:rsidRPr="003E7C59">
        <w:rPr>
          <w:rFonts w:ascii="Arial" w:hAnsi="Arial" w:cs="Arial"/>
          <w:color w:val="0E101A"/>
          <w:sz w:val="22"/>
          <w:szCs w:val="22"/>
        </w:rPr>
        <w:t>protein enhanced the susceptibility-moderating activity of the Mlo protein (Panstruga, 2004). </w:t>
      </w:r>
      <w:r w:rsidR="00B51BF9" w:rsidRPr="003E7C59">
        <w:rPr>
          <w:rFonts w:ascii="Arial" w:hAnsi="Arial" w:cs="Arial"/>
          <w:color w:val="000000" w:themeColor="text1"/>
          <w:sz w:val="22"/>
          <w:szCs w:val="22"/>
        </w:rPr>
        <w:t xml:space="preserve">Other biological functions attributed to </w:t>
      </w:r>
      <w:r w:rsidR="00B51BF9" w:rsidRPr="003E7C59">
        <w:rPr>
          <w:rFonts w:ascii="Arial" w:hAnsi="Arial" w:cs="Arial"/>
          <w:i/>
          <w:color w:val="000000" w:themeColor="text1"/>
          <w:sz w:val="22"/>
          <w:szCs w:val="22"/>
        </w:rPr>
        <w:t xml:space="preserve">Mlos </w:t>
      </w:r>
      <w:r w:rsidR="00B51BF9" w:rsidRPr="003E7C59">
        <w:rPr>
          <w:rFonts w:ascii="Arial" w:hAnsi="Arial" w:cs="Arial"/>
          <w:iCs/>
          <w:color w:val="000000" w:themeColor="text1"/>
          <w:sz w:val="22"/>
          <w:szCs w:val="22"/>
        </w:rPr>
        <w:t xml:space="preserve">are </w:t>
      </w:r>
      <w:bookmarkStart w:id="210" w:name="_Hlk14094845"/>
      <w:r w:rsidR="00B51BF9" w:rsidRPr="003E7C59">
        <w:rPr>
          <w:rFonts w:ascii="Arial" w:hAnsi="Arial" w:cs="Arial"/>
          <w:iCs/>
          <w:color w:val="000000" w:themeColor="text1"/>
          <w:sz w:val="22"/>
          <w:szCs w:val="22"/>
        </w:rPr>
        <w:t xml:space="preserve">thigmomorphogenesis, fertilization, and the recognition of the </w:t>
      </w:r>
      <w:r w:rsidR="00B51BF9" w:rsidRPr="003E7C59">
        <w:rPr>
          <w:rFonts w:ascii="Arial" w:hAnsi="Arial" w:cs="Arial"/>
          <w:color w:val="000000" w:themeColor="text1"/>
          <w:sz w:val="22"/>
          <w:szCs w:val="22"/>
        </w:rPr>
        <w:t xml:space="preserve">mycorrhizal fungus </w:t>
      </w:r>
      <w:r w:rsidR="00B51BF9" w:rsidRPr="003E7C59">
        <w:rPr>
          <w:rFonts w:ascii="Arial" w:hAnsi="Arial" w:cs="Arial"/>
          <w:i/>
          <w:iCs/>
          <w:color w:val="000000" w:themeColor="text1"/>
          <w:sz w:val="22"/>
          <w:szCs w:val="22"/>
        </w:rPr>
        <w:t xml:space="preserve">Rhizophagus irregularis </w:t>
      </w:r>
      <w:r w:rsidR="00B51BF9" w:rsidRPr="003E7C59">
        <w:rPr>
          <w:rFonts w:ascii="Arial" w:hAnsi="Arial" w:cs="Arial"/>
          <w:color w:val="000000" w:themeColor="text1"/>
          <w:sz w:val="22"/>
          <w:szCs w:val="22"/>
        </w:rPr>
        <w:t xml:space="preserve">(Ruiz-Lozano et al., 1999; Jacott et al., 2020) and the endophytic fungus </w:t>
      </w:r>
      <w:r w:rsidR="00B51BF9" w:rsidRPr="003E7C59">
        <w:rPr>
          <w:rFonts w:ascii="Arial" w:hAnsi="Arial" w:cs="Arial"/>
          <w:i/>
          <w:iCs/>
          <w:color w:val="000000" w:themeColor="text1"/>
          <w:sz w:val="22"/>
          <w:szCs w:val="22"/>
        </w:rPr>
        <w:t xml:space="preserve">Serendipita indica </w:t>
      </w:r>
      <w:r w:rsidR="00B51BF9" w:rsidRPr="003E7C59">
        <w:rPr>
          <w:rFonts w:ascii="Arial" w:hAnsi="Arial" w:cs="Arial"/>
          <w:color w:val="000000" w:themeColor="text1"/>
          <w:sz w:val="22"/>
          <w:szCs w:val="22"/>
        </w:rPr>
        <w:t xml:space="preserve">(Hilbert et al., 2019). </w:t>
      </w:r>
    </w:p>
    <w:p w14:paraId="5471FA05" w14:textId="77777777" w:rsidR="00B51BF9" w:rsidRPr="003E7C59" w:rsidRDefault="00B51BF9" w:rsidP="006622F2">
      <w:pPr>
        <w:spacing w:line="360" w:lineRule="auto"/>
        <w:ind w:firstLine="720"/>
        <w:rPr>
          <w:rFonts w:ascii="Arial" w:hAnsi="Arial" w:cs="Arial"/>
          <w:color w:val="000000" w:themeColor="text1"/>
          <w:sz w:val="22"/>
          <w:szCs w:val="22"/>
        </w:rPr>
      </w:pPr>
    </w:p>
    <w:p w14:paraId="33916FDA" w14:textId="5A775D17" w:rsidR="00B51BF9" w:rsidRPr="003E7C59" w:rsidRDefault="00B51BF9" w:rsidP="006622F2">
      <w:pPr>
        <w:autoSpaceDE w:val="0"/>
        <w:autoSpaceDN w:val="0"/>
        <w:adjustRightInd w:val="0"/>
        <w:spacing w:line="360" w:lineRule="auto"/>
        <w:ind w:firstLine="360"/>
        <w:rPr>
          <w:rFonts w:ascii="Arial" w:hAnsi="Arial" w:cs="Arial"/>
          <w:color w:val="000000" w:themeColor="text1"/>
          <w:sz w:val="22"/>
          <w:szCs w:val="22"/>
        </w:rPr>
      </w:pPr>
      <w:r w:rsidRPr="003E7C59">
        <w:rPr>
          <w:rFonts w:ascii="Arial" w:hAnsi="Arial" w:cs="Arial"/>
          <w:i/>
          <w:iCs/>
          <w:color w:val="000000" w:themeColor="text1"/>
          <w:sz w:val="22"/>
          <w:szCs w:val="22"/>
        </w:rPr>
        <w:t xml:space="preserve">Mlo </w:t>
      </w:r>
      <w:r w:rsidRPr="003E7C59">
        <w:rPr>
          <w:rFonts w:ascii="Arial" w:hAnsi="Arial" w:cs="Arial"/>
          <w:color w:val="000000" w:themeColor="text1"/>
          <w:sz w:val="22"/>
          <w:szCs w:val="22"/>
        </w:rPr>
        <w:t xml:space="preserve">and its homologs </w:t>
      </w:r>
      <w:proofErr w:type="gramStart"/>
      <w:r w:rsidR="005810E1" w:rsidRPr="003E7C59">
        <w:rPr>
          <w:rFonts w:ascii="Arial" w:hAnsi="Arial" w:cs="Arial"/>
          <w:color w:val="000000" w:themeColor="text1"/>
          <w:sz w:val="22"/>
          <w:szCs w:val="22"/>
        </w:rPr>
        <w:t xml:space="preserve">have been </w:t>
      </w:r>
      <w:r w:rsidRPr="003E7C59">
        <w:rPr>
          <w:rFonts w:ascii="Arial" w:hAnsi="Arial" w:cs="Arial"/>
          <w:color w:val="000000" w:themeColor="text1"/>
          <w:sz w:val="22"/>
          <w:szCs w:val="22"/>
        </w:rPr>
        <w:t>studied</w:t>
      </w:r>
      <w:proofErr w:type="gramEnd"/>
      <w:r w:rsidRPr="003E7C59">
        <w:rPr>
          <w:rFonts w:ascii="Arial" w:hAnsi="Arial" w:cs="Arial"/>
          <w:color w:val="000000" w:themeColor="text1"/>
          <w:sz w:val="22"/>
          <w:szCs w:val="22"/>
        </w:rPr>
        <w:t xml:space="preserve"> in all major land plant lineages, and the most important agricultural and horticultural crops are apples (</w:t>
      </w:r>
      <w:r w:rsidRPr="003E7C59">
        <w:rPr>
          <w:rFonts w:ascii="Arial" w:hAnsi="Arial" w:cs="Arial"/>
          <w:i/>
          <w:iCs/>
          <w:color w:val="000000" w:themeColor="text1"/>
          <w:sz w:val="22"/>
          <w:szCs w:val="22"/>
        </w:rPr>
        <w:t>Malus domestica</w:t>
      </w:r>
      <w:r w:rsidR="00AB1FF3" w:rsidRPr="003E7C59">
        <w:rPr>
          <w:rFonts w:ascii="Arial" w:hAnsi="Arial" w:cs="Arial"/>
          <w:color w:val="000000" w:themeColor="text1"/>
          <w:sz w:val="22"/>
          <w:szCs w:val="22"/>
        </w:rPr>
        <w:t xml:space="preserve"> Borkh.</w:t>
      </w:r>
      <w:r w:rsidRPr="003E7C59">
        <w:rPr>
          <w:rFonts w:ascii="Arial" w:hAnsi="Arial" w:cs="Arial"/>
          <w:color w:val="000000" w:themeColor="text1"/>
          <w:sz w:val="22"/>
          <w:szCs w:val="22"/>
        </w:rPr>
        <w:t>) (Pessina et al., 2014), barley (</w:t>
      </w:r>
      <w:r w:rsidRPr="003E7C59">
        <w:rPr>
          <w:rFonts w:ascii="Arial" w:hAnsi="Arial" w:cs="Arial"/>
          <w:i/>
          <w:iCs/>
          <w:color w:val="000000" w:themeColor="text1"/>
          <w:sz w:val="22"/>
          <w:szCs w:val="22"/>
        </w:rPr>
        <w:t>Hordeum vulgare</w:t>
      </w:r>
      <w:r w:rsidR="00AB1FF3" w:rsidRPr="003E7C59">
        <w:rPr>
          <w:rFonts w:ascii="Arial" w:hAnsi="Arial" w:cs="Arial"/>
          <w:i/>
          <w:iCs/>
          <w:color w:val="000000" w:themeColor="text1"/>
          <w:sz w:val="22"/>
          <w:szCs w:val="22"/>
        </w:rPr>
        <w:t xml:space="preserve"> </w:t>
      </w:r>
      <w:r w:rsidR="00AB1FF3" w:rsidRPr="003E7C59">
        <w:rPr>
          <w:rFonts w:ascii="Arial" w:hAnsi="Arial" w:cs="Arial"/>
          <w:color w:val="000000" w:themeColor="text1"/>
          <w:sz w:val="22"/>
          <w:szCs w:val="22"/>
        </w:rPr>
        <w:t>L.</w:t>
      </w:r>
      <w:r w:rsidRPr="003E7C59">
        <w:rPr>
          <w:rFonts w:ascii="Arial" w:hAnsi="Arial" w:cs="Arial"/>
          <w:color w:val="000000" w:themeColor="text1"/>
          <w:sz w:val="22"/>
          <w:szCs w:val="22"/>
        </w:rPr>
        <w:t>) (Jorgensen, 1992), grapevine (</w:t>
      </w:r>
      <w:r w:rsidRPr="003E7C59">
        <w:rPr>
          <w:rFonts w:ascii="Arial" w:hAnsi="Arial" w:cs="Arial"/>
          <w:i/>
          <w:iCs/>
          <w:color w:val="000000" w:themeColor="text1"/>
          <w:sz w:val="22"/>
          <w:szCs w:val="22"/>
        </w:rPr>
        <w:t>Vitis vinifera</w:t>
      </w:r>
      <w:r w:rsidR="00AB1FF3" w:rsidRPr="003E7C59">
        <w:rPr>
          <w:rFonts w:ascii="Arial" w:hAnsi="Arial" w:cs="Arial"/>
          <w:i/>
          <w:iCs/>
          <w:color w:val="000000" w:themeColor="text1"/>
          <w:sz w:val="22"/>
          <w:szCs w:val="22"/>
        </w:rPr>
        <w:t xml:space="preserve"> </w:t>
      </w:r>
      <w:r w:rsidR="00AB1FF3" w:rsidRPr="003E7C59">
        <w:rPr>
          <w:rFonts w:ascii="Arial" w:hAnsi="Arial" w:cs="Arial"/>
          <w:color w:val="000000" w:themeColor="text1"/>
          <w:sz w:val="22"/>
          <w:szCs w:val="22"/>
        </w:rPr>
        <w:t>L.</w:t>
      </w:r>
      <w:r w:rsidRPr="003E7C59">
        <w:rPr>
          <w:rFonts w:ascii="Arial" w:hAnsi="Arial" w:cs="Arial"/>
          <w:color w:val="000000" w:themeColor="text1"/>
          <w:sz w:val="22"/>
          <w:szCs w:val="22"/>
        </w:rPr>
        <w:t>) (Feechan et al., 2008), pea (</w:t>
      </w:r>
      <w:r w:rsidRPr="003E7C59">
        <w:rPr>
          <w:rFonts w:ascii="Arial" w:hAnsi="Arial" w:cs="Arial"/>
          <w:i/>
          <w:iCs/>
          <w:color w:val="000000" w:themeColor="text1"/>
          <w:sz w:val="22"/>
          <w:szCs w:val="22"/>
        </w:rPr>
        <w:t>Pisum sativum</w:t>
      </w:r>
      <w:r w:rsidR="00AB1FF3" w:rsidRPr="003E7C59">
        <w:rPr>
          <w:rFonts w:ascii="Arial" w:hAnsi="Arial" w:cs="Arial"/>
          <w:i/>
          <w:iCs/>
          <w:color w:val="000000" w:themeColor="text1"/>
          <w:sz w:val="22"/>
          <w:szCs w:val="22"/>
        </w:rPr>
        <w:t xml:space="preserve"> </w:t>
      </w:r>
      <w:r w:rsidR="00AB1FF3" w:rsidRPr="003E7C59">
        <w:rPr>
          <w:rFonts w:ascii="Arial" w:hAnsi="Arial" w:cs="Arial"/>
          <w:color w:val="000000" w:themeColor="text1"/>
          <w:sz w:val="22"/>
          <w:szCs w:val="22"/>
        </w:rPr>
        <w:t>L.</w:t>
      </w:r>
      <w:r w:rsidRPr="003E7C59">
        <w:rPr>
          <w:rFonts w:ascii="Arial" w:hAnsi="Arial" w:cs="Arial"/>
          <w:color w:val="000000" w:themeColor="text1"/>
          <w:sz w:val="22"/>
          <w:szCs w:val="22"/>
        </w:rPr>
        <w:t>) (Pavan et al., 2011), pepper (</w:t>
      </w:r>
      <w:r w:rsidRPr="003E7C59">
        <w:rPr>
          <w:rFonts w:ascii="Arial" w:hAnsi="Arial" w:cs="Arial"/>
          <w:i/>
          <w:iCs/>
          <w:color w:val="000000" w:themeColor="text1"/>
          <w:sz w:val="22"/>
          <w:szCs w:val="22"/>
        </w:rPr>
        <w:t>Capsicum annum</w:t>
      </w:r>
      <w:r w:rsidR="00AB1FF3" w:rsidRPr="003E7C59">
        <w:rPr>
          <w:rFonts w:ascii="Arial" w:hAnsi="Arial" w:cs="Arial"/>
          <w:i/>
          <w:iCs/>
          <w:color w:val="000000" w:themeColor="text1"/>
          <w:sz w:val="22"/>
          <w:szCs w:val="22"/>
        </w:rPr>
        <w:t xml:space="preserve"> </w:t>
      </w:r>
      <w:r w:rsidR="00AB1FF3" w:rsidRPr="003E7C59">
        <w:rPr>
          <w:rFonts w:ascii="Arial" w:hAnsi="Arial" w:cs="Arial"/>
          <w:color w:val="000000" w:themeColor="text1"/>
          <w:sz w:val="22"/>
          <w:szCs w:val="22"/>
        </w:rPr>
        <w:t>L.</w:t>
      </w:r>
      <w:r w:rsidRPr="003E7C59">
        <w:rPr>
          <w:rFonts w:ascii="Arial" w:hAnsi="Arial" w:cs="Arial"/>
          <w:color w:val="000000" w:themeColor="text1"/>
          <w:sz w:val="22"/>
          <w:szCs w:val="22"/>
        </w:rPr>
        <w:t>) (Zheng et al., 2013), petunia (</w:t>
      </w:r>
      <w:r w:rsidRPr="003E7C59">
        <w:rPr>
          <w:rFonts w:ascii="Arial" w:hAnsi="Arial" w:cs="Arial"/>
          <w:i/>
          <w:iCs/>
          <w:color w:val="000000" w:themeColor="text1"/>
          <w:sz w:val="22"/>
          <w:szCs w:val="22"/>
        </w:rPr>
        <w:t>Petunia hybrida</w:t>
      </w:r>
      <w:r w:rsidR="00AB1FF3" w:rsidRPr="003E7C59">
        <w:rPr>
          <w:rFonts w:ascii="Arial" w:hAnsi="Arial" w:cs="Arial"/>
          <w:i/>
          <w:iCs/>
          <w:color w:val="000000" w:themeColor="text1"/>
          <w:sz w:val="22"/>
          <w:szCs w:val="22"/>
        </w:rPr>
        <w:t xml:space="preserve"> </w:t>
      </w:r>
      <w:r w:rsidR="00AB1FF3" w:rsidRPr="003E7C59">
        <w:rPr>
          <w:rFonts w:ascii="Arial" w:hAnsi="Arial" w:cs="Arial"/>
          <w:color w:val="000000" w:themeColor="text1"/>
          <w:sz w:val="22"/>
          <w:szCs w:val="22"/>
          <w:shd w:val="clear" w:color="auto" w:fill="F8F9FA"/>
        </w:rPr>
        <w:t>D. Don ex W. H. Baxter</w:t>
      </w:r>
      <w:r w:rsidRPr="003E7C59">
        <w:rPr>
          <w:rFonts w:ascii="Arial" w:hAnsi="Arial" w:cs="Arial"/>
          <w:color w:val="000000" w:themeColor="text1"/>
          <w:sz w:val="22"/>
          <w:szCs w:val="22"/>
        </w:rPr>
        <w:t>) (Jiang et al., 2016), poplar (</w:t>
      </w:r>
      <w:r w:rsidRPr="003E7C59">
        <w:rPr>
          <w:rFonts w:ascii="Arial" w:hAnsi="Arial" w:cs="Arial"/>
          <w:i/>
          <w:iCs/>
          <w:color w:val="000000" w:themeColor="text1"/>
          <w:sz w:val="22"/>
          <w:szCs w:val="22"/>
        </w:rPr>
        <w:t>Populus trichocarpa</w:t>
      </w:r>
      <w:r w:rsidR="00AB1FF3" w:rsidRPr="003E7C59">
        <w:rPr>
          <w:rFonts w:ascii="Arial" w:hAnsi="Arial" w:cs="Arial"/>
          <w:color w:val="000000" w:themeColor="text1"/>
          <w:sz w:val="22"/>
          <w:szCs w:val="22"/>
        </w:rPr>
        <w:t xml:space="preserve"> Torr. &amp; Gray</w:t>
      </w:r>
      <w:r w:rsidRPr="003E7C59">
        <w:rPr>
          <w:rFonts w:ascii="Arial" w:hAnsi="Arial" w:cs="Arial"/>
          <w:color w:val="000000" w:themeColor="text1"/>
          <w:sz w:val="22"/>
          <w:szCs w:val="22"/>
        </w:rPr>
        <w:t>) (Filiz and Vatansever, 2018), rose (</w:t>
      </w:r>
      <w:r w:rsidRPr="003E7C59">
        <w:rPr>
          <w:rFonts w:ascii="Arial" w:hAnsi="Arial" w:cs="Arial"/>
          <w:i/>
          <w:iCs/>
          <w:color w:val="000000" w:themeColor="text1"/>
          <w:sz w:val="22"/>
          <w:szCs w:val="22"/>
        </w:rPr>
        <w:t>Rosa hybrida</w:t>
      </w:r>
      <w:r w:rsidR="00AB1FF3" w:rsidRPr="003E7C59">
        <w:rPr>
          <w:rFonts w:ascii="Arial" w:hAnsi="Arial" w:cs="Arial"/>
          <w:color w:val="000000" w:themeColor="text1"/>
          <w:sz w:val="22"/>
          <w:szCs w:val="22"/>
        </w:rPr>
        <w:t xml:space="preserve"> L.</w:t>
      </w:r>
      <w:r w:rsidRPr="003E7C59">
        <w:rPr>
          <w:rFonts w:ascii="Arial" w:hAnsi="Arial" w:cs="Arial"/>
          <w:color w:val="000000" w:themeColor="text1"/>
          <w:sz w:val="22"/>
          <w:szCs w:val="22"/>
        </w:rPr>
        <w:t>) (Kaufmann et al., 2012), strawberries (</w:t>
      </w:r>
      <w:r w:rsidRPr="003E7C59">
        <w:rPr>
          <w:rFonts w:ascii="Arial" w:hAnsi="Arial" w:cs="Arial"/>
          <w:i/>
          <w:iCs/>
          <w:color w:val="000000" w:themeColor="text1"/>
          <w:sz w:val="22"/>
          <w:szCs w:val="22"/>
        </w:rPr>
        <w:t>Fragaria</w:t>
      </w:r>
      <w:r w:rsidRPr="003E7C59">
        <w:rPr>
          <w:rFonts w:ascii="Arial" w:hAnsi="Arial" w:cs="Arial"/>
          <w:color w:val="000000" w:themeColor="text1"/>
          <w:sz w:val="22"/>
          <w:szCs w:val="22"/>
        </w:rPr>
        <w:t xml:space="preserve"> x </w:t>
      </w:r>
      <w:r w:rsidRPr="003E7C59">
        <w:rPr>
          <w:rFonts w:ascii="Arial" w:hAnsi="Arial" w:cs="Arial"/>
          <w:i/>
          <w:iCs/>
          <w:color w:val="000000" w:themeColor="text1"/>
          <w:sz w:val="22"/>
          <w:szCs w:val="22"/>
        </w:rPr>
        <w:t>ananassa</w:t>
      </w:r>
      <w:r w:rsidR="00B85706" w:rsidRPr="003E7C59">
        <w:rPr>
          <w:rFonts w:ascii="Arial" w:hAnsi="Arial" w:cs="Arial"/>
          <w:i/>
          <w:iCs/>
          <w:color w:val="000000" w:themeColor="text1"/>
          <w:sz w:val="22"/>
          <w:szCs w:val="22"/>
        </w:rPr>
        <w:t xml:space="preserve"> </w:t>
      </w:r>
      <w:r w:rsidR="00B85706" w:rsidRPr="003E7C59">
        <w:rPr>
          <w:rFonts w:ascii="Arial" w:hAnsi="Arial" w:cs="Arial"/>
          <w:color w:val="000000" w:themeColor="text1"/>
          <w:sz w:val="22"/>
          <w:szCs w:val="22"/>
        </w:rPr>
        <w:t>Duchesne</w:t>
      </w:r>
      <w:r w:rsidRPr="003E7C59">
        <w:rPr>
          <w:rFonts w:ascii="Arial" w:hAnsi="Arial" w:cs="Arial"/>
          <w:color w:val="000000" w:themeColor="text1"/>
          <w:sz w:val="22"/>
          <w:szCs w:val="22"/>
        </w:rPr>
        <w:t>) (Jiwan et al., 2013), sweet orange (</w:t>
      </w:r>
      <w:r w:rsidRPr="003E7C59">
        <w:rPr>
          <w:rFonts w:ascii="Arial" w:hAnsi="Arial" w:cs="Arial"/>
          <w:i/>
          <w:iCs/>
          <w:color w:val="000000" w:themeColor="text1"/>
          <w:sz w:val="22"/>
          <w:szCs w:val="22"/>
        </w:rPr>
        <w:t>Citrus sinensis</w:t>
      </w:r>
      <w:r w:rsidR="00B85706" w:rsidRPr="003E7C59">
        <w:rPr>
          <w:rFonts w:ascii="Arial" w:hAnsi="Arial" w:cs="Arial"/>
          <w:i/>
          <w:iCs/>
          <w:color w:val="000000" w:themeColor="text1"/>
          <w:sz w:val="22"/>
          <w:szCs w:val="22"/>
        </w:rPr>
        <w:t xml:space="preserve"> </w:t>
      </w:r>
      <w:r w:rsidR="00B85706" w:rsidRPr="003E7C59">
        <w:rPr>
          <w:rFonts w:ascii="Arial" w:hAnsi="Arial" w:cs="Arial"/>
          <w:color w:val="000000" w:themeColor="text1"/>
          <w:sz w:val="22"/>
          <w:szCs w:val="22"/>
        </w:rPr>
        <w:t>L.</w:t>
      </w:r>
      <w:r w:rsidRPr="003E7C59">
        <w:rPr>
          <w:rFonts w:ascii="Arial" w:hAnsi="Arial" w:cs="Arial"/>
          <w:color w:val="000000" w:themeColor="text1"/>
          <w:sz w:val="22"/>
          <w:szCs w:val="22"/>
        </w:rPr>
        <w:t xml:space="preserve">) (Liu et al., 2017), tomato </w:t>
      </w:r>
      <w:r w:rsidR="00B85706" w:rsidRPr="003E7C59">
        <w:rPr>
          <w:rFonts w:ascii="Arial" w:hAnsi="Arial" w:cs="Arial"/>
          <w:color w:val="000000" w:themeColor="text1"/>
          <w:sz w:val="22"/>
          <w:szCs w:val="22"/>
        </w:rPr>
        <w:t>(</w:t>
      </w:r>
      <w:r w:rsidR="00B85706" w:rsidRPr="003E7C59">
        <w:rPr>
          <w:rFonts w:ascii="Arial" w:hAnsi="Arial" w:cs="Arial"/>
          <w:i/>
          <w:iCs/>
          <w:color w:val="000000" w:themeColor="text1"/>
          <w:sz w:val="22"/>
          <w:szCs w:val="22"/>
        </w:rPr>
        <w:t>Solanum</w:t>
      </w:r>
      <w:r w:rsidR="00B85706" w:rsidRPr="003E7C59">
        <w:rPr>
          <w:rFonts w:ascii="Arial" w:hAnsi="Arial" w:cs="Arial"/>
          <w:color w:val="000000" w:themeColor="text1"/>
          <w:sz w:val="22"/>
          <w:szCs w:val="22"/>
        </w:rPr>
        <w:t xml:space="preserve"> </w:t>
      </w:r>
      <w:r w:rsidR="00B85706" w:rsidRPr="003E7C59">
        <w:rPr>
          <w:rFonts w:ascii="Arial" w:hAnsi="Arial" w:cs="Arial"/>
          <w:i/>
          <w:iCs/>
          <w:color w:val="000000" w:themeColor="text1"/>
          <w:sz w:val="22"/>
          <w:szCs w:val="22"/>
        </w:rPr>
        <w:t>lycopersicum</w:t>
      </w:r>
      <w:r w:rsidR="00B85706" w:rsidRPr="003E7C59">
        <w:rPr>
          <w:rFonts w:ascii="Arial" w:hAnsi="Arial" w:cs="Arial"/>
          <w:color w:val="000000" w:themeColor="text1"/>
          <w:sz w:val="22"/>
          <w:szCs w:val="22"/>
        </w:rPr>
        <w:t xml:space="preserve"> L.) </w:t>
      </w:r>
      <w:r w:rsidRPr="003E7C59">
        <w:rPr>
          <w:rFonts w:ascii="Arial" w:hAnsi="Arial" w:cs="Arial"/>
          <w:color w:val="000000" w:themeColor="text1"/>
          <w:sz w:val="22"/>
          <w:szCs w:val="22"/>
        </w:rPr>
        <w:t>(Bai et al., 2008), wheat (</w:t>
      </w:r>
      <w:r w:rsidRPr="003E7C59">
        <w:rPr>
          <w:rFonts w:ascii="Arial" w:hAnsi="Arial" w:cs="Arial"/>
          <w:i/>
          <w:iCs/>
          <w:color w:val="000000" w:themeColor="text1"/>
          <w:sz w:val="22"/>
          <w:szCs w:val="22"/>
        </w:rPr>
        <w:t>Triticum aestivum</w:t>
      </w:r>
      <w:r w:rsidR="00B85706" w:rsidRPr="003E7C59">
        <w:rPr>
          <w:rFonts w:ascii="Arial" w:hAnsi="Arial" w:cs="Arial"/>
          <w:color w:val="000000" w:themeColor="text1"/>
          <w:sz w:val="22"/>
          <w:szCs w:val="22"/>
        </w:rPr>
        <w:t xml:space="preserve"> L.</w:t>
      </w:r>
      <w:r w:rsidRPr="003E7C59">
        <w:rPr>
          <w:rFonts w:ascii="Arial" w:hAnsi="Arial" w:cs="Arial"/>
          <w:color w:val="000000" w:themeColor="text1"/>
          <w:sz w:val="22"/>
          <w:szCs w:val="22"/>
        </w:rPr>
        <w:t xml:space="preserve">) (Wang et al., 2014) and others. Moreover, </w:t>
      </w:r>
      <w:r w:rsidRPr="003E7C59">
        <w:rPr>
          <w:rFonts w:ascii="Arial" w:eastAsiaTheme="minorHAnsi" w:hAnsi="Arial" w:cs="Arial"/>
          <w:color w:val="000000" w:themeColor="text1"/>
          <w:sz w:val="22"/>
          <w:szCs w:val="22"/>
        </w:rPr>
        <w:t xml:space="preserve">transcript abundance of </w:t>
      </w:r>
      <w:r w:rsidRPr="003E7C59">
        <w:rPr>
          <w:rFonts w:ascii="Arial" w:eastAsiaTheme="minorHAnsi" w:hAnsi="Arial" w:cs="Arial"/>
          <w:i/>
          <w:iCs/>
          <w:color w:val="000000" w:themeColor="text1"/>
          <w:sz w:val="22"/>
          <w:szCs w:val="22"/>
        </w:rPr>
        <w:t>Mlo</w:t>
      </w:r>
      <w:r w:rsidRPr="003E7C59">
        <w:rPr>
          <w:rFonts w:ascii="Arial" w:eastAsiaTheme="minorHAnsi" w:hAnsi="Arial" w:cs="Arial"/>
          <w:color w:val="000000" w:themeColor="text1"/>
          <w:sz w:val="22"/>
          <w:szCs w:val="22"/>
        </w:rPr>
        <w:t xml:space="preserve"> susceptibility genes in apple</w:t>
      </w:r>
      <w:r w:rsidR="00F01884" w:rsidRPr="003E7C59">
        <w:rPr>
          <w:rFonts w:ascii="Arial" w:eastAsiaTheme="minorHAnsi" w:hAnsi="Arial" w:cs="Arial"/>
          <w:color w:val="000000" w:themeColor="text1"/>
          <w:sz w:val="22"/>
          <w:szCs w:val="22"/>
        </w:rPr>
        <w:t xml:space="preserve"> (</w:t>
      </w:r>
      <w:r w:rsidR="00F01884" w:rsidRPr="003E7C59">
        <w:rPr>
          <w:rFonts w:ascii="Arial" w:hAnsi="Arial" w:cs="Arial"/>
          <w:color w:val="000000" w:themeColor="text1"/>
          <w:sz w:val="22"/>
          <w:szCs w:val="22"/>
          <w:shd w:val="clear" w:color="auto" w:fill="FFFFFF"/>
        </w:rPr>
        <w:t>Pessina et al. 2014</w:t>
      </w:r>
      <w:r w:rsidR="00F01884" w:rsidRPr="003E7C59">
        <w:rPr>
          <w:rFonts w:ascii="Arial" w:eastAsiaTheme="minorHAnsi" w:hAnsi="Arial" w:cs="Arial"/>
          <w:color w:val="000000" w:themeColor="text1"/>
          <w:sz w:val="22"/>
          <w:szCs w:val="22"/>
        </w:rPr>
        <w:t>)</w:t>
      </w:r>
      <w:r w:rsidRPr="003E7C59">
        <w:rPr>
          <w:rFonts w:ascii="Arial" w:eastAsiaTheme="minorHAnsi" w:hAnsi="Arial" w:cs="Arial"/>
          <w:color w:val="000000" w:themeColor="text1"/>
          <w:sz w:val="22"/>
          <w:szCs w:val="22"/>
        </w:rPr>
        <w:t>, barley</w:t>
      </w:r>
      <w:r w:rsidR="00F01884" w:rsidRPr="003E7C59">
        <w:rPr>
          <w:rFonts w:ascii="Arial" w:eastAsiaTheme="minorHAnsi" w:hAnsi="Arial" w:cs="Arial"/>
          <w:color w:val="000000" w:themeColor="text1"/>
          <w:sz w:val="22"/>
          <w:szCs w:val="22"/>
        </w:rPr>
        <w:t xml:space="preserve"> (</w:t>
      </w:r>
      <w:r w:rsidR="00F01884" w:rsidRPr="003E7C59">
        <w:rPr>
          <w:rFonts w:ascii="Arial" w:hAnsi="Arial" w:cs="Arial"/>
          <w:color w:val="000000" w:themeColor="text1"/>
          <w:sz w:val="22"/>
          <w:szCs w:val="22"/>
        </w:rPr>
        <w:t>Piffanelli</w:t>
      </w:r>
      <w:r w:rsidR="00F01884" w:rsidRPr="003E7C59">
        <w:rPr>
          <w:rFonts w:ascii="Arial" w:eastAsiaTheme="minorHAnsi" w:hAnsi="Arial" w:cs="Arial"/>
          <w:color w:val="000000" w:themeColor="text1"/>
          <w:sz w:val="22"/>
          <w:szCs w:val="22"/>
        </w:rPr>
        <w:t xml:space="preserve"> et al., 2002; </w:t>
      </w:r>
      <w:r w:rsidR="00F01884" w:rsidRPr="003E7C59">
        <w:rPr>
          <w:rFonts w:ascii="Arial" w:hAnsi="Arial" w:cs="Arial"/>
          <w:color w:val="000000" w:themeColor="text1"/>
          <w:sz w:val="22"/>
          <w:szCs w:val="22"/>
        </w:rPr>
        <w:t>Piffanelli</w:t>
      </w:r>
      <w:r w:rsidR="00F01884" w:rsidRPr="003E7C59">
        <w:rPr>
          <w:rFonts w:ascii="Arial" w:eastAsiaTheme="minorHAnsi" w:hAnsi="Arial" w:cs="Arial"/>
          <w:color w:val="000000" w:themeColor="text1"/>
          <w:sz w:val="22"/>
          <w:szCs w:val="22"/>
        </w:rPr>
        <w:t xml:space="preserve"> et al., 2004)</w:t>
      </w:r>
      <w:r w:rsidRPr="003E7C59">
        <w:rPr>
          <w:rFonts w:ascii="Arial" w:eastAsiaTheme="minorHAnsi" w:hAnsi="Arial" w:cs="Arial"/>
          <w:color w:val="000000" w:themeColor="text1"/>
          <w:sz w:val="22"/>
          <w:szCs w:val="22"/>
        </w:rPr>
        <w:t>, grape</w:t>
      </w:r>
      <w:r w:rsidR="000B7D95" w:rsidRPr="003E7C59">
        <w:rPr>
          <w:rFonts w:ascii="Arial" w:eastAsiaTheme="minorHAnsi" w:hAnsi="Arial" w:cs="Arial"/>
          <w:color w:val="000000" w:themeColor="text1"/>
          <w:sz w:val="22"/>
          <w:szCs w:val="22"/>
        </w:rPr>
        <w:t xml:space="preserve"> (Feechan et al., 2008)</w:t>
      </w:r>
      <w:r w:rsidRPr="003E7C59">
        <w:rPr>
          <w:rFonts w:ascii="Arial" w:eastAsiaTheme="minorHAnsi" w:hAnsi="Arial" w:cs="Arial"/>
          <w:color w:val="000000" w:themeColor="text1"/>
          <w:sz w:val="22"/>
          <w:szCs w:val="22"/>
        </w:rPr>
        <w:t>, pepper</w:t>
      </w:r>
      <w:r w:rsidR="000B7D95" w:rsidRPr="003E7C59">
        <w:rPr>
          <w:rFonts w:ascii="Arial" w:eastAsiaTheme="minorHAnsi" w:hAnsi="Arial" w:cs="Arial"/>
          <w:color w:val="000000" w:themeColor="text1"/>
          <w:sz w:val="22"/>
          <w:szCs w:val="22"/>
        </w:rPr>
        <w:t xml:space="preserve"> (</w:t>
      </w:r>
      <w:r w:rsidR="000B7D95" w:rsidRPr="003E7C59">
        <w:rPr>
          <w:rFonts w:ascii="Arial" w:hAnsi="Arial" w:cs="Arial"/>
          <w:color w:val="000000" w:themeColor="text1"/>
          <w:sz w:val="22"/>
          <w:szCs w:val="22"/>
          <w:shd w:val="clear" w:color="auto" w:fill="FFFFFF"/>
        </w:rPr>
        <w:t>Winterhagen et al., 2008</w:t>
      </w:r>
      <w:r w:rsidR="000B7D95" w:rsidRPr="003E7C59">
        <w:rPr>
          <w:rFonts w:ascii="Arial" w:eastAsiaTheme="minorHAnsi" w:hAnsi="Arial" w:cs="Arial"/>
          <w:color w:val="000000" w:themeColor="text1"/>
          <w:sz w:val="22"/>
          <w:szCs w:val="22"/>
        </w:rPr>
        <w:t>)</w:t>
      </w:r>
      <w:r w:rsidRPr="003E7C59">
        <w:rPr>
          <w:rFonts w:ascii="Arial" w:eastAsiaTheme="minorHAnsi" w:hAnsi="Arial" w:cs="Arial"/>
          <w:color w:val="000000" w:themeColor="text1"/>
          <w:sz w:val="22"/>
          <w:szCs w:val="22"/>
        </w:rPr>
        <w:t>, and tomato</w:t>
      </w:r>
      <w:r w:rsidR="000B7D95" w:rsidRPr="003E7C59">
        <w:rPr>
          <w:rFonts w:ascii="Arial" w:eastAsiaTheme="minorHAnsi" w:hAnsi="Arial" w:cs="Arial"/>
          <w:color w:val="000000" w:themeColor="text1"/>
          <w:sz w:val="22"/>
          <w:szCs w:val="22"/>
        </w:rPr>
        <w:t xml:space="preserve"> (Bai et al., 2008)</w:t>
      </w:r>
      <w:r w:rsidR="00737BE1" w:rsidRPr="003E7C59">
        <w:rPr>
          <w:rFonts w:ascii="Arial" w:eastAsiaTheme="minorHAnsi" w:hAnsi="Arial" w:cs="Arial"/>
          <w:color w:val="000000" w:themeColor="text1"/>
          <w:sz w:val="22"/>
          <w:szCs w:val="22"/>
        </w:rPr>
        <w:t xml:space="preserve"> is </w:t>
      </w:r>
      <w:r w:rsidR="001C7F21" w:rsidRPr="003E7C59">
        <w:rPr>
          <w:rFonts w:ascii="Arial" w:eastAsiaTheme="minorHAnsi" w:hAnsi="Arial" w:cs="Arial"/>
          <w:color w:val="000000" w:themeColor="text1"/>
          <w:sz w:val="22"/>
          <w:szCs w:val="22"/>
        </w:rPr>
        <w:t xml:space="preserve">associated with </w:t>
      </w:r>
      <w:r w:rsidRPr="003E7C59">
        <w:rPr>
          <w:rFonts w:ascii="Arial" w:eastAsiaTheme="minorHAnsi" w:hAnsi="Arial" w:cs="Arial"/>
          <w:color w:val="000000" w:themeColor="text1"/>
          <w:sz w:val="22"/>
          <w:szCs w:val="22"/>
        </w:rPr>
        <w:t>early stages of PM infection</w:t>
      </w:r>
      <w:r w:rsidR="001C7F21" w:rsidRPr="003E7C59">
        <w:rPr>
          <w:rFonts w:ascii="Arial" w:eastAsiaTheme="minorHAnsi" w:hAnsi="Arial" w:cs="Arial"/>
          <w:color w:val="000000" w:themeColor="text1"/>
          <w:sz w:val="22"/>
          <w:szCs w:val="22"/>
        </w:rPr>
        <w:t xml:space="preserve"> with a </w:t>
      </w:r>
      <w:r w:rsidRPr="003E7C59">
        <w:rPr>
          <w:rFonts w:ascii="Arial" w:eastAsiaTheme="minorHAnsi" w:hAnsi="Arial" w:cs="Arial"/>
          <w:color w:val="000000" w:themeColor="text1"/>
          <w:sz w:val="22"/>
          <w:szCs w:val="22"/>
        </w:rPr>
        <w:t>pea</w:t>
      </w:r>
      <w:r w:rsidR="001C7F21" w:rsidRPr="003E7C59">
        <w:rPr>
          <w:rFonts w:ascii="Arial" w:eastAsiaTheme="minorHAnsi" w:hAnsi="Arial" w:cs="Arial"/>
          <w:color w:val="000000" w:themeColor="text1"/>
          <w:sz w:val="22"/>
          <w:szCs w:val="22"/>
        </w:rPr>
        <w:t>k</w:t>
      </w:r>
      <w:r w:rsidRPr="003E7C59">
        <w:rPr>
          <w:rFonts w:ascii="Arial" w:eastAsiaTheme="minorHAnsi" w:hAnsi="Arial" w:cs="Arial"/>
          <w:color w:val="000000" w:themeColor="text1"/>
          <w:sz w:val="22"/>
          <w:szCs w:val="22"/>
        </w:rPr>
        <w:t xml:space="preserve"> about six hours </w:t>
      </w:r>
      <w:r w:rsidR="00737BE1" w:rsidRPr="003E7C59">
        <w:rPr>
          <w:rFonts w:ascii="Arial" w:eastAsiaTheme="minorHAnsi" w:hAnsi="Arial" w:cs="Arial"/>
          <w:color w:val="000000" w:themeColor="text1"/>
          <w:sz w:val="22"/>
          <w:szCs w:val="22"/>
        </w:rPr>
        <w:t>post-inoculation</w:t>
      </w:r>
      <w:r w:rsidR="000B7D95" w:rsidRPr="003E7C59">
        <w:rPr>
          <w:rFonts w:ascii="Arial" w:eastAsiaTheme="minorHAnsi" w:hAnsi="Arial" w:cs="Arial"/>
          <w:color w:val="000000" w:themeColor="text1"/>
          <w:sz w:val="22"/>
          <w:szCs w:val="22"/>
        </w:rPr>
        <w:t xml:space="preserve">. </w:t>
      </w:r>
      <w:r w:rsidRPr="003E7C59">
        <w:rPr>
          <w:rFonts w:ascii="Arial" w:hAnsi="Arial" w:cs="Arial"/>
          <w:color w:val="000000" w:themeColor="text1"/>
          <w:sz w:val="22"/>
          <w:szCs w:val="22"/>
          <w:shd w:val="clear" w:color="auto" w:fill="FFFFFF"/>
        </w:rPr>
        <w:t xml:space="preserve"> </w:t>
      </w:r>
    </w:p>
    <w:p w14:paraId="6D7CD675" w14:textId="77777777" w:rsidR="00B51BF9" w:rsidRPr="003E7C59" w:rsidRDefault="00B51BF9" w:rsidP="006622F2">
      <w:pPr>
        <w:autoSpaceDE w:val="0"/>
        <w:autoSpaceDN w:val="0"/>
        <w:adjustRightInd w:val="0"/>
        <w:spacing w:line="360" w:lineRule="auto"/>
        <w:ind w:firstLine="360"/>
        <w:rPr>
          <w:rFonts w:ascii="Arial" w:eastAsiaTheme="minorHAnsi" w:hAnsi="Arial" w:cs="Arial"/>
          <w:color w:val="000000" w:themeColor="text1"/>
          <w:sz w:val="22"/>
          <w:szCs w:val="22"/>
        </w:rPr>
      </w:pPr>
    </w:p>
    <w:bookmarkEnd w:id="210"/>
    <w:p w14:paraId="693C45A8" w14:textId="13ABC3DD" w:rsidR="00B51BF9" w:rsidRPr="003E7C59" w:rsidRDefault="00B51BF9" w:rsidP="006622F2">
      <w:pPr>
        <w:autoSpaceDE w:val="0"/>
        <w:autoSpaceDN w:val="0"/>
        <w:adjustRightInd w:val="0"/>
        <w:spacing w:line="360" w:lineRule="auto"/>
        <w:ind w:firstLine="360"/>
        <w:rPr>
          <w:rFonts w:ascii="Arial" w:hAnsi="Arial" w:cs="Arial"/>
          <w:color w:val="000000" w:themeColor="text1"/>
          <w:sz w:val="22"/>
          <w:szCs w:val="22"/>
        </w:rPr>
      </w:pPr>
      <w:r w:rsidRPr="003E7C59">
        <w:rPr>
          <w:rFonts w:ascii="Arial" w:hAnsi="Arial" w:cs="Arial"/>
          <w:color w:val="000000" w:themeColor="text1"/>
          <w:sz w:val="22"/>
          <w:szCs w:val="22"/>
        </w:rPr>
        <w:t xml:space="preserve">Until recently, phylogenetic analyses </w:t>
      </w:r>
      <w:r w:rsidR="00013833" w:rsidRPr="003E7C59">
        <w:rPr>
          <w:rFonts w:ascii="Arial" w:hAnsi="Arial" w:cs="Arial"/>
          <w:color w:val="000000" w:themeColor="text1"/>
          <w:sz w:val="22"/>
          <w:szCs w:val="22"/>
        </w:rPr>
        <w:t xml:space="preserve">of </w:t>
      </w:r>
      <w:r w:rsidR="004C7108" w:rsidRPr="003E7C59">
        <w:rPr>
          <w:rFonts w:ascii="Arial" w:hAnsi="Arial" w:cs="Arial"/>
          <w:color w:val="000000" w:themeColor="text1"/>
          <w:sz w:val="22"/>
          <w:szCs w:val="22"/>
        </w:rPr>
        <w:t xml:space="preserve">MLO medium-sized plant-specific gene family </w:t>
      </w:r>
      <w:r w:rsidRPr="003E7C59">
        <w:rPr>
          <w:rFonts w:ascii="Arial" w:hAnsi="Arial" w:cs="Arial"/>
          <w:color w:val="000000" w:themeColor="text1"/>
          <w:sz w:val="22"/>
          <w:szCs w:val="22"/>
        </w:rPr>
        <w:t xml:space="preserve">have been restricted to some eudicots and monocots. Moreover, Kusch et al. (2016) defined seven MLO phylogenetic clades, encompassing nearly all major land plant lineages except ferns, whose genomes have not been published (Sessa et al., 2014). Clade I was the most ancient embryophyte MLO clade (Jiwan et al., 2013), whereas its role might be focused on root thigmomorphogenesis and other not elucidated functions in moss and non-seeded plants (Kusch et al., 2016). Furthermore, clades II and IV evolved next in plant evolution with a hypothesized role in seed evolution (Kusch et al., 2016). Clades III, V, and VI </w:t>
      </w:r>
      <w:proofErr w:type="gramStart"/>
      <w:r w:rsidRPr="003E7C59">
        <w:rPr>
          <w:rFonts w:ascii="Arial" w:hAnsi="Arial" w:cs="Arial"/>
          <w:color w:val="000000" w:themeColor="text1"/>
          <w:sz w:val="22"/>
          <w:szCs w:val="22"/>
        </w:rPr>
        <w:t>are thought</w:t>
      </w:r>
      <w:proofErr w:type="gramEnd"/>
      <w:r w:rsidRPr="003E7C59">
        <w:rPr>
          <w:rFonts w:ascii="Arial" w:hAnsi="Arial" w:cs="Arial"/>
          <w:color w:val="000000" w:themeColor="text1"/>
          <w:sz w:val="22"/>
          <w:szCs w:val="22"/>
        </w:rPr>
        <w:t xml:space="preserve"> to have evolved early in the angiosperm lineage and have been associated with flowering plants. However, Kusch et al. (2016) did not detect any monocot MLO protein belonging to clades V </w:t>
      </w:r>
      <w:r w:rsidRPr="003E7C59">
        <w:rPr>
          <w:rFonts w:ascii="Arial" w:hAnsi="Arial" w:cs="Arial"/>
          <w:color w:val="000000" w:themeColor="text1"/>
          <w:sz w:val="22"/>
          <w:szCs w:val="22"/>
        </w:rPr>
        <w:lastRenderedPageBreak/>
        <w:t xml:space="preserve">and VI, suggesting secondary loss of these clades in monocots (although grasses (Poaceae) were the only monocot representatives). Additionally, the function of clade IV MLOs appears to coincide with that of clade V MLOs. Hence, barley Mlo (HvMlo) and wheat (Tamlo1A, Tamlo1B, and Tamlo1D) mutant plants belonging to clade IV and Arabidopsis (AtMLO2) mutant plants from clade V share similar phenotypes. HvMlo, Tamlo1A, Tamlo1B, Tamlo1D, and AtMLO2 all display broad-spectrum </w:t>
      </w:r>
      <w:r w:rsidR="006D5733"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resistance.</w:t>
      </w:r>
    </w:p>
    <w:p w14:paraId="48492150" w14:textId="77777777" w:rsidR="00B51BF9" w:rsidRPr="003E7C59" w:rsidRDefault="00B51BF9" w:rsidP="006622F2">
      <w:pPr>
        <w:autoSpaceDE w:val="0"/>
        <w:autoSpaceDN w:val="0"/>
        <w:adjustRightInd w:val="0"/>
        <w:spacing w:line="360" w:lineRule="auto"/>
        <w:ind w:firstLine="360"/>
        <w:rPr>
          <w:rFonts w:ascii="Arial" w:hAnsi="Arial" w:cs="Arial"/>
          <w:color w:val="000000" w:themeColor="text1"/>
          <w:sz w:val="22"/>
          <w:szCs w:val="22"/>
        </w:rPr>
      </w:pPr>
    </w:p>
    <w:p w14:paraId="388FC764" w14:textId="77777777" w:rsidR="00B51BF9" w:rsidRPr="003E7C59" w:rsidRDefault="00B51BF9" w:rsidP="006622F2">
      <w:pPr>
        <w:autoSpaceDE w:val="0"/>
        <w:autoSpaceDN w:val="0"/>
        <w:adjustRightInd w:val="0"/>
        <w:spacing w:line="360" w:lineRule="auto"/>
        <w:ind w:firstLine="360"/>
        <w:rPr>
          <w:rFonts w:ascii="Arial" w:hAnsi="Arial" w:cs="Arial"/>
          <w:color w:val="000000" w:themeColor="text1"/>
          <w:sz w:val="22"/>
          <w:szCs w:val="22"/>
        </w:rPr>
      </w:pPr>
      <w:r w:rsidRPr="003E7C59">
        <w:rPr>
          <w:rFonts w:ascii="Arial" w:hAnsi="Arial" w:cs="Arial"/>
          <w:i/>
          <w:iCs/>
          <w:color w:val="000000" w:themeColor="text1"/>
          <w:sz w:val="22"/>
          <w:szCs w:val="22"/>
        </w:rPr>
        <w:t>Mlo</w:t>
      </w:r>
      <w:r w:rsidRPr="003E7C59">
        <w:rPr>
          <w:rFonts w:ascii="Arial" w:hAnsi="Arial" w:cs="Arial"/>
          <w:color w:val="000000" w:themeColor="text1"/>
          <w:sz w:val="22"/>
          <w:szCs w:val="22"/>
        </w:rPr>
        <w:t xml:space="preserve">-based resistance is a durable defense mechanism against PM infections in monocotyledonous and dicotyledonous plants and widely employed by plant breeders (Kusch and Panstruga, 2017). Furthermore, identifying </w:t>
      </w:r>
      <w:r w:rsidRPr="003E7C59">
        <w:rPr>
          <w:rFonts w:ascii="Arial" w:hAnsi="Arial" w:cs="Arial"/>
          <w:i/>
          <w:iCs/>
          <w:color w:val="000000" w:themeColor="text1"/>
          <w:sz w:val="22"/>
          <w:szCs w:val="22"/>
        </w:rPr>
        <w:t xml:space="preserve">Mlo </w:t>
      </w:r>
      <w:r w:rsidRPr="003E7C59">
        <w:rPr>
          <w:rFonts w:ascii="Arial" w:hAnsi="Arial" w:cs="Arial"/>
          <w:color w:val="000000" w:themeColor="text1"/>
          <w:sz w:val="22"/>
          <w:szCs w:val="22"/>
        </w:rPr>
        <w:t xml:space="preserve">genes and developing DNA markers in flowering dogwood will facilitate cultivar selection for PM resistance, reducing the number of lines that need to be tested. Therefore, the main goal of this study was to identify and monitor </w:t>
      </w:r>
      <w:r w:rsidRPr="003E7C59">
        <w:rPr>
          <w:rFonts w:ascii="Arial" w:hAnsi="Arial" w:cs="Arial"/>
          <w:i/>
          <w:iCs/>
          <w:color w:val="000000" w:themeColor="text1"/>
          <w:sz w:val="22"/>
          <w:szCs w:val="22"/>
        </w:rPr>
        <w:t xml:space="preserve">Mlo </w:t>
      </w:r>
      <w:r w:rsidRPr="003E7C59">
        <w:rPr>
          <w:rFonts w:ascii="Arial" w:hAnsi="Arial" w:cs="Arial"/>
          <w:color w:val="000000" w:themeColor="text1"/>
          <w:sz w:val="22"/>
          <w:szCs w:val="22"/>
        </w:rPr>
        <w:t>and other candidate</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genes controlling early disease response to PM in flowering dogwood following </w:t>
      </w:r>
      <w:r w:rsidRPr="003E7C59">
        <w:rPr>
          <w:rFonts w:ascii="Arial" w:hAnsi="Arial" w:cs="Arial"/>
          <w:i/>
          <w:iCs/>
          <w:color w:val="000000" w:themeColor="text1"/>
          <w:sz w:val="22"/>
          <w:szCs w:val="22"/>
        </w:rPr>
        <w:t>E</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pulchra</w:t>
      </w:r>
      <w:r w:rsidRPr="003E7C59">
        <w:rPr>
          <w:rFonts w:ascii="Arial" w:hAnsi="Arial" w:cs="Arial"/>
          <w:color w:val="000000" w:themeColor="text1"/>
          <w:sz w:val="22"/>
          <w:szCs w:val="22"/>
        </w:rPr>
        <w:t xml:space="preserve"> inoculation in four cultivars, 'Appalachian Spring,' 'Cherokee Brave,' 'Cherokee Chief,' and 'Cloud 9' using RNA sequencing. </w:t>
      </w:r>
    </w:p>
    <w:p w14:paraId="7EE10C2F" w14:textId="6817F645" w:rsidR="00B51BF9" w:rsidRPr="003E7C59" w:rsidRDefault="00B51BF9" w:rsidP="006622F2">
      <w:pPr>
        <w:pStyle w:val="Heading3"/>
        <w:spacing w:line="360" w:lineRule="auto"/>
        <w:rPr>
          <w:rFonts w:ascii="Arial" w:hAnsi="Arial" w:cs="Arial"/>
          <w:color w:val="000000" w:themeColor="text1"/>
          <w:sz w:val="22"/>
          <w:szCs w:val="22"/>
        </w:rPr>
      </w:pPr>
      <w:bookmarkStart w:id="211" w:name="_Toc117166867"/>
      <w:bookmarkStart w:id="212" w:name="_Toc121821953"/>
      <w:r w:rsidRPr="003E7C59">
        <w:rPr>
          <w:rFonts w:ascii="Arial" w:hAnsi="Arial" w:cs="Arial"/>
          <w:color w:val="000000" w:themeColor="text1"/>
          <w:sz w:val="22"/>
          <w:szCs w:val="22"/>
        </w:rPr>
        <w:t>Material and Methods</w:t>
      </w:r>
      <w:bookmarkEnd w:id="211"/>
      <w:bookmarkEnd w:id="212"/>
      <w:r w:rsidRPr="003E7C59">
        <w:rPr>
          <w:rFonts w:ascii="Arial" w:hAnsi="Arial" w:cs="Arial"/>
          <w:color w:val="000000" w:themeColor="text1"/>
          <w:sz w:val="22"/>
          <w:szCs w:val="22"/>
        </w:rPr>
        <w:t xml:space="preserve"> </w:t>
      </w:r>
    </w:p>
    <w:p w14:paraId="1A9D6482" w14:textId="01D92886"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213" w:name="_Toc117166868"/>
      <w:bookmarkStart w:id="214" w:name="_Toc121821954"/>
      <w:r w:rsidRPr="003E7C59">
        <w:rPr>
          <w:rStyle w:val="SubtleEmphasis"/>
          <w:rFonts w:ascii="Arial" w:hAnsi="Arial" w:cs="Arial"/>
          <w:i/>
          <w:iCs/>
          <w:color w:val="000000" w:themeColor="text1"/>
          <w:sz w:val="22"/>
          <w:szCs w:val="22"/>
        </w:rPr>
        <w:t>Plant Materials</w:t>
      </w:r>
      <w:bookmarkEnd w:id="213"/>
      <w:bookmarkEnd w:id="214"/>
    </w:p>
    <w:p w14:paraId="23258567" w14:textId="77777777" w:rsidR="00B51BF9" w:rsidRPr="003E7C59" w:rsidRDefault="00B51BF9" w:rsidP="006622F2">
      <w:pPr>
        <w:rPr>
          <w:rFonts w:ascii="Arial" w:hAnsi="Arial" w:cs="Arial"/>
          <w:color w:val="000000" w:themeColor="text1"/>
          <w:sz w:val="22"/>
          <w:szCs w:val="22"/>
        </w:rPr>
      </w:pPr>
    </w:p>
    <w:p w14:paraId="717B8067" w14:textId="6460A053" w:rsidR="00B51BF9" w:rsidRPr="003E7C59" w:rsidRDefault="00B51BF9" w:rsidP="006622F2">
      <w:pPr>
        <w:autoSpaceDE w:val="0"/>
        <w:autoSpaceDN w:val="0"/>
        <w:adjustRightInd w:val="0"/>
        <w:spacing w:line="360" w:lineRule="auto"/>
        <w:ind w:firstLine="360"/>
        <w:rPr>
          <w:rFonts w:ascii="Arial" w:hAnsi="Arial" w:cs="Arial"/>
          <w:color w:val="000000" w:themeColor="text1"/>
          <w:sz w:val="22"/>
          <w:szCs w:val="22"/>
        </w:rPr>
      </w:pPr>
      <w:r w:rsidRPr="003E7C59">
        <w:rPr>
          <w:rFonts w:ascii="Arial" w:hAnsi="Arial" w:cs="Arial"/>
          <w:color w:val="000000" w:themeColor="text1"/>
          <w:sz w:val="22"/>
          <w:szCs w:val="22"/>
        </w:rPr>
        <w:t xml:space="preserve">The youngest and fully green leaves </w:t>
      </w:r>
      <w:r w:rsidR="00746B6E" w:rsidRPr="003E7C59">
        <w:rPr>
          <w:rFonts w:ascii="Arial" w:hAnsi="Arial" w:cs="Arial"/>
          <w:color w:val="000000" w:themeColor="text1"/>
          <w:sz w:val="22"/>
          <w:szCs w:val="22"/>
        </w:rPr>
        <w:t xml:space="preserve">infected with powdery </w:t>
      </w:r>
      <w:r w:rsidR="00A8144F" w:rsidRPr="003E7C59">
        <w:rPr>
          <w:rFonts w:ascii="Arial" w:hAnsi="Arial" w:cs="Arial"/>
          <w:color w:val="000000" w:themeColor="text1"/>
          <w:sz w:val="22"/>
          <w:szCs w:val="22"/>
        </w:rPr>
        <w:t>mildew were</w:t>
      </w:r>
      <w:r w:rsidRPr="003E7C59">
        <w:rPr>
          <w:rFonts w:ascii="Arial" w:hAnsi="Arial" w:cs="Arial"/>
          <w:color w:val="000000" w:themeColor="text1"/>
          <w:sz w:val="22"/>
          <w:szCs w:val="22"/>
        </w:rPr>
        <w:t xml:space="preserve"> collected </w:t>
      </w:r>
      <w:proofErr w:type="gramStart"/>
      <w:r w:rsidRPr="003E7C59">
        <w:rPr>
          <w:rFonts w:ascii="Arial" w:hAnsi="Arial" w:cs="Arial"/>
          <w:color w:val="000000" w:themeColor="text1"/>
          <w:sz w:val="22"/>
          <w:szCs w:val="22"/>
        </w:rPr>
        <w:t>2</w:t>
      </w:r>
      <w:proofErr w:type="gramEnd"/>
      <w:r w:rsidRPr="003E7C59">
        <w:rPr>
          <w:rFonts w:ascii="Arial" w:hAnsi="Arial" w:cs="Arial"/>
          <w:color w:val="000000" w:themeColor="text1"/>
          <w:sz w:val="22"/>
          <w:szCs w:val="22"/>
        </w:rPr>
        <w:t xml:space="preserve">, 6, 12, and 24 hours from four </w:t>
      </w:r>
      <w:r w:rsidRPr="003E7C59">
        <w:rPr>
          <w:rFonts w:ascii="Arial" w:hAnsi="Arial" w:cs="Arial"/>
          <w:i/>
          <w:iCs/>
          <w:color w:val="000000" w:themeColor="text1"/>
          <w:sz w:val="22"/>
          <w:szCs w:val="22"/>
        </w:rPr>
        <w:t>C</w:t>
      </w:r>
      <w:r w:rsidR="00746B6E" w:rsidRPr="003E7C59">
        <w:rPr>
          <w:rFonts w:ascii="Arial" w:hAnsi="Arial" w:cs="Arial"/>
          <w:i/>
          <w:iCs/>
          <w:color w:val="000000" w:themeColor="text1"/>
          <w:sz w:val="22"/>
          <w:szCs w:val="22"/>
        </w:rPr>
        <w:t>.</w:t>
      </w:r>
      <w:r w:rsidRPr="003E7C59">
        <w:rPr>
          <w:rFonts w:ascii="Arial" w:hAnsi="Arial" w:cs="Arial"/>
          <w:i/>
          <w:iCs/>
          <w:color w:val="000000" w:themeColor="text1"/>
          <w:sz w:val="22"/>
          <w:szCs w:val="22"/>
        </w:rPr>
        <w:t> florida</w:t>
      </w:r>
      <w:r w:rsidRPr="003E7C59">
        <w:rPr>
          <w:rFonts w:ascii="Arial" w:hAnsi="Arial" w:cs="Arial"/>
          <w:color w:val="000000" w:themeColor="text1"/>
          <w:sz w:val="22"/>
          <w:szCs w:val="22"/>
        </w:rPr>
        <w:t xml:space="preserve">, 'Appalachian Spring' </w:t>
      </w:r>
      <w:r w:rsidR="00746B6E" w:rsidRPr="003E7C59">
        <w:rPr>
          <w:rFonts w:ascii="Arial" w:hAnsi="Arial" w:cs="Arial"/>
          <w:color w:val="000000" w:themeColor="text1"/>
          <w:sz w:val="22"/>
          <w:szCs w:val="22"/>
        </w:rPr>
        <w:t>(</w:t>
      </w:r>
      <w:r w:rsidRPr="003E7C59">
        <w:rPr>
          <w:rFonts w:ascii="Arial" w:hAnsi="Arial" w:cs="Arial"/>
          <w:color w:val="000000" w:themeColor="text1"/>
          <w:sz w:val="22"/>
          <w:szCs w:val="22"/>
        </w:rPr>
        <w:t>resistant to PM</w:t>
      </w:r>
      <w:r w:rsidR="006D5733" w:rsidRPr="003E7C59">
        <w:rPr>
          <w:rFonts w:ascii="Arial" w:hAnsi="Arial" w:cs="Arial"/>
          <w:color w:val="000000" w:themeColor="text1"/>
          <w:sz w:val="22"/>
          <w:szCs w:val="22"/>
        </w:rPr>
        <w:t>)</w:t>
      </w:r>
      <w:r w:rsidRPr="003E7C59">
        <w:rPr>
          <w:rFonts w:ascii="Arial" w:hAnsi="Arial" w:cs="Arial"/>
          <w:color w:val="000000" w:themeColor="text1"/>
          <w:sz w:val="22"/>
          <w:szCs w:val="22"/>
        </w:rPr>
        <w:t xml:space="preserve">, 'Cherokee Brave' (moderately resistant), </w:t>
      </w:r>
      <w:sdt>
        <w:sdtPr>
          <w:rPr>
            <w:rFonts w:ascii="Arial" w:hAnsi="Arial" w:cs="Arial"/>
            <w:color w:val="000000" w:themeColor="text1"/>
            <w:sz w:val="22"/>
            <w:szCs w:val="22"/>
          </w:rPr>
          <w:tag w:val="goog_rdk_7"/>
          <w:id w:val="-1516923484"/>
          <w:placeholder>
            <w:docPart w:val="BBB8B78763EEAD45913F06827EDF8188"/>
          </w:placeholder>
          <w:showingPlcHdr/>
        </w:sdtPr>
        <w:sdtEndPr/>
        <w:sdtContent/>
      </w:sdt>
      <w:r w:rsidRPr="003E7C59">
        <w:rPr>
          <w:rFonts w:ascii="Arial" w:hAnsi="Arial" w:cs="Arial"/>
          <w:color w:val="000000" w:themeColor="text1"/>
          <w:sz w:val="22"/>
          <w:szCs w:val="22"/>
        </w:rPr>
        <w:t xml:space="preserve">'Cherokee Chief' (moderately susceptible) and 'Cloud 9' (susceptible). Leaves with adaxial surface up </w:t>
      </w:r>
      <w:proofErr w:type="gramStart"/>
      <w:r w:rsidRPr="003E7C59">
        <w:rPr>
          <w:rFonts w:ascii="Arial" w:hAnsi="Arial" w:cs="Arial"/>
          <w:color w:val="000000" w:themeColor="text1"/>
          <w:sz w:val="22"/>
          <w:szCs w:val="22"/>
        </w:rPr>
        <w:t>were inoculated</w:t>
      </w:r>
      <w:proofErr w:type="gramEnd"/>
      <w:r w:rsidRPr="003E7C59">
        <w:rPr>
          <w:rFonts w:ascii="Arial" w:hAnsi="Arial" w:cs="Arial"/>
          <w:color w:val="000000" w:themeColor="text1"/>
          <w:sz w:val="22"/>
          <w:szCs w:val="22"/>
        </w:rPr>
        <w:t xml:space="preserve"> by pressing leaf disks infected by sporulating </w:t>
      </w:r>
      <w:r w:rsidR="006D5733" w:rsidRPr="003E7C59">
        <w:rPr>
          <w:rFonts w:ascii="Arial" w:hAnsi="Arial" w:cs="Arial"/>
          <w:color w:val="000000" w:themeColor="text1"/>
          <w:sz w:val="22"/>
          <w:szCs w:val="22"/>
        </w:rPr>
        <w:t>PM</w:t>
      </w:r>
      <w:r w:rsidRPr="003E7C59">
        <w:rPr>
          <w:rFonts w:ascii="Arial" w:hAnsi="Arial" w:cs="Arial"/>
          <w:color w:val="000000" w:themeColor="text1"/>
          <w:sz w:val="22"/>
          <w:szCs w:val="22"/>
        </w:rPr>
        <w:t xml:space="preserve"> onto the surface of the healthy leaf. All infected leaves </w:t>
      </w:r>
      <w:proofErr w:type="gramStart"/>
      <w:r w:rsidRPr="003E7C59">
        <w:rPr>
          <w:rFonts w:ascii="Arial" w:hAnsi="Arial" w:cs="Arial"/>
          <w:color w:val="000000" w:themeColor="text1"/>
          <w:sz w:val="22"/>
          <w:szCs w:val="22"/>
        </w:rPr>
        <w:t>were covered</w:t>
      </w:r>
      <w:proofErr w:type="gramEnd"/>
      <w:r w:rsidRPr="003E7C59">
        <w:rPr>
          <w:rFonts w:ascii="Arial" w:hAnsi="Arial" w:cs="Arial"/>
          <w:color w:val="000000" w:themeColor="text1"/>
          <w:sz w:val="22"/>
          <w:szCs w:val="22"/>
        </w:rPr>
        <w:t xml:space="preserve"> with plastic bags without touching the leaf surface. Before inoculation, disease-free trees were transferred to an isolated greenhouse during the experiment, spaced out, and were not moved until symptom manifestation. Symptomatic PM leaves that </w:t>
      </w:r>
      <w:proofErr w:type="gramStart"/>
      <w:r w:rsidRPr="003E7C59">
        <w:rPr>
          <w:rFonts w:ascii="Arial" w:hAnsi="Arial" w:cs="Arial"/>
          <w:color w:val="000000" w:themeColor="text1"/>
          <w:sz w:val="22"/>
          <w:szCs w:val="22"/>
        </w:rPr>
        <w:t>were used</w:t>
      </w:r>
      <w:proofErr w:type="gramEnd"/>
      <w:r w:rsidRPr="003E7C59">
        <w:rPr>
          <w:rFonts w:ascii="Arial" w:hAnsi="Arial" w:cs="Arial"/>
          <w:color w:val="000000" w:themeColor="text1"/>
          <w:sz w:val="22"/>
          <w:szCs w:val="22"/>
        </w:rPr>
        <w:t xml:space="preserve"> for inoculation were collected from trees, which were shaken to remove old conidia from colonies two days before using symptomatic leaves as a source of inoculum. The inoculum of </w:t>
      </w:r>
      <w:r w:rsidRPr="003E7C59">
        <w:rPr>
          <w:rFonts w:ascii="Arial" w:hAnsi="Arial" w:cs="Arial"/>
          <w:i/>
          <w:iCs/>
          <w:color w:val="000000" w:themeColor="text1"/>
          <w:sz w:val="22"/>
          <w:szCs w:val="22"/>
        </w:rPr>
        <w:t xml:space="preserve">E. pulchra </w:t>
      </w:r>
      <w:proofErr w:type="gramStart"/>
      <w:r w:rsidRPr="003E7C59">
        <w:rPr>
          <w:rFonts w:ascii="Arial" w:hAnsi="Arial" w:cs="Arial"/>
          <w:color w:val="000000" w:themeColor="text1"/>
          <w:sz w:val="22"/>
          <w:szCs w:val="22"/>
        </w:rPr>
        <w:t>was maintained</w:t>
      </w:r>
      <w:proofErr w:type="gramEnd"/>
      <w:r w:rsidRPr="003E7C59">
        <w:rPr>
          <w:rFonts w:ascii="Arial" w:hAnsi="Arial" w:cs="Arial"/>
          <w:color w:val="000000" w:themeColor="text1"/>
          <w:sz w:val="22"/>
          <w:szCs w:val="22"/>
        </w:rPr>
        <w:t xml:space="preserve"> in a greenhouse at the University of Tennessee, Knoxville. All trees </w:t>
      </w:r>
      <w:proofErr w:type="gramStart"/>
      <w:r w:rsidRPr="003E7C59">
        <w:rPr>
          <w:rFonts w:ascii="Arial" w:hAnsi="Arial" w:cs="Arial"/>
          <w:color w:val="000000" w:themeColor="text1"/>
          <w:sz w:val="22"/>
          <w:szCs w:val="22"/>
        </w:rPr>
        <w:t>were grown</w:t>
      </w:r>
      <w:proofErr w:type="gramEnd"/>
      <w:r w:rsidRPr="003E7C59">
        <w:rPr>
          <w:rFonts w:ascii="Arial" w:hAnsi="Arial" w:cs="Arial"/>
          <w:color w:val="000000" w:themeColor="text1"/>
          <w:sz w:val="22"/>
          <w:szCs w:val="22"/>
        </w:rPr>
        <w:t xml:space="preserve"> at the University of Tennessee Knoxville, USA greenhouses, and were 7-8 years old and disease-free</w:t>
      </w:r>
      <w:r w:rsidR="00746B6E" w:rsidRPr="003E7C59">
        <w:rPr>
          <w:rFonts w:ascii="Arial" w:hAnsi="Arial" w:cs="Arial"/>
          <w:color w:val="000000" w:themeColor="text1"/>
          <w:sz w:val="22"/>
          <w:szCs w:val="22"/>
        </w:rPr>
        <w:t xml:space="preserve"> at the onset of the study</w:t>
      </w:r>
      <w:r w:rsidRPr="003E7C59">
        <w:rPr>
          <w:rFonts w:ascii="Arial" w:hAnsi="Arial" w:cs="Arial"/>
          <w:color w:val="000000" w:themeColor="text1"/>
          <w:sz w:val="22"/>
          <w:szCs w:val="22"/>
        </w:rPr>
        <w:t xml:space="preserve">. </w:t>
      </w:r>
    </w:p>
    <w:p w14:paraId="2232F8AC" w14:textId="1C474560" w:rsidR="005D4860" w:rsidRPr="003E7C59" w:rsidRDefault="005D4860" w:rsidP="006622F2">
      <w:pPr>
        <w:pStyle w:val="Heading4"/>
        <w:spacing w:before="0"/>
        <w:rPr>
          <w:rStyle w:val="SubtleEmphasis"/>
          <w:rFonts w:ascii="Arial" w:hAnsi="Arial" w:cs="Arial"/>
          <w:i/>
          <w:iCs/>
          <w:color w:val="000000" w:themeColor="text1"/>
          <w:sz w:val="22"/>
          <w:szCs w:val="22"/>
        </w:rPr>
      </w:pPr>
      <w:bookmarkStart w:id="215" w:name="_Toc117166869"/>
    </w:p>
    <w:p w14:paraId="31C58CF7" w14:textId="45C53D3F" w:rsidR="005D4860" w:rsidRPr="003E7C59" w:rsidRDefault="005D4860" w:rsidP="006622F2">
      <w:pPr>
        <w:pStyle w:val="Heading4"/>
        <w:spacing w:before="0"/>
        <w:rPr>
          <w:rStyle w:val="SubtleEmphasis"/>
          <w:rFonts w:ascii="Arial" w:hAnsi="Arial" w:cs="Arial"/>
          <w:i/>
          <w:iCs/>
          <w:color w:val="000000" w:themeColor="text1"/>
          <w:sz w:val="22"/>
          <w:szCs w:val="22"/>
        </w:rPr>
      </w:pPr>
    </w:p>
    <w:p w14:paraId="3ACB7BD2" w14:textId="77777777" w:rsidR="00794BA6" w:rsidRPr="003E7C59" w:rsidRDefault="00794BA6" w:rsidP="006622F2">
      <w:pPr>
        <w:rPr>
          <w:rFonts w:ascii="Arial" w:hAnsi="Arial" w:cs="Arial"/>
        </w:rPr>
      </w:pPr>
    </w:p>
    <w:p w14:paraId="751CB07D" w14:textId="7236C5CC"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216" w:name="_Toc121821955"/>
      <w:r w:rsidRPr="003E7C59">
        <w:rPr>
          <w:rStyle w:val="SubtleEmphasis"/>
          <w:rFonts w:ascii="Arial" w:hAnsi="Arial" w:cs="Arial"/>
          <w:i/>
          <w:iCs/>
          <w:color w:val="000000" w:themeColor="text1"/>
          <w:sz w:val="22"/>
          <w:szCs w:val="22"/>
        </w:rPr>
        <w:lastRenderedPageBreak/>
        <w:t>RNA Extraction and Sequencing</w:t>
      </w:r>
      <w:bookmarkEnd w:id="215"/>
      <w:bookmarkEnd w:id="216"/>
      <w:r w:rsidRPr="003E7C59">
        <w:rPr>
          <w:rStyle w:val="SubtleEmphasis"/>
          <w:rFonts w:ascii="Arial" w:hAnsi="Arial" w:cs="Arial"/>
          <w:i/>
          <w:iCs/>
          <w:color w:val="000000" w:themeColor="text1"/>
          <w:sz w:val="22"/>
          <w:szCs w:val="22"/>
        </w:rPr>
        <w:t xml:space="preserve"> </w:t>
      </w:r>
    </w:p>
    <w:p w14:paraId="68AB98CE" w14:textId="77777777" w:rsidR="00B51BF9" w:rsidRPr="003E7C59" w:rsidRDefault="00B51BF9" w:rsidP="006622F2">
      <w:pPr>
        <w:rPr>
          <w:rFonts w:ascii="Arial" w:hAnsi="Arial" w:cs="Arial"/>
          <w:color w:val="000000" w:themeColor="text1"/>
          <w:sz w:val="22"/>
          <w:szCs w:val="22"/>
        </w:rPr>
      </w:pPr>
    </w:p>
    <w:p w14:paraId="3E6A6196" w14:textId="667F0ECE"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RNA </w:t>
      </w:r>
      <w:proofErr w:type="gramStart"/>
      <w:r w:rsidRPr="003E7C59">
        <w:rPr>
          <w:rFonts w:ascii="Arial" w:hAnsi="Arial" w:cs="Arial"/>
          <w:color w:val="000000" w:themeColor="text1"/>
          <w:sz w:val="22"/>
          <w:szCs w:val="22"/>
        </w:rPr>
        <w:t>was extracted</w:t>
      </w:r>
      <w:proofErr w:type="gramEnd"/>
      <w:r w:rsidRPr="003E7C59">
        <w:rPr>
          <w:rFonts w:ascii="Arial" w:hAnsi="Arial" w:cs="Arial"/>
          <w:color w:val="000000" w:themeColor="text1"/>
          <w:sz w:val="22"/>
          <w:szCs w:val="22"/>
        </w:rPr>
        <w:t xml:space="preserve"> from 500 mg of frozen leaf tissue per sample, 2% cetyltrimethyl ammonium bromide (CTAB) solution, precipitated in 2 M LiCl following the instructions found in Zeing and Yang (2002). Leaf samples were homogenized using zirconia beads at 6 m/s, 30 sec in a Bead mill 24 (Fisher Scientific). Subsequently, total RNA integrity </w:t>
      </w:r>
      <w:proofErr w:type="gramStart"/>
      <w:r w:rsidRPr="003E7C59">
        <w:rPr>
          <w:rFonts w:ascii="Arial" w:hAnsi="Arial" w:cs="Arial"/>
          <w:color w:val="000000" w:themeColor="text1"/>
          <w:sz w:val="22"/>
          <w:szCs w:val="22"/>
        </w:rPr>
        <w:t>was assessed</w:t>
      </w:r>
      <w:proofErr w:type="gramEnd"/>
      <w:r w:rsidRPr="003E7C59">
        <w:rPr>
          <w:rFonts w:ascii="Arial" w:hAnsi="Arial" w:cs="Arial"/>
          <w:color w:val="000000" w:themeColor="text1"/>
          <w:sz w:val="22"/>
          <w:szCs w:val="22"/>
        </w:rPr>
        <w:t xml:space="preserve"> with Agilent 2100 Bioanalyzer system using the RNA 6000 Nano LabChip® kit (Agilent Technologies, Palo Alto, CA, USA). The 48 RNA samples from four flowering dogwood genotypes </w:t>
      </w:r>
      <w:proofErr w:type="gramStart"/>
      <w:r w:rsidRPr="003E7C59">
        <w:rPr>
          <w:rFonts w:ascii="Arial" w:hAnsi="Arial" w:cs="Arial"/>
          <w:color w:val="000000" w:themeColor="text1"/>
          <w:sz w:val="22"/>
          <w:szCs w:val="22"/>
        </w:rPr>
        <w:t>were submitted</w:t>
      </w:r>
      <w:proofErr w:type="gramEnd"/>
      <w:r w:rsidRPr="003E7C59">
        <w:rPr>
          <w:rFonts w:ascii="Arial" w:hAnsi="Arial" w:cs="Arial"/>
          <w:color w:val="000000" w:themeColor="text1"/>
          <w:sz w:val="22"/>
          <w:szCs w:val="22"/>
        </w:rPr>
        <w:t xml:space="preserve"> to Novogene (Sacramento, CA, USA) for library preparation and sequencing by an Illumina NovaSeq PE150, generating 150 bp paired-end reads. All genotypes had three biological replicates. </w:t>
      </w:r>
    </w:p>
    <w:p w14:paraId="3367EC0C" w14:textId="77777777" w:rsidR="00711E7A" w:rsidRPr="003E7C59" w:rsidRDefault="00711E7A" w:rsidP="006622F2">
      <w:pPr>
        <w:spacing w:line="360" w:lineRule="auto"/>
        <w:ind w:firstLine="720"/>
        <w:rPr>
          <w:rFonts w:ascii="Arial" w:hAnsi="Arial" w:cs="Arial"/>
          <w:color w:val="000000" w:themeColor="text1"/>
          <w:sz w:val="22"/>
          <w:szCs w:val="22"/>
        </w:rPr>
      </w:pPr>
    </w:p>
    <w:p w14:paraId="122E9AC6" w14:textId="63997888"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217" w:name="_Toc117166870"/>
      <w:bookmarkStart w:id="218" w:name="_Toc121821956"/>
      <w:r w:rsidRPr="003E7C59">
        <w:rPr>
          <w:rStyle w:val="SubtleEmphasis"/>
          <w:rFonts w:ascii="Arial" w:hAnsi="Arial" w:cs="Arial"/>
          <w:i/>
          <w:iCs/>
          <w:color w:val="000000" w:themeColor="text1"/>
          <w:sz w:val="22"/>
          <w:szCs w:val="22"/>
        </w:rPr>
        <w:t>Quality Control</w:t>
      </w:r>
      <w:bookmarkEnd w:id="217"/>
      <w:bookmarkEnd w:id="218"/>
    </w:p>
    <w:p w14:paraId="20F46B42" w14:textId="77777777" w:rsidR="00B51BF9" w:rsidRPr="003E7C59" w:rsidRDefault="00B51BF9" w:rsidP="006622F2">
      <w:pPr>
        <w:rPr>
          <w:rFonts w:ascii="Arial" w:hAnsi="Arial" w:cs="Arial"/>
          <w:color w:val="000000" w:themeColor="text1"/>
          <w:sz w:val="22"/>
          <w:szCs w:val="22"/>
        </w:rPr>
      </w:pPr>
    </w:p>
    <w:p w14:paraId="1CECF28C" w14:textId="08674976" w:rsidR="006112FD" w:rsidRPr="003E7C59" w:rsidRDefault="00B51BF9" w:rsidP="006622F2">
      <w:pPr>
        <w:spacing w:line="360" w:lineRule="auto"/>
        <w:ind w:firstLine="720"/>
        <w:rPr>
          <w:rStyle w:val="SubtleEmphasis"/>
          <w:rFonts w:ascii="Arial" w:hAnsi="Arial" w:cs="Arial"/>
          <w:i w:val="0"/>
          <w:iCs w:val="0"/>
          <w:color w:val="000000" w:themeColor="text1"/>
          <w:sz w:val="22"/>
          <w:szCs w:val="22"/>
        </w:rPr>
      </w:pPr>
      <w:r w:rsidRPr="003E7C59">
        <w:rPr>
          <w:rFonts w:ascii="Arial" w:hAnsi="Arial" w:cs="Arial"/>
          <w:color w:val="000000" w:themeColor="text1"/>
          <w:sz w:val="22"/>
          <w:szCs w:val="22"/>
        </w:rPr>
        <w:t xml:space="preserve">RNA-seq yielded approximately 20–37 million reads per library, which </w:t>
      </w:r>
      <w:proofErr w:type="gramStart"/>
      <w:r w:rsidRPr="003E7C59">
        <w:rPr>
          <w:rFonts w:ascii="Arial" w:hAnsi="Arial" w:cs="Arial"/>
          <w:color w:val="000000" w:themeColor="text1"/>
          <w:sz w:val="22"/>
          <w:szCs w:val="22"/>
        </w:rPr>
        <w:t>were subjected</w:t>
      </w:r>
      <w:proofErr w:type="gramEnd"/>
      <w:r w:rsidRPr="003E7C59">
        <w:rPr>
          <w:rFonts w:ascii="Arial" w:hAnsi="Arial" w:cs="Arial"/>
          <w:color w:val="000000" w:themeColor="text1"/>
          <w:sz w:val="22"/>
          <w:szCs w:val="22"/>
        </w:rPr>
        <w:t xml:space="preserve"> to error correction using Rcorrector (RNA-Seq error CORRECTOR) (Song and Florea, 2015). Read quality control was performed using FastQC v0.11.4 (Andrews, 2010). Adaptors, short (&lt;30 bases), and low-quality reads were trimmed by skewer version v0.2.2 (Jiang et al. 2014). Subsequently, read quality control was reassessed using FastQC v0.11.4 (Andrews, 2010). </w:t>
      </w:r>
      <w:bookmarkStart w:id="219" w:name="_Toc117166871"/>
    </w:p>
    <w:p w14:paraId="2C3F25FD" w14:textId="77777777" w:rsidR="006112FD" w:rsidRPr="003E7C59" w:rsidRDefault="006112FD" w:rsidP="006622F2">
      <w:pPr>
        <w:rPr>
          <w:rFonts w:ascii="Arial" w:hAnsi="Arial" w:cs="Arial"/>
          <w:sz w:val="22"/>
          <w:szCs w:val="22"/>
        </w:rPr>
      </w:pPr>
    </w:p>
    <w:p w14:paraId="5E18DA94" w14:textId="7F01D42A"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220" w:name="_Toc121821957"/>
      <w:r w:rsidRPr="003E7C59">
        <w:rPr>
          <w:rStyle w:val="SubtleEmphasis"/>
          <w:rFonts w:ascii="Arial" w:hAnsi="Arial" w:cs="Arial"/>
          <w:i/>
          <w:iCs/>
          <w:color w:val="000000" w:themeColor="text1"/>
          <w:sz w:val="22"/>
          <w:szCs w:val="22"/>
        </w:rPr>
        <w:t>Read Alignment and Gene Quantification</w:t>
      </w:r>
      <w:bookmarkEnd w:id="219"/>
      <w:bookmarkEnd w:id="220"/>
    </w:p>
    <w:p w14:paraId="7A864D9B" w14:textId="77777777" w:rsidR="00B51BF9" w:rsidRPr="003E7C59" w:rsidRDefault="00B51BF9" w:rsidP="006622F2">
      <w:pPr>
        <w:rPr>
          <w:rFonts w:ascii="Arial" w:hAnsi="Arial" w:cs="Arial"/>
          <w:color w:val="000000" w:themeColor="text1"/>
          <w:sz w:val="22"/>
          <w:szCs w:val="22"/>
        </w:rPr>
      </w:pPr>
    </w:p>
    <w:p w14:paraId="26D4A775" w14:textId="095B94F7"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The annotated reference genome publication for flowering dogwood is not available; however, Bewick et al. (2020) made available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genome, GFF, and other feature files, including gene, mRNA, and CDS sequences. Trimmed reads were mapped to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w:t>
      </w:r>
      <w:r w:rsidR="007B338E" w:rsidRPr="003E7C59">
        <w:rPr>
          <w:rFonts w:ascii="Arial" w:hAnsi="Arial" w:cs="Arial"/>
          <w:color w:val="000000" w:themeColor="text1"/>
          <w:sz w:val="22"/>
          <w:szCs w:val="22"/>
        </w:rPr>
        <w:t>fasta</w:t>
      </w:r>
      <w:r w:rsidRPr="003E7C59">
        <w:rPr>
          <w:rFonts w:ascii="Arial" w:hAnsi="Arial" w:cs="Arial"/>
          <w:color w:val="000000" w:themeColor="text1"/>
          <w:sz w:val="22"/>
          <w:szCs w:val="22"/>
        </w:rPr>
        <w:t xml:space="preserve"> file using the read alignment tool STAR (Dobin et al., 2013). Aligned reads were used to generate a gene-specific count matrix across samples using a standalone script provided by HTSeq (Anders et al., 2015), which counts for the aligned reads mapped to the exons.</w:t>
      </w:r>
    </w:p>
    <w:p w14:paraId="0A82ADA7" w14:textId="77777777" w:rsidR="00711E7A" w:rsidRPr="003E7C59" w:rsidRDefault="00711E7A" w:rsidP="006622F2">
      <w:pPr>
        <w:spacing w:line="360" w:lineRule="auto"/>
        <w:ind w:firstLine="720"/>
        <w:rPr>
          <w:rFonts w:ascii="Arial" w:hAnsi="Arial" w:cs="Arial"/>
          <w:color w:val="000000" w:themeColor="text1"/>
          <w:sz w:val="22"/>
          <w:szCs w:val="22"/>
        </w:rPr>
      </w:pPr>
    </w:p>
    <w:p w14:paraId="4728F9A3" w14:textId="0744DD86"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221" w:name="_Toc117166872"/>
      <w:bookmarkStart w:id="222" w:name="_Toc121821958"/>
      <w:r w:rsidRPr="003E7C59">
        <w:rPr>
          <w:rStyle w:val="SubtleEmphasis"/>
          <w:rFonts w:ascii="Arial" w:hAnsi="Arial" w:cs="Arial"/>
          <w:i/>
          <w:iCs/>
          <w:color w:val="000000" w:themeColor="text1"/>
          <w:sz w:val="22"/>
          <w:szCs w:val="22"/>
        </w:rPr>
        <w:t>Differential Expression Analysis and Functional Enrichment</w:t>
      </w:r>
      <w:bookmarkEnd w:id="221"/>
      <w:bookmarkEnd w:id="222"/>
      <w:r w:rsidRPr="003E7C59">
        <w:rPr>
          <w:rStyle w:val="SubtleEmphasis"/>
          <w:rFonts w:ascii="Arial" w:hAnsi="Arial" w:cs="Arial"/>
          <w:i/>
          <w:iCs/>
          <w:color w:val="000000" w:themeColor="text1"/>
          <w:sz w:val="22"/>
          <w:szCs w:val="22"/>
        </w:rPr>
        <w:t xml:space="preserve"> </w:t>
      </w:r>
    </w:p>
    <w:p w14:paraId="09FDBCA8" w14:textId="77777777" w:rsidR="00B51BF9" w:rsidRPr="003E7C59" w:rsidRDefault="00B51BF9" w:rsidP="006622F2">
      <w:pPr>
        <w:rPr>
          <w:rFonts w:ascii="Arial" w:hAnsi="Arial" w:cs="Arial"/>
          <w:color w:val="000000" w:themeColor="text1"/>
          <w:sz w:val="22"/>
          <w:szCs w:val="22"/>
        </w:rPr>
      </w:pPr>
    </w:p>
    <w:p w14:paraId="6CEB3314" w14:textId="328DAC22" w:rsidR="00B51BF9" w:rsidRPr="003E7C59" w:rsidRDefault="00B51BF9" w:rsidP="006622F2">
      <w:pPr>
        <w:spacing w:line="360" w:lineRule="auto"/>
        <w:ind w:firstLine="720"/>
        <w:rPr>
          <w:rFonts w:ascii="Arial" w:hAnsi="Arial" w:cs="Arial"/>
          <w:bCs/>
          <w:color w:val="000000" w:themeColor="text1"/>
          <w:sz w:val="22"/>
          <w:szCs w:val="22"/>
        </w:rPr>
      </w:pPr>
      <w:r w:rsidRPr="003E7C59">
        <w:rPr>
          <w:rStyle w:val="normaltextrun"/>
          <w:rFonts w:ascii="Arial" w:hAnsi="Arial" w:cs="Arial"/>
          <w:color w:val="000000" w:themeColor="text1"/>
          <w:sz w:val="22"/>
          <w:szCs w:val="22"/>
        </w:rPr>
        <w:t xml:space="preserve">To identify </w:t>
      </w:r>
      <w:r w:rsidRPr="003E7C59">
        <w:rPr>
          <w:rStyle w:val="normaltextrun"/>
          <w:rFonts w:ascii="Arial" w:hAnsi="Arial" w:cs="Arial"/>
          <w:i/>
          <w:iCs/>
          <w:color w:val="000000" w:themeColor="text1"/>
          <w:sz w:val="22"/>
          <w:szCs w:val="22"/>
        </w:rPr>
        <w:t>Mlos</w:t>
      </w:r>
      <w:r w:rsidRPr="003E7C59">
        <w:rPr>
          <w:rStyle w:val="normaltextrun"/>
          <w:rFonts w:ascii="Arial" w:hAnsi="Arial" w:cs="Arial"/>
          <w:color w:val="000000" w:themeColor="text1"/>
          <w:sz w:val="22"/>
          <w:szCs w:val="22"/>
          <w:shd w:val="clear" w:color="auto" w:fill="FFFFFF"/>
        </w:rPr>
        <w:t xml:space="preserve">, </w:t>
      </w:r>
      <w:r w:rsidRPr="003E7C59">
        <w:rPr>
          <w:rStyle w:val="normaltextrun"/>
          <w:rFonts w:ascii="Arial" w:hAnsi="Arial" w:cs="Arial"/>
          <w:i/>
          <w:iCs/>
          <w:color w:val="000000" w:themeColor="text1"/>
          <w:sz w:val="22"/>
          <w:szCs w:val="22"/>
          <w:shd w:val="clear" w:color="auto" w:fill="FFFFFF"/>
        </w:rPr>
        <w:t xml:space="preserve">R </w:t>
      </w:r>
      <w:r w:rsidRPr="003E7C59">
        <w:rPr>
          <w:rStyle w:val="normaltextrun"/>
          <w:rFonts w:ascii="Arial" w:hAnsi="Arial" w:cs="Arial"/>
          <w:color w:val="000000" w:themeColor="text1"/>
          <w:sz w:val="22"/>
          <w:szCs w:val="22"/>
          <w:shd w:val="clear" w:color="auto" w:fill="FFFFFF"/>
        </w:rPr>
        <w:t xml:space="preserve">genes and the nucleotide-binding site (NBS) and leucine-rich repeat (LRR) (NBS-LRR) genes involved in PM resistance, gene counts were analyzed for gene-level differential expression using DESeq2 (Love et al., 2014). This package provides an option to test differential expression by shrinking estimators of the negative binomial distribution. Count results from HTSeq were imported, specifying an experimental design that modeled the cultivar disease resistance/susceptibility as the effect of treatment while adjusting for cultivar and time </w:t>
      </w:r>
      <w:r w:rsidRPr="003E7C59">
        <w:rPr>
          <w:rStyle w:val="normaltextrun"/>
          <w:rFonts w:ascii="Arial" w:hAnsi="Arial" w:cs="Arial"/>
          <w:color w:val="000000" w:themeColor="text1"/>
          <w:sz w:val="22"/>
          <w:szCs w:val="22"/>
          <w:shd w:val="clear" w:color="auto" w:fill="FFFFFF"/>
        </w:rPr>
        <w:lastRenderedPageBreak/>
        <w:t xml:space="preserve">point differences. The principal component analysis (PCA) used the first and second largest sample distances as the first PC and second PC. The Wald test </w:t>
      </w:r>
      <w:proofErr w:type="gramStart"/>
      <w:r w:rsidRPr="003E7C59">
        <w:rPr>
          <w:rStyle w:val="normaltextrun"/>
          <w:rFonts w:ascii="Arial" w:hAnsi="Arial" w:cs="Arial"/>
          <w:color w:val="000000" w:themeColor="text1"/>
          <w:sz w:val="22"/>
          <w:szCs w:val="22"/>
          <w:shd w:val="clear" w:color="auto" w:fill="FFFFFF"/>
        </w:rPr>
        <w:t>was employed</w:t>
      </w:r>
      <w:proofErr w:type="gramEnd"/>
      <w:r w:rsidRPr="003E7C59">
        <w:rPr>
          <w:rStyle w:val="normaltextrun"/>
          <w:rFonts w:ascii="Arial" w:hAnsi="Arial" w:cs="Arial"/>
          <w:color w:val="000000" w:themeColor="text1"/>
          <w:sz w:val="22"/>
          <w:szCs w:val="22"/>
          <w:shd w:val="clear" w:color="auto" w:fill="FFFFFF"/>
        </w:rPr>
        <w:t xml:space="preserve"> to identify differentially expressed genes (DEGs) between two sample classes, susceptible and resistant. Significantly DEGs were identified with fold change &gt; 2 and adjusted p-value &lt; 0.05 (log2FC 0) after multiple testing using the Benjamini-Hochberg method. Due to poor annotation of available genome and GFF files (</w:t>
      </w:r>
      <w:r w:rsidRPr="003E7C59">
        <w:rPr>
          <w:rFonts w:ascii="Arial" w:hAnsi="Arial" w:cs="Arial"/>
          <w:color w:val="000000" w:themeColor="text1"/>
          <w:sz w:val="22"/>
          <w:szCs w:val="22"/>
        </w:rPr>
        <w:t>Bewick et al., 2020</w:t>
      </w:r>
      <w:r w:rsidRPr="003E7C59">
        <w:rPr>
          <w:rStyle w:val="normaltextrun"/>
          <w:rFonts w:ascii="Arial" w:hAnsi="Arial" w:cs="Arial"/>
          <w:color w:val="000000" w:themeColor="text1"/>
          <w:sz w:val="22"/>
          <w:szCs w:val="22"/>
          <w:shd w:val="clear" w:color="auto" w:fill="FFFFFF"/>
        </w:rPr>
        <w:t>)</w:t>
      </w:r>
      <w:proofErr w:type="gramStart"/>
      <w:r w:rsidRPr="003E7C59">
        <w:rPr>
          <w:rStyle w:val="normaltextrun"/>
          <w:rFonts w:ascii="Arial" w:hAnsi="Arial" w:cs="Arial"/>
          <w:color w:val="000000" w:themeColor="text1"/>
          <w:sz w:val="22"/>
          <w:szCs w:val="22"/>
          <w:shd w:val="clear" w:color="auto" w:fill="FFFFFF"/>
        </w:rPr>
        <w:t>,</w:t>
      </w:r>
      <w:proofErr w:type="gramEnd"/>
      <w:r w:rsidRPr="003E7C59">
        <w:rPr>
          <w:rStyle w:val="normaltextrun"/>
          <w:rFonts w:ascii="Arial" w:hAnsi="Arial" w:cs="Arial"/>
          <w:color w:val="000000" w:themeColor="text1"/>
          <w:sz w:val="22"/>
          <w:szCs w:val="22"/>
          <w:shd w:val="clear" w:color="auto" w:fill="FFFFFF"/>
        </w:rPr>
        <w:t xml:space="preserve"> it was not possible to annotate DEGs. </w:t>
      </w:r>
      <w:r w:rsidRPr="003E7C59">
        <w:rPr>
          <w:rFonts w:ascii="Arial" w:hAnsi="Arial" w:cs="Arial"/>
          <w:bCs/>
          <w:color w:val="000000" w:themeColor="text1"/>
          <w:sz w:val="22"/>
          <w:szCs w:val="22"/>
        </w:rPr>
        <w:t>The software package Gene Filtering, Analysis, and Conversion (gFACs) v1.1.1 (Caballero and Wegrzyn, 2019), was used for annotation refining to improve th</w:t>
      </w:r>
      <w:r w:rsidR="00B90984" w:rsidRPr="003E7C59">
        <w:rPr>
          <w:rFonts w:ascii="Arial" w:hAnsi="Arial" w:cs="Arial"/>
          <w:bCs/>
          <w:color w:val="000000" w:themeColor="text1"/>
          <w:sz w:val="22"/>
          <w:szCs w:val="22"/>
        </w:rPr>
        <w:t>e</w:t>
      </w:r>
      <w:r w:rsidRPr="003E7C59">
        <w:rPr>
          <w:rFonts w:ascii="Arial" w:hAnsi="Arial" w:cs="Arial"/>
          <w:bCs/>
          <w:color w:val="000000" w:themeColor="text1"/>
          <w:sz w:val="22"/>
          <w:szCs w:val="22"/>
        </w:rPr>
        <w:t xml:space="preserve"> quality of final models and obtain nucleotide and amino acid fasta </w:t>
      </w:r>
      <w:r w:rsidR="00032542" w:rsidRPr="003E7C59">
        <w:rPr>
          <w:rFonts w:ascii="Arial" w:hAnsi="Arial" w:cs="Arial"/>
          <w:bCs/>
          <w:color w:val="000000" w:themeColor="text1"/>
          <w:sz w:val="22"/>
          <w:szCs w:val="22"/>
        </w:rPr>
        <w:t>files</w:t>
      </w:r>
      <w:r w:rsidRPr="003E7C59">
        <w:rPr>
          <w:rFonts w:ascii="Arial" w:hAnsi="Arial" w:cs="Arial"/>
          <w:bCs/>
          <w:color w:val="000000" w:themeColor="text1"/>
          <w:sz w:val="22"/>
          <w:szCs w:val="22"/>
        </w:rPr>
        <w:t>. Subsequently, Eukaryotic Non-Model Transcriptome Annotation Pipeline (EnTAP) v</w:t>
      </w:r>
      <w:r w:rsidRPr="003E7C59">
        <w:rPr>
          <w:rFonts w:ascii="Arial" w:hAnsi="Arial" w:cs="Arial"/>
          <w:color w:val="000000" w:themeColor="text1"/>
          <w:sz w:val="22"/>
          <w:szCs w:val="22"/>
          <w:shd w:val="clear" w:color="auto" w:fill="FCFCFC"/>
        </w:rPr>
        <w:t>0.10.8-Beta</w:t>
      </w:r>
      <w:r w:rsidRPr="003E7C59">
        <w:rPr>
          <w:rFonts w:ascii="Arial" w:hAnsi="Arial" w:cs="Arial"/>
          <w:bCs/>
          <w:color w:val="000000" w:themeColor="text1"/>
          <w:sz w:val="22"/>
          <w:szCs w:val="22"/>
        </w:rPr>
        <w:t xml:space="preserve"> (Hart et al., 2018) was employed to strengthen functional gene annotation accuracy for de novo assembled transcriptomes in non-model eukaryote </w:t>
      </w:r>
      <w:r w:rsidRPr="003E7C59">
        <w:rPr>
          <w:rFonts w:ascii="Arial" w:hAnsi="Arial" w:cs="Arial"/>
          <w:bCs/>
          <w:i/>
          <w:iCs/>
          <w:color w:val="000000" w:themeColor="text1"/>
          <w:sz w:val="22"/>
          <w:szCs w:val="22"/>
        </w:rPr>
        <w:t xml:space="preserve">C. </w:t>
      </w:r>
      <w:proofErr w:type="gramStart"/>
      <w:r w:rsidRPr="003E7C59">
        <w:rPr>
          <w:rFonts w:ascii="Arial" w:hAnsi="Arial" w:cs="Arial"/>
          <w:bCs/>
          <w:i/>
          <w:iCs/>
          <w:color w:val="000000" w:themeColor="text1"/>
          <w:sz w:val="22"/>
          <w:szCs w:val="22"/>
        </w:rPr>
        <w:t>florida</w:t>
      </w:r>
      <w:proofErr w:type="gramEnd"/>
      <w:r w:rsidRPr="003E7C59">
        <w:rPr>
          <w:rFonts w:ascii="Arial" w:hAnsi="Arial" w:cs="Arial"/>
          <w:bCs/>
          <w:color w:val="000000" w:themeColor="text1"/>
          <w:sz w:val="22"/>
          <w:szCs w:val="22"/>
        </w:rPr>
        <w:t xml:space="preserve">.  </w:t>
      </w:r>
      <w:proofErr w:type="gramStart"/>
      <w:r w:rsidR="002B5981" w:rsidRPr="003E7C59">
        <w:rPr>
          <w:rFonts w:ascii="Arial" w:hAnsi="Arial" w:cs="Arial"/>
          <w:bCs/>
          <w:color w:val="000000" w:themeColor="text1"/>
          <w:sz w:val="22"/>
          <w:szCs w:val="22"/>
        </w:rPr>
        <w:t>lead</w:t>
      </w:r>
      <w:proofErr w:type="gramEnd"/>
    </w:p>
    <w:p w14:paraId="1D7EAD0D" w14:textId="77777777" w:rsidR="00711E7A" w:rsidRPr="003E7C59" w:rsidRDefault="00711E7A" w:rsidP="006622F2">
      <w:pPr>
        <w:spacing w:line="360" w:lineRule="auto"/>
        <w:ind w:firstLine="720"/>
        <w:rPr>
          <w:rStyle w:val="SubtleEmphasis"/>
          <w:rFonts w:ascii="Arial" w:hAnsi="Arial" w:cs="Arial"/>
          <w:bCs/>
          <w:i w:val="0"/>
          <w:iCs w:val="0"/>
          <w:color w:val="000000" w:themeColor="text1"/>
          <w:sz w:val="22"/>
          <w:szCs w:val="22"/>
        </w:rPr>
      </w:pPr>
    </w:p>
    <w:p w14:paraId="16136D38" w14:textId="3365CFF5" w:rsidR="00B51BF9" w:rsidRPr="003E7C59" w:rsidRDefault="00B51BF9" w:rsidP="006622F2">
      <w:pPr>
        <w:pStyle w:val="Heading4"/>
        <w:spacing w:before="0"/>
        <w:rPr>
          <w:rStyle w:val="SubtleEmphasis"/>
          <w:rFonts w:ascii="Arial" w:hAnsi="Arial" w:cs="Arial"/>
          <w:i/>
          <w:iCs/>
          <w:color w:val="000000" w:themeColor="text1"/>
          <w:sz w:val="22"/>
          <w:szCs w:val="22"/>
        </w:rPr>
      </w:pPr>
      <w:bookmarkStart w:id="223" w:name="_Toc117166873"/>
      <w:bookmarkStart w:id="224" w:name="_Toc121821959"/>
      <w:r w:rsidRPr="003E7C59">
        <w:rPr>
          <w:rStyle w:val="SubtleEmphasis"/>
          <w:rFonts w:ascii="Arial" w:hAnsi="Arial" w:cs="Arial"/>
          <w:i/>
          <w:iCs/>
          <w:color w:val="000000" w:themeColor="text1"/>
          <w:sz w:val="22"/>
          <w:szCs w:val="22"/>
        </w:rPr>
        <w:t>Reverse Transcription Quantitative PCR (RT-qPCR)</w:t>
      </w:r>
      <w:bookmarkEnd w:id="223"/>
      <w:bookmarkEnd w:id="224"/>
    </w:p>
    <w:p w14:paraId="0251C701" w14:textId="77777777" w:rsidR="00B51BF9" w:rsidRPr="003E7C59" w:rsidRDefault="00B51BF9" w:rsidP="006622F2">
      <w:pPr>
        <w:rPr>
          <w:rFonts w:ascii="Arial" w:hAnsi="Arial" w:cs="Arial"/>
          <w:color w:val="000000" w:themeColor="text1"/>
          <w:sz w:val="22"/>
          <w:szCs w:val="22"/>
        </w:rPr>
      </w:pPr>
    </w:p>
    <w:p w14:paraId="164C13AF" w14:textId="77777777"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RNA from 48 samples used or RNA-Seq </w:t>
      </w:r>
      <w:proofErr w:type="gramStart"/>
      <w:r w:rsidRPr="003E7C59">
        <w:rPr>
          <w:rFonts w:ascii="Arial" w:hAnsi="Arial" w:cs="Arial"/>
          <w:color w:val="000000" w:themeColor="text1"/>
          <w:sz w:val="22"/>
          <w:szCs w:val="22"/>
        </w:rPr>
        <w:t>will be subjected</w:t>
      </w:r>
      <w:proofErr w:type="gramEnd"/>
      <w:r w:rsidRPr="003E7C59">
        <w:rPr>
          <w:rFonts w:ascii="Arial" w:hAnsi="Arial" w:cs="Arial"/>
          <w:color w:val="000000" w:themeColor="text1"/>
          <w:sz w:val="22"/>
          <w:szCs w:val="22"/>
        </w:rPr>
        <w:t xml:space="preserve"> to real-time qPCR analysis using QuantStudio™ 6 Flex (Applied Biosystems, Waltham, MA, USA). Primers consistently up-or downregulated candidate </w:t>
      </w:r>
      <w:r w:rsidRPr="003E7C59">
        <w:rPr>
          <w:rStyle w:val="normaltextrun"/>
          <w:rFonts w:ascii="Arial" w:hAnsi="Arial" w:cs="Arial"/>
          <w:i/>
          <w:iCs/>
          <w:color w:val="000000" w:themeColor="text1"/>
          <w:sz w:val="22"/>
          <w:szCs w:val="22"/>
        </w:rPr>
        <w:t>Mlos</w:t>
      </w:r>
      <w:r w:rsidRPr="003E7C59">
        <w:rPr>
          <w:rStyle w:val="normaltextrun"/>
          <w:rFonts w:ascii="Arial" w:hAnsi="Arial" w:cs="Arial"/>
          <w:color w:val="000000" w:themeColor="text1"/>
          <w:sz w:val="22"/>
          <w:szCs w:val="22"/>
          <w:shd w:val="clear" w:color="auto" w:fill="FFFFFF"/>
        </w:rPr>
        <w:t xml:space="preserve"> and </w:t>
      </w:r>
      <w:r w:rsidRPr="003E7C59">
        <w:rPr>
          <w:rStyle w:val="normaltextrun"/>
          <w:rFonts w:ascii="Arial" w:hAnsi="Arial" w:cs="Arial"/>
          <w:i/>
          <w:iCs/>
          <w:color w:val="000000" w:themeColor="text1"/>
          <w:sz w:val="22"/>
          <w:szCs w:val="22"/>
          <w:shd w:val="clear" w:color="auto" w:fill="FFFFFF"/>
        </w:rPr>
        <w:t>R</w:t>
      </w:r>
      <w:r w:rsidRPr="003E7C59">
        <w:rPr>
          <w:rStyle w:val="normaltextrun"/>
          <w:rFonts w:ascii="Arial" w:hAnsi="Arial" w:cs="Arial"/>
          <w:color w:val="000000" w:themeColor="text1"/>
          <w:sz w:val="22"/>
          <w:szCs w:val="22"/>
          <w:shd w:val="clear" w:color="auto" w:fill="FFFFFF"/>
        </w:rPr>
        <w:t xml:space="preserve"> genes containing the nucleotide-binding site (NBS) and leucine-rich repeat (LRR) (NBS-LRR) genes involved in PM resistance will be</w:t>
      </w:r>
      <w:r w:rsidRPr="003E7C59">
        <w:rPr>
          <w:rFonts w:ascii="Arial" w:hAnsi="Arial" w:cs="Arial"/>
          <w:color w:val="000000" w:themeColor="text1"/>
          <w:sz w:val="22"/>
          <w:szCs w:val="22"/>
        </w:rPr>
        <w:t xml:space="preserve"> designed based on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Primers will be designed using Primer-BLAST NCBI Genbank with amplification lengths between 70 and 200 bp. Samples will be subjected to PerfeCTa SYBR Green Fast Mix (Quantabio, Beverly, MA, USA). A total reaction volume of 20 μl will contain 1μl of previously diluted cDNA (1:10), </w:t>
      </w:r>
      <w:proofErr w:type="gramStart"/>
      <w:r w:rsidRPr="003E7C59">
        <w:rPr>
          <w:rFonts w:ascii="Arial" w:hAnsi="Arial" w:cs="Arial"/>
          <w:color w:val="000000" w:themeColor="text1"/>
          <w:sz w:val="22"/>
          <w:szCs w:val="22"/>
        </w:rPr>
        <w:t>2</w:t>
      </w:r>
      <w:proofErr w:type="gramEnd"/>
      <w:r w:rsidRPr="003E7C59">
        <w:rPr>
          <w:rFonts w:ascii="Arial" w:hAnsi="Arial" w:cs="Arial"/>
          <w:color w:val="000000" w:themeColor="text1"/>
          <w:sz w:val="22"/>
          <w:szCs w:val="22"/>
        </w:rPr>
        <w:t xml:space="preserve"> μl of gene-specific primers (1 μM each), and 12 μl of SYBR Green Fast Mix. Expression levels of mRNAs of interest </w:t>
      </w:r>
      <w:proofErr w:type="gramStart"/>
      <w:r w:rsidRPr="003E7C59">
        <w:rPr>
          <w:rFonts w:ascii="Arial" w:hAnsi="Arial" w:cs="Arial"/>
          <w:color w:val="000000" w:themeColor="text1"/>
          <w:sz w:val="22"/>
          <w:szCs w:val="22"/>
        </w:rPr>
        <w:t>will be normalized</w:t>
      </w:r>
      <w:proofErr w:type="gramEnd"/>
      <w:r w:rsidRPr="003E7C59">
        <w:rPr>
          <w:rFonts w:ascii="Arial" w:hAnsi="Arial" w:cs="Arial"/>
          <w:color w:val="000000" w:themeColor="text1"/>
          <w:sz w:val="22"/>
          <w:szCs w:val="22"/>
        </w:rPr>
        <w:t xml:space="preserve"> for the Glyceraldehyde 3-phosphate dehydrogenase (GAPDH) RNA levels. All samples </w:t>
      </w:r>
      <w:proofErr w:type="gramStart"/>
      <w:r w:rsidRPr="003E7C59">
        <w:rPr>
          <w:rFonts w:ascii="Arial" w:hAnsi="Arial" w:cs="Arial"/>
          <w:color w:val="000000" w:themeColor="text1"/>
          <w:sz w:val="22"/>
          <w:szCs w:val="22"/>
        </w:rPr>
        <w:t>will be run</w:t>
      </w:r>
      <w:proofErr w:type="gramEnd"/>
      <w:r w:rsidRPr="003E7C59">
        <w:rPr>
          <w:rFonts w:ascii="Arial" w:hAnsi="Arial" w:cs="Arial"/>
          <w:color w:val="000000" w:themeColor="text1"/>
          <w:sz w:val="22"/>
          <w:szCs w:val="22"/>
        </w:rPr>
        <w:t xml:space="preserve"> in three technical replicates, and no-template controls will be included in all plates. </w:t>
      </w:r>
      <w:sdt>
        <w:sdtPr>
          <w:rPr>
            <w:rFonts w:ascii="Arial" w:hAnsi="Arial" w:cs="Arial"/>
            <w:color w:val="000000" w:themeColor="text1"/>
            <w:sz w:val="22"/>
            <w:szCs w:val="22"/>
          </w:rPr>
          <w:tag w:val="goog_rdk_57"/>
          <w:id w:val="1954828876"/>
        </w:sdtPr>
        <w:sdtEndPr/>
        <w:sdtContent/>
      </w:sdt>
    </w:p>
    <w:p w14:paraId="53972811"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bookmarkStart w:id="225" w:name="_Toc117166874"/>
    </w:p>
    <w:p w14:paraId="7F9BDB64" w14:textId="4DC1C906" w:rsidR="00B51BF9" w:rsidRPr="003E7C59" w:rsidRDefault="00B51BF9" w:rsidP="006622F2">
      <w:pPr>
        <w:pStyle w:val="Heading3"/>
        <w:spacing w:before="0" w:beforeAutospacing="0" w:after="0" w:afterAutospacing="0" w:line="360" w:lineRule="auto"/>
        <w:rPr>
          <w:rFonts w:ascii="Arial" w:hAnsi="Arial" w:cs="Arial"/>
          <w:color w:val="000000" w:themeColor="text1"/>
          <w:sz w:val="22"/>
          <w:szCs w:val="22"/>
        </w:rPr>
      </w:pPr>
      <w:bookmarkStart w:id="226" w:name="_Toc121821960"/>
      <w:r w:rsidRPr="003E7C59">
        <w:rPr>
          <w:rFonts w:ascii="Arial" w:hAnsi="Arial" w:cs="Arial"/>
          <w:color w:val="000000" w:themeColor="text1"/>
          <w:sz w:val="22"/>
          <w:szCs w:val="22"/>
        </w:rPr>
        <w:t>Results and Discussion</w:t>
      </w:r>
      <w:bookmarkEnd w:id="225"/>
      <w:bookmarkEnd w:id="226"/>
      <w:r w:rsidRPr="003E7C59">
        <w:rPr>
          <w:rFonts w:ascii="Arial" w:hAnsi="Arial" w:cs="Arial"/>
          <w:color w:val="000000" w:themeColor="text1"/>
          <w:sz w:val="22"/>
          <w:szCs w:val="22"/>
        </w:rPr>
        <w:t xml:space="preserve"> </w:t>
      </w:r>
    </w:p>
    <w:p w14:paraId="4B1C9FD5" w14:textId="77777777" w:rsidR="00EC16C3" w:rsidRPr="003E7C59" w:rsidRDefault="00EC16C3" w:rsidP="006622F2">
      <w:pPr>
        <w:pStyle w:val="Heading3"/>
        <w:spacing w:before="0" w:beforeAutospacing="0" w:after="0" w:afterAutospacing="0" w:line="360" w:lineRule="auto"/>
        <w:rPr>
          <w:rFonts w:ascii="Arial" w:hAnsi="Arial" w:cs="Arial"/>
          <w:color w:val="000000" w:themeColor="text1"/>
          <w:sz w:val="22"/>
          <w:szCs w:val="22"/>
        </w:rPr>
      </w:pPr>
    </w:p>
    <w:p w14:paraId="193C92BA" w14:textId="7ED960DB" w:rsidR="00B51BF9" w:rsidRPr="003E7C59" w:rsidRDefault="00B51BF9" w:rsidP="006622F2">
      <w:pPr>
        <w:pStyle w:val="Heading4"/>
        <w:rPr>
          <w:rStyle w:val="SubtleEmphasis"/>
          <w:rFonts w:ascii="Arial" w:hAnsi="Arial" w:cs="Arial"/>
          <w:i/>
          <w:iCs/>
          <w:color w:val="000000" w:themeColor="text1"/>
          <w:sz w:val="22"/>
          <w:szCs w:val="22"/>
        </w:rPr>
      </w:pPr>
      <w:bookmarkStart w:id="227" w:name="_Toc117166875"/>
      <w:bookmarkStart w:id="228" w:name="_Toc121821961"/>
      <w:r w:rsidRPr="003E7C59">
        <w:rPr>
          <w:rStyle w:val="SubtleEmphasis"/>
          <w:rFonts w:ascii="Arial" w:hAnsi="Arial" w:cs="Arial"/>
          <w:i/>
          <w:iCs/>
          <w:color w:val="000000" w:themeColor="text1"/>
          <w:sz w:val="22"/>
          <w:szCs w:val="22"/>
        </w:rPr>
        <w:t xml:space="preserve">Plant Materials and their resistance to </w:t>
      </w:r>
      <w:bookmarkEnd w:id="227"/>
      <w:r w:rsidR="006D5733" w:rsidRPr="003E7C59">
        <w:rPr>
          <w:rStyle w:val="SubtleEmphasis"/>
          <w:rFonts w:ascii="Arial" w:hAnsi="Arial" w:cs="Arial"/>
          <w:i/>
          <w:iCs/>
          <w:color w:val="000000" w:themeColor="text1"/>
          <w:sz w:val="22"/>
          <w:szCs w:val="22"/>
        </w:rPr>
        <w:t>PM</w:t>
      </w:r>
      <w:bookmarkEnd w:id="228"/>
      <w:r w:rsidRPr="003E7C59">
        <w:rPr>
          <w:rStyle w:val="SubtleEmphasis"/>
          <w:rFonts w:ascii="Arial" w:hAnsi="Arial" w:cs="Arial"/>
          <w:i/>
          <w:iCs/>
          <w:color w:val="000000" w:themeColor="text1"/>
          <w:sz w:val="22"/>
          <w:szCs w:val="22"/>
        </w:rPr>
        <w:t xml:space="preserve">   </w:t>
      </w:r>
    </w:p>
    <w:p w14:paraId="43D5A5BD" w14:textId="77777777" w:rsidR="00B51BF9" w:rsidRPr="003E7C59" w:rsidRDefault="00B51BF9" w:rsidP="006622F2">
      <w:pPr>
        <w:rPr>
          <w:rFonts w:ascii="Arial" w:hAnsi="Arial" w:cs="Arial"/>
          <w:color w:val="000000" w:themeColor="text1"/>
          <w:sz w:val="22"/>
          <w:szCs w:val="22"/>
        </w:rPr>
      </w:pPr>
    </w:p>
    <w:p w14:paraId="4EBDDC38" w14:textId="3A232538" w:rsidR="006D5733" w:rsidRPr="003E7C59" w:rsidRDefault="00746B6E" w:rsidP="006622F2">
      <w:pPr>
        <w:spacing w:line="360" w:lineRule="auto"/>
        <w:ind w:firstLine="720"/>
        <w:rPr>
          <w:rStyle w:val="SubtleEmphasis"/>
          <w:rFonts w:ascii="Arial" w:hAnsi="Arial" w:cs="Arial"/>
          <w:i w:val="0"/>
          <w:iCs w:val="0"/>
          <w:color w:val="000000" w:themeColor="text1"/>
          <w:sz w:val="22"/>
          <w:szCs w:val="22"/>
        </w:rPr>
      </w:pPr>
      <w:r w:rsidRPr="003E7C59">
        <w:rPr>
          <w:rFonts w:ascii="Arial" w:hAnsi="Arial" w:cs="Arial"/>
          <w:color w:val="000000" w:themeColor="text1"/>
          <w:sz w:val="22"/>
          <w:szCs w:val="22"/>
        </w:rPr>
        <w:t>F</w:t>
      </w:r>
      <w:r w:rsidR="00B51BF9" w:rsidRPr="003E7C59">
        <w:rPr>
          <w:rFonts w:ascii="Arial" w:hAnsi="Arial" w:cs="Arial"/>
          <w:color w:val="000000" w:themeColor="text1"/>
          <w:sz w:val="22"/>
          <w:szCs w:val="22"/>
        </w:rPr>
        <w:t xml:space="preserve">lowering dogwood's resistance levels to PM </w:t>
      </w:r>
      <w:proofErr w:type="gramStart"/>
      <w:r w:rsidR="00B51BF9" w:rsidRPr="003E7C59">
        <w:rPr>
          <w:rFonts w:ascii="Arial" w:hAnsi="Arial" w:cs="Arial"/>
          <w:color w:val="000000" w:themeColor="text1"/>
          <w:sz w:val="22"/>
          <w:szCs w:val="22"/>
        </w:rPr>
        <w:t>have been mainly evaluated</w:t>
      </w:r>
      <w:proofErr w:type="gramEnd"/>
      <w:r w:rsidR="00B51BF9" w:rsidRPr="003E7C59">
        <w:rPr>
          <w:rFonts w:ascii="Arial" w:hAnsi="Arial" w:cs="Arial"/>
          <w:color w:val="000000" w:themeColor="text1"/>
          <w:sz w:val="22"/>
          <w:szCs w:val="22"/>
        </w:rPr>
        <w:t xml:space="preserve"> in nurseries or greenhouses and were depend</w:t>
      </w:r>
      <w:r w:rsidRPr="003E7C59">
        <w:rPr>
          <w:rFonts w:ascii="Arial" w:hAnsi="Arial" w:cs="Arial"/>
          <w:color w:val="000000" w:themeColor="text1"/>
          <w:sz w:val="22"/>
          <w:szCs w:val="22"/>
        </w:rPr>
        <w:t>ent</w:t>
      </w:r>
      <w:r w:rsidR="00B51BF9" w:rsidRPr="003E7C59">
        <w:rPr>
          <w:rFonts w:ascii="Arial" w:hAnsi="Arial" w:cs="Arial"/>
          <w:color w:val="000000" w:themeColor="text1"/>
          <w:sz w:val="22"/>
          <w:szCs w:val="22"/>
        </w:rPr>
        <w:t xml:space="preserve"> on the season, climate, and stage of plant development (Hagan et al., 1998; Windham and Witte, 1998; Johnson et al., 2001; Mmbaga et al., 2004; Windham et al., 2005; Li et al. 2007). Histological studies of dogwood PM resistance showed </w:t>
      </w:r>
      <w:r w:rsidR="00B51BF9" w:rsidRPr="003E7C59">
        <w:rPr>
          <w:rFonts w:ascii="Arial" w:hAnsi="Arial" w:cs="Arial"/>
          <w:color w:val="000000" w:themeColor="text1"/>
          <w:sz w:val="22"/>
          <w:szCs w:val="22"/>
        </w:rPr>
        <w:lastRenderedPageBreak/>
        <w:t xml:space="preserve">initial unsuccessful fungal penetration and haustorium formation, thus, reducing pathogen infection potential and hindering conidia asexual reproduction (Li et al., 2007). 'Appalachian Spring' is a white-bracted cultivar considered highly resistant to dogwood anthracnose. Although it was found to be susceptible to dogwood PM (Hagan et al., 2011), this cultivar did not exhibit PM symptoms in the greenhouse under strong disease pressure; thus, we considered it resistant. 'Cherokee Brave' is the red-bracted cultivar with higher resistance to PM than other </w:t>
      </w:r>
      <w:r w:rsidR="00737BE1" w:rsidRPr="003E7C59">
        <w:rPr>
          <w:rFonts w:ascii="Arial" w:hAnsi="Arial" w:cs="Arial"/>
          <w:color w:val="000000" w:themeColor="text1"/>
          <w:sz w:val="22"/>
          <w:szCs w:val="22"/>
        </w:rPr>
        <w:t>red-blooming</w:t>
      </w:r>
      <w:r w:rsidR="00B51BF9" w:rsidRPr="003E7C59">
        <w:rPr>
          <w:rFonts w:ascii="Arial" w:hAnsi="Arial" w:cs="Arial"/>
          <w:color w:val="000000" w:themeColor="text1"/>
          <w:sz w:val="22"/>
          <w:szCs w:val="22"/>
        </w:rPr>
        <w:t xml:space="preserve"> </w:t>
      </w:r>
      <w:r w:rsidR="00B51BF9" w:rsidRPr="003E7C59">
        <w:rPr>
          <w:rFonts w:ascii="Arial" w:hAnsi="Arial" w:cs="Arial"/>
          <w:i/>
          <w:iCs/>
          <w:color w:val="000000" w:themeColor="text1"/>
          <w:sz w:val="22"/>
          <w:szCs w:val="22"/>
        </w:rPr>
        <w:t>C</w:t>
      </w:r>
      <w:r w:rsidR="00B51BF9" w:rsidRPr="003E7C59">
        <w:rPr>
          <w:rFonts w:ascii="Arial" w:hAnsi="Arial" w:cs="Arial"/>
          <w:color w:val="000000" w:themeColor="text1"/>
          <w:sz w:val="22"/>
          <w:szCs w:val="22"/>
        </w:rPr>
        <w:t xml:space="preserve">. </w:t>
      </w:r>
      <w:proofErr w:type="gramStart"/>
      <w:r w:rsidR="00B51BF9" w:rsidRPr="003E7C59">
        <w:rPr>
          <w:rFonts w:ascii="Arial" w:hAnsi="Arial" w:cs="Arial"/>
          <w:i/>
          <w:iCs/>
          <w:color w:val="000000" w:themeColor="text1"/>
          <w:sz w:val="22"/>
          <w:szCs w:val="22"/>
        </w:rPr>
        <w:t>florida</w:t>
      </w:r>
      <w:proofErr w:type="gramEnd"/>
      <w:r w:rsidR="00B51BF9" w:rsidRPr="003E7C59">
        <w:rPr>
          <w:rFonts w:ascii="Arial" w:hAnsi="Arial" w:cs="Arial"/>
          <w:i/>
          <w:iCs/>
          <w:color w:val="000000" w:themeColor="text1"/>
          <w:sz w:val="22"/>
          <w:szCs w:val="22"/>
        </w:rPr>
        <w:t xml:space="preserve"> </w:t>
      </w:r>
      <w:r w:rsidR="00B51BF9" w:rsidRPr="003E7C59">
        <w:rPr>
          <w:rFonts w:ascii="Arial" w:hAnsi="Arial" w:cs="Arial"/>
          <w:color w:val="000000" w:themeColor="text1"/>
          <w:sz w:val="22"/>
          <w:szCs w:val="22"/>
        </w:rPr>
        <w:t xml:space="preserve">cultivars. However, its resistance in the field is variable and varies from year to year on single trees (Windham et al., 1997; Windham et al., 2003; Windham et al., 2005). 'Cherokee Brave' trees occasionally manifested PM symptoms in the greenhouse. 'Cherokee Chief' is one of the most popular red-bracted dogwood cultivars and is moderately susceptible to PM (Hagan et al., 1998; Mmbaga et al., 2004). </w:t>
      </w:r>
      <w:proofErr w:type="gramStart"/>
      <w:r w:rsidR="00B51BF9" w:rsidRPr="003E7C59">
        <w:rPr>
          <w:rFonts w:ascii="Arial" w:hAnsi="Arial" w:cs="Arial"/>
          <w:color w:val="000000" w:themeColor="text1"/>
          <w:sz w:val="22"/>
          <w:szCs w:val="22"/>
        </w:rPr>
        <w:t>Similarly</w:t>
      </w:r>
      <w:proofErr w:type="gramEnd"/>
      <w:r w:rsidR="00B51BF9" w:rsidRPr="003E7C59">
        <w:rPr>
          <w:rFonts w:ascii="Arial" w:hAnsi="Arial" w:cs="Arial"/>
          <w:color w:val="000000" w:themeColor="text1"/>
          <w:sz w:val="22"/>
          <w:szCs w:val="22"/>
        </w:rPr>
        <w:t xml:space="preserve"> to 'Cherokee Brave' trees, 'Cherokee Chief' trees occasionally displayed PM symptoms in the greenhouse. 'Cloud Nine,' known for its </w:t>
      </w:r>
      <w:r w:rsidRPr="003E7C59">
        <w:rPr>
          <w:rFonts w:ascii="Arial" w:hAnsi="Arial" w:cs="Arial"/>
          <w:color w:val="000000" w:themeColor="text1"/>
          <w:sz w:val="22"/>
          <w:szCs w:val="22"/>
        </w:rPr>
        <w:t xml:space="preserve">profusion of </w:t>
      </w:r>
      <w:r w:rsidR="00B51BF9" w:rsidRPr="003E7C59">
        <w:rPr>
          <w:rFonts w:ascii="Arial" w:hAnsi="Arial" w:cs="Arial"/>
          <w:color w:val="000000" w:themeColor="text1"/>
          <w:sz w:val="22"/>
          <w:szCs w:val="22"/>
        </w:rPr>
        <w:t xml:space="preserve">overlapping white bracts is highly susceptible to PM (Mmbaga et al., 2004; Windham et al., 2005), and all individual trees in the greenhouse exhibited PM symptoms.  </w:t>
      </w:r>
      <w:bookmarkStart w:id="229" w:name="_Toc117166876"/>
    </w:p>
    <w:p w14:paraId="6CD59E3D" w14:textId="77777777" w:rsidR="00B90984" w:rsidRPr="003E7C59" w:rsidRDefault="00B90984" w:rsidP="006622F2">
      <w:pPr>
        <w:pStyle w:val="Heading4"/>
        <w:rPr>
          <w:rStyle w:val="SubtleEmphasis"/>
          <w:rFonts w:ascii="Arial" w:hAnsi="Arial" w:cs="Arial"/>
          <w:i/>
          <w:iCs/>
          <w:color w:val="000000" w:themeColor="text1"/>
          <w:sz w:val="22"/>
          <w:szCs w:val="22"/>
        </w:rPr>
      </w:pPr>
    </w:p>
    <w:p w14:paraId="0B83046F" w14:textId="087DABAC" w:rsidR="00B51BF9" w:rsidRPr="003E7C59" w:rsidRDefault="00B51BF9" w:rsidP="006622F2">
      <w:pPr>
        <w:pStyle w:val="Heading4"/>
        <w:rPr>
          <w:rStyle w:val="SubtleEmphasis"/>
          <w:rFonts w:ascii="Arial" w:hAnsi="Arial" w:cs="Arial"/>
          <w:i/>
          <w:iCs/>
          <w:color w:val="000000" w:themeColor="text1"/>
          <w:sz w:val="22"/>
          <w:szCs w:val="22"/>
        </w:rPr>
      </w:pPr>
      <w:bookmarkStart w:id="230" w:name="_Toc121821962"/>
      <w:r w:rsidRPr="003E7C59">
        <w:rPr>
          <w:rStyle w:val="SubtleEmphasis"/>
          <w:rFonts w:ascii="Arial" w:hAnsi="Arial" w:cs="Arial"/>
          <w:i/>
          <w:iCs/>
          <w:color w:val="000000" w:themeColor="text1"/>
          <w:sz w:val="22"/>
          <w:szCs w:val="22"/>
        </w:rPr>
        <w:t>RNA-Seq data analysis</w:t>
      </w:r>
      <w:bookmarkEnd w:id="229"/>
      <w:bookmarkEnd w:id="230"/>
      <w:r w:rsidRPr="003E7C59">
        <w:rPr>
          <w:rStyle w:val="SubtleEmphasis"/>
          <w:rFonts w:ascii="Arial" w:hAnsi="Arial" w:cs="Arial"/>
          <w:i/>
          <w:iCs/>
          <w:color w:val="000000" w:themeColor="text1"/>
          <w:sz w:val="22"/>
          <w:szCs w:val="22"/>
        </w:rPr>
        <w:t xml:space="preserve"> </w:t>
      </w:r>
    </w:p>
    <w:p w14:paraId="3C4DD02B" w14:textId="77777777" w:rsidR="00B51BF9" w:rsidRPr="003E7C59" w:rsidRDefault="00B51BF9" w:rsidP="006622F2">
      <w:pPr>
        <w:rPr>
          <w:rFonts w:ascii="Arial" w:hAnsi="Arial" w:cs="Arial"/>
          <w:color w:val="000000" w:themeColor="text1"/>
          <w:sz w:val="22"/>
          <w:szCs w:val="22"/>
        </w:rPr>
      </w:pPr>
    </w:p>
    <w:p w14:paraId="1037E428" w14:textId="43CC8458"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The Dogwood Genome Project </w:t>
      </w:r>
      <w:proofErr w:type="gramStart"/>
      <w:r w:rsidRPr="003E7C59">
        <w:rPr>
          <w:rFonts w:ascii="Arial" w:hAnsi="Arial" w:cs="Arial"/>
          <w:color w:val="000000" w:themeColor="text1"/>
          <w:sz w:val="22"/>
          <w:szCs w:val="22"/>
        </w:rPr>
        <w:t>was initiated</w:t>
      </w:r>
      <w:proofErr w:type="gramEnd"/>
      <w:r w:rsidRPr="003E7C59">
        <w:rPr>
          <w:rFonts w:ascii="Arial" w:hAnsi="Arial" w:cs="Arial"/>
          <w:color w:val="000000" w:themeColor="text1"/>
          <w:sz w:val="22"/>
          <w:szCs w:val="22"/>
        </w:rPr>
        <w:t xml:space="preserve"> in April 2015 (Leebens-Mack, 2021). However, to date, an accurately annotated genome has not been made publicly available (Bewick et al., 2020), thus, limiting genetic and genomic resources for flowering dogwood to the transcriptome (Yan et al., 2017). </w:t>
      </w:r>
      <w:r w:rsidR="004822E9" w:rsidRPr="003E7C59">
        <w:rPr>
          <w:rFonts w:ascii="Arial" w:hAnsi="Arial" w:cs="Arial"/>
          <w:color w:val="000000" w:themeColor="text1"/>
          <w:sz w:val="22"/>
          <w:szCs w:val="22"/>
        </w:rPr>
        <w:t>RNA is the key intermediate between the genome and the proteome, and the RNA-Seq approach became an integral approach to studying the identity and abundance of RNA</w:t>
      </w:r>
      <w:r w:rsidRPr="003E7C59">
        <w:rPr>
          <w:rFonts w:ascii="Arial" w:hAnsi="Arial" w:cs="Arial"/>
          <w:color w:val="000000" w:themeColor="text1"/>
          <w:sz w:val="22"/>
          <w:szCs w:val="22"/>
        </w:rPr>
        <w:t xml:space="preserve">. RNA-Seq </w:t>
      </w:r>
      <w:proofErr w:type="gramStart"/>
      <w:r w:rsidRPr="003E7C59">
        <w:rPr>
          <w:rFonts w:ascii="Arial" w:hAnsi="Arial" w:cs="Arial"/>
          <w:color w:val="000000" w:themeColor="text1"/>
          <w:sz w:val="22"/>
          <w:szCs w:val="22"/>
        </w:rPr>
        <w:t>is positioned</w:t>
      </w:r>
      <w:proofErr w:type="gramEnd"/>
      <w:r w:rsidRPr="003E7C59">
        <w:rPr>
          <w:rFonts w:ascii="Arial" w:hAnsi="Arial" w:cs="Arial"/>
          <w:color w:val="000000" w:themeColor="text1"/>
          <w:sz w:val="22"/>
          <w:szCs w:val="22"/>
        </w:rPr>
        <w:t xml:space="preserve"> as a widely used detection technique mainly for transcript quantification, although other uses emerged over time, such as targeted sequencing, single-cell analysis, and detection of isoforms and gene fusion (Hrdlickova et al., 2017; Srivastava et al., 2020). Simultaneously, accurate transcript quantification depends on a few computational aspects</w:t>
      </w:r>
      <w:r w:rsidR="00E041AF" w:rsidRPr="003E7C59">
        <w:rPr>
          <w:rFonts w:ascii="Arial" w:hAnsi="Arial" w:cs="Arial"/>
          <w:color w:val="000000" w:themeColor="text1"/>
          <w:sz w:val="22"/>
          <w:szCs w:val="22"/>
        </w:rPr>
        <w:t xml:space="preserve"> including </w:t>
      </w:r>
      <w:r w:rsidRPr="003E7C59">
        <w:rPr>
          <w:rFonts w:ascii="Arial" w:hAnsi="Arial" w:cs="Arial"/>
          <w:color w:val="000000" w:themeColor="text1"/>
          <w:sz w:val="22"/>
          <w:szCs w:val="22"/>
        </w:rPr>
        <w:t xml:space="preserve">the choice of alignment against transcriptome or genome and mapping methods. Reference genome availability sometimes significantly </w:t>
      </w:r>
      <w:proofErr w:type="gramStart"/>
      <w:r w:rsidRPr="003E7C59">
        <w:rPr>
          <w:rFonts w:ascii="Arial" w:hAnsi="Arial" w:cs="Arial"/>
          <w:color w:val="000000" w:themeColor="text1"/>
          <w:sz w:val="22"/>
          <w:szCs w:val="22"/>
        </w:rPr>
        <w:t>impacts</w:t>
      </w:r>
      <w:proofErr w:type="gramEnd"/>
      <w:r w:rsidRPr="003E7C59">
        <w:rPr>
          <w:rFonts w:ascii="Arial" w:hAnsi="Arial" w:cs="Arial"/>
          <w:color w:val="000000" w:themeColor="text1"/>
          <w:sz w:val="22"/>
          <w:szCs w:val="22"/>
        </w:rPr>
        <w:t xml:space="preserve"> results compared to read alignment to the transcriptome and allows for discovering new, unannotated transcripts. Recently, Srivastava et al. (2020) studied the accuracy of transcript quantification and the impact of mapping and found that performing spliced alignment to the genome and subsequently to the transcriptome produces divergent results than direct alignment against the transcriptome. </w:t>
      </w:r>
    </w:p>
    <w:p w14:paraId="4B388089" w14:textId="77777777" w:rsidR="00B51BF9" w:rsidRPr="003E7C59" w:rsidRDefault="00B51BF9" w:rsidP="006622F2">
      <w:pPr>
        <w:spacing w:line="360" w:lineRule="auto"/>
        <w:ind w:firstLine="720"/>
        <w:rPr>
          <w:rFonts w:ascii="Arial" w:hAnsi="Arial" w:cs="Arial"/>
          <w:color w:val="000000" w:themeColor="text1"/>
          <w:sz w:val="22"/>
          <w:szCs w:val="22"/>
        </w:rPr>
      </w:pPr>
    </w:p>
    <w:p w14:paraId="51A7F5D7" w14:textId="672DBCF6" w:rsidR="00B51BF9" w:rsidRPr="003E7C59" w:rsidRDefault="00E041AF" w:rsidP="006622F2">
      <w:pPr>
        <w:spacing w:line="360" w:lineRule="auto"/>
        <w:ind w:firstLine="720"/>
        <w:rPr>
          <w:rFonts w:ascii="Arial" w:hAnsi="Arial" w:cs="Arial"/>
          <w:color w:val="000000" w:themeColor="text1"/>
          <w:sz w:val="22"/>
          <w:szCs w:val="22"/>
        </w:rPr>
      </w:pPr>
      <w:r w:rsidRPr="003E7C59">
        <w:rPr>
          <w:rFonts w:ascii="Arial" w:hAnsi="Arial" w:cs="Arial"/>
          <w:bCs/>
          <w:color w:val="000000" w:themeColor="text1"/>
          <w:sz w:val="22"/>
          <w:szCs w:val="22"/>
        </w:rPr>
        <w:lastRenderedPageBreak/>
        <w:t xml:space="preserve">Additional </w:t>
      </w:r>
      <w:r w:rsidR="00B51BF9" w:rsidRPr="003E7C59">
        <w:rPr>
          <w:rFonts w:ascii="Arial" w:hAnsi="Arial" w:cs="Arial"/>
          <w:bCs/>
          <w:color w:val="000000" w:themeColor="text1"/>
          <w:sz w:val="22"/>
          <w:szCs w:val="22"/>
        </w:rPr>
        <w:t xml:space="preserve">downstream analysis for the RNA-Seq experiment for this study </w:t>
      </w:r>
      <w:proofErr w:type="gramStart"/>
      <w:r w:rsidR="00B51BF9" w:rsidRPr="003E7C59">
        <w:rPr>
          <w:rFonts w:ascii="Arial" w:hAnsi="Arial" w:cs="Arial"/>
          <w:bCs/>
          <w:color w:val="000000" w:themeColor="text1"/>
          <w:sz w:val="22"/>
          <w:szCs w:val="22"/>
        </w:rPr>
        <w:t>was impeded</w:t>
      </w:r>
      <w:proofErr w:type="gramEnd"/>
      <w:r w:rsidR="00B51BF9" w:rsidRPr="003E7C59">
        <w:rPr>
          <w:rFonts w:ascii="Arial" w:hAnsi="Arial" w:cs="Arial"/>
          <w:bCs/>
          <w:color w:val="000000" w:themeColor="text1"/>
          <w:sz w:val="22"/>
          <w:szCs w:val="22"/>
        </w:rPr>
        <w:t xml:space="preserve"> due to erroneous protein annotation containing stop codon sequences in the middle of protein sequences (</w:t>
      </w:r>
      <w:r w:rsidR="00B51BF9" w:rsidRPr="003E7C59">
        <w:rPr>
          <w:rFonts w:ascii="Arial" w:hAnsi="Arial" w:cs="Arial"/>
          <w:color w:val="000000" w:themeColor="text1"/>
          <w:sz w:val="22"/>
          <w:szCs w:val="22"/>
        </w:rPr>
        <w:t>Bewick et al., 2020</w:t>
      </w:r>
      <w:r w:rsidR="00B51BF9" w:rsidRPr="003E7C59">
        <w:rPr>
          <w:rFonts w:ascii="Arial" w:hAnsi="Arial" w:cs="Arial"/>
          <w:bCs/>
          <w:color w:val="000000" w:themeColor="text1"/>
          <w:sz w:val="22"/>
          <w:szCs w:val="22"/>
        </w:rPr>
        <w:t xml:space="preserve">). Therefore, a research group from the University of Tennessee Knoxville initiated a new </w:t>
      </w:r>
      <w:proofErr w:type="gramStart"/>
      <w:r w:rsidR="00B51BF9" w:rsidRPr="003E7C59">
        <w:rPr>
          <w:rFonts w:ascii="Arial" w:hAnsi="Arial" w:cs="Arial"/>
          <w:bCs/>
          <w:color w:val="000000" w:themeColor="text1"/>
          <w:sz w:val="22"/>
          <w:szCs w:val="22"/>
        </w:rPr>
        <w:t>dogwood sequencing</w:t>
      </w:r>
      <w:proofErr w:type="gramEnd"/>
      <w:r w:rsidR="00B51BF9" w:rsidRPr="003E7C59">
        <w:rPr>
          <w:rFonts w:ascii="Arial" w:hAnsi="Arial" w:cs="Arial"/>
          <w:bCs/>
          <w:color w:val="000000" w:themeColor="text1"/>
          <w:sz w:val="22"/>
          <w:szCs w:val="22"/>
        </w:rPr>
        <w:t xml:space="preserve"> project, encompassing the sequencing of two flowering dogwood cultivars</w:t>
      </w:r>
      <w:r w:rsidR="00B51BF9" w:rsidRPr="003E7C59">
        <w:rPr>
          <w:rFonts w:ascii="Arial" w:hAnsi="Arial" w:cs="Arial"/>
          <w:color w:val="000000" w:themeColor="text1"/>
          <w:sz w:val="22"/>
          <w:szCs w:val="22"/>
        </w:rPr>
        <w:t xml:space="preserve">, 'Appalachian Spring' and 'Cherokee Brave,' respectively, using PacBio long-read sequencing technology. Hence, the following analysis segments </w:t>
      </w:r>
      <w:proofErr w:type="gramStart"/>
      <w:r w:rsidR="00B51BF9" w:rsidRPr="003E7C59">
        <w:rPr>
          <w:rFonts w:ascii="Arial" w:hAnsi="Arial" w:cs="Arial"/>
          <w:color w:val="000000" w:themeColor="text1"/>
          <w:sz w:val="22"/>
          <w:szCs w:val="22"/>
        </w:rPr>
        <w:t>will be repeated</w:t>
      </w:r>
      <w:proofErr w:type="gramEnd"/>
      <w:r w:rsidR="00B51BF9" w:rsidRPr="003E7C59">
        <w:rPr>
          <w:rFonts w:ascii="Arial" w:hAnsi="Arial" w:cs="Arial"/>
          <w:color w:val="000000" w:themeColor="text1"/>
          <w:sz w:val="22"/>
          <w:szCs w:val="22"/>
        </w:rPr>
        <w:t xml:space="preserve">: read alignment and gene quantification, differential expression analysis, and functional enrichment once the genome annotation becomes available. </w:t>
      </w:r>
      <w:proofErr w:type="gramStart"/>
      <w:r w:rsidR="00B51BF9" w:rsidRPr="003E7C59">
        <w:rPr>
          <w:rFonts w:ascii="Arial" w:hAnsi="Arial" w:cs="Arial"/>
          <w:color w:val="000000" w:themeColor="text1"/>
          <w:sz w:val="22"/>
          <w:szCs w:val="22"/>
        </w:rPr>
        <w:t>The RNA-Seq pipeline will include bioinformatic tools, such as STAR, for accurate alignment of high-throughput RNA-seq to the genome (</w:t>
      </w:r>
      <w:r w:rsidR="00B51BF9" w:rsidRPr="003E7C59">
        <w:rPr>
          <w:rFonts w:ascii="Arial" w:hAnsi="Arial" w:cs="Arial"/>
          <w:iCs/>
          <w:color w:val="000000" w:themeColor="text1"/>
          <w:sz w:val="22"/>
          <w:szCs w:val="22"/>
        </w:rPr>
        <w:t>Dobin et al., 2013)</w:t>
      </w:r>
      <w:r w:rsidR="00B51BF9" w:rsidRPr="003E7C59">
        <w:rPr>
          <w:rFonts w:ascii="Arial" w:hAnsi="Arial" w:cs="Arial"/>
          <w:color w:val="000000" w:themeColor="text1"/>
          <w:sz w:val="22"/>
          <w:szCs w:val="22"/>
        </w:rPr>
        <w:t>, HTSeq (Anders et al., 2015) to generate a gene-specific count matrix across samples using a standalone script provided, counting reads only mapped to the exons, and DESeq2 for normalization, visualization, and differential analysis of count data (Love et al., 2014), Gene Ontology enrichment analysis to identify the functions and biological pathways involved in the DEGs, Weighted Gene Correlation Network Analysis (WGCNA) used to identify modules of highly correlated genes based on the DESeq2 normalized gene expression (Zhang and Horvath, 2005; Langfelder and Horvath, 2008).</w:t>
      </w:r>
      <w:proofErr w:type="gramEnd"/>
      <w:r w:rsidR="00B51BF9" w:rsidRPr="003E7C59">
        <w:rPr>
          <w:rFonts w:ascii="Arial" w:hAnsi="Arial" w:cs="Arial"/>
          <w:color w:val="000000" w:themeColor="text1"/>
          <w:sz w:val="22"/>
          <w:szCs w:val="22"/>
        </w:rPr>
        <w:t xml:space="preserve"> </w:t>
      </w:r>
    </w:p>
    <w:p w14:paraId="338F0C6D" w14:textId="77777777" w:rsidR="00B51BF9" w:rsidRPr="003E7C59" w:rsidRDefault="00B51BF9" w:rsidP="006622F2">
      <w:pPr>
        <w:spacing w:line="360" w:lineRule="auto"/>
        <w:ind w:firstLine="720"/>
        <w:rPr>
          <w:rFonts w:ascii="Arial" w:hAnsi="Arial" w:cs="Arial"/>
          <w:color w:val="000000" w:themeColor="text1"/>
          <w:sz w:val="22"/>
          <w:szCs w:val="22"/>
        </w:rPr>
      </w:pPr>
    </w:p>
    <w:p w14:paraId="11DC8AD7" w14:textId="002D41CD" w:rsidR="00B51BF9" w:rsidRPr="003E7C59" w:rsidRDefault="00B51BF9" w:rsidP="006622F2">
      <w:pPr>
        <w:pStyle w:val="Heading4"/>
        <w:rPr>
          <w:rStyle w:val="SubtleEmphasis"/>
          <w:rFonts w:ascii="Arial" w:hAnsi="Arial" w:cs="Arial"/>
          <w:i/>
          <w:iCs/>
          <w:color w:val="000000" w:themeColor="text1"/>
          <w:sz w:val="22"/>
          <w:szCs w:val="22"/>
        </w:rPr>
      </w:pPr>
      <w:bookmarkStart w:id="231" w:name="_Toc121821963"/>
      <w:r w:rsidRPr="003E7C59">
        <w:rPr>
          <w:rStyle w:val="SubtleEmphasis"/>
          <w:rFonts w:ascii="Arial" w:hAnsi="Arial" w:cs="Arial"/>
          <w:i/>
          <w:iCs/>
          <w:color w:val="000000" w:themeColor="text1"/>
          <w:sz w:val="22"/>
          <w:szCs w:val="22"/>
        </w:rPr>
        <w:t>Validation of RNAseq by RT-qPCR</w:t>
      </w:r>
      <w:bookmarkStart w:id="232" w:name="_Toc117166877"/>
      <w:bookmarkEnd w:id="231"/>
      <w:r w:rsidRPr="003E7C59">
        <w:rPr>
          <w:rStyle w:val="SubtleEmphasis"/>
          <w:rFonts w:ascii="Arial" w:hAnsi="Arial" w:cs="Arial"/>
          <w:i/>
          <w:iCs/>
          <w:color w:val="000000" w:themeColor="text1"/>
          <w:sz w:val="22"/>
          <w:szCs w:val="22"/>
        </w:rPr>
        <w:t xml:space="preserve"> </w:t>
      </w:r>
      <w:bookmarkEnd w:id="232"/>
    </w:p>
    <w:p w14:paraId="54C71A65" w14:textId="77777777" w:rsidR="00B51BF9" w:rsidRPr="003E7C59" w:rsidRDefault="00B51BF9" w:rsidP="006622F2">
      <w:pPr>
        <w:rPr>
          <w:rFonts w:ascii="Arial" w:hAnsi="Arial" w:cs="Arial"/>
          <w:color w:val="000000" w:themeColor="text1"/>
          <w:sz w:val="22"/>
          <w:szCs w:val="22"/>
        </w:rPr>
      </w:pPr>
    </w:p>
    <w:p w14:paraId="754C68AF" w14:textId="12268D31" w:rsidR="00B51BF9" w:rsidRPr="003E7C59" w:rsidRDefault="00B51BF9" w:rsidP="006622F2">
      <w:pPr>
        <w:spacing w:line="360" w:lineRule="auto"/>
        <w:ind w:firstLine="720"/>
        <w:rPr>
          <w:rFonts w:ascii="Arial" w:hAnsi="Arial" w:cs="Arial"/>
          <w:i/>
          <w:iCs/>
          <w:color w:val="000000" w:themeColor="text1"/>
          <w:sz w:val="22"/>
          <w:szCs w:val="22"/>
        </w:rPr>
      </w:pPr>
      <w:r w:rsidRPr="003E7C59">
        <w:rPr>
          <w:rFonts w:ascii="Arial" w:hAnsi="Arial" w:cs="Arial"/>
          <w:color w:val="000000" w:themeColor="text1"/>
          <w:sz w:val="22"/>
          <w:szCs w:val="22"/>
        </w:rPr>
        <w:t xml:space="preserve">To validate the expression of </w:t>
      </w:r>
      <w:r w:rsidRPr="003E7C59">
        <w:rPr>
          <w:rFonts w:ascii="Arial" w:hAnsi="Arial" w:cs="Arial"/>
          <w:i/>
          <w:iCs/>
          <w:color w:val="000000" w:themeColor="text1"/>
          <w:sz w:val="22"/>
          <w:szCs w:val="22"/>
        </w:rPr>
        <w:t xml:space="preserve">Mlos </w:t>
      </w:r>
      <w:r w:rsidRPr="003E7C59">
        <w:rPr>
          <w:rFonts w:ascii="Arial" w:hAnsi="Arial" w:cs="Arial"/>
          <w:color w:val="000000" w:themeColor="text1"/>
          <w:sz w:val="22"/>
          <w:szCs w:val="22"/>
        </w:rPr>
        <w:t>and</w:t>
      </w:r>
      <w:r w:rsidRPr="003E7C59">
        <w:rPr>
          <w:rFonts w:ascii="Arial" w:hAnsi="Arial" w:cs="Arial"/>
          <w:i/>
          <w:iCs/>
          <w:color w:val="000000" w:themeColor="text1"/>
          <w:sz w:val="22"/>
          <w:szCs w:val="22"/>
        </w:rPr>
        <w:t xml:space="preserve"> R</w:t>
      </w:r>
      <w:r w:rsidRPr="003E7C59">
        <w:rPr>
          <w:rFonts w:ascii="Arial" w:hAnsi="Arial" w:cs="Arial"/>
          <w:color w:val="000000" w:themeColor="text1"/>
          <w:sz w:val="22"/>
          <w:szCs w:val="22"/>
        </w:rPr>
        <w:t xml:space="preserve"> genes, candidate DEGs </w:t>
      </w:r>
      <w:proofErr w:type="gramStart"/>
      <w:r w:rsidRPr="003E7C59">
        <w:rPr>
          <w:rFonts w:ascii="Arial" w:hAnsi="Arial" w:cs="Arial"/>
          <w:color w:val="000000" w:themeColor="text1"/>
          <w:sz w:val="22"/>
          <w:szCs w:val="22"/>
        </w:rPr>
        <w:t>will be selected</w:t>
      </w:r>
      <w:proofErr w:type="gramEnd"/>
      <w:r w:rsidRPr="003E7C59">
        <w:rPr>
          <w:rFonts w:ascii="Arial" w:hAnsi="Arial" w:cs="Arial"/>
          <w:color w:val="000000" w:themeColor="text1"/>
          <w:sz w:val="22"/>
          <w:szCs w:val="22"/>
        </w:rPr>
        <w:t xml:space="preserve"> for RT-qPCR. </w:t>
      </w:r>
      <w:r w:rsidRPr="003E7C59">
        <w:rPr>
          <w:rFonts w:ascii="Arial" w:hAnsi="Arial" w:cs="Arial"/>
          <w:i/>
          <w:iCs/>
          <w:color w:val="000000" w:themeColor="text1"/>
          <w:sz w:val="22"/>
          <w:szCs w:val="22"/>
        </w:rPr>
        <w:t>R</w:t>
      </w:r>
      <w:r w:rsidRPr="003E7C59">
        <w:rPr>
          <w:rFonts w:ascii="Arial" w:hAnsi="Arial" w:cs="Arial"/>
          <w:color w:val="000000" w:themeColor="text1"/>
          <w:sz w:val="22"/>
          <w:szCs w:val="22"/>
        </w:rPr>
        <w:t xml:space="preserve"> genes confer resistance to bacterial, fungal, and viral plant pathogens, nematodes, and aphids (Meyers et al., 1999; Ellis et al., 2000). They </w:t>
      </w:r>
      <w:proofErr w:type="gramStart"/>
      <w:r w:rsidRPr="003E7C59">
        <w:rPr>
          <w:rFonts w:ascii="Arial" w:hAnsi="Arial" w:cs="Arial"/>
          <w:color w:val="000000" w:themeColor="text1"/>
          <w:sz w:val="22"/>
          <w:szCs w:val="22"/>
        </w:rPr>
        <w:t>are characterized</w:t>
      </w:r>
      <w:proofErr w:type="gramEnd"/>
      <w:r w:rsidRPr="003E7C59">
        <w:rPr>
          <w:rFonts w:ascii="Arial" w:hAnsi="Arial" w:cs="Arial"/>
          <w:color w:val="000000" w:themeColor="text1"/>
          <w:sz w:val="22"/>
          <w:szCs w:val="22"/>
        </w:rPr>
        <w:t xml:space="preserve"> by the </w:t>
      </w:r>
      <w:r w:rsidRPr="003E7C59">
        <w:rPr>
          <w:rStyle w:val="normaltextrun"/>
          <w:rFonts w:ascii="Arial" w:hAnsi="Arial" w:cs="Arial"/>
          <w:color w:val="000000" w:themeColor="text1"/>
          <w:sz w:val="22"/>
          <w:szCs w:val="22"/>
          <w:shd w:val="clear" w:color="auto" w:fill="FFFFFF"/>
        </w:rPr>
        <w:t xml:space="preserve">nucleotide-binding site (NBS) and leucine-rich repeat (LRR) (NBS-LRR) </w:t>
      </w:r>
      <w:r w:rsidRPr="003E7C59">
        <w:rPr>
          <w:rFonts w:ascii="Arial" w:hAnsi="Arial" w:cs="Arial"/>
          <w:color w:val="000000" w:themeColor="text1"/>
          <w:sz w:val="22"/>
          <w:szCs w:val="22"/>
        </w:rPr>
        <w:t xml:space="preserve">domains. For instance, </w:t>
      </w:r>
      <w:r w:rsidRPr="003E7C59">
        <w:rPr>
          <w:rFonts w:ascii="Arial" w:hAnsi="Arial" w:cs="Arial"/>
          <w:i/>
          <w:iCs/>
          <w:color w:val="000000" w:themeColor="text1"/>
          <w:sz w:val="22"/>
          <w:szCs w:val="22"/>
        </w:rPr>
        <w:t>Pm</w:t>
      </w:r>
      <w:r w:rsidRPr="003E7C59">
        <w:rPr>
          <w:rFonts w:ascii="Arial" w:hAnsi="Arial" w:cs="Arial"/>
          <w:color w:val="000000" w:themeColor="text1"/>
          <w:sz w:val="22"/>
          <w:szCs w:val="22"/>
        </w:rPr>
        <w:t xml:space="preserve"> and </w:t>
      </w:r>
      <w:proofErr w:type="gramStart"/>
      <w:r w:rsidRPr="003E7C59">
        <w:rPr>
          <w:rFonts w:ascii="Arial" w:hAnsi="Arial" w:cs="Arial"/>
          <w:i/>
          <w:iCs/>
          <w:color w:val="000000" w:themeColor="text1"/>
          <w:sz w:val="22"/>
          <w:szCs w:val="22"/>
        </w:rPr>
        <w:t>Mla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NBS-LRR encoding genes conferring resistance to PM were identified in barley (Halterman et al., 2001) and</w:t>
      </w:r>
      <w:r w:rsidRPr="003E7C59">
        <w:rPr>
          <w:rFonts w:ascii="Arial" w:hAnsi="Arial" w:cs="Arial"/>
          <w:i/>
          <w:iCs/>
          <w:color w:val="000000" w:themeColor="text1"/>
          <w:sz w:val="22"/>
          <w:szCs w:val="22"/>
        </w:rPr>
        <w:t xml:space="preserve"> Run</w:t>
      </w:r>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 xml:space="preserve">Ren </w:t>
      </w:r>
      <w:r w:rsidRPr="003E7C59">
        <w:rPr>
          <w:rFonts w:ascii="Arial" w:hAnsi="Arial" w:cs="Arial"/>
          <w:color w:val="000000" w:themeColor="text1"/>
          <w:sz w:val="22"/>
          <w:szCs w:val="22"/>
        </w:rPr>
        <w:t xml:space="preserve">in grapevine (Goyal et al., 2020). Similarly, </w:t>
      </w:r>
      <w:r w:rsidRPr="003E7C59">
        <w:rPr>
          <w:rFonts w:ascii="Arial" w:hAnsi="Arial" w:cs="Arial"/>
          <w:i/>
          <w:iCs/>
          <w:color w:val="000000" w:themeColor="text1"/>
          <w:sz w:val="22"/>
          <w:szCs w:val="22"/>
        </w:rPr>
        <w:t>NBS-LRR</w:t>
      </w:r>
      <w:r w:rsidRPr="003E7C59">
        <w:rPr>
          <w:rFonts w:ascii="Arial" w:hAnsi="Arial" w:cs="Arial"/>
          <w:color w:val="000000" w:themeColor="text1"/>
          <w:sz w:val="22"/>
          <w:szCs w:val="22"/>
        </w:rPr>
        <w:t xml:space="preserve"> genes are functionally involved in the defense response to fungi binding ADP, ATP, and adenylate cyclase activity (Marone et al., 2013). </w:t>
      </w:r>
      <w:r w:rsidRPr="003E7C59">
        <w:rPr>
          <w:rFonts w:ascii="Arial" w:hAnsi="Arial" w:cs="Arial"/>
          <w:i/>
          <w:iCs/>
          <w:color w:val="000000" w:themeColor="text1"/>
          <w:sz w:val="22"/>
          <w:szCs w:val="22"/>
        </w:rPr>
        <w:t>Solanum bulbocastanum</w:t>
      </w:r>
      <w:r w:rsidR="000B7D95" w:rsidRPr="003E7C59">
        <w:rPr>
          <w:rFonts w:ascii="Arial" w:hAnsi="Arial" w:cs="Arial"/>
          <w:i/>
          <w:iCs/>
          <w:color w:val="000000" w:themeColor="text1"/>
          <w:sz w:val="22"/>
          <w:szCs w:val="22"/>
        </w:rPr>
        <w:t xml:space="preserve"> </w:t>
      </w:r>
      <w:r w:rsidR="000B7D95" w:rsidRPr="003E7C59">
        <w:rPr>
          <w:rFonts w:ascii="Arial" w:hAnsi="Arial" w:cs="Arial"/>
          <w:color w:val="000000" w:themeColor="text1"/>
          <w:sz w:val="22"/>
          <w:szCs w:val="22"/>
        </w:rPr>
        <w:t>Dunal</w:t>
      </w:r>
      <w:r w:rsidRPr="003E7C59">
        <w:rPr>
          <w:rFonts w:ascii="Arial" w:hAnsi="Arial" w:cs="Arial"/>
          <w:color w:val="000000" w:themeColor="text1"/>
          <w:sz w:val="22"/>
          <w:szCs w:val="22"/>
        </w:rPr>
        <w:t xml:space="preserve">, NBS-LRR </w:t>
      </w:r>
      <w:r w:rsidRPr="003E7C59">
        <w:rPr>
          <w:rFonts w:ascii="Arial" w:hAnsi="Arial" w:cs="Arial"/>
          <w:i/>
          <w:iCs/>
          <w:color w:val="000000" w:themeColor="text1"/>
          <w:sz w:val="22"/>
          <w:szCs w:val="22"/>
        </w:rPr>
        <w:t xml:space="preserve">RGA2, </w:t>
      </w:r>
      <w:r w:rsidRPr="003E7C59">
        <w:rPr>
          <w:rFonts w:ascii="Arial" w:hAnsi="Arial" w:cs="Arial"/>
          <w:color w:val="000000" w:themeColor="text1"/>
          <w:sz w:val="22"/>
          <w:szCs w:val="22"/>
        </w:rPr>
        <w:t xml:space="preserve">confers broad resistance to blight caused by </w:t>
      </w:r>
      <w:r w:rsidRPr="003E7C59">
        <w:rPr>
          <w:rFonts w:ascii="Arial" w:hAnsi="Arial" w:cs="Arial"/>
          <w:i/>
          <w:iCs/>
          <w:color w:val="000000" w:themeColor="text1"/>
          <w:sz w:val="22"/>
          <w:szCs w:val="22"/>
        </w:rPr>
        <w:t>Phytophthora infestans</w:t>
      </w:r>
      <w:r w:rsidR="000B7D95" w:rsidRPr="003E7C59">
        <w:rPr>
          <w:rFonts w:ascii="Arial" w:hAnsi="Arial" w:cs="Arial"/>
          <w:i/>
          <w:iCs/>
          <w:color w:val="000000" w:themeColor="text1"/>
          <w:sz w:val="22"/>
          <w:szCs w:val="22"/>
        </w:rPr>
        <w:t xml:space="preserve"> </w:t>
      </w:r>
      <w:r w:rsidR="000B7D95" w:rsidRPr="003E7C59">
        <w:rPr>
          <w:rFonts w:ascii="Arial" w:hAnsi="Arial" w:cs="Arial"/>
          <w:color w:val="000000" w:themeColor="text1"/>
          <w:sz w:val="22"/>
          <w:szCs w:val="22"/>
        </w:rPr>
        <w:t>(Mont.) de Bary</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(Song et al., 2003), while </w:t>
      </w:r>
      <w:r w:rsidRPr="003E7C59">
        <w:rPr>
          <w:rFonts w:ascii="Arial" w:hAnsi="Arial" w:cs="Arial"/>
          <w:i/>
          <w:iCs/>
          <w:color w:val="000000" w:themeColor="text1"/>
          <w:sz w:val="22"/>
          <w:szCs w:val="22"/>
        </w:rPr>
        <w:t xml:space="preserve">RLM1A </w:t>
      </w:r>
      <w:r w:rsidRPr="003E7C59">
        <w:rPr>
          <w:rFonts w:ascii="Arial" w:hAnsi="Arial" w:cs="Arial"/>
          <w:color w:val="000000" w:themeColor="text1"/>
          <w:sz w:val="22"/>
          <w:szCs w:val="22"/>
        </w:rPr>
        <w:t xml:space="preserve">confers resistance to </w:t>
      </w:r>
      <w:r w:rsidRPr="003E7C59">
        <w:rPr>
          <w:rFonts w:ascii="Arial" w:hAnsi="Arial" w:cs="Arial"/>
          <w:i/>
          <w:iCs/>
          <w:sz w:val="22"/>
          <w:szCs w:val="22"/>
        </w:rPr>
        <w:t>Leptosphaeria maculans</w:t>
      </w:r>
      <w:r w:rsidR="000B7D95" w:rsidRPr="003E7C59">
        <w:rPr>
          <w:rFonts w:ascii="Arial" w:hAnsi="Arial" w:cs="Arial"/>
          <w:sz w:val="22"/>
          <w:szCs w:val="22"/>
        </w:rPr>
        <w:t xml:space="preserve"> </w:t>
      </w:r>
      <w:r w:rsidR="000B7D95" w:rsidRPr="003E7C59">
        <w:rPr>
          <w:rFonts w:ascii="Arial" w:hAnsi="Arial" w:cs="Arial"/>
          <w:color w:val="000000" w:themeColor="text1"/>
          <w:sz w:val="22"/>
          <w:szCs w:val="22"/>
        </w:rPr>
        <w:t>(Sowerby) P. Karst</w:t>
      </w:r>
      <w:r w:rsidRPr="003E7C59">
        <w:rPr>
          <w:rFonts w:ascii="Arial" w:hAnsi="Arial" w:cs="Arial"/>
          <w:i/>
          <w:iCs/>
          <w:color w:val="000000" w:themeColor="text1"/>
          <w:sz w:val="22"/>
          <w:szCs w:val="22"/>
        </w:rPr>
        <w:t xml:space="preserve"> ca</w:t>
      </w:r>
      <w:r w:rsidRPr="003E7C59">
        <w:rPr>
          <w:rFonts w:ascii="Arial" w:hAnsi="Arial" w:cs="Arial"/>
          <w:color w:val="000000" w:themeColor="text1"/>
          <w:sz w:val="22"/>
          <w:szCs w:val="22"/>
        </w:rPr>
        <w:t xml:space="preserve">using black leg in rapeseed (Persson et al., 2009). Finally, further analysis will depend on DEGs obtained by this study. </w:t>
      </w:r>
    </w:p>
    <w:p w14:paraId="2DADC826" w14:textId="7EE424CE" w:rsidR="00930455" w:rsidRPr="003E7C59" w:rsidRDefault="00930455" w:rsidP="006622F2">
      <w:pPr>
        <w:pStyle w:val="Heading1"/>
        <w:spacing w:before="0" w:after="0"/>
        <w:jc w:val="center"/>
        <w:rPr>
          <w:rFonts w:ascii="Arial" w:hAnsi="Arial" w:cs="Arial"/>
          <w:color w:val="000000" w:themeColor="text1"/>
          <w:sz w:val="22"/>
          <w:szCs w:val="22"/>
        </w:rPr>
      </w:pPr>
    </w:p>
    <w:p w14:paraId="337D681B" w14:textId="2242EA2C" w:rsidR="00794BA6" w:rsidRPr="003E7C59" w:rsidRDefault="00794BA6" w:rsidP="006622F2">
      <w:pPr>
        <w:pStyle w:val="Heading1"/>
        <w:spacing w:before="0" w:after="0"/>
        <w:jc w:val="center"/>
        <w:rPr>
          <w:rFonts w:ascii="Arial" w:hAnsi="Arial" w:cs="Arial"/>
          <w:color w:val="000000" w:themeColor="text1"/>
          <w:sz w:val="22"/>
          <w:szCs w:val="22"/>
        </w:rPr>
      </w:pPr>
    </w:p>
    <w:p w14:paraId="0C187B68" w14:textId="353A6F40" w:rsidR="00794BA6" w:rsidRPr="003E7C59" w:rsidRDefault="00794BA6" w:rsidP="006622F2">
      <w:pPr>
        <w:pStyle w:val="Heading1"/>
        <w:spacing w:before="0" w:after="0"/>
        <w:jc w:val="center"/>
        <w:rPr>
          <w:rFonts w:ascii="Arial" w:hAnsi="Arial" w:cs="Arial"/>
          <w:color w:val="000000" w:themeColor="text1"/>
          <w:sz w:val="22"/>
          <w:szCs w:val="22"/>
        </w:rPr>
      </w:pPr>
    </w:p>
    <w:p w14:paraId="1DCABED9" w14:textId="77777777" w:rsidR="00794BA6" w:rsidRPr="003E7C59" w:rsidRDefault="00794BA6" w:rsidP="006622F2">
      <w:pPr>
        <w:rPr>
          <w:rFonts w:ascii="Arial" w:hAnsi="Arial" w:cs="Arial"/>
        </w:rPr>
      </w:pPr>
    </w:p>
    <w:p w14:paraId="14672C1D" w14:textId="7A8A7500" w:rsidR="009449D3" w:rsidRPr="003E7C59" w:rsidRDefault="009449D3" w:rsidP="006622F2">
      <w:pPr>
        <w:pStyle w:val="Heading1"/>
        <w:spacing w:before="0" w:after="0"/>
        <w:jc w:val="center"/>
        <w:rPr>
          <w:rFonts w:ascii="Arial" w:hAnsi="Arial" w:cs="Arial"/>
          <w:color w:val="000000" w:themeColor="text1"/>
          <w:sz w:val="22"/>
          <w:szCs w:val="22"/>
        </w:rPr>
      </w:pPr>
      <w:bookmarkStart w:id="233" w:name="_Toc121821964"/>
      <w:r w:rsidRPr="003E7C59">
        <w:rPr>
          <w:rFonts w:ascii="Arial" w:hAnsi="Arial" w:cs="Arial"/>
          <w:color w:val="000000" w:themeColor="text1"/>
          <w:sz w:val="22"/>
          <w:szCs w:val="22"/>
        </w:rPr>
        <w:lastRenderedPageBreak/>
        <w:t>Conclusion</w:t>
      </w:r>
      <w:bookmarkEnd w:id="233"/>
    </w:p>
    <w:p w14:paraId="47AFB68A" w14:textId="77777777" w:rsidR="009449D3" w:rsidRPr="003E7C59" w:rsidRDefault="009449D3" w:rsidP="006622F2">
      <w:pPr>
        <w:spacing w:line="360" w:lineRule="auto"/>
        <w:rPr>
          <w:rFonts w:ascii="Arial" w:hAnsi="Arial" w:cs="Arial"/>
          <w:color w:val="000000" w:themeColor="text1"/>
          <w:sz w:val="22"/>
          <w:szCs w:val="22"/>
        </w:rPr>
      </w:pPr>
    </w:p>
    <w:p w14:paraId="2F91C636" w14:textId="78EE1865" w:rsidR="00B51BF9" w:rsidRPr="003E7C59" w:rsidRDefault="0071689A" w:rsidP="006622F2">
      <w:pPr>
        <w:spacing w:line="360" w:lineRule="auto"/>
        <w:rPr>
          <w:rFonts w:ascii="Arial" w:hAnsi="Arial" w:cs="Arial"/>
          <w:color w:val="000000" w:themeColor="text1"/>
          <w:sz w:val="2"/>
          <w:szCs w:val="2"/>
        </w:rPr>
      </w:pPr>
      <w:proofErr w:type="gramStart"/>
      <w:r w:rsidRPr="003E7C59">
        <w:rPr>
          <w:rFonts w:ascii="Arial" w:hAnsi="Arial" w:cs="Arial"/>
          <w:color w:val="000000" w:themeColor="text1"/>
          <w:sz w:val="2"/>
          <w:szCs w:val="2"/>
        </w:rPr>
        <w:t>kfjflfj</w:t>
      </w:r>
      <w:proofErr w:type="gramEnd"/>
    </w:p>
    <w:p w14:paraId="066DC77C" w14:textId="77777777" w:rsidR="00B51BF9" w:rsidRPr="003E7C59" w:rsidRDefault="00B51BF9" w:rsidP="006622F2">
      <w:pPr>
        <w:spacing w:line="360" w:lineRule="auto"/>
        <w:rPr>
          <w:rFonts w:ascii="Arial" w:hAnsi="Arial" w:cs="Arial"/>
          <w:color w:val="000000" w:themeColor="text1"/>
          <w:sz w:val="2"/>
          <w:szCs w:val="2"/>
        </w:rPr>
      </w:pPr>
    </w:p>
    <w:p w14:paraId="3C8A8690" w14:textId="77777777" w:rsidR="00B51BF9" w:rsidRPr="003E7C59" w:rsidRDefault="00B51BF9" w:rsidP="006622F2">
      <w:pPr>
        <w:spacing w:line="360" w:lineRule="auto"/>
        <w:rPr>
          <w:rFonts w:ascii="Arial" w:hAnsi="Arial" w:cs="Arial"/>
          <w:color w:val="000000" w:themeColor="text1"/>
          <w:sz w:val="2"/>
          <w:szCs w:val="2"/>
        </w:rPr>
      </w:pPr>
    </w:p>
    <w:p w14:paraId="295903BA" w14:textId="77777777" w:rsidR="00B51BF9" w:rsidRPr="003E7C59" w:rsidRDefault="00B51BF9" w:rsidP="006622F2">
      <w:pPr>
        <w:spacing w:line="360" w:lineRule="auto"/>
        <w:rPr>
          <w:rFonts w:ascii="Arial" w:hAnsi="Arial" w:cs="Arial"/>
          <w:color w:val="000000" w:themeColor="text1"/>
          <w:sz w:val="2"/>
          <w:szCs w:val="2"/>
        </w:rPr>
      </w:pPr>
    </w:p>
    <w:p w14:paraId="56F0C000" w14:textId="77777777" w:rsidR="00B51BF9" w:rsidRPr="003E7C59" w:rsidRDefault="00B51BF9" w:rsidP="006622F2">
      <w:pPr>
        <w:spacing w:line="360" w:lineRule="auto"/>
        <w:rPr>
          <w:rFonts w:ascii="Arial" w:hAnsi="Arial" w:cs="Arial"/>
          <w:color w:val="000000" w:themeColor="text1"/>
          <w:sz w:val="2"/>
          <w:szCs w:val="2"/>
        </w:rPr>
      </w:pPr>
    </w:p>
    <w:p w14:paraId="6D029A23" w14:textId="77777777" w:rsidR="00B51BF9" w:rsidRPr="003E7C59" w:rsidRDefault="00B51BF9" w:rsidP="006622F2">
      <w:pPr>
        <w:spacing w:line="360" w:lineRule="auto"/>
        <w:rPr>
          <w:rFonts w:ascii="Arial" w:hAnsi="Arial" w:cs="Arial"/>
          <w:color w:val="000000" w:themeColor="text1"/>
          <w:sz w:val="2"/>
          <w:szCs w:val="2"/>
        </w:rPr>
      </w:pPr>
    </w:p>
    <w:p w14:paraId="17E01E43" w14:textId="77777777" w:rsidR="00B51BF9" w:rsidRPr="003E7C59" w:rsidRDefault="00B51BF9" w:rsidP="006622F2">
      <w:pPr>
        <w:spacing w:line="360" w:lineRule="auto"/>
        <w:rPr>
          <w:rFonts w:ascii="Arial" w:hAnsi="Arial" w:cs="Arial"/>
          <w:color w:val="000000" w:themeColor="text1"/>
          <w:sz w:val="2"/>
          <w:szCs w:val="2"/>
        </w:rPr>
      </w:pPr>
    </w:p>
    <w:p w14:paraId="0BF5B966" w14:textId="009F2E10" w:rsidR="00B51BF9" w:rsidRPr="003E7C59" w:rsidRDefault="0071689A" w:rsidP="006622F2">
      <w:pPr>
        <w:spacing w:line="360" w:lineRule="auto"/>
        <w:rPr>
          <w:rFonts w:ascii="Arial" w:hAnsi="Arial" w:cs="Arial"/>
          <w:color w:val="000000" w:themeColor="text1"/>
          <w:sz w:val="2"/>
          <w:szCs w:val="2"/>
        </w:rPr>
      </w:pPr>
      <w:proofErr w:type="gramStart"/>
      <w:r w:rsidRPr="003E7C59">
        <w:rPr>
          <w:rFonts w:ascii="Arial" w:hAnsi="Arial" w:cs="Arial"/>
          <w:color w:val="000000" w:themeColor="text1"/>
          <w:sz w:val="2"/>
          <w:szCs w:val="2"/>
        </w:rPr>
        <w:t>f</w:t>
      </w:r>
      <w:proofErr w:type="gramEnd"/>
    </w:p>
    <w:p w14:paraId="0111F128" w14:textId="77777777" w:rsidR="00B51BF9" w:rsidRPr="003E7C59" w:rsidRDefault="00B51BF9" w:rsidP="006622F2">
      <w:pPr>
        <w:pStyle w:val="Heading1"/>
        <w:jc w:val="center"/>
        <w:rPr>
          <w:rFonts w:ascii="Arial" w:hAnsi="Arial" w:cs="Arial"/>
          <w:color w:val="000000" w:themeColor="text1"/>
          <w:sz w:val="22"/>
          <w:szCs w:val="22"/>
        </w:rPr>
      </w:pPr>
    </w:p>
    <w:p w14:paraId="285D4D8B" w14:textId="77777777" w:rsidR="00B51BF9" w:rsidRPr="003E7C59" w:rsidRDefault="00B51BF9" w:rsidP="006622F2">
      <w:pPr>
        <w:pStyle w:val="Heading1"/>
        <w:jc w:val="center"/>
        <w:rPr>
          <w:rFonts w:ascii="Arial" w:hAnsi="Arial" w:cs="Arial"/>
          <w:color w:val="000000" w:themeColor="text1"/>
          <w:sz w:val="22"/>
          <w:szCs w:val="22"/>
        </w:rPr>
      </w:pPr>
    </w:p>
    <w:p w14:paraId="1E74A850" w14:textId="77777777" w:rsidR="00B51BF9" w:rsidRPr="003E7C59" w:rsidRDefault="00B51BF9" w:rsidP="006622F2">
      <w:pPr>
        <w:pStyle w:val="Heading1"/>
        <w:jc w:val="center"/>
        <w:rPr>
          <w:rFonts w:ascii="Arial" w:hAnsi="Arial" w:cs="Arial"/>
          <w:color w:val="000000" w:themeColor="text1"/>
          <w:sz w:val="22"/>
          <w:szCs w:val="22"/>
        </w:rPr>
      </w:pPr>
    </w:p>
    <w:p w14:paraId="7C69C9BB" w14:textId="77777777" w:rsidR="00B51BF9" w:rsidRPr="003E7C59" w:rsidRDefault="00B51BF9" w:rsidP="006622F2">
      <w:pPr>
        <w:pStyle w:val="Heading1"/>
        <w:jc w:val="center"/>
        <w:rPr>
          <w:rFonts w:ascii="Arial" w:hAnsi="Arial" w:cs="Arial"/>
          <w:color w:val="000000" w:themeColor="text1"/>
          <w:sz w:val="22"/>
          <w:szCs w:val="22"/>
        </w:rPr>
      </w:pPr>
    </w:p>
    <w:p w14:paraId="016D0A21" w14:textId="77777777" w:rsidR="00B51BF9" w:rsidRPr="003E7C59" w:rsidRDefault="00B51BF9" w:rsidP="006622F2">
      <w:pPr>
        <w:pStyle w:val="Heading1"/>
        <w:jc w:val="center"/>
        <w:rPr>
          <w:rFonts w:ascii="Arial" w:hAnsi="Arial" w:cs="Arial"/>
          <w:color w:val="000000" w:themeColor="text1"/>
          <w:sz w:val="22"/>
          <w:szCs w:val="22"/>
        </w:rPr>
      </w:pPr>
    </w:p>
    <w:p w14:paraId="4F2A412B" w14:textId="77777777" w:rsidR="00B51BF9" w:rsidRPr="003E7C59" w:rsidRDefault="00B51BF9" w:rsidP="006622F2">
      <w:pPr>
        <w:pStyle w:val="Heading1"/>
        <w:jc w:val="center"/>
        <w:rPr>
          <w:rFonts w:ascii="Arial" w:hAnsi="Arial" w:cs="Arial"/>
          <w:color w:val="000000" w:themeColor="text1"/>
          <w:sz w:val="22"/>
          <w:szCs w:val="22"/>
        </w:rPr>
      </w:pPr>
    </w:p>
    <w:p w14:paraId="2312FCC5" w14:textId="77777777" w:rsidR="00B51BF9" w:rsidRPr="003E7C59" w:rsidRDefault="00B51BF9" w:rsidP="006622F2">
      <w:pPr>
        <w:pStyle w:val="Heading1"/>
        <w:jc w:val="center"/>
        <w:rPr>
          <w:rFonts w:ascii="Arial" w:hAnsi="Arial" w:cs="Arial"/>
          <w:color w:val="000000" w:themeColor="text1"/>
          <w:sz w:val="22"/>
          <w:szCs w:val="22"/>
        </w:rPr>
      </w:pPr>
    </w:p>
    <w:p w14:paraId="2A77D0F5" w14:textId="77777777" w:rsidR="00B51BF9" w:rsidRPr="003E7C59" w:rsidRDefault="00B51BF9" w:rsidP="006622F2">
      <w:pPr>
        <w:pStyle w:val="Heading1"/>
        <w:jc w:val="center"/>
        <w:rPr>
          <w:rFonts w:ascii="Arial" w:hAnsi="Arial" w:cs="Arial"/>
          <w:color w:val="000000" w:themeColor="text1"/>
          <w:sz w:val="22"/>
          <w:szCs w:val="22"/>
        </w:rPr>
      </w:pPr>
    </w:p>
    <w:p w14:paraId="5198141B" w14:textId="77777777" w:rsidR="00B51BF9" w:rsidRPr="003E7C59" w:rsidRDefault="00B51BF9" w:rsidP="006622F2">
      <w:pPr>
        <w:pStyle w:val="Heading1"/>
        <w:jc w:val="center"/>
        <w:rPr>
          <w:rFonts w:ascii="Arial" w:hAnsi="Arial" w:cs="Arial"/>
          <w:color w:val="000000" w:themeColor="text1"/>
          <w:sz w:val="22"/>
          <w:szCs w:val="22"/>
        </w:rPr>
      </w:pPr>
    </w:p>
    <w:p w14:paraId="77E7510D" w14:textId="77777777" w:rsidR="009449D3" w:rsidRPr="003E7C59" w:rsidRDefault="009449D3" w:rsidP="006622F2">
      <w:pPr>
        <w:spacing w:line="360" w:lineRule="auto"/>
        <w:rPr>
          <w:rFonts w:ascii="Arial" w:hAnsi="Arial" w:cs="Arial"/>
          <w:color w:val="000000" w:themeColor="text1"/>
          <w:sz w:val="22"/>
          <w:szCs w:val="22"/>
        </w:rPr>
      </w:pPr>
    </w:p>
    <w:p w14:paraId="7F0A7A77" w14:textId="77777777" w:rsidR="009449D3" w:rsidRPr="003E7C59" w:rsidRDefault="009449D3" w:rsidP="006622F2">
      <w:pPr>
        <w:spacing w:line="360" w:lineRule="auto"/>
        <w:rPr>
          <w:rFonts w:ascii="Arial" w:hAnsi="Arial" w:cs="Arial"/>
          <w:color w:val="000000" w:themeColor="text1"/>
          <w:sz w:val="22"/>
          <w:szCs w:val="22"/>
        </w:rPr>
      </w:pPr>
    </w:p>
    <w:p w14:paraId="0ACD46CA" w14:textId="77777777" w:rsidR="009449D3" w:rsidRPr="003E7C59" w:rsidRDefault="009449D3" w:rsidP="006622F2">
      <w:pPr>
        <w:spacing w:line="360" w:lineRule="auto"/>
        <w:rPr>
          <w:rFonts w:ascii="Arial" w:hAnsi="Arial" w:cs="Arial"/>
          <w:color w:val="000000" w:themeColor="text1"/>
          <w:sz w:val="22"/>
          <w:szCs w:val="22"/>
        </w:rPr>
      </w:pPr>
    </w:p>
    <w:p w14:paraId="1EAA1E1E" w14:textId="77777777" w:rsidR="009449D3" w:rsidRPr="003E7C59" w:rsidRDefault="009449D3" w:rsidP="006622F2">
      <w:pPr>
        <w:spacing w:line="360" w:lineRule="auto"/>
        <w:rPr>
          <w:rFonts w:ascii="Arial" w:hAnsi="Arial" w:cs="Arial"/>
          <w:color w:val="000000" w:themeColor="text1"/>
          <w:sz w:val="22"/>
          <w:szCs w:val="22"/>
        </w:rPr>
      </w:pPr>
    </w:p>
    <w:p w14:paraId="103DE43B" w14:textId="77777777" w:rsidR="009449D3" w:rsidRPr="003E7C59" w:rsidRDefault="009449D3" w:rsidP="006622F2">
      <w:pPr>
        <w:spacing w:line="360" w:lineRule="auto"/>
        <w:rPr>
          <w:rFonts w:ascii="Arial" w:hAnsi="Arial" w:cs="Arial"/>
          <w:color w:val="000000" w:themeColor="text1"/>
          <w:sz w:val="22"/>
          <w:szCs w:val="22"/>
        </w:rPr>
      </w:pPr>
    </w:p>
    <w:p w14:paraId="34DD8620" w14:textId="77777777" w:rsidR="009449D3" w:rsidRPr="003E7C59" w:rsidRDefault="009449D3" w:rsidP="006622F2">
      <w:pPr>
        <w:spacing w:line="360" w:lineRule="auto"/>
        <w:rPr>
          <w:rFonts w:ascii="Arial" w:hAnsi="Arial" w:cs="Arial"/>
          <w:color w:val="000000" w:themeColor="text1"/>
          <w:sz w:val="22"/>
          <w:szCs w:val="22"/>
        </w:rPr>
      </w:pPr>
    </w:p>
    <w:p w14:paraId="14696A5B" w14:textId="77777777" w:rsidR="009449D3" w:rsidRPr="003E7C59" w:rsidRDefault="009449D3" w:rsidP="006622F2">
      <w:pPr>
        <w:spacing w:line="360" w:lineRule="auto"/>
        <w:rPr>
          <w:rFonts w:ascii="Arial" w:hAnsi="Arial" w:cs="Arial"/>
          <w:color w:val="000000" w:themeColor="text1"/>
          <w:sz w:val="22"/>
          <w:szCs w:val="22"/>
        </w:rPr>
      </w:pPr>
    </w:p>
    <w:p w14:paraId="500EE851" w14:textId="77777777" w:rsidR="009449D3" w:rsidRPr="003E7C59" w:rsidRDefault="009449D3" w:rsidP="006622F2">
      <w:pPr>
        <w:spacing w:line="360" w:lineRule="auto"/>
        <w:rPr>
          <w:rFonts w:ascii="Arial" w:hAnsi="Arial" w:cs="Arial"/>
          <w:color w:val="000000" w:themeColor="text1"/>
          <w:sz w:val="22"/>
          <w:szCs w:val="22"/>
        </w:rPr>
      </w:pPr>
    </w:p>
    <w:p w14:paraId="1CB81EC2" w14:textId="77777777" w:rsidR="009449D3" w:rsidRPr="003E7C59" w:rsidRDefault="009449D3" w:rsidP="006622F2">
      <w:pPr>
        <w:spacing w:line="360" w:lineRule="auto"/>
        <w:rPr>
          <w:rFonts w:ascii="Arial" w:hAnsi="Arial" w:cs="Arial"/>
          <w:color w:val="000000" w:themeColor="text1"/>
          <w:sz w:val="22"/>
          <w:szCs w:val="22"/>
        </w:rPr>
      </w:pPr>
    </w:p>
    <w:p w14:paraId="0BDB2417" w14:textId="77777777" w:rsidR="009449D3" w:rsidRPr="003E7C59" w:rsidRDefault="009449D3" w:rsidP="006622F2">
      <w:pPr>
        <w:spacing w:line="360" w:lineRule="auto"/>
        <w:rPr>
          <w:rFonts w:ascii="Arial" w:hAnsi="Arial" w:cs="Arial"/>
          <w:color w:val="000000" w:themeColor="text1"/>
          <w:sz w:val="22"/>
          <w:szCs w:val="22"/>
        </w:rPr>
      </w:pPr>
    </w:p>
    <w:p w14:paraId="48820531" w14:textId="77777777" w:rsidR="009449D3" w:rsidRPr="003E7C59" w:rsidRDefault="009449D3" w:rsidP="006622F2">
      <w:pPr>
        <w:spacing w:line="360" w:lineRule="auto"/>
        <w:rPr>
          <w:rFonts w:ascii="Arial" w:hAnsi="Arial" w:cs="Arial"/>
          <w:color w:val="000000" w:themeColor="text1"/>
          <w:sz w:val="22"/>
          <w:szCs w:val="22"/>
        </w:rPr>
      </w:pPr>
    </w:p>
    <w:p w14:paraId="16E7267F" w14:textId="77777777" w:rsidR="009449D3" w:rsidRPr="003E7C59" w:rsidRDefault="009449D3" w:rsidP="006622F2">
      <w:pPr>
        <w:spacing w:line="360" w:lineRule="auto"/>
        <w:rPr>
          <w:rFonts w:ascii="Arial" w:hAnsi="Arial" w:cs="Arial"/>
          <w:color w:val="000000" w:themeColor="text1"/>
          <w:sz w:val="22"/>
          <w:szCs w:val="22"/>
        </w:rPr>
      </w:pPr>
    </w:p>
    <w:p w14:paraId="27FDDD73" w14:textId="77777777" w:rsidR="009449D3" w:rsidRPr="003E7C59" w:rsidRDefault="009449D3" w:rsidP="006622F2">
      <w:pPr>
        <w:spacing w:line="360" w:lineRule="auto"/>
        <w:rPr>
          <w:rFonts w:ascii="Arial" w:hAnsi="Arial" w:cs="Arial"/>
          <w:color w:val="000000" w:themeColor="text1"/>
          <w:sz w:val="22"/>
          <w:szCs w:val="22"/>
        </w:rPr>
      </w:pPr>
    </w:p>
    <w:p w14:paraId="1B5CB064" w14:textId="512555ED"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lastRenderedPageBreak/>
        <w:t>Flowering (</w:t>
      </w:r>
      <w:r w:rsidRPr="003E7C59">
        <w:rPr>
          <w:rFonts w:ascii="Arial" w:hAnsi="Arial" w:cs="Arial"/>
          <w:i/>
          <w:iCs/>
          <w:color w:val="000000" w:themeColor="text1"/>
          <w:sz w:val="22"/>
          <w:szCs w:val="22"/>
        </w:rPr>
        <w:t xml:space="preserve">Cornus </w:t>
      </w:r>
      <w:proofErr w:type="gramStart"/>
      <w:r w:rsidRPr="003E7C59">
        <w:rPr>
          <w:rFonts w:ascii="Arial" w:hAnsi="Arial" w:cs="Arial"/>
          <w:i/>
          <w:iCs/>
          <w:color w:val="000000" w:themeColor="text1"/>
          <w:sz w:val="22"/>
          <w:szCs w:val="22"/>
        </w:rPr>
        <w:t>florida</w:t>
      </w:r>
      <w:proofErr w:type="gramEnd"/>
      <w:r w:rsidR="00810714" w:rsidRPr="003E7C59">
        <w:rPr>
          <w:rFonts w:ascii="Arial" w:hAnsi="Arial" w:cs="Arial"/>
          <w:i/>
          <w:iCs/>
          <w:color w:val="000000" w:themeColor="text1"/>
          <w:sz w:val="22"/>
          <w:szCs w:val="22"/>
        </w:rPr>
        <w:t xml:space="preserve"> </w:t>
      </w:r>
      <w:r w:rsidR="00810714" w:rsidRPr="003E7C59">
        <w:rPr>
          <w:rFonts w:ascii="Arial" w:hAnsi="Arial" w:cs="Arial"/>
          <w:color w:val="000000" w:themeColor="text1"/>
          <w:sz w:val="22"/>
          <w:szCs w:val="22"/>
        </w:rPr>
        <w:t>L.</w:t>
      </w:r>
      <w:r w:rsidRPr="003E7C59">
        <w:rPr>
          <w:rFonts w:ascii="Arial" w:hAnsi="Arial" w:cs="Arial"/>
          <w:color w:val="000000" w:themeColor="text1"/>
          <w:sz w:val="22"/>
          <w:szCs w:val="22"/>
        </w:rPr>
        <w:t>) and Asian dogwood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kousa</w:t>
      </w:r>
      <w:r w:rsidR="00810714" w:rsidRPr="003E7C59">
        <w:rPr>
          <w:rFonts w:ascii="Arial" w:hAnsi="Arial" w:cs="Arial"/>
          <w:color w:val="000000" w:themeColor="text1"/>
          <w:sz w:val="22"/>
          <w:szCs w:val="22"/>
        </w:rPr>
        <w:t xml:space="preserve"> F. Buerger ex Hance F</w:t>
      </w:r>
      <w:r w:rsidRPr="003E7C59">
        <w:rPr>
          <w:rFonts w:ascii="Arial" w:hAnsi="Arial" w:cs="Arial"/>
          <w:color w:val="000000" w:themeColor="text1"/>
          <w:sz w:val="22"/>
          <w:szCs w:val="22"/>
        </w:rPr>
        <w:t>) are two of the most attractive and economically compelling species among nursery growers and horticulturists. Their popularity resulted in the commercial release of more than 150 cultivars (Cappiello and Shadow, 2005; Wadl et al., 2014; Nowicki et al., 2020). Dark red bract or foliage display, resistance to pathogens, variegated foliage, and dwarf or weeping habit are among the most popular traits; however, most currently available cultivars do not possess a combination of desirable characteristics (</w:t>
      </w:r>
      <w:r w:rsidR="00701C23" w:rsidRPr="003E7C59">
        <w:rPr>
          <w:rFonts w:ascii="Arial" w:hAnsi="Arial" w:cs="Arial"/>
          <w:color w:val="000000" w:themeColor="text1"/>
          <w:sz w:val="22"/>
          <w:szCs w:val="22"/>
        </w:rPr>
        <w:t>Cappiello and Shadow, 2005; Wadl et al., 2014; Nowicki et al., 2020</w:t>
      </w:r>
      <w:r w:rsidRPr="003E7C59">
        <w:rPr>
          <w:rFonts w:ascii="Arial" w:hAnsi="Arial" w:cs="Arial"/>
          <w:color w:val="000000" w:themeColor="text1"/>
          <w:sz w:val="22"/>
          <w:szCs w:val="22"/>
        </w:rPr>
        <w:t xml:space="preserve">). Therefore, phytopathologists and plant breeders dedicate themselves to developing new cultivars to satisfy market demands and novel horticultural trends, which </w:t>
      </w:r>
      <w:r w:rsidRPr="003E7C59">
        <w:rPr>
          <w:rFonts w:ascii="Arial" w:hAnsi="Arial" w:cs="Arial"/>
          <w:color w:val="000000" w:themeColor="text1"/>
          <w:sz w:val="22"/>
          <w:szCs w:val="22"/>
          <w:shd w:val="clear" w:color="auto" w:fill="FCFCFC"/>
        </w:rPr>
        <w:t xml:space="preserve">rely on repetitive </w:t>
      </w:r>
      <w:r w:rsidRPr="003E7C59">
        <w:rPr>
          <w:rFonts w:ascii="Arial" w:hAnsi="Arial" w:cs="Arial"/>
          <w:color w:val="000000" w:themeColor="text1"/>
          <w:sz w:val="22"/>
          <w:szCs w:val="22"/>
        </w:rPr>
        <w:t>laborious</w:t>
      </w:r>
      <w:r w:rsidRPr="003E7C59">
        <w:rPr>
          <w:rFonts w:ascii="Arial" w:hAnsi="Arial" w:cs="Arial"/>
          <w:color w:val="000000" w:themeColor="text1"/>
          <w:sz w:val="22"/>
          <w:szCs w:val="22"/>
          <w:shd w:val="clear" w:color="auto" w:fill="FCFCFC"/>
        </w:rPr>
        <w:t xml:space="preserve"> selection (Windham and Witte, 1998; Windham et al., 2003; Wadl et al., 2013; Molnar et al., 2017)</w:t>
      </w:r>
      <w:r w:rsidRPr="003E7C59">
        <w:rPr>
          <w:rFonts w:ascii="Arial" w:hAnsi="Arial" w:cs="Arial"/>
          <w:color w:val="000000" w:themeColor="text1"/>
          <w:sz w:val="22"/>
          <w:szCs w:val="22"/>
        </w:rPr>
        <w:t xml:space="preserve">. </w:t>
      </w:r>
      <w:proofErr w:type="gramStart"/>
      <w:r w:rsidRPr="003E7C59">
        <w:rPr>
          <w:rFonts w:ascii="Arial" w:hAnsi="Arial" w:cs="Arial"/>
          <w:color w:val="000000" w:themeColor="text1"/>
          <w:sz w:val="22"/>
          <w:szCs w:val="22"/>
        </w:rPr>
        <w:t xml:space="preserve">However, </w:t>
      </w:r>
      <w:sdt>
        <w:sdtPr>
          <w:rPr>
            <w:rFonts w:ascii="Arial" w:hAnsi="Arial" w:cs="Arial"/>
            <w:color w:val="000000" w:themeColor="text1"/>
            <w:sz w:val="22"/>
            <w:szCs w:val="22"/>
          </w:rPr>
          <w:tag w:val="goog_rdk_19"/>
          <w:id w:val="-1271164134"/>
          <w:placeholder>
            <w:docPart w:val="464D3ABBA2296449B9B13B8EA0C4C38C"/>
          </w:placeholder>
        </w:sdtPr>
        <w:sdtEndPr/>
        <w:sdtContent/>
      </w:sdt>
      <w:r w:rsidRPr="003E7C59">
        <w:rPr>
          <w:rFonts w:ascii="Arial" w:hAnsi="Arial" w:cs="Arial"/>
          <w:color w:val="000000" w:themeColor="text1"/>
          <w:sz w:val="22"/>
          <w:szCs w:val="22"/>
        </w:rPr>
        <w:t>dogwood cultivar development is a time-demanding undertaking mainly due to the following reasons: long juvenile period (3 to 5 years), self-incompatibility, inbreeding depression, and high susceptibility of flowering dogwood to powdery mildew (PM) and anthracnose (</w:t>
      </w:r>
      <w:r w:rsidRPr="003E7C59">
        <w:rPr>
          <w:rFonts w:ascii="Arial" w:hAnsi="Arial" w:cs="Arial"/>
          <w:color w:val="000000" w:themeColor="text1"/>
          <w:sz w:val="22"/>
          <w:szCs w:val="22"/>
          <w:shd w:val="clear" w:color="auto" w:fill="FCFCFC"/>
        </w:rPr>
        <w:t>Gunatilleke and Gunatilleke, 1984; Ament et al., </w:t>
      </w:r>
      <w:r w:rsidRPr="003E7C59">
        <w:rPr>
          <w:rFonts w:ascii="Arial" w:hAnsi="Arial" w:cs="Arial"/>
          <w:color w:val="000000" w:themeColor="text1"/>
          <w:sz w:val="22"/>
          <w:szCs w:val="22"/>
        </w:rPr>
        <w:t>2000</w:t>
      </w:r>
      <w:r w:rsidRPr="003E7C59">
        <w:rPr>
          <w:rFonts w:ascii="Arial" w:hAnsi="Arial" w:cs="Arial"/>
          <w:color w:val="000000" w:themeColor="text1"/>
          <w:sz w:val="22"/>
          <w:szCs w:val="22"/>
          <w:shd w:val="clear" w:color="auto" w:fill="FCFCFC"/>
        </w:rPr>
        <w:t>; Reed, </w:t>
      </w:r>
      <w:r w:rsidRPr="003E7C59">
        <w:rPr>
          <w:rFonts w:ascii="Arial" w:hAnsi="Arial" w:cs="Arial"/>
          <w:color w:val="000000" w:themeColor="text1"/>
          <w:sz w:val="22"/>
          <w:szCs w:val="22"/>
        </w:rPr>
        <w:t>2004; Wang et al., 2009; Hadziabdic et al., 2010; Hagan et al., 2011; Wadl et al., 2011; Mantooth et al., 2017).</w:t>
      </w:r>
      <w:proofErr w:type="gramEnd"/>
      <w:r w:rsidRPr="003E7C59">
        <w:rPr>
          <w:rFonts w:ascii="Arial" w:hAnsi="Arial" w:cs="Arial"/>
          <w:color w:val="000000" w:themeColor="text1"/>
          <w:sz w:val="22"/>
          <w:szCs w:val="22"/>
        </w:rPr>
        <w:t xml:space="preserve"> Applying genetics and genomics approaches can significantly facilitate and accelerate dogwood complex breeding; for instance, marker-assisted selection (MAS) </w:t>
      </w:r>
      <w:r w:rsidRPr="003E7C59">
        <w:rPr>
          <w:rFonts w:ascii="Arial" w:hAnsi="Arial" w:cs="Arial"/>
          <w:color w:val="000000" w:themeColor="text1"/>
          <w:sz w:val="22"/>
          <w:szCs w:val="22"/>
          <w:shd w:val="clear" w:color="auto" w:fill="FCFCFC"/>
        </w:rPr>
        <w:t xml:space="preserve">uses a DNA marker strategy to target traits of interest. However, MAS application associated with bract color selection and PM resistance </w:t>
      </w:r>
      <w:proofErr w:type="gramStart"/>
      <w:r w:rsidRPr="003E7C59">
        <w:rPr>
          <w:rFonts w:ascii="Arial" w:hAnsi="Arial" w:cs="Arial"/>
          <w:color w:val="000000" w:themeColor="text1"/>
          <w:sz w:val="22"/>
          <w:szCs w:val="22"/>
          <w:shd w:val="clear" w:color="auto" w:fill="FCFCFC"/>
        </w:rPr>
        <w:t>has been delayed</w:t>
      </w:r>
      <w:proofErr w:type="gramEnd"/>
      <w:r w:rsidRPr="003E7C59">
        <w:rPr>
          <w:rFonts w:ascii="Arial" w:hAnsi="Arial" w:cs="Arial"/>
          <w:color w:val="000000" w:themeColor="text1"/>
          <w:sz w:val="22"/>
          <w:szCs w:val="22"/>
          <w:shd w:val="clear" w:color="auto" w:fill="FCFCFC"/>
        </w:rPr>
        <w:t xml:space="preserve"> because of the unavailability of </w:t>
      </w:r>
      <w:r w:rsidRPr="003E7C59">
        <w:rPr>
          <w:rFonts w:ascii="Arial" w:hAnsi="Arial" w:cs="Arial"/>
          <w:color w:val="000000" w:themeColor="text1"/>
          <w:sz w:val="22"/>
          <w:szCs w:val="22"/>
        </w:rPr>
        <w:t xml:space="preserve">resources and studies on molecular mechanisms underlying these processes in dogwoods. </w:t>
      </w:r>
    </w:p>
    <w:p w14:paraId="4DE79AA2" w14:textId="77777777" w:rsidR="00B51BF9" w:rsidRPr="003E7C59" w:rsidRDefault="00B51BF9" w:rsidP="006622F2">
      <w:pPr>
        <w:spacing w:line="360" w:lineRule="auto"/>
        <w:ind w:firstLine="720"/>
        <w:rPr>
          <w:rFonts w:ascii="Arial" w:hAnsi="Arial" w:cs="Arial"/>
          <w:color w:val="000000" w:themeColor="text1"/>
          <w:sz w:val="22"/>
          <w:szCs w:val="22"/>
        </w:rPr>
      </w:pPr>
    </w:p>
    <w:p w14:paraId="49241C6E" w14:textId="702B5673"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Hence, our RNA-Seq study on R2R3-MYB transcription factors (TF) controlling flavonoid pigment biosynthesis provides the first insights into genes orchestrating one of the best-studied biological processes in nature in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r w:rsidRPr="003E7C59">
        <w:rPr>
          <w:rFonts w:ascii="Arial" w:hAnsi="Arial" w:cs="Arial"/>
          <w:i/>
          <w:iCs/>
          <w:color w:val="000000" w:themeColor="text1"/>
          <w:sz w:val="22"/>
          <w:szCs w:val="22"/>
        </w:rPr>
        <w:t>kousa</w:t>
      </w:r>
      <w:r w:rsidRPr="003E7C59">
        <w:rPr>
          <w:rFonts w:ascii="Arial" w:hAnsi="Arial" w:cs="Arial"/>
          <w:color w:val="000000" w:themeColor="text1"/>
          <w:sz w:val="22"/>
          <w:szCs w:val="22"/>
        </w:rPr>
        <w:t xml:space="preserve">. Candidate genes, </w:t>
      </w:r>
      <w:r w:rsidRPr="003E7C59">
        <w:rPr>
          <w:rFonts w:ascii="Arial" w:hAnsi="Arial" w:cs="Arial"/>
          <w:i/>
          <w:iCs/>
          <w:color w:val="000000" w:themeColor="text1"/>
          <w:sz w:val="22"/>
          <w:szCs w:val="22"/>
          <w:highlight w:val="white"/>
        </w:rPr>
        <w:t>CfMYB1 80</w:t>
      </w:r>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highlight w:val="white"/>
        </w:rPr>
        <w:t>CkMYB</w:t>
      </w:r>
      <w:r w:rsidRPr="003E7C59">
        <w:rPr>
          <w:rFonts w:ascii="Arial" w:hAnsi="Arial" w:cs="Arial"/>
          <w:i/>
          <w:iCs/>
          <w:color w:val="000000" w:themeColor="text1"/>
          <w:sz w:val="22"/>
          <w:szCs w:val="22"/>
        </w:rPr>
        <w:t>1</w:t>
      </w:r>
      <w:r w:rsidRPr="003E7C59">
        <w:rPr>
          <w:rFonts w:ascii="Arial" w:hAnsi="Arial" w:cs="Arial"/>
          <w:color w:val="000000" w:themeColor="text1"/>
          <w:sz w:val="22"/>
          <w:szCs w:val="22"/>
        </w:rPr>
        <w:t xml:space="preserve">, </w:t>
      </w:r>
      <w:proofErr w:type="gramStart"/>
      <w:r w:rsidRPr="003E7C59">
        <w:rPr>
          <w:rFonts w:ascii="Arial" w:hAnsi="Arial" w:cs="Arial"/>
          <w:color w:val="000000" w:themeColor="text1"/>
          <w:sz w:val="22"/>
          <w:szCs w:val="22"/>
        </w:rPr>
        <w:t>were found to be</w:t>
      </w:r>
      <w:r w:rsidR="00935260" w:rsidRPr="003E7C59">
        <w:rPr>
          <w:rFonts w:ascii="Arial" w:hAnsi="Arial" w:cs="Arial"/>
          <w:color w:val="000000" w:themeColor="text1"/>
          <w:sz w:val="22"/>
          <w:szCs w:val="22"/>
        </w:rPr>
        <w:t xml:space="preserve"> most likely</w:t>
      </w:r>
      <w:r w:rsidRPr="003E7C59">
        <w:rPr>
          <w:rFonts w:ascii="Arial" w:hAnsi="Arial" w:cs="Arial"/>
          <w:color w:val="000000" w:themeColor="text1"/>
          <w:sz w:val="22"/>
          <w:szCs w:val="22"/>
        </w:rPr>
        <w:t xml:space="preserve"> involved</w:t>
      </w:r>
      <w:proofErr w:type="gramEnd"/>
      <w:r w:rsidRPr="003E7C59">
        <w:rPr>
          <w:rFonts w:ascii="Arial" w:hAnsi="Arial" w:cs="Arial"/>
          <w:color w:val="000000" w:themeColor="text1"/>
          <w:sz w:val="22"/>
          <w:szCs w:val="22"/>
        </w:rPr>
        <w:t xml:space="preserve"> in proanthocyanidin synthesis in flowering and Asian dogwood, respectively. Conversely, candidate genes</w:t>
      </w:r>
      <w:r w:rsidRPr="003E7C59">
        <w:rPr>
          <w:rFonts w:ascii="Arial" w:hAnsi="Arial" w:cs="Arial"/>
          <w:color w:val="000000" w:themeColor="text1"/>
          <w:sz w:val="22"/>
          <w:szCs w:val="22"/>
          <w:highlight w:val="white"/>
        </w:rPr>
        <w:t xml:space="preserve"> </w:t>
      </w:r>
      <w:r w:rsidRPr="003E7C59">
        <w:rPr>
          <w:rFonts w:ascii="Arial" w:hAnsi="Arial" w:cs="Arial"/>
          <w:i/>
          <w:iCs/>
          <w:color w:val="000000" w:themeColor="text1"/>
          <w:sz w:val="22"/>
          <w:szCs w:val="22"/>
          <w:highlight w:val="white"/>
        </w:rPr>
        <w:t>CfMYB2</w:t>
      </w:r>
      <w:r w:rsidRPr="003E7C59">
        <w:rPr>
          <w:rFonts w:ascii="Arial" w:hAnsi="Arial" w:cs="Arial"/>
          <w:color w:val="000000" w:themeColor="text1"/>
          <w:sz w:val="22"/>
          <w:szCs w:val="22"/>
          <w:highlight w:val="white"/>
        </w:rPr>
        <w:t xml:space="preserve">, </w:t>
      </w:r>
      <w:r w:rsidRPr="003E7C59">
        <w:rPr>
          <w:rFonts w:ascii="Arial" w:hAnsi="Arial" w:cs="Arial"/>
          <w:i/>
          <w:iCs/>
          <w:color w:val="000000" w:themeColor="text1"/>
          <w:sz w:val="22"/>
          <w:szCs w:val="22"/>
          <w:highlight w:val="white"/>
        </w:rPr>
        <w:t>CfMYB3</w:t>
      </w:r>
      <w:r w:rsidRPr="003E7C59">
        <w:rPr>
          <w:rFonts w:ascii="Arial" w:hAnsi="Arial" w:cs="Arial"/>
          <w:color w:val="000000" w:themeColor="text1"/>
          <w:sz w:val="22"/>
          <w:szCs w:val="22"/>
          <w:highlight w:val="white"/>
        </w:rPr>
        <w:t xml:space="preserve">, and </w:t>
      </w:r>
      <w:r w:rsidRPr="003E7C59">
        <w:rPr>
          <w:rFonts w:ascii="Arial" w:hAnsi="Arial" w:cs="Arial"/>
          <w:i/>
          <w:iCs/>
          <w:color w:val="000000" w:themeColor="text1"/>
          <w:sz w:val="22"/>
          <w:szCs w:val="22"/>
          <w:highlight w:val="white"/>
        </w:rPr>
        <w:t>CkMYB2</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repress anthocyanin and proanthocyanidin synthesis in flowering and Asian dogwood, respectively. Our results provided an essential foundation for further analysis of R2R3-MYB TF that may be responsible for anthocyanin and proanthocyanidins suppression or synthesis in mature bracts of </w:t>
      </w:r>
      <w:r w:rsidRPr="003E7C59">
        <w:rPr>
          <w:rFonts w:ascii="Arial" w:hAnsi="Arial" w:cs="Arial"/>
          <w:i/>
          <w:iCs/>
          <w:color w:val="000000" w:themeColor="text1"/>
          <w:sz w:val="22"/>
          <w:szCs w:val="22"/>
        </w:rPr>
        <w:t xml:space="preserve">C. </w:t>
      </w:r>
      <w:proofErr w:type="gramStart"/>
      <w:r w:rsidRPr="003E7C59">
        <w:rPr>
          <w:rFonts w:ascii="Arial" w:hAnsi="Arial" w:cs="Arial"/>
          <w:i/>
          <w:iCs/>
          <w:color w:val="000000" w:themeColor="text1"/>
          <w:sz w:val="22"/>
          <w:szCs w:val="22"/>
        </w:rPr>
        <w:t>florida</w:t>
      </w:r>
      <w:proofErr w:type="gramEnd"/>
      <w:r w:rsidRPr="003E7C59">
        <w:rPr>
          <w:rFonts w:ascii="Arial" w:hAnsi="Arial" w:cs="Arial"/>
          <w:color w:val="000000" w:themeColor="text1"/>
          <w:sz w:val="22"/>
          <w:szCs w:val="22"/>
        </w:rPr>
        <w:t xml:space="preserve"> and </w:t>
      </w:r>
      <w:r w:rsidRPr="003E7C59">
        <w:rPr>
          <w:rFonts w:ascii="Arial" w:hAnsi="Arial" w:cs="Arial"/>
          <w:i/>
          <w:iCs/>
          <w:color w:val="000000" w:themeColor="text1"/>
          <w:sz w:val="22"/>
          <w:szCs w:val="22"/>
        </w:rPr>
        <w:t>C. kousa</w:t>
      </w:r>
      <w:r w:rsidRPr="003E7C59">
        <w:rPr>
          <w:rFonts w:ascii="Arial" w:hAnsi="Arial" w:cs="Arial"/>
          <w:color w:val="000000" w:themeColor="text1"/>
          <w:sz w:val="22"/>
          <w:szCs w:val="22"/>
        </w:rPr>
        <w:t xml:space="preserve">. </w:t>
      </w:r>
    </w:p>
    <w:p w14:paraId="0963912A" w14:textId="77777777" w:rsidR="00B51BF9" w:rsidRPr="003E7C59" w:rsidRDefault="00B51BF9" w:rsidP="006622F2">
      <w:pPr>
        <w:spacing w:line="360" w:lineRule="auto"/>
        <w:ind w:firstLine="720"/>
        <w:rPr>
          <w:rFonts w:ascii="Arial" w:hAnsi="Arial" w:cs="Arial"/>
          <w:color w:val="000000" w:themeColor="text1"/>
          <w:sz w:val="22"/>
          <w:szCs w:val="22"/>
        </w:rPr>
      </w:pPr>
    </w:p>
    <w:p w14:paraId="4BC4ACA2" w14:textId="44996C7F"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i/>
          <w:iCs/>
          <w:color w:val="000000" w:themeColor="text1"/>
          <w:sz w:val="22"/>
          <w:szCs w:val="22"/>
        </w:rPr>
        <w:t>Erysiphe pulchra</w:t>
      </w:r>
      <w:r w:rsidR="00701C23" w:rsidRPr="003E7C59">
        <w:rPr>
          <w:rFonts w:ascii="Arial" w:hAnsi="Arial" w:cs="Arial"/>
          <w:i/>
          <w:iCs/>
          <w:color w:val="000000" w:themeColor="text1"/>
          <w:sz w:val="22"/>
          <w:szCs w:val="22"/>
        </w:rPr>
        <w:t xml:space="preserve"> </w:t>
      </w:r>
      <w:r w:rsidR="00701C23" w:rsidRPr="003E7C59">
        <w:rPr>
          <w:rFonts w:ascii="Arial" w:hAnsi="Arial" w:cs="Arial"/>
          <w:color w:val="000000" w:themeColor="text1"/>
          <w:sz w:val="22"/>
          <w:szCs w:val="22"/>
        </w:rPr>
        <w:t>Cooke &amp; Peck</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is a</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prevalent pathogen of flowering dogwood, which </w:t>
      </w:r>
      <w:r w:rsidRPr="003E7C59">
        <w:rPr>
          <w:rFonts w:ascii="Arial" w:hAnsi="Arial" w:cs="Arial"/>
          <w:color w:val="000000" w:themeColor="text1"/>
          <w:sz w:val="2"/>
          <w:szCs w:val="2"/>
        </w:rPr>
        <w:t>has</w:t>
      </w:r>
      <w:r w:rsidRPr="003E7C59">
        <w:rPr>
          <w:rFonts w:ascii="Arial" w:hAnsi="Arial" w:cs="Arial"/>
          <w:color w:val="000000" w:themeColor="text1"/>
          <w:sz w:val="22"/>
          <w:szCs w:val="22"/>
        </w:rPr>
        <w:t xml:space="preserve"> challenged commercial production and caused devastating damage to single trees and entire populations since its introduction in the mid-1990 (Windham et al., 1997; Daughtrey and Hagan, </w:t>
      </w:r>
      <w:r w:rsidRPr="003E7C59">
        <w:rPr>
          <w:rFonts w:ascii="Arial" w:hAnsi="Arial" w:cs="Arial"/>
          <w:color w:val="000000" w:themeColor="text1"/>
          <w:sz w:val="22"/>
          <w:szCs w:val="22"/>
        </w:rPr>
        <w:lastRenderedPageBreak/>
        <w:t xml:space="preserve">2001; Windham et al., 2003). The use of resistant cultivars (Li et al., 2009; Riaz et al., 2011) is the best disease management strategy, </w:t>
      </w:r>
      <w:r w:rsidR="00BC6CE7" w:rsidRPr="003E7C59">
        <w:rPr>
          <w:rFonts w:ascii="Arial" w:hAnsi="Arial" w:cs="Arial"/>
          <w:color w:val="000000" w:themeColor="text1"/>
          <w:sz w:val="22"/>
          <w:szCs w:val="22"/>
        </w:rPr>
        <w:t xml:space="preserve">but </w:t>
      </w:r>
      <w:r w:rsidRPr="003E7C59">
        <w:rPr>
          <w:rFonts w:ascii="Arial" w:hAnsi="Arial" w:cs="Arial"/>
          <w:color w:val="000000" w:themeColor="text1"/>
          <w:sz w:val="22"/>
          <w:szCs w:val="22"/>
        </w:rPr>
        <w:t xml:space="preserve">molecular mechanisms involved in PM dogwood penetration and fungal cell accommodation </w:t>
      </w:r>
      <w:proofErr w:type="gramStart"/>
      <w:r w:rsidRPr="003E7C59">
        <w:rPr>
          <w:rFonts w:ascii="Arial" w:hAnsi="Arial" w:cs="Arial"/>
          <w:color w:val="000000" w:themeColor="text1"/>
          <w:sz w:val="22"/>
          <w:szCs w:val="22"/>
        </w:rPr>
        <w:t>have not been elucidated</w:t>
      </w:r>
      <w:proofErr w:type="gramEnd"/>
      <w:r w:rsidRPr="003E7C59">
        <w:rPr>
          <w:rFonts w:ascii="Arial" w:hAnsi="Arial" w:cs="Arial"/>
          <w:color w:val="000000" w:themeColor="text1"/>
          <w:sz w:val="22"/>
          <w:szCs w:val="22"/>
        </w:rPr>
        <w:t xml:space="preserve"> yet. Recessively inherited loss-of-function mutation in the gene </w:t>
      </w:r>
      <w:r w:rsidRPr="003E7C59">
        <w:rPr>
          <w:rFonts w:ascii="Arial" w:hAnsi="Arial" w:cs="Arial"/>
          <w:i/>
          <w:color w:val="000000" w:themeColor="text1"/>
          <w:sz w:val="22"/>
          <w:szCs w:val="22"/>
        </w:rPr>
        <w:t>Mildew resistance locus o</w:t>
      </w:r>
      <w:r w:rsidRPr="003E7C59">
        <w:rPr>
          <w:rFonts w:ascii="Arial" w:hAnsi="Arial" w:cs="Arial"/>
          <w:color w:val="000000" w:themeColor="text1"/>
          <w:sz w:val="22"/>
          <w:szCs w:val="22"/>
        </w:rPr>
        <w:t xml:space="preserve"> (</w:t>
      </w:r>
      <w:r w:rsidRPr="003E7C59">
        <w:rPr>
          <w:rFonts w:ascii="Arial" w:hAnsi="Arial" w:cs="Arial"/>
          <w:i/>
          <w:color w:val="000000" w:themeColor="text1"/>
          <w:sz w:val="22"/>
          <w:szCs w:val="22"/>
        </w:rPr>
        <w:t>Mlo</w:t>
      </w:r>
      <w:r w:rsidRPr="003E7C59">
        <w:rPr>
          <w:rFonts w:ascii="Arial" w:hAnsi="Arial" w:cs="Arial"/>
          <w:color w:val="000000" w:themeColor="text1"/>
          <w:sz w:val="22"/>
          <w:szCs w:val="22"/>
        </w:rPr>
        <w:t xml:space="preserve">) granted resistance to the most important agricultural and horticultural </w:t>
      </w:r>
      <w:r w:rsidR="009F578A" w:rsidRPr="003E7C59">
        <w:rPr>
          <w:rFonts w:ascii="Arial" w:hAnsi="Arial" w:cs="Arial"/>
          <w:color w:val="000000" w:themeColor="text1"/>
          <w:sz w:val="22"/>
          <w:szCs w:val="22"/>
        </w:rPr>
        <w:t>crops in</w:t>
      </w:r>
      <w:r w:rsidRPr="003E7C59">
        <w:rPr>
          <w:rFonts w:ascii="Arial" w:hAnsi="Arial" w:cs="Arial"/>
          <w:color w:val="000000" w:themeColor="text1"/>
          <w:sz w:val="22"/>
          <w:szCs w:val="22"/>
        </w:rPr>
        <w:t xml:space="preserve"> </w:t>
      </w:r>
      <w:r w:rsidR="004F013B" w:rsidRPr="003E7C59">
        <w:rPr>
          <w:rFonts w:ascii="Arial" w:hAnsi="Arial" w:cs="Arial"/>
          <w:color w:val="000000" w:themeColor="text1"/>
          <w:sz w:val="22"/>
          <w:szCs w:val="22"/>
        </w:rPr>
        <w:t xml:space="preserve">I was not able to do this with a new tree. PhyML has a few features. I will try to do it for the paper publication using Adobe software. </w:t>
      </w:r>
      <w:proofErr w:type="gramStart"/>
      <w:r w:rsidRPr="003E7C59">
        <w:rPr>
          <w:rFonts w:ascii="Arial" w:hAnsi="Arial" w:cs="Arial"/>
          <w:color w:val="000000" w:themeColor="text1"/>
          <w:sz w:val="22"/>
          <w:szCs w:val="22"/>
        </w:rPr>
        <w:t>all</w:t>
      </w:r>
      <w:proofErr w:type="gramEnd"/>
      <w:r w:rsidRPr="003E7C59">
        <w:rPr>
          <w:rFonts w:ascii="Arial" w:hAnsi="Arial" w:cs="Arial"/>
          <w:color w:val="000000" w:themeColor="text1"/>
          <w:sz w:val="22"/>
          <w:szCs w:val="22"/>
        </w:rPr>
        <w:t xml:space="preserve"> major land plant lineages (Kusch et al., 2016). Still, their role </w:t>
      </w:r>
      <w:proofErr w:type="gramStart"/>
      <w:r w:rsidRPr="003E7C59">
        <w:rPr>
          <w:rFonts w:ascii="Arial" w:hAnsi="Arial" w:cs="Arial"/>
          <w:color w:val="000000" w:themeColor="text1"/>
          <w:sz w:val="22"/>
          <w:szCs w:val="22"/>
        </w:rPr>
        <w:t>has, for the first time, been investigated</w:t>
      </w:r>
      <w:proofErr w:type="gramEnd"/>
      <w:r w:rsidRPr="003E7C59">
        <w:rPr>
          <w:rFonts w:ascii="Arial" w:hAnsi="Arial" w:cs="Arial"/>
          <w:color w:val="000000" w:themeColor="text1"/>
          <w:sz w:val="22"/>
          <w:szCs w:val="22"/>
        </w:rPr>
        <w:t xml:space="preserve"> in our RNA-Seq time-sensitive study, which aimed to identify and monitor </w:t>
      </w:r>
      <w:r w:rsidRPr="003E7C59">
        <w:rPr>
          <w:rFonts w:ascii="Arial" w:hAnsi="Arial" w:cs="Arial"/>
          <w:i/>
          <w:iCs/>
          <w:color w:val="000000" w:themeColor="text1"/>
          <w:sz w:val="22"/>
          <w:szCs w:val="22"/>
        </w:rPr>
        <w:t xml:space="preserve">Mlo </w:t>
      </w:r>
      <w:r w:rsidRPr="003E7C59">
        <w:rPr>
          <w:rFonts w:ascii="Arial" w:hAnsi="Arial" w:cs="Arial"/>
          <w:color w:val="000000" w:themeColor="text1"/>
          <w:sz w:val="22"/>
          <w:szCs w:val="22"/>
        </w:rPr>
        <w:t>and other candidate</w:t>
      </w:r>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genes controlling early disease response to PM in flowering dogwood. </w:t>
      </w:r>
      <w:r w:rsidRPr="003E7C59">
        <w:rPr>
          <w:rFonts w:ascii="Arial" w:hAnsi="Arial" w:cs="Arial"/>
          <w:i/>
          <w:iCs/>
          <w:color w:val="000000" w:themeColor="text1"/>
          <w:sz w:val="22"/>
          <w:szCs w:val="22"/>
        </w:rPr>
        <w:t>Mlo</w:t>
      </w:r>
      <w:r w:rsidRPr="003E7C59">
        <w:rPr>
          <w:rFonts w:ascii="Arial" w:hAnsi="Arial" w:cs="Arial"/>
          <w:color w:val="000000" w:themeColor="text1"/>
          <w:sz w:val="22"/>
          <w:szCs w:val="22"/>
        </w:rPr>
        <w:t xml:space="preserve">-based resistance is a durable defense mechanism against PM infection, and completion of this study upon </w:t>
      </w:r>
      <w:r w:rsidRPr="003E7C59">
        <w:rPr>
          <w:rFonts w:ascii="Arial" w:hAnsi="Arial" w:cs="Arial"/>
          <w:i/>
          <w:iCs/>
          <w:color w:val="000000" w:themeColor="text1"/>
          <w:sz w:val="22"/>
          <w:szCs w:val="22"/>
        </w:rPr>
        <w:t>C</w:t>
      </w:r>
      <w:r w:rsidRPr="003E7C59">
        <w:rPr>
          <w:rFonts w:ascii="Arial" w:hAnsi="Arial" w:cs="Arial"/>
          <w:color w:val="000000" w:themeColor="text1"/>
          <w:sz w:val="22"/>
          <w:szCs w:val="22"/>
        </w:rPr>
        <w:t xml:space="preserve">. </w:t>
      </w:r>
      <w:proofErr w:type="gramStart"/>
      <w:r w:rsidRPr="003E7C59">
        <w:rPr>
          <w:rFonts w:ascii="Arial" w:hAnsi="Arial" w:cs="Arial"/>
          <w:i/>
          <w:iCs/>
          <w:color w:val="000000" w:themeColor="text1"/>
          <w:sz w:val="22"/>
          <w:szCs w:val="22"/>
        </w:rPr>
        <w:t>florida</w:t>
      </w:r>
      <w:proofErr w:type="gramEnd"/>
      <w:r w:rsidRPr="003E7C59">
        <w:rPr>
          <w:rFonts w:ascii="Arial" w:hAnsi="Arial" w:cs="Arial"/>
          <w:i/>
          <w:iCs/>
          <w:color w:val="000000" w:themeColor="text1"/>
          <w:sz w:val="22"/>
          <w:szCs w:val="22"/>
        </w:rPr>
        <w:t xml:space="preserve"> </w:t>
      </w:r>
      <w:r w:rsidRPr="003E7C59">
        <w:rPr>
          <w:rFonts w:ascii="Arial" w:hAnsi="Arial" w:cs="Arial"/>
          <w:color w:val="000000" w:themeColor="text1"/>
          <w:sz w:val="22"/>
          <w:szCs w:val="22"/>
        </w:rPr>
        <w:t xml:space="preserve">genome availability will allow DNA marker development and, subsequently, MAS or functional marker application in selection for PM-resistant dogwood cultivars. </w:t>
      </w:r>
    </w:p>
    <w:p w14:paraId="531F9B6A" w14:textId="77777777" w:rsidR="00B51BF9" w:rsidRPr="003E7C59" w:rsidRDefault="00B51BF9" w:rsidP="006622F2">
      <w:pPr>
        <w:spacing w:line="360" w:lineRule="auto"/>
        <w:ind w:firstLine="720"/>
        <w:rPr>
          <w:rFonts w:ascii="Arial" w:hAnsi="Arial" w:cs="Arial"/>
          <w:color w:val="000000" w:themeColor="text1"/>
          <w:sz w:val="22"/>
          <w:szCs w:val="22"/>
        </w:rPr>
      </w:pPr>
    </w:p>
    <w:p w14:paraId="7E9A262B" w14:textId="77777777" w:rsidR="00B51BF9" w:rsidRPr="003E7C59" w:rsidRDefault="00B51BF9" w:rsidP="006622F2">
      <w:pPr>
        <w:spacing w:line="360" w:lineRule="auto"/>
        <w:ind w:firstLine="720"/>
        <w:rPr>
          <w:rFonts w:ascii="Arial" w:hAnsi="Arial" w:cs="Arial"/>
          <w:color w:val="000000" w:themeColor="text1"/>
          <w:sz w:val="22"/>
          <w:szCs w:val="22"/>
        </w:rPr>
      </w:pPr>
      <w:r w:rsidRPr="003E7C59">
        <w:rPr>
          <w:rFonts w:ascii="Arial" w:hAnsi="Arial" w:cs="Arial"/>
          <w:color w:val="000000" w:themeColor="text1"/>
          <w:sz w:val="22"/>
          <w:szCs w:val="22"/>
        </w:rPr>
        <w:t xml:space="preserve">Lastly, we confirmed that </w:t>
      </w:r>
      <w:r w:rsidRPr="003E7C59">
        <w:rPr>
          <w:rFonts w:ascii="Arial" w:hAnsi="Arial" w:cs="Arial"/>
          <w:color w:val="000000" w:themeColor="text1"/>
          <w:sz w:val="22"/>
          <w:szCs w:val="22"/>
          <w:shd w:val="clear" w:color="auto" w:fill="FCFCFC"/>
        </w:rPr>
        <w:t xml:space="preserve">PM </w:t>
      </w:r>
      <w:proofErr w:type="gramStart"/>
      <w:r w:rsidRPr="003E7C59">
        <w:rPr>
          <w:rFonts w:ascii="Arial" w:hAnsi="Arial" w:cs="Arial"/>
          <w:color w:val="000000" w:themeColor="text1"/>
          <w:sz w:val="22"/>
          <w:szCs w:val="22"/>
          <w:shd w:val="clear" w:color="auto" w:fill="FCFCFC"/>
        </w:rPr>
        <w:t>is not inherited</w:t>
      </w:r>
      <w:proofErr w:type="gramEnd"/>
      <w:r w:rsidRPr="003E7C59">
        <w:rPr>
          <w:rFonts w:ascii="Arial" w:hAnsi="Arial" w:cs="Arial"/>
          <w:color w:val="000000" w:themeColor="text1"/>
          <w:sz w:val="22"/>
          <w:szCs w:val="22"/>
          <w:shd w:val="clear" w:color="auto" w:fill="FCFCFC"/>
        </w:rPr>
        <w:t xml:space="preserve"> in a simple Mendelian manner by a single gene but by </w:t>
      </w:r>
      <w:r w:rsidRPr="003E7C59">
        <w:rPr>
          <w:rFonts w:ascii="Arial" w:hAnsi="Arial" w:cs="Arial"/>
          <w:color w:val="000000" w:themeColor="text1"/>
          <w:sz w:val="22"/>
          <w:szCs w:val="22"/>
        </w:rPr>
        <w:t xml:space="preserve">duplicate gene action, a form of dominant epistasis in the pseudo-F2 population developed by Wang et al., 2009. Moreover, we confirmed the presence of two quantitative trait loci (QTL) on chromosomes 8 and 9, designated as QTLPM-7 and QTLPM-8, which explained 19% and 25% of phenotypic variance. This study was the only one to employ a pseudo-F2 map population for QTL detection. Further QTL </w:t>
      </w:r>
      <w:r w:rsidRPr="003E7C59">
        <w:rPr>
          <w:rFonts w:ascii="Arial" w:hAnsi="Arial" w:cs="Arial"/>
          <w:color w:val="000000" w:themeColor="text1"/>
          <w:sz w:val="22"/>
          <w:szCs w:val="22"/>
          <w:shd w:val="clear" w:color="auto" w:fill="FCFCFC"/>
        </w:rPr>
        <w:t xml:space="preserve">confirmation and validation will enable the application of the </w:t>
      </w:r>
      <w:r w:rsidRPr="003E7C59">
        <w:rPr>
          <w:rFonts w:ascii="Arial" w:hAnsi="Arial" w:cs="Arial"/>
          <w:color w:val="000000" w:themeColor="text1"/>
          <w:sz w:val="22"/>
          <w:szCs w:val="22"/>
        </w:rPr>
        <w:t xml:space="preserve">MAS strategy to select PM-resistant breeding lines more efficiently. </w:t>
      </w:r>
    </w:p>
    <w:p w14:paraId="7AB738B4" w14:textId="21AC3295" w:rsidR="00B51BF9" w:rsidRPr="003E7C59" w:rsidRDefault="00B51BF9" w:rsidP="006622F2">
      <w:pPr>
        <w:rPr>
          <w:rFonts w:ascii="Arial" w:hAnsi="Arial" w:cs="Arial"/>
          <w:color w:val="000000" w:themeColor="text1"/>
          <w:sz w:val="22"/>
          <w:szCs w:val="22"/>
        </w:rPr>
      </w:pPr>
    </w:p>
    <w:p w14:paraId="661D3A4B" w14:textId="0A5249FB" w:rsidR="00EC16C3" w:rsidRPr="003E7C59" w:rsidRDefault="00EC16C3" w:rsidP="006622F2">
      <w:pPr>
        <w:rPr>
          <w:rFonts w:ascii="Arial" w:hAnsi="Arial" w:cs="Arial"/>
          <w:color w:val="000000" w:themeColor="text1"/>
          <w:sz w:val="22"/>
          <w:szCs w:val="22"/>
        </w:rPr>
      </w:pPr>
    </w:p>
    <w:p w14:paraId="11ECE9E5" w14:textId="378106A6" w:rsidR="00EC16C3" w:rsidRPr="003E7C59" w:rsidRDefault="00EC16C3" w:rsidP="006622F2">
      <w:pPr>
        <w:rPr>
          <w:rFonts w:ascii="Arial" w:hAnsi="Arial" w:cs="Arial"/>
          <w:color w:val="000000" w:themeColor="text1"/>
          <w:sz w:val="22"/>
          <w:szCs w:val="22"/>
        </w:rPr>
      </w:pPr>
    </w:p>
    <w:p w14:paraId="6BE8E24C" w14:textId="78553C81" w:rsidR="00EC16C3" w:rsidRPr="003E7C59" w:rsidRDefault="00EC16C3" w:rsidP="006622F2">
      <w:pPr>
        <w:rPr>
          <w:rFonts w:ascii="Arial" w:hAnsi="Arial" w:cs="Arial"/>
          <w:color w:val="000000" w:themeColor="text1"/>
          <w:sz w:val="22"/>
          <w:szCs w:val="22"/>
        </w:rPr>
      </w:pPr>
    </w:p>
    <w:p w14:paraId="78FF191F" w14:textId="22B13D47" w:rsidR="00EC16C3" w:rsidRPr="003E7C59" w:rsidRDefault="00EC16C3" w:rsidP="006622F2">
      <w:pPr>
        <w:rPr>
          <w:rFonts w:ascii="Arial" w:hAnsi="Arial" w:cs="Arial"/>
          <w:color w:val="000000" w:themeColor="text1"/>
          <w:sz w:val="22"/>
          <w:szCs w:val="22"/>
        </w:rPr>
      </w:pPr>
    </w:p>
    <w:p w14:paraId="0488916E" w14:textId="79306361" w:rsidR="00EC16C3" w:rsidRPr="003E7C59" w:rsidRDefault="00EC16C3" w:rsidP="006622F2">
      <w:pPr>
        <w:rPr>
          <w:rFonts w:ascii="Arial" w:hAnsi="Arial" w:cs="Arial"/>
          <w:color w:val="000000" w:themeColor="text1"/>
          <w:sz w:val="22"/>
          <w:szCs w:val="22"/>
        </w:rPr>
      </w:pPr>
    </w:p>
    <w:p w14:paraId="50617187" w14:textId="2D3DAD75" w:rsidR="00EC16C3" w:rsidRPr="003E7C59" w:rsidRDefault="00EC16C3" w:rsidP="006622F2">
      <w:pPr>
        <w:rPr>
          <w:rFonts w:ascii="Arial" w:hAnsi="Arial" w:cs="Arial"/>
          <w:color w:val="000000" w:themeColor="text1"/>
          <w:sz w:val="22"/>
          <w:szCs w:val="22"/>
        </w:rPr>
      </w:pPr>
    </w:p>
    <w:p w14:paraId="32343786" w14:textId="00E329FB" w:rsidR="00EC16C3" w:rsidRPr="003E7C59" w:rsidRDefault="00EC16C3" w:rsidP="006622F2">
      <w:pPr>
        <w:rPr>
          <w:rFonts w:ascii="Arial" w:hAnsi="Arial" w:cs="Arial"/>
          <w:color w:val="000000" w:themeColor="text1"/>
          <w:sz w:val="22"/>
          <w:szCs w:val="22"/>
        </w:rPr>
      </w:pPr>
    </w:p>
    <w:p w14:paraId="25CE41BA" w14:textId="6822FCBB" w:rsidR="00EC16C3" w:rsidRPr="003E7C59" w:rsidRDefault="00EC16C3" w:rsidP="006622F2">
      <w:pPr>
        <w:rPr>
          <w:rFonts w:ascii="Arial" w:hAnsi="Arial" w:cs="Arial"/>
          <w:color w:val="000000" w:themeColor="text1"/>
          <w:sz w:val="22"/>
          <w:szCs w:val="22"/>
        </w:rPr>
      </w:pPr>
    </w:p>
    <w:p w14:paraId="21467D4F" w14:textId="20B355EB" w:rsidR="00EC16C3" w:rsidRPr="003E7C59" w:rsidRDefault="00EC16C3" w:rsidP="006622F2">
      <w:pPr>
        <w:rPr>
          <w:rFonts w:ascii="Arial" w:hAnsi="Arial" w:cs="Arial"/>
          <w:color w:val="000000" w:themeColor="text1"/>
          <w:sz w:val="22"/>
          <w:szCs w:val="22"/>
        </w:rPr>
      </w:pPr>
    </w:p>
    <w:p w14:paraId="1AF3D1B2" w14:textId="054D2EA8" w:rsidR="00EC16C3" w:rsidRPr="003E7C59" w:rsidRDefault="00EC16C3" w:rsidP="006622F2">
      <w:pPr>
        <w:rPr>
          <w:rFonts w:ascii="Arial" w:hAnsi="Arial" w:cs="Arial"/>
          <w:color w:val="000000" w:themeColor="text1"/>
          <w:sz w:val="22"/>
          <w:szCs w:val="22"/>
        </w:rPr>
      </w:pPr>
    </w:p>
    <w:p w14:paraId="7D03A8A3" w14:textId="581E8D35" w:rsidR="00EC16C3" w:rsidRPr="003E7C59" w:rsidRDefault="00EC16C3" w:rsidP="006622F2">
      <w:pPr>
        <w:rPr>
          <w:rFonts w:ascii="Arial" w:hAnsi="Arial" w:cs="Arial"/>
          <w:color w:val="000000" w:themeColor="text1"/>
          <w:sz w:val="22"/>
          <w:szCs w:val="22"/>
        </w:rPr>
      </w:pPr>
    </w:p>
    <w:p w14:paraId="271C1421" w14:textId="3E7F1B89" w:rsidR="00EC16C3" w:rsidRPr="003E7C59" w:rsidRDefault="00EC16C3" w:rsidP="006622F2">
      <w:pPr>
        <w:rPr>
          <w:rFonts w:ascii="Arial" w:hAnsi="Arial" w:cs="Arial"/>
          <w:color w:val="000000" w:themeColor="text1"/>
          <w:sz w:val="22"/>
          <w:szCs w:val="22"/>
        </w:rPr>
      </w:pPr>
    </w:p>
    <w:p w14:paraId="2D503734" w14:textId="6187A090" w:rsidR="00EC16C3" w:rsidRPr="003E7C59" w:rsidRDefault="00EC16C3" w:rsidP="006622F2">
      <w:pPr>
        <w:rPr>
          <w:rFonts w:ascii="Arial" w:hAnsi="Arial" w:cs="Arial"/>
          <w:color w:val="000000" w:themeColor="text1"/>
          <w:sz w:val="22"/>
          <w:szCs w:val="22"/>
        </w:rPr>
      </w:pPr>
    </w:p>
    <w:p w14:paraId="2B27AA67" w14:textId="6E8896CD" w:rsidR="00EC16C3" w:rsidRPr="003E7C59" w:rsidRDefault="00EC16C3" w:rsidP="006622F2">
      <w:pPr>
        <w:rPr>
          <w:rFonts w:ascii="Arial" w:hAnsi="Arial" w:cs="Arial"/>
          <w:color w:val="000000" w:themeColor="text1"/>
          <w:sz w:val="22"/>
          <w:szCs w:val="22"/>
        </w:rPr>
      </w:pPr>
    </w:p>
    <w:p w14:paraId="090E37A7" w14:textId="75A2879D" w:rsidR="00EC16C3" w:rsidRPr="003E7C59" w:rsidRDefault="00EC16C3" w:rsidP="006622F2">
      <w:pPr>
        <w:rPr>
          <w:rFonts w:ascii="Arial" w:hAnsi="Arial" w:cs="Arial"/>
          <w:color w:val="000000" w:themeColor="text1"/>
          <w:sz w:val="22"/>
          <w:szCs w:val="22"/>
        </w:rPr>
      </w:pPr>
    </w:p>
    <w:p w14:paraId="77398832" w14:textId="3D2B0D75" w:rsidR="00EC16C3" w:rsidRPr="003E7C59" w:rsidRDefault="00EC16C3" w:rsidP="006622F2">
      <w:pPr>
        <w:rPr>
          <w:rFonts w:ascii="Arial" w:hAnsi="Arial" w:cs="Arial"/>
          <w:color w:val="000000" w:themeColor="text1"/>
          <w:sz w:val="22"/>
          <w:szCs w:val="22"/>
        </w:rPr>
      </w:pPr>
    </w:p>
    <w:p w14:paraId="37B01C05" w14:textId="77777777" w:rsidR="00EC16C3" w:rsidRPr="003E7C59" w:rsidRDefault="00EC16C3" w:rsidP="006622F2">
      <w:pPr>
        <w:rPr>
          <w:rFonts w:ascii="Arial" w:hAnsi="Arial" w:cs="Arial"/>
          <w:b/>
          <w:color w:val="000000" w:themeColor="text1"/>
          <w:sz w:val="22"/>
          <w:szCs w:val="22"/>
        </w:rPr>
      </w:pPr>
    </w:p>
    <w:p w14:paraId="62073F9C" w14:textId="38A14200" w:rsidR="00B51BF9" w:rsidRPr="003E7C59" w:rsidRDefault="00B51BF9" w:rsidP="006622F2">
      <w:pPr>
        <w:pStyle w:val="Heading1"/>
        <w:spacing w:before="0" w:after="0"/>
        <w:jc w:val="center"/>
        <w:rPr>
          <w:rFonts w:ascii="Arial" w:hAnsi="Arial" w:cs="Arial"/>
          <w:color w:val="000000" w:themeColor="text1"/>
          <w:sz w:val="22"/>
          <w:szCs w:val="22"/>
        </w:rPr>
      </w:pPr>
      <w:bookmarkStart w:id="234" w:name="_Toc117166879"/>
      <w:bookmarkStart w:id="235" w:name="_Toc121821965"/>
      <w:r w:rsidRPr="003E7C59">
        <w:rPr>
          <w:rFonts w:ascii="Arial" w:hAnsi="Arial" w:cs="Arial"/>
          <w:color w:val="000000" w:themeColor="text1"/>
          <w:sz w:val="22"/>
          <w:szCs w:val="22"/>
        </w:rPr>
        <w:lastRenderedPageBreak/>
        <w:t>References</w:t>
      </w:r>
      <w:bookmarkEnd w:id="234"/>
      <w:bookmarkEnd w:id="235"/>
      <w:r w:rsidRPr="003E7C59">
        <w:rPr>
          <w:rFonts w:ascii="Arial" w:hAnsi="Arial" w:cs="Arial"/>
          <w:color w:val="000000" w:themeColor="text1"/>
          <w:sz w:val="22"/>
          <w:szCs w:val="22"/>
        </w:rPr>
        <w:t xml:space="preserve"> </w:t>
      </w:r>
    </w:p>
    <w:p w14:paraId="4B202501" w14:textId="77777777" w:rsidR="00B51BF9" w:rsidRPr="003E7C59" w:rsidRDefault="00B51BF9" w:rsidP="006622F2">
      <w:pPr>
        <w:spacing w:line="360" w:lineRule="auto"/>
        <w:rPr>
          <w:rFonts w:ascii="Arial" w:hAnsi="Arial" w:cs="Arial"/>
          <w:b/>
          <w:bCs/>
          <w:color w:val="000000" w:themeColor="text1"/>
          <w:sz w:val="22"/>
          <w:szCs w:val="22"/>
        </w:rPr>
      </w:pPr>
    </w:p>
    <w:p w14:paraId="2B386F55" w14:textId="77777777" w:rsidR="00B51BF9" w:rsidRPr="003E7C59" w:rsidRDefault="00B51BF9" w:rsidP="006622F2">
      <w:pPr>
        <w:spacing w:line="360" w:lineRule="auto"/>
        <w:rPr>
          <w:rFonts w:ascii="Arial" w:hAnsi="Arial" w:cs="Arial"/>
          <w:b/>
          <w:bCs/>
          <w:color w:val="000000" w:themeColor="text1"/>
          <w:sz w:val="22"/>
          <w:szCs w:val="22"/>
        </w:rPr>
      </w:pPr>
    </w:p>
    <w:p w14:paraId="2F13CCCC" w14:textId="77777777" w:rsidR="00B51BF9" w:rsidRPr="003E7C59" w:rsidRDefault="00B51BF9" w:rsidP="006622F2">
      <w:pPr>
        <w:spacing w:line="360" w:lineRule="auto"/>
        <w:rPr>
          <w:rFonts w:ascii="Arial" w:hAnsi="Arial" w:cs="Arial"/>
          <w:b/>
          <w:bCs/>
          <w:color w:val="000000" w:themeColor="text1"/>
          <w:sz w:val="22"/>
          <w:szCs w:val="22"/>
        </w:rPr>
      </w:pPr>
    </w:p>
    <w:p w14:paraId="25A47B70" w14:textId="77777777" w:rsidR="00B51BF9" w:rsidRPr="003E7C59" w:rsidRDefault="00B51BF9" w:rsidP="006622F2">
      <w:pPr>
        <w:spacing w:line="360" w:lineRule="auto"/>
        <w:rPr>
          <w:rFonts w:ascii="Arial" w:hAnsi="Arial" w:cs="Arial"/>
          <w:b/>
          <w:bCs/>
          <w:color w:val="000000" w:themeColor="text1"/>
          <w:sz w:val="22"/>
          <w:szCs w:val="22"/>
        </w:rPr>
      </w:pPr>
    </w:p>
    <w:p w14:paraId="32203C8C" w14:textId="77777777" w:rsidR="00B51BF9" w:rsidRPr="003E7C59" w:rsidRDefault="00B51BF9" w:rsidP="006622F2">
      <w:pPr>
        <w:spacing w:line="360" w:lineRule="auto"/>
        <w:rPr>
          <w:rFonts w:ascii="Arial" w:hAnsi="Arial" w:cs="Arial"/>
          <w:b/>
          <w:bCs/>
          <w:color w:val="000000" w:themeColor="text1"/>
          <w:sz w:val="22"/>
          <w:szCs w:val="22"/>
        </w:rPr>
      </w:pPr>
    </w:p>
    <w:p w14:paraId="19BF9DEE" w14:textId="77777777" w:rsidR="00B51BF9" w:rsidRPr="003E7C59" w:rsidRDefault="00B51BF9" w:rsidP="006622F2">
      <w:pPr>
        <w:spacing w:line="360" w:lineRule="auto"/>
        <w:rPr>
          <w:rFonts w:ascii="Arial" w:hAnsi="Arial" w:cs="Arial"/>
          <w:b/>
          <w:bCs/>
          <w:color w:val="000000" w:themeColor="text1"/>
          <w:sz w:val="22"/>
          <w:szCs w:val="22"/>
        </w:rPr>
      </w:pPr>
    </w:p>
    <w:p w14:paraId="671A697B" w14:textId="77777777" w:rsidR="00B51BF9" w:rsidRPr="003E7C59" w:rsidRDefault="00B51BF9" w:rsidP="006622F2">
      <w:pPr>
        <w:spacing w:line="360" w:lineRule="auto"/>
        <w:rPr>
          <w:rFonts w:ascii="Arial" w:hAnsi="Arial" w:cs="Arial"/>
          <w:b/>
          <w:bCs/>
          <w:color w:val="000000" w:themeColor="text1"/>
          <w:sz w:val="22"/>
          <w:szCs w:val="22"/>
        </w:rPr>
      </w:pPr>
    </w:p>
    <w:p w14:paraId="7B4D9275" w14:textId="77777777" w:rsidR="00B51BF9" w:rsidRPr="003E7C59" w:rsidRDefault="00B51BF9" w:rsidP="006622F2">
      <w:pPr>
        <w:spacing w:line="360" w:lineRule="auto"/>
        <w:rPr>
          <w:rFonts w:ascii="Arial" w:hAnsi="Arial" w:cs="Arial"/>
          <w:b/>
          <w:bCs/>
          <w:color w:val="000000" w:themeColor="text1"/>
          <w:sz w:val="22"/>
          <w:szCs w:val="22"/>
        </w:rPr>
      </w:pPr>
    </w:p>
    <w:p w14:paraId="69F89F97" w14:textId="77777777" w:rsidR="00B51BF9" w:rsidRPr="003E7C59" w:rsidRDefault="00B51BF9" w:rsidP="006622F2">
      <w:pPr>
        <w:spacing w:line="360" w:lineRule="auto"/>
        <w:rPr>
          <w:rFonts w:ascii="Arial" w:hAnsi="Arial" w:cs="Arial"/>
          <w:b/>
          <w:bCs/>
          <w:color w:val="000000" w:themeColor="text1"/>
          <w:sz w:val="22"/>
          <w:szCs w:val="22"/>
        </w:rPr>
      </w:pPr>
    </w:p>
    <w:p w14:paraId="020F6543" w14:textId="77777777" w:rsidR="00B51BF9" w:rsidRPr="003E7C59" w:rsidRDefault="00B51BF9" w:rsidP="006622F2">
      <w:pPr>
        <w:spacing w:line="360" w:lineRule="auto"/>
        <w:rPr>
          <w:rFonts w:ascii="Arial" w:hAnsi="Arial" w:cs="Arial"/>
          <w:b/>
          <w:bCs/>
          <w:color w:val="000000" w:themeColor="text1"/>
          <w:sz w:val="22"/>
          <w:szCs w:val="22"/>
        </w:rPr>
      </w:pPr>
    </w:p>
    <w:p w14:paraId="23AC630E" w14:textId="77777777" w:rsidR="00B51BF9" w:rsidRPr="003E7C59" w:rsidRDefault="00B51BF9" w:rsidP="006622F2">
      <w:pPr>
        <w:spacing w:line="360" w:lineRule="auto"/>
        <w:rPr>
          <w:rFonts w:ascii="Arial" w:hAnsi="Arial" w:cs="Arial"/>
          <w:b/>
          <w:bCs/>
          <w:color w:val="000000" w:themeColor="text1"/>
          <w:sz w:val="22"/>
          <w:szCs w:val="22"/>
        </w:rPr>
      </w:pPr>
    </w:p>
    <w:p w14:paraId="2760CDE8" w14:textId="77777777" w:rsidR="00B51BF9" w:rsidRPr="003E7C59" w:rsidRDefault="00B51BF9" w:rsidP="006622F2">
      <w:pPr>
        <w:spacing w:line="360" w:lineRule="auto"/>
        <w:rPr>
          <w:rFonts w:ascii="Arial" w:hAnsi="Arial" w:cs="Arial"/>
          <w:b/>
          <w:bCs/>
          <w:color w:val="000000" w:themeColor="text1"/>
          <w:sz w:val="22"/>
          <w:szCs w:val="22"/>
        </w:rPr>
      </w:pPr>
    </w:p>
    <w:p w14:paraId="47C80224" w14:textId="77777777" w:rsidR="00B51BF9" w:rsidRPr="003E7C59" w:rsidRDefault="00B51BF9" w:rsidP="006622F2">
      <w:pPr>
        <w:spacing w:line="360" w:lineRule="auto"/>
        <w:rPr>
          <w:rFonts w:ascii="Arial" w:hAnsi="Arial" w:cs="Arial"/>
          <w:b/>
          <w:bCs/>
          <w:color w:val="000000" w:themeColor="text1"/>
          <w:sz w:val="22"/>
          <w:szCs w:val="22"/>
        </w:rPr>
      </w:pPr>
    </w:p>
    <w:p w14:paraId="5F06F625" w14:textId="77777777" w:rsidR="00B51BF9" w:rsidRPr="003E7C59" w:rsidRDefault="00B51BF9" w:rsidP="006622F2">
      <w:pPr>
        <w:spacing w:line="360" w:lineRule="auto"/>
        <w:rPr>
          <w:rFonts w:ascii="Arial" w:hAnsi="Arial" w:cs="Arial"/>
          <w:b/>
          <w:bCs/>
          <w:color w:val="000000" w:themeColor="text1"/>
          <w:sz w:val="22"/>
          <w:szCs w:val="22"/>
        </w:rPr>
      </w:pPr>
    </w:p>
    <w:p w14:paraId="291DC5D4" w14:textId="77777777" w:rsidR="00B51BF9" w:rsidRPr="003E7C59" w:rsidRDefault="00B51BF9" w:rsidP="006622F2">
      <w:pPr>
        <w:spacing w:line="360" w:lineRule="auto"/>
        <w:rPr>
          <w:rFonts w:ascii="Arial" w:hAnsi="Arial" w:cs="Arial"/>
          <w:b/>
          <w:bCs/>
          <w:color w:val="000000" w:themeColor="text1"/>
          <w:sz w:val="22"/>
          <w:szCs w:val="22"/>
        </w:rPr>
      </w:pPr>
    </w:p>
    <w:p w14:paraId="763B2E6E" w14:textId="77777777" w:rsidR="00B51BF9" w:rsidRPr="003E7C59" w:rsidRDefault="00B51BF9" w:rsidP="006622F2">
      <w:pPr>
        <w:spacing w:line="360" w:lineRule="auto"/>
        <w:rPr>
          <w:rFonts w:ascii="Arial" w:hAnsi="Arial" w:cs="Arial"/>
          <w:b/>
          <w:bCs/>
          <w:color w:val="000000" w:themeColor="text1"/>
          <w:sz w:val="22"/>
          <w:szCs w:val="22"/>
        </w:rPr>
      </w:pPr>
    </w:p>
    <w:p w14:paraId="577118B0" w14:textId="77777777" w:rsidR="00B51BF9" w:rsidRPr="003E7C59" w:rsidRDefault="00B51BF9" w:rsidP="006622F2">
      <w:pPr>
        <w:spacing w:line="360" w:lineRule="auto"/>
        <w:rPr>
          <w:rFonts w:ascii="Arial" w:hAnsi="Arial" w:cs="Arial"/>
          <w:b/>
          <w:bCs/>
          <w:color w:val="000000" w:themeColor="text1"/>
          <w:sz w:val="22"/>
          <w:szCs w:val="22"/>
        </w:rPr>
      </w:pPr>
    </w:p>
    <w:p w14:paraId="28CCF2FA" w14:textId="77777777" w:rsidR="00B51BF9" w:rsidRPr="003E7C59" w:rsidRDefault="00B51BF9" w:rsidP="006622F2">
      <w:pPr>
        <w:spacing w:line="360" w:lineRule="auto"/>
        <w:rPr>
          <w:rFonts w:ascii="Arial" w:hAnsi="Arial" w:cs="Arial"/>
          <w:b/>
          <w:bCs/>
          <w:color w:val="000000" w:themeColor="text1"/>
          <w:sz w:val="22"/>
          <w:szCs w:val="22"/>
        </w:rPr>
      </w:pPr>
    </w:p>
    <w:p w14:paraId="59922EE5" w14:textId="77777777" w:rsidR="00B51BF9" w:rsidRPr="003E7C59" w:rsidRDefault="00B51BF9" w:rsidP="006622F2">
      <w:pPr>
        <w:spacing w:line="360" w:lineRule="auto"/>
        <w:rPr>
          <w:rFonts w:ascii="Arial" w:hAnsi="Arial" w:cs="Arial"/>
          <w:b/>
          <w:bCs/>
          <w:color w:val="000000" w:themeColor="text1"/>
          <w:sz w:val="22"/>
          <w:szCs w:val="22"/>
        </w:rPr>
      </w:pPr>
    </w:p>
    <w:p w14:paraId="581DEB5F" w14:textId="77777777" w:rsidR="00B51BF9" w:rsidRPr="003E7C59" w:rsidRDefault="00B51BF9" w:rsidP="006622F2">
      <w:pPr>
        <w:spacing w:line="360" w:lineRule="auto"/>
        <w:rPr>
          <w:rFonts w:ascii="Arial" w:hAnsi="Arial" w:cs="Arial"/>
          <w:b/>
          <w:bCs/>
          <w:color w:val="000000" w:themeColor="text1"/>
          <w:sz w:val="22"/>
          <w:szCs w:val="22"/>
        </w:rPr>
      </w:pPr>
    </w:p>
    <w:p w14:paraId="0EDB6FBC" w14:textId="77777777" w:rsidR="00B51BF9" w:rsidRPr="003E7C59" w:rsidRDefault="00B51BF9" w:rsidP="006622F2">
      <w:pPr>
        <w:spacing w:line="360" w:lineRule="auto"/>
        <w:rPr>
          <w:rFonts w:ascii="Arial" w:hAnsi="Arial" w:cs="Arial"/>
          <w:b/>
          <w:bCs/>
          <w:color w:val="000000" w:themeColor="text1"/>
          <w:sz w:val="22"/>
          <w:szCs w:val="22"/>
        </w:rPr>
      </w:pPr>
    </w:p>
    <w:p w14:paraId="135A3912" w14:textId="77777777" w:rsidR="00B51BF9" w:rsidRPr="003E7C59" w:rsidRDefault="00B51BF9" w:rsidP="006622F2">
      <w:pPr>
        <w:spacing w:line="360" w:lineRule="auto"/>
        <w:rPr>
          <w:rFonts w:ascii="Arial" w:hAnsi="Arial" w:cs="Arial"/>
          <w:b/>
          <w:bCs/>
          <w:color w:val="000000" w:themeColor="text1"/>
          <w:sz w:val="22"/>
          <w:szCs w:val="22"/>
        </w:rPr>
      </w:pPr>
    </w:p>
    <w:p w14:paraId="074C1CBE" w14:textId="77777777" w:rsidR="00B51BF9" w:rsidRPr="003E7C59" w:rsidRDefault="00B51BF9" w:rsidP="006622F2">
      <w:pPr>
        <w:spacing w:line="360" w:lineRule="auto"/>
        <w:rPr>
          <w:rFonts w:ascii="Arial" w:hAnsi="Arial" w:cs="Arial"/>
          <w:b/>
          <w:bCs/>
          <w:color w:val="000000" w:themeColor="text1"/>
          <w:sz w:val="22"/>
          <w:szCs w:val="22"/>
        </w:rPr>
      </w:pPr>
    </w:p>
    <w:p w14:paraId="0DF75727" w14:textId="77777777" w:rsidR="00B51BF9" w:rsidRPr="003E7C59" w:rsidRDefault="00B51BF9" w:rsidP="006622F2">
      <w:pPr>
        <w:spacing w:line="360" w:lineRule="auto"/>
        <w:rPr>
          <w:rFonts w:ascii="Arial" w:hAnsi="Arial" w:cs="Arial"/>
          <w:b/>
          <w:bCs/>
          <w:color w:val="000000" w:themeColor="text1"/>
          <w:sz w:val="22"/>
          <w:szCs w:val="22"/>
        </w:rPr>
      </w:pPr>
    </w:p>
    <w:p w14:paraId="64D73A7F" w14:textId="77777777" w:rsidR="00B51BF9" w:rsidRPr="003E7C59" w:rsidRDefault="00B51BF9" w:rsidP="006622F2">
      <w:pPr>
        <w:spacing w:line="360" w:lineRule="auto"/>
        <w:rPr>
          <w:rFonts w:ascii="Arial" w:hAnsi="Arial" w:cs="Arial"/>
          <w:b/>
          <w:bCs/>
          <w:color w:val="000000" w:themeColor="text1"/>
          <w:sz w:val="22"/>
          <w:szCs w:val="22"/>
        </w:rPr>
      </w:pPr>
    </w:p>
    <w:p w14:paraId="2FEC1758" w14:textId="77777777" w:rsidR="00B51BF9" w:rsidRPr="003E7C59" w:rsidRDefault="00B51BF9" w:rsidP="006622F2">
      <w:pPr>
        <w:spacing w:line="360" w:lineRule="auto"/>
        <w:rPr>
          <w:rFonts w:ascii="Arial" w:hAnsi="Arial" w:cs="Arial"/>
          <w:b/>
          <w:bCs/>
          <w:color w:val="000000" w:themeColor="text1"/>
          <w:sz w:val="22"/>
          <w:szCs w:val="22"/>
        </w:rPr>
      </w:pPr>
    </w:p>
    <w:p w14:paraId="0F485274" w14:textId="77777777" w:rsidR="00B51BF9" w:rsidRPr="003E7C59" w:rsidRDefault="00B51BF9" w:rsidP="006622F2">
      <w:pPr>
        <w:spacing w:line="360" w:lineRule="auto"/>
        <w:rPr>
          <w:rFonts w:ascii="Arial" w:hAnsi="Arial" w:cs="Arial"/>
          <w:b/>
          <w:bCs/>
          <w:color w:val="000000" w:themeColor="text1"/>
          <w:sz w:val="22"/>
          <w:szCs w:val="22"/>
        </w:rPr>
      </w:pPr>
    </w:p>
    <w:p w14:paraId="648FEA8E" w14:textId="77777777" w:rsidR="00B51BF9" w:rsidRPr="003E7C59" w:rsidRDefault="00B51BF9" w:rsidP="006622F2">
      <w:pPr>
        <w:spacing w:line="360" w:lineRule="auto"/>
        <w:rPr>
          <w:rFonts w:ascii="Arial" w:hAnsi="Arial" w:cs="Arial"/>
          <w:b/>
          <w:bCs/>
          <w:color w:val="000000" w:themeColor="text1"/>
          <w:sz w:val="22"/>
          <w:szCs w:val="22"/>
        </w:rPr>
      </w:pPr>
    </w:p>
    <w:p w14:paraId="00262F31" w14:textId="77777777" w:rsidR="00B51BF9" w:rsidRPr="003E7C59" w:rsidRDefault="00B51BF9" w:rsidP="006622F2">
      <w:pPr>
        <w:spacing w:line="360" w:lineRule="auto"/>
        <w:rPr>
          <w:rFonts w:ascii="Arial" w:hAnsi="Arial" w:cs="Arial"/>
          <w:b/>
          <w:bCs/>
          <w:color w:val="000000" w:themeColor="text1"/>
          <w:sz w:val="22"/>
          <w:szCs w:val="22"/>
        </w:rPr>
      </w:pPr>
    </w:p>
    <w:p w14:paraId="53ED29F7" w14:textId="77777777" w:rsidR="00B51BF9" w:rsidRPr="003E7C59" w:rsidRDefault="00B51BF9" w:rsidP="006622F2">
      <w:pPr>
        <w:spacing w:line="360" w:lineRule="auto"/>
        <w:jc w:val="both"/>
        <w:rPr>
          <w:rFonts w:ascii="Arial" w:hAnsi="Arial" w:cs="Arial"/>
          <w:b/>
          <w:bCs/>
          <w:color w:val="000000" w:themeColor="text1"/>
          <w:sz w:val="22"/>
          <w:szCs w:val="22"/>
        </w:rPr>
      </w:pPr>
    </w:p>
    <w:p w14:paraId="4C6FC74A" w14:textId="77777777" w:rsidR="00B51BF9" w:rsidRPr="003E7C59" w:rsidRDefault="00B51BF9" w:rsidP="006622F2">
      <w:pPr>
        <w:spacing w:line="360" w:lineRule="auto"/>
        <w:jc w:val="both"/>
        <w:rPr>
          <w:rFonts w:ascii="Arial" w:hAnsi="Arial" w:cs="Arial"/>
          <w:b/>
          <w:bCs/>
          <w:color w:val="000000" w:themeColor="text1"/>
          <w:sz w:val="22"/>
          <w:szCs w:val="22"/>
        </w:rPr>
      </w:pPr>
    </w:p>
    <w:p w14:paraId="773D52F2" w14:textId="77777777" w:rsidR="00B51BF9" w:rsidRPr="003E7C59" w:rsidRDefault="00B51BF9" w:rsidP="006622F2">
      <w:pPr>
        <w:spacing w:line="360" w:lineRule="auto"/>
        <w:jc w:val="both"/>
        <w:rPr>
          <w:rFonts w:ascii="Arial" w:hAnsi="Arial" w:cs="Arial"/>
          <w:b/>
          <w:bCs/>
          <w:color w:val="000000" w:themeColor="text1"/>
          <w:sz w:val="22"/>
          <w:szCs w:val="22"/>
        </w:rPr>
      </w:pPr>
    </w:p>
    <w:p w14:paraId="06A411CB" w14:textId="77777777" w:rsidR="00B51BF9" w:rsidRPr="003E7C59" w:rsidRDefault="00B51BF9" w:rsidP="006622F2">
      <w:pPr>
        <w:spacing w:line="360" w:lineRule="auto"/>
        <w:jc w:val="both"/>
        <w:rPr>
          <w:rFonts w:ascii="Arial" w:hAnsi="Arial" w:cs="Arial"/>
          <w:b/>
          <w:bCs/>
          <w:color w:val="000000" w:themeColor="text1"/>
          <w:sz w:val="22"/>
          <w:szCs w:val="22"/>
        </w:rPr>
      </w:pPr>
    </w:p>
    <w:p w14:paraId="54F8BCE2" w14:textId="77777777" w:rsidR="001B1244" w:rsidRDefault="001B1244" w:rsidP="006622F2">
      <w:pPr>
        <w:spacing w:line="360" w:lineRule="auto"/>
        <w:ind w:hanging="480"/>
        <w:rPr>
          <w:rFonts w:ascii="Arial" w:hAnsi="Arial" w:cs="Arial"/>
          <w:color w:val="000000" w:themeColor="text1"/>
          <w:sz w:val="22"/>
          <w:szCs w:val="22"/>
        </w:rPr>
        <w:sectPr w:rsidR="001B1244" w:rsidSect="00794BA6">
          <w:type w:val="continuous"/>
          <w:pgSz w:w="12240" w:h="15840"/>
          <w:pgMar w:top="1440" w:right="1440" w:bottom="1440" w:left="1440" w:header="720" w:footer="720" w:gutter="0"/>
          <w:cols w:space="720"/>
          <w:titlePg/>
          <w:docGrid w:linePitch="360"/>
        </w:sectPr>
      </w:pPr>
    </w:p>
    <w:p w14:paraId="5F4B403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Agrios, G. N. (2005). </w:t>
      </w:r>
      <w:r w:rsidRPr="001B1244">
        <w:rPr>
          <w:rFonts w:ascii="Arial" w:hAnsi="Arial" w:cs="Arial"/>
          <w:i/>
          <w:iCs/>
          <w:color w:val="000000" w:themeColor="text1"/>
          <w:sz w:val="22"/>
          <w:szCs w:val="22"/>
        </w:rPr>
        <w:t>Plant pathology</w:t>
      </w:r>
      <w:r w:rsidRPr="001B1244">
        <w:rPr>
          <w:rFonts w:ascii="Arial" w:hAnsi="Arial" w:cs="Arial"/>
          <w:color w:val="000000" w:themeColor="text1"/>
          <w:sz w:val="22"/>
          <w:szCs w:val="22"/>
        </w:rPr>
        <w:t xml:space="preserve">. Elsevier. Chicago. </w:t>
      </w:r>
    </w:p>
    <w:p w14:paraId="64EC0D1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Aghnoum, R., Marcel, T. C., Johrde, A., Pecchioni, N., Schweizer, P., &amp; Niks, R. E. (2010). Basal host resistance of barley to powdery mildew: connecting quantitative trait loci and candidate genes.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Molecular plant-microbe interactions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23</w:t>
      </w:r>
      <w:r w:rsidRPr="001B1244">
        <w:rPr>
          <w:rFonts w:ascii="Arial" w:hAnsi="Arial" w:cs="Arial"/>
          <w:color w:val="000000" w:themeColor="text1"/>
          <w:sz w:val="22"/>
          <w:szCs w:val="22"/>
          <w:shd w:val="clear" w:color="auto" w:fill="FFFFFF"/>
        </w:rPr>
        <w:t xml:space="preserve">(1), 91-102. </w:t>
      </w:r>
    </w:p>
    <w:p w14:paraId="4EBE4C1F" w14:textId="41CECC1C"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Aharoni, A., De Vos, C. H. R., Wein, M., Sun, Z., Greco, R., Kroon, A., Mol, J. N. M., &amp; O’Connell, A. P. (2001). The strawberry FaMYB1 transcription factor suppresses anthocyanin and flavonol accumulation in transgenic tobacco: Strawberry Myb represses flavonoid biosynthesis. </w:t>
      </w:r>
      <w:r w:rsidRPr="001B1244">
        <w:rPr>
          <w:rFonts w:ascii="Arial" w:hAnsi="Arial" w:cs="Arial"/>
          <w:i/>
          <w:iCs/>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28</w:t>
      </w:r>
      <w:r w:rsidRPr="001B1244">
        <w:rPr>
          <w:rFonts w:ascii="Arial" w:hAnsi="Arial" w:cs="Arial"/>
          <w:color w:val="000000" w:themeColor="text1"/>
          <w:sz w:val="22"/>
          <w:szCs w:val="22"/>
        </w:rPr>
        <w:t xml:space="preserve">(3), 319–332. </w:t>
      </w:r>
      <w:hyperlink r:id="rId30" w:history="1">
        <w:r w:rsidRPr="001B1244">
          <w:rPr>
            <w:rFonts w:ascii="Arial" w:hAnsi="Arial" w:cs="Arial"/>
            <w:color w:val="000000" w:themeColor="text1"/>
            <w:sz w:val="22"/>
            <w:szCs w:val="22"/>
            <w:u w:val="single"/>
          </w:rPr>
          <w:t>https://doi.org/10.1046/j.1365-313X.2001.01154.x</w:t>
        </w:r>
      </w:hyperlink>
    </w:p>
    <w:p w14:paraId="35791A60" w14:textId="3418A0E6" w:rsidR="002A4C71" w:rsidRPr="001B1244" w:rsidRDefault="002A4C71" w:rsidP="00CA01FD">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Ahmad, N., Gupta, S., &amp; Mukhtar, H. (2000). Green tea polyphenol epigallocatechin-3-gallate differentially modulates nuclear factor κB in cancer cells versus normal cells.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Archives of biochemistry and biophysics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376</w:t>
      </w:r>
      <w:r w:rsidRPr="001B1244">
        <w:rPr>
          <w:rFonts w:ascii="Arial" w:hAnsi="Arial" w:cs="Arial"/>
          <w:color w:val="222222"/>
          <w:sz w:val="22"/>
          <w:szCs w:val="22"/>
          <w:shd w:val="clear" w:color="auto" w:fill="FFFFFF"/>
        </w:rPr>
        <w:t>(2), 338-346.</w:t>
      </w:r>
    </w:p>
    <w:p w14:paraId="757B2045"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Akagi, T., Ikegami, A., Tsujimoto, T., Kobayashi, S., Sato, A., Kono, A., &amp; Yonemori, K. (2009). DkMyb4 Is a Myb Transcription Factor Involved in Proanthocyanidin Biosynthesis in Persimmon Fruit. </w:t>
      </w:r>
      <w:r w:rsidRPr="001B1244">
        <w:rPr>
          <w:rFonts w:ascii="Arial" w:hAnsi="Arial" w:cs="Arial"/>
          <w:i/>
          <w:iCs/>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151</w:t>
      </w:r>
      <w:r w:rsidRPr="001B1244">
        <w:rPr>
          <w:rFonts w:ascii="Arial" w:hAnsi="Arial" w:cs="Arial"/>
          <w:color w:val="000000" w:themeColor="text1"/>
          <w:sz w:val="22"/>
          <w:szCs w:val="22"/>
        </w:rPr>
        <w:t xml:space="preserve">(4), 2028–2045. </w:t>
      </w:r>
      <w:hyperlink r:id="rId31" w:history="1">
        <w:r w:rsidRPr="001B1244">
          <w:rPr>
            <w:rFonts w:ascii="Arial" w:hAnsi="Arial" w:cs="Arial"/>
            <w:color w:val="000000" w:themeColor="text1"/>
            <w:sz w:val="22"/>
            <w:szCs w:val="22"/>
            <w:u w:val="single"/>
          </w:rPr>
          <w:t>https://doi.org/10.1104/pp.109.146985</w:t>
        </w:r>
      </w:hyperlink>
    </w:p>
    <w:p w14:paraId="0F91DD32" w14:textId="609A305F"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Allard, R. W. (1999). Principles of plant breeding. John Wiley &amp; Sons. </w:t>
      </w:r>
    </w:p>
    <w:p w14:paraId="163E8B60" w14:textId="112E0E92" w:rsidR="005D6654" w:rsidRPr="001B1244" w:rsidRDefault="005D6654" w:rsidP="00CA01FD">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Albert, N. W. (2015). Subspecialization of R2R3-MYB repressors for anthocyanin and proanthocyanidin regulation in forage legumes.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Frontiers in Plant Science</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6</w:t>
      </w:r>
      <w:r w:rsidRPr="001B1244">
        <w:rPr>
          <w:rFonts w:ascii="Arial" w:hAnsi="Arial" w:cs="Arial"/>
          <w:color w:val="222222"/>
          <w:sz w:val="22"/>
          <w:szCs w:val="22"/>
          <w:shd w:val="clear" w:color="auto" w:fill="FFFFFF"/>
        </w:rPr>
        <w:t>, 1165.</w:t>
      </w:r>
    </w:p>
    <w:p w14:paraId="69DF90D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Albert, N. W., Davies, K. M., Lewis, D. H., Zhang, H., Montefiori, M., Brendolise, C., Boase, M. R., Ngo, H., Jameson, P. E., &amp; Schwinn, K. E. (2014). A Conserved Network of Transcriptional Activators and Repressors Regulates Anthocyanin Pigmentation in Eudicots. </w:t>
      </w:r>
      <w:r w:rsidRPr="001B1244">
        <w:rPr>
          <w:rFonts w:ascii="Arial" w:hAnsi="Arial" w:cs="Arial"/>
          <w:i/>
          <w:iCs/>
          <w:color w:val="000000" w:themeColor="text1"/>
          <w:sz w:val="22"/>
          <w:szCs w:val="22"/>
        </w:rPr>
        <w:t>The Plant Cell</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26</w:t>
      </w:r>
      <w:r w:rsidRPr="001B1244">
        <w:rPr>
          <w:rFonts w:ascii="Arial" w:hAnsi="Arial" w:cs="Arial"/>
          <w:color w:val="000000" w:themeColor="text1"/>
          <w:sz w:val="22"/>
          <w:szCs w:val="22"/>
        </w:rPr>
        <w:t xml:space="preserve">(3), 962–980. </w:t>
      </w:r>
      <w:hyperlink r:id="rId32" w:history="1">
        <w:r w:rsidRPr="001B1244">
          <w:rPr>
            <w:rFonts w:ascii="Arial" w:hAnsi="Arial" w:cs="Arial"/>
            <w:color w:val="000000" w:themeColor="text1"/>
            <w:sz w:val="22"/>
            <w:szCs w:val="22"/>
            <w:u w:val="single"/>
          </w:rPr>
          <w:t>https://doi.org/10.1105/tpc.113.122069</w:t>
        </w:r>
      </w:hyperlink>
    </w:p>
    <w:p w14:paraId="40C390F8" w14:textId="77777777" w:rsidR="00B51BF9" w:rsidRPr="001B1244" w:rsidRDefault="00B51BF9" w:rsidP="00CA01FD">
      <w:pPr>
        <w:spacing w:line="360" w:lineRule="auto"/>
        <w:ind w:left="480" w:hanging="480"/>
        <w:jc w:val="both"/>
        <w:rPr>
          <w:rFonts w:ascii="Arial" w:hAnsi="Arial" w:cs="Arial"/>
          <w:color w:val="000000" w:themeColor="text1"/>
          <w:sz w:val="22"/>
          <w:szCs w:val="22"/>
        </w:rPr>
      </w:pPr>
      <w:r w:rsidRPr="001B1244">
        <w:rPr>
          <w:rFonts w:ascii="Arial" w:hAnsi="Arial" w:cs="Arial"/>
          <w:color w:val="000000" w:themeColor="text1"/>
          <w:sz w:val="22"/>
          <w:szCs w:val="22"/>
        </w:rPr>
        <w:t xml:space="preserve">Albert, N. W., Lewis, D. H., Zhang, H., Irving, L. J., Jameson, P. E., &amp; Davies, K. M. (2009). Light-induced vegetative anthocyanin pigmentation in Petunia. </w:t>
      </w:r>
      <w:r w:rsidRPr="001B1244">
        <w:rPr>
          <w:rFonts w:ascii="Arial" w:hAnsi="Arial" w:cs="Arial"/>
          <w:i/>
          <w:iCs/>
          <w:color w:val="000000" w:themeColor="text1"/>
          <w:sz w:val="22"/>
          <w:szCs w:val="22"/>
        </w:rPr>
        <w:t>Journal of Experimental Botany</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60</w:t>
      </w:r>
      <w:r w:rsidRPr="001B1244">
        <w:rPr>
          <w:rFonts w:ascii="Arial" w:hAnsi="Arial" w:cs="Arial"/>
          <w:color w:val="000000" w:themeColor="text1"/>
          <w:sz w:val="22"/>
          <w:szCs w:val="22"/>
        </w:rPr>
        <w:t xml:space="preserve">(7), 2191–2202. </w:t>
      </w:r>
      <w:hyperlink r:id="rId33" w:history="1">
        <w:r w:rsidRPr="001B1244">
          <w:rPr>
            <w:rFonts w:ascii="Arial" w:hAnsi="Arial" w:cs="Arial"/>
            <w:color w:val="000000" w:themeColor="text1"/>
            <w:sz w:val="22"/>
            <w:szCs w:val="22"/>
            <w:u w:val="single"/>
          </w:rPr>
          <w:t>https://doi.org/10.1093/jxb/erp097</w:t>
        </w:r>
      </w:hyperlink>
    </w:p>
    <w:p w14:paraId="299D5B47"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Albert, N. W., Lewis, D. H., Zhang, H., Schwinn, K. E., Jameson, P. E., &amp; Davies, K. M. (2011). Members of an R2R3-MYB transcription factor family in Petunia </w:t>
      </w:r>
      <w:proofErr w:type="gramStart"/>
      <w:r w:rsidRPr="001B1244">
        <w:rPr>
          <w:rFonts w:ascii="Arial" w:hAnsi="Arial" w:cs="Arial"/>
          <w:color w:val="000000" w:themeColor="text1"/>
          <w:sz w:val="22"/>
          <w:szCs w:val="22"/>
        </w:rPr>
        <w:t>are developmentally and environmentally regulated</w:t>
      </w:r>
      <w:proofErr w:type="gramEnd"/>
      <w:r w:rsidRPr="001B1244">
        <w:rPr>
          <w:rFonts w:ascii="Arial" w:hAnsi="Arial" w:cs="Arial"/>
          <w:color w:val="000000" w:themeColor="text1"/>
          <w:sz w:val="22"/>
          <w:szCs w:val="22"/>
        </w:rPr>
        <w:t xml:space="preserve"> to control complex floral and vegetative pigmentation patterning: Anthocyanin pigmentation patterning in petunia. </w:t>
      </w:r>
      <w:r w:rsidRPr="001B1244">
        <w:rPr>
          <w:rFonts w:ascii="Arial" w:hAnsi="Arial" w:cs="Arial"/>
          <w:i/>
          <w:iCs/>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65</w:t>
      </w:r>
      <w:r w:rsidRPr="001B1244">
        <w:rPr>
          <w:rFonts w:ascii="Arial" w:hAnsi="Arial" w:cs="Arial"/>
          <w:color w:val="000000" w:themeColor="text1"/>
          <w:sz w:val="22"/>
          <w:szCs w:val="22"/>
        </w:rPr>
        <w:t xml:space="preserve">(5), 771–784. </w:t>
      </w:r>
      <w:hyperlink r:id="rId34" w:history="1">
        <w:r w:rsidRPr="001B1244">
          <w:rPr>
            <w:rFonts w:ascii="Arial" w:hAnsi="Arial" w:cs="Arial"/>
            <w:color w:val="000000" w:themeColor="text1"/>
            <w:sz w:val="22"/>
            <w:szCs w:val="22"/>
            <w:u w:val="single"/>
          </w:rPr>
          <w:t>https://doi.org/10.1111/j.1365-313X.2010.04465.x</w:t>
        </w:r>
      </w:hyperlink>
    </w:p>
    <w:p w14:paraId="14C37CD3"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Allan, A. C., Hellens, R. P., &amp; Laing, W. A. (2008). MYB transcription factors that colour our fruit. </w:t>
      </w:r>
      <w:r w:rsidRPr="001B1244">
        <w:rPr>
          <w:rFonts w:ascii="Arial" w:hAnsi="Arial" w:cs="Arial"/>
          <w:i/>
          <w:iCs/>
          <w:color w:val="000000" w:themeColor="text1"/>
          <w:sz w:val="22"/>
          <w:szCs w:val="22"/>
        </w:rPr>
        <w:t>Trends in Plant Science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13</w:t>
      </w:r>
      <w:r w:rsidRPr="001B1244">
        <w:rPr>
          <w:rFonts w:ascii="Arial" w:hAnsi="Arial" w:cs="Arial"/>
          <w:color w:val="000000" w:themeColor="text1"/>
          <w:sz w:val="22"/>
          <w:szCs w:val="22"/>
        </w:rPr>
        <w:t xml:space="preserve">(3), 99–102. </w:t>
      </w:r>
      <w:hyperlink r:id="rId35" w:history="1">
        <w:r w:rsidRPr="001B1244">
          <w:rPr>
            <w:rFonts w:ascii="Arial" w:hAnsi="Arial" w:cs="Arial"/>
            <w:color w:val="000000" w:themeColor="text1"/>
            <w:sz w:val="22"/>
            <w:szCs w:val="22"/>
            <w:u w:val="single"/>
          </w:rPr>
          <w:t>https://doi.org/10.1016/j.tplants.2007.11.012</w:t>
        </w:r>
      </w:hyperlink>
    </w:p>
    <w:p w14:paraId="2A986FD0"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lastRenderedPageBreak/>
        <w:t>Altschul, S. F., Madden, T. L., Schäffer, A. A., Zhang, J., Zhang, Z., Miller, W., &amp; Lipman, D. J. (1997). Gapped BLAST and PSI-BLAST: a new generation of protein database search programs.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Nucleic acids research</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25</w:t>
      </w:r>
      <w:r w:rsidRPr="001B1244">
        <w:rPr>
          <w:rFonts w:ascii="Arial" w:hAnsi="Arial" w:cs="Arial"/>
          <w:color w:val="000000" w:themeColor="text1"/>
          <w:sz w:val="22"/>
          <w:szCs w:val="22"/>
          <w:shd w:val="clear" w:color="auto" w:fill="FFFFFF"/>
        </w:rPr>
        <w:t xml:space="preserve">(17), 3389-3402. </w:t>
      </w:r>
    </w:p>
    <w:p w14:paraId="35064B24"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Ament, M., Windham, M.T., &amp; Trigiano, R.N. (2000). Determination of Parentage of Flowering Dogwood (Cornus Florida) Seedlings Using DNA Amplification Fingerprinting. </w:t>
      </w:r>
      <w:r w:rsidRPr="001B1244">
        <w:rPr>
          <w:rFonts w:ascii="Arial" w:hAnsi="Arial" w:cs="Arial"/>
          <w:i/>
          <w:color w:val="000000" w:themeColor="text1"/>
          <w:sz w:val="22"/>
          <w:szCs w:val="22"/>
        </w:rPr>
        <w:t>Arboriculture &amp; Urban Forestry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26</w:t>
      </w:r>
      <w:r w:rsidRPr="001B1244">
        <w:rPr>
          <w:rFonts w:ascii="Arial" w:hAnsi="Arial" w:cs="Arial"/>
          <w:color w:val="000000" w:themeColor="text1"/>
          <w:sz w:val="22"/>
          <w:szCs w:val="22"/>
        </w:rPr>
        <w:t xml:space="preserve">(4), 206–212. </w:t>
      </w:r>
      <w:hyperlink r:id="rId36" w:history="1">
        <w:r w:rsidRPr="001B1244">
          <w:rPr>
            <w:rFonts w:ascii="Arial" w:hAnsi="Arial" w:cs="Arial"/>
            <w:color w:val="000000" w:themeColor="text1"/>
            <w:sz w:val="22"/>
            <w:szCs w:val="22"/>
            <w:u w:val="single"/>
          </w:rPr>
          <w:t>https://doi.org/10.48044/jauf.2000.024</w:t>
        </w:r>
      </w:hyperlink>
    </w:p>
    <w:p w14:paraId="4D7D6FFB"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Anders, S., Pyl, P. T., &amp; Huber, W. (2015). HTSeq—A Python framework to work with high-throughput sequencing data. </w:t>
      </w:r>
      <w:r w:rsidRPr="001B1244">
        <w:rPr>
          <w:rFonts w:ascii="Arial" w:hAnsi="Arial" w:cs="Arial"/>
          <w:i/>
          <w:color w:val="000000" w:themeColor="text1"/>
          <w:sz w:val="22"/>
          <w:szCs w:val="22"/>
        </w:rPr>
        <w:t>Bioinformatics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31</w:t>
      </w:r>
      <w:r w:rsidRPr="001B1244">
        <w:rPr>
          <w:rFonts w:ascii="Arial" w:hAnsi="Arial" w:cs="Arial"/>
          <w:color w:val="000000" w:themeColor="text1"/>
          <w:sz w:val="22"/>
          <w:szCs w:val="22"/>
        </w:rPr>
        <w:t xml:space="preserve">(2), 166–169. </w:t>
      </w:r>
      <w:hyperlink r:id="rId37" w:history="1">
        <w:r w:rsidRPr="001B1244">
          <w:rPr>
            <w:rStyle w:val="Hyperlink"/>
            <w:rFonts w:ascii="Arial" w:eastAsiaTheme="majorEastAsia" w:hAnsi="Arial" w:cs="Arial"/>
            <w:color w:val="000000" w:themeColor="text1"/>
            <w:sz w:val="22"/>
            <w:szCs w:val="22"/>
          </w:rPr>
          <w:t>https://doi.org/10.1093/bioinformatics/btu638</w:t>
        </w:r>
      </w:hyperlink>
    </w:p>
    <w:p w14:paraId="603DCA19"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Andrew, S. (2010). FastQC: A quality control tool for high throughput sequence data. 2010</w:t>
      </w:r>
      <w:proofErr w:type="gramStart"/>
      <w:r w:rsidRPr="001B1244">
        <w:rPr>
          <w:rFonts w:ascii="Arial" w:hAnsi="Arial" w:cs="Arial"/>
          <w:color w:val="000000" w:themeColor="text1"/>
          <w:sz w:val="22"/>
          <w:szCs w:val="22"/>
          <w:shd w:val="clear" w:color="auto" w:fill="FFFFFF"/>
        </w:rPr>
        <w:t>.[</w:t>
      </w:r>
      <w:proofErr w:type="gramEnd"/>
      <w:r w:rsidRPr="001B1244">
        <w:rPr>
          <w:rFonts w:ascii="Arial" w:hAnsi="Arial" w:cs="Arial"/>
          <w:color w:val="000000" w:themeColor="text1"/>
          <w:sz w:val="22"/>
          <w:szCs w:val="22"/>
          <w:shd w:val="clear" w:color="auto" w:fill="FFFFFF"/>
        </w:rPr>
        <w:t>Google Scholar</w:t>
      </w:r>
    </w:p>
    <w:p w14:paraId="3D7EF9B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Angelov, D., &amp; Krasteva, L. (2000). Dominant inheritance of downy mildew resistance in melons. In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VII Eucarpia Meeting on Cucurbit Genetics and Breeding 510</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color w:val="000000" w:themeColor="text1"/>
          <w:sz w:val="22"/>
          <w:szCs w:val="22"/>
          <w:shd w:val="clear" w:color="auto" w:fill="FFFFFF"/>
        </w:rPr>
        <w:t xml:space="preserve">(pp. 273-276). </w:t>
      </w:r>
    </w:p>
    <w:p w14:paraId="4B3F037A"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Anwar, M., Wang, G., Wu, J., Waheed, S., Allan, A., &amp; Zeng, L. (2018). Ectopic Overexpression of a Novel R2R3-MYB, NtMYB2 from Chinese Narcissus Represses Anthocyanin Biosynthesis in Tobacco. </w:t>
      </w:r>
      <w:r w:rsidRPr="001B1244">
        <w:rPr>
          <w:rFonts w:ascii="Arial" w:hAnsi="Arial" w:cs="Arial"/>
          <w:i/>
          <w:color w:val="000000" w:themeColor="text1"/>
          <w:sz w:val="22"/>
          <w:szCs w:val="22"/>
        </w:rPr>
        <w:t>Molecules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23</w:t>
      </w:r>
      <w:r w:rsidRPr="001B1244">
        <w:rPr>
          <w:rFonts w:ascii="Arial" w:hAnsi="Arial" w:cs="Arial"/>
          <w:color w:val="000000" w:themeColor="text1"/>
          <w:sz w:val="22"/>
          <w:szCs w:val="22"/>
        </w:rPr>
        <w:t xml:space="preserve">(4), 781. </w:t>
      </w:r>
      <w:hyperlink r:id="rId38" w:history="1">
        <w:r w:rsidRPr="001B1244">
          <w:rPr>
            <w:rFonts w:ascii="Arial" w:hAnsi="Arial" w:cs="Arial"/>
            <w:color w:val="000000" w:themeColor="text1"/>
            <w:sz w:val="22"/>
            <w:szCs w:val="22"/>
            <w:u w:val="single"/>
          </w:rPr>
          <w:t>https://doi.org/10.3390/molecules23040781</w:t>
        </w:r>
      </w:hyperlink>
    </w:p>
    <w:p w14:paraId="4B752DE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Apel, K., &amp; Hirt, H. (2004). REACTIVE OXYGEN SPECIES: Metabolism, Oxidative Stress, and Signal Transduction. </w:t>
      </w:r>
      <w:r w:rsidRPr="001B1244">
        <w:rPr>
          <w:rFonts w:ascii="Arial" w:hAnsi="Arial" w:cs="Arial"/>
          <w:i/>
          <w:iCs/>
          <w:color w:val="000000" w:themeColor="text1"/>
          <w:sz w:val="22"/>
          <w:szCs w:val="22"/>
        </w:rPr>
        <w:t>Annual Review of Plant Biology</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55</w:t>
      </w:r>
      <w:r w:rsidRPr="001B1244">
        <w:rPr>
          <w:rFonts w:ascii="Arial" w:hAnsi="Arial" w:cs="Arial"/>
          <w:color w:val="000000" w:themeColor="text1"/>
          <w:sz w:val="22"/>
          <w:szCs w:val="22"/>
        </w:rPr>
        <w:t xml:space="preserve">(1), 373–399. </w:t>
      </w:r>
      <w:hyperlink r:id="rId39" w:history="1">
        <w:r w:rsidRPr="001B1244">
          <w:rPr>
            <w:rFonts w:ascii="Arial" w:hAnsi="Arial" w:cs="Arial"/>
            <w:color w:val="000000" w:themeColor="text1"/>
            <w:sz w:val="22"/>
            <w:szCs w:val="22"/>
            <w:u w:val="single"/>
          </w:rPr>
          <w:t>https://doi.org/10.1146/annurev.arplant.55.031903.141701</w:t>
        </w:r>
      </w:hyperlink>
    </w:p>
    <w:p w14:paraId="696F7EF7"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Appiano, M., Catalano, D., Santillán Martínez, M., Lotti, C., Zheng, Z., Visser, R. G. F., Ricciardi, L., Bai, Y., &amp; Pavan, S. (2015). Monocot and dicot MLO powdery mildew susceptibility factors </w:t>
      </w:r>
      <w:proofErr w:type="gramStart"/>
      <w:r w:rsidRPr="001B1244">
        <w:rPr>
          <w:rFonts w:ascii="Arial" w:hAnsi="Arial" w:cs="Arial"/>
          <w:color w:val="000000" w:themeColor="text1"/>
          <w:sz w:val="22"/>
          <w:szCs w:val="22"/>
        </w:rPr>
        <w:t>are functionally conserved</w:t>
      </w:r>
      <w:proofErr w:type="gramEnd"/>
      <w:r w:rsidRPr="001B1244">
        <w:rPr>
          <w:rFonts w:ascii="Arial" w:hAnsi="Arial" w:cs="Arial"/>
          <w:color w:val="000000" w:themeColor="text1"/>
          <w:sz w:val="22"/>
          <w:szCs w:val="22"/>
        </w:rPr>
        <w:t xml:space="preserve"> in spite of the evolution of class-specific molecular features. </w:t>
      </w:r>
      <w:r w:rsidRPr="001B1244">
        <w:rPr>
          <w:rFonts w:ascii="Arial" w:hAnsi="Arial" w:cs="Arial"/>
          <w:i/>
          <w:color w:val="000000" w:themeColor="text1"/>
          <w:sz w:val="22"/>
          <w:szCs w:val="22"/>
        </w:rPr>
        <w:t>BMC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15</w:t>
      </w:r>
      <w:r w:rsidRPr="001B1244">
        <w:rPr>
          <w:rFonts w:ascii="Arial" w:hAnsi="Arial" w:cs="Arial"/>
          <w:color w:val="000000" w:themeColor="text1"/>
          <w:sz w:val="22"/>
          <w:szCs w:val="22"/>
        </w:rPr>
        <w:t xml:space="preserve">(1), 257. </w:t>
      </w:r>
      <w:hyperlink r:id="rId40" w:history="1">
        <w:r w:rsidRPr="001B1244">
          <w:rPr>
            <w:rFonts w:ascii="Arial" w:hAnsi="Arial" w:cs="Arial"/>
            <w:color w:val="000000" w:themeColor="text1"/>
            <w:sz w:val="22"/>
            <w:szCs w:val="22"/>
            <w:u w:val="single"/>
          </w:rPr>
          <w:t>https://doi.org/10.1186/s12870-015-0639-6</w:t>
        </w:r>
      </w:hyperlink>
    </w:p>
    <w:p w14:paraId="7566A776"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Aust, H., &amp; Hoyningen-Huene, J. V. (1986). Microclimate about epidemics of powdery mildew. Annual Review of Phytopathology, 24(1), 491-510. </w:t>
      </w:r>
    </w:p>
    <w:p w14:paraId="7E3362FC"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Baek, S., Choi, K., Kim, G.-B., Yu, H.-J., Cho, A., Jang, H., Kim, C., Kim, H.-J., Chang, K. S., Kim, J.-H., &amp; Mun, J.-H. (2018). Draft genome sequence of wild</w:t>
      </w:r>
      <w:r w:rsidRPr="001B1244">
        <w:rPr>
          <w:rFonts w:ascii="Arial" w:hAnsi="Arial" w:cs="Arial"/>
          <w:i/>
          <w:iCs/>
          <w:color w:val="000000" w:themeColor="text1"/>
          <w:sz w:val="22"/>
          <w:szCs w:val="22"/>
        </w:rPr>
        <w:t xml:space="preserve"> Prunus yedoensis</w:t>
      </w:r>
      <w:r w:rsidRPr="001B1244">
        <w:rPr>
          <w:rFonts w:ascii="Arial" w:hAnsi="Arial" w:cs="Arial"/>
          <w:color w:val="000000" w:themeColor="text1"/>
          <w:sz w:val="22"/>
          <w:szCs w:val="22"/>
        </w:rPr>
        <w:t xml:space="preserve"> reveals massive inter-specific hybridization between sympatric flowering cherries. </w:t>
      </w:r>
      <w:r w:rsidRPr="001B1244">
        <w:rPr>
          <w:rFonts w:ascii="Arial" w:hAnsi="Arial" w:cs="Arial"/>
          <w:i/>
          <w:color w:val="000000" w:themeColor="text1"/>
          <w:sz w:val="22"/>
          <w:szCs w:val="22"/>
        </w:rPr>
        <w:t>Genome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19</w:t>
      </w:r>
      <w:r w:rsidRPr="001B1244">
        <w:rPr>
          <w:rFonts w:ascii="Arial" w:hAnsi="Arial" w:cs="Arial"/>
          <w:color w:val="000000" w:themeColor="text1"/>
          <w:sz w:val="22"/>
          <w:szCs w:val="22"/>
        </w:rPr>
        <w:t xml:space="preserve">(1), 127. </w:t>
      </w:r>
      <w:hyperlink r:id="rId41" w:history="1">
        <w:r w:rsidRPr="001B1244">
          <w:rPr>
            <w:rFonts w:ascii="Arial" w:hAnsi="Arial" w:cs="Arial"/>
            <w:color w:val="000000" w:themeColor="text1"/>
            <w:sz w:val="22"/>
            <w:szCs w:val="22"/>
            <w:u w:val="single"/>
          </w:rPr>
          <w:t>https://doi.org/10.1186/s13059-018-1497-y</w:t>
        </w:r>
      </w:hyperlink>
    </w:p>
    <w:p w14:paraId="146946F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Bai, Y., Pavan, S., Zheng, Z., Zappel, N. F., Reinstädler, A., Lotti, C., De Giovanni, C., Ricciardi, L., Lindhout, P., Visser, R., Theres, K., &amp; Panstruga, R. (2008). Naturally Occurring Broad-Spectrum Powdery Mildew Resistance in a Central American Tomato Accession </w:t>
      </w:r>
      <w:proofErr w:type="gramStart"/>
      <w:r w:rsidRPr="001B1244">
        <w:rPr>
          <w:rFonts w:ascii="Arial" w:hAnsi="Arial" w:cs="Arial"/>
          <w:color w:val="000000" w:themeColor="text1"/>
          <w:sz w:val="22"/>
          <w:szCs w:val="22"/>
        </w:rPr>
        <w:t>Is Caused</w:t>
      </w:r>
      <w:proofErr w:type="gramEnd"/>
      <w:r w:rsidRPr="001B1244">
        <w:rPr>
          <w:rFonts w:ascii="Arial" w:hAnsi="Arial" w:cs="Arial"/>
          <w:color w:val="000000" w:themeColor="text1"/>
          <w:sz w:val="22"/>
          <w:szCs w:val="22"/>
        </w:rPr>
        <w:t xml:space="preserve"> </w:t>
      </w:r>
      <w:r w:rsidRPr="001B1244">
        <w:rPr>
          <w:rFonts w:ascii="Arial" w:hAnsi="Arial" w:cs="Arial"/>
          <w:color w:val="000000" w:themeColor="text1"/>
          <w:sz w:val="22"/>
          <w:szCs w:val="22"/>
        </w:rPr>
        <w:lastRenderedPageBreak/>
        <w:t xml:space="preserve">by Loss of </w:t>
      </w:r>
      <w:r w:rsidRPr="001B1244">
        <w:rPr>
          <w:rFonts w:ascii="Arial" w:hAnsi="Arial" w:cs="Arial"/>
          <w:i/>
          <w:color w:val="000000" w:themeColor="text1"/>
          <w:sz w:val="22"/>
          <w:szCs w:val="22"/>
        </w:rPr>
        <w:t>Mlo</w:t>
      </w:r>
      <w:r w:rsidRPr="001B1244">
        <w:rPr>
          <w:rFonts w:ascii="Arial" w:hAnsi="Arial" w:cs="Arial"/>
          <w:color w:val="000000" w:themeColor="text1"/>
          <w:sz w:val="22"/>
          <w:szCs w:val="22"/>
        </w:rPr>
        <w:t xml:space="preserve"> Function. </w:t>
      </w:r>
      <w:r w:rsidRPr="001B1244">
        <w:rPr>
          <w:rFonts w:ascii="Arial" w:hAnsi="Arial" w:cs="Arial"/>
          <w:i/>
          <w:color w:val="000000" w:themeColor="text1"/>
          <w:sz w:val="22"/>
          <w:szCs w:val="22"/>
        </w:rPr>
        <w:t>Molecular Plant-Microbe Interactions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21</w:t>
      </w:r>
      <w:r w:rsidRPr="001B1244">
        <w:rPr>
          <w:rFonts w:ascii="Arial" w:hAnsi="Arial" w:cs="Arial"/>
          <w:color w:val="000000" w:themeColor="text1"/>
          <w:sz w:val="22"/>
          <w:szCs w:val="22"/>
        </w:rPr>
        <w:t xml:space="preserve">(1), 30–39. </w:t>
      </w:r>
      <w:hyperlink r:id="rId42" w:history="1">
        <w:r w:rsidRPr="001B1244">
          <w:rPr>
            <w:rFonts w:ascii="Arial" w:hAnsi="Arial" w:cs="Arial"/>
            <w:color w:val="000000" w:themeColor="text1"/>
            <w:sz w:val="22"/>
            <w:szCs w:val="22"/>
            <w:u w:val="single"/>
          </w:rPr>
          <w:t>https://doi.org/10.1094/MPMI-21-1-0030</w:t>
        </w:r>
      </w:hyperlink>
    </w:p>
    <w:p w14:paraId="25D487D0"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Bathke, J., Konzer, A., Remes, B., McIntosh, M., &amp; Klug, G. (2019). Comparative analyses of the variation of the transcriptome and proteome of </w:t>
      </w:r>
      <w:r w:rsidRPr="001B1244">
        <w:rPr>
          <w:rFonts w:ascii="Arial" w:hAnsi="Arial" w:cs="Arial"/>
          <w:i/>
          <w:iCs/>
          <w:color w:val="000000" w:themeColor="text1"/>
          <w:sz w:val="22"/>
          <w:szCs w:val="22"/>
        </w:rPr>
        <w:t>Rhodobacter sphaeroides</w:t>
      </w:r>
      <w:r w:rsidRPr="001B1244">
        <w:rPr>
          <w:rFonts w:ascii="Arial" w:hAnsi="Arial" w:cs="Arial"/>
          <w:color w:val="000000" w:themeColor="text1"/>
          <w:sz w:val="22"/>
          <w:szCs w:val="22"/>
        </w:rPr>
        <w:t xml:space="preserve"> throughout growth. </w:t>
      </w:r>
      <w:r w:rsidRPr="001B1244">
        <w:rPr>
          <w:rFonts w:ascii="Arial" w:hAnsi="Arial" w:cs="Arial"/>
          <w:i/>
          <w:color w:val="000000" w:themeColor="text1"/>
          <w:sz w:val="22"/>
          <w:szCs w:val="22"/>
        </w:rPr>
        <w:t>BMC Genomics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20</w:t>
      </w:r>
      <w:r w:rsidRPr="001B1244">
        <w:rPr>
          <w:rFonts w:ascii="Arial" w:hAnsi="Arial" w:cs="Arial"/>
          <w:color w:val="000000" w:themeColor="text1"/>
          <w:sz w:val="22"/>
          <w:szCs w:val="22"/>
        </w:rPr>
        <w:t xml:space="preserve">(1), 358. </w:t>
      </w:r>
      <w:hyperlink r:id="rId43" w:history="1">
        <w:r w:rsidRPr="001B1244">
          <w:rPr>
            <w:rFonts w:ascii="Arial" w:hAnsi="Arial" w:cs="Arial"/>
            <w:color w:val="000000" w:themeColor="text1"/>
            <w:sz w:val="22"/>
            <w:szCs w:val="22"/>
            <w:u w:val="single"/>
          </w:rPr>
          <w:t>https://doi.org/10.1186/s12864-019-5749-3</w:t>
        </w:r>
      </w:hyperlink>
    </w:p>
    <w:p w14:paraId="656B09B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Bhakta, H. K., Park, C. H., Yokozawa, T., Tanaka, T., Jung, H. A., &amp; Choi, J. S. (2017). Potential anti-cholinesterase and β-site amyloid precursor protein cleaving enzyme 1 inhibitory activities of cornuside and gallotannins from </w:t>
      </w:r>
      <w:r w:rsidRPr="001B1244">
        <w:rPr>
          <w:rFonts w:ascii="Arial" w:hAnsi="Arial" w:cs="Arial"/>
          <w:i/>
          <w:iCs/>
          <w:color w:val="000000" w:themeColor="text1"/>
          <w:sz w:val="22"/>
          <w:szCs w:val="22"/>
        </w:rPr>
        <w:t>Cornus officinalis</w:t>
      </w:r>
      <w:r w:rsidRPr="001B1244">
        <w:rPr>
          <w:rFonts w:ascii="Arial" w:hAnsi="Arial" w:cs="Arial"/>
          <w:color w:val="000000" w:themeColor="text1"/>
          <w:sz w:val="22"/>
          <w:szCs w:val="22"/>
        </w:rPr>
        <w:t xml:space="preserve"> fruits. </w:t>
      </w:r>
      <w:r w:rsidRPr="001B1244">
        <w:rPr>
          <w:rFonts w:ascii="Arial" w:hAnsi="Arial" w:cs="Arial"/>
          <w:i/>
          <w:color w:val="000000" w:themeColor="text1"/>
          <w:sz w:val="22"/>
          <w:szCs w:val="22"/>
        </w:rPr>
        <w:t>Archives of Pharmacal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40</w:t>
      </w:r>
      <w:r w:rsidRPr="001B1244">
        <w:rPr>
          <w:rFonts w:ascii="Arial" w:hAnsi="Arial" w:cs="Arial"/>
          <w:color w:val="000000" w:themeColor="text1"/>
          <w:sz w:val="22"/>
          <w:szCs w:val="22"/>
        </w:rPr>
        <w:t xml:space="preserve">(7), 836–853. </w:t>
      </w:r>
      <w:hyperlink r:id="rId44" w:history="1">
        <w:r w:rsidRPr="001B1244">
          <w:rPr>
            <w:rFonts w:ascii="Arial" w:hAnsi="Arial" w:cs="Arial"/>
            <w:color w:val="000000" w:themeColor="text1"/>
            <w:sz w:val="22"/>
            <w:szCs w:val="22"/>
            <w:u w:val="single"/>
          </w:rPr>
          <w:t>https://doi.org/10.1007/s12272-017-0924-z</w:t>
        </w:r>
      </w:hyperlink>
    </w:p>
    <w:p w14:paraId="56613C99"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Bhat, R. A., Miklis, M., Schmelzer, E., Schulze-Lefert, P., &amp; Panstruga, R. (2005). Recruitment and interaction dynamics of </w:t>
      </w:r>
      <w:proofErr w:type="gramStart"/>
      <w:r w:rsidRPr="001B1244">
        <w:rPr>
          <w:rFonts w:ascii="Arial" w:hAnsi="Arial" w:cs="Arial"/>
          <w:color w:val="000000" w:themeColor="text1"/>
          <w:sz w:val="22"/>
          <w:szCs w:val="22"/>
        </w:rPr>
        <w:t>plant penetration resistance components</w:t>
      </w:r>
      <w:proofErr w:type="gramEnd"/>
      <w:r w:rsidRPr="001B1244">
        <w:rPr>
          <w:rFonts w:ascii="Arial" w:hAnsi="Arial" w:cs="Arial"/>
          <w:color w:val="000000" w:themeColor="text1"/>
          <w:sz w:val="22"/>
          <w:szCs w:val="22"/>
        </w:rPr>
        <w:t xml:space="preserve"> in a plasma membrane microdomain. </w:t>
      </w:r>
      <w:r w:rsidRPr="001B1244">
        <w:rPr>
          <w:rFonts w:ascii="Arial" w:hAnsi="Arial" w:cs="Arial"/>
          <w:i/>
          <w:color w:val="000000" w:themeColor="text1"/>
          <w:sz w:val="22"/>
          <w:szCs w:val="22"/>
        </w:rPr>
        <w:t>Proceedings of the National Academy of Sciences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102</w:t>
      </w:r>
      <w:r w:rsidRPr="001B1244">
        <w:rPr>
          <w:rFonts w:ascii="Arial" w:hAnsi="Arial" w:cs="Arial"/>
          <w:color w:val="000000" w:themeColor="text1"/>
          <w:sz w:val="22"/>
          <w:szCs w:val="22"/>
        </w:rPr>
        <w:t xml:space="preserve">(8), 3135–3140. </w:t>
      </w:r>
      <w:hyperlink r:id="rId45" w:history="1">
        <w:r w:rsidRPr="001B1244">
          <w:rPr>
            <w:rFonts w:ascii="Arial" w:hAnsi="Arial" w:cs="Arial"/>
            <w:color w:val="000000" w:themeColor="text1"/>
            <w:sz w:val="22"/>
            <w:szCs w:val="22"/>
            <w:u w:val="single"/>
          </w:rPr>
          <w:t>https://doi.org/10.1073/pnas.0500012102</w:t>
        </w:r>
      </w:hyperlink>
    </w:p>
    <w:p w14:paraId="6B5EA879"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Braun, U., Cook, R. T. A (2012). Taxonomic manual of Erysiphales (powdery mildews).</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CBS Biodiversity series</w:t>
      </w:r>
      <w:r w:rsidRPr="001B1244">
        <w:rPr>
          <w:rFonts w:ascii="Arial" w:hAnsi="Arial" w:cs="Arial"/>
          <w:color w:val="000000" w:themeColor="text1"/>
          <w:sz w:val="22"/>
          <w:szCs w:val="22"/>
          <w:shd w:val="clear" w:color="auto" w:fill="FFFFFF"/>
        </w:rPr>
        <w:t>,</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11</w:t>
      </w:r>
      <w:r w:rsidRPr="001B1244">
        <w:rPr>
          <w:rFonts w:ascii="Arial" w:hAnsi="Arial" w:cs="Arial"/>
          <w:color w:val="000000" w:themeColor="text1"/>
          <w:sz w:val="22"/>
          <w:szCs w:val="22"/>
          <w:shd w:val="clear" w:color="auto" w:fill="FFFFFF"/>
        </w:rPr>
        <w:t>.</w:t>
      </w:r>
    </w:p>
    <w:p w14:paraId="2972239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Broman, K. W., Wu, H., Sen, Ś., &amp; Churchill, G. A. (2003). R/qtl: QTL mapping in experimental crosses.</w:t>
      </w:r>
      <w:r w:rsidRPr="001B1244">
        <w:rPr>
          <w:rStyle w:val="apple-converted-space"/>
          <w:rFonts w:ascii="Arial" w:eastAsiaTheme="majorEastAsia" w:hAnsi="Arial" w:cs="Arial"/>
          <w:color w:val="000000" w:themeColor="text1"/>
          <w:sz w:val="22"/>
          <w:szCs w:val="22"/>
          <w:shd w:val="clear" w:color="auto" w:fill="FFFFFF"/>
        </w:rPr>
        <w:t> </w:t>
      </w:r>
      <w:proofErr w:type="gramStart"/>
      <w:r w:rsidRPr="001B1244">
        <w:rPr>
          <w:rFonts w:ascii="Arial" w:hAnsi="Arial" w:cs="Arial"/>
          <w:i/>
          <w:iCs/>
          <w:color w:val="000000" w:themeColor="text1"/>
          <w:sz w:val="22"/>
          <w:szCs w:val="22"/>
        </w:rPr>
        <w:t>bioinformatics</w:t>
      </w:r>
      <w:proofErr w:type="gramEnd"/>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19</w:t>
      </w:r>
      <w:r w:rsidRPr="001B1244">
        <w:rPr>
          <w:rFonts w:ascii="Arial" w:hAnsi="Arial" w:cs="Arial"/>
          <w:color w:val="000000" w:themeColor="text1"/>
          <w:sz w:val="22"/>
          <w:szCs w:val="22"/>
          <w:shd w:val="clear" w:color="auto" w:fill="FFFFFF"/>
        </w:rPr>
        <w:t xml:space="preserve">(7), 889-890. </w:t>
      </w:r>
    </w:p>
    <w:p w14:paraId="1ACB4406"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Buerstmayr, H., Ban, T., &amp; Anderson, J. A. (2009). QTL mapping and marker-assisted selection for </w:t>
      </w:r>
      <w:r w:rsidRPr="001B1244">
        <w:rPr>
          <w:rFonts w:ascii="Arial" w:hAnsi="Arial" w:cs="Arial"/>
          <w:i/>
          <w:color w:val="000000" w:themeColor="text1"/>
          <w:sz w:val="22"/>
          <w:szCs w:val="22"/>
        </w:rPr>
        <w:t>Fusarium</w:t>
      </w:r>
      <w:r w:rsidRPr="001B1244">
        <w:rPr>
          <w:rFonts w:ascii="Arial" w:hAnsi="Arial" w:cs="Arial"/>
          <w:color w:val="000000" w:themeColor="text1"/>
          <w:sz w:val="22"/>
          <w:szCs w:val="22"/>
        </w:rPr>
        <w:t xml:space="preserve"> head blight resistance in wheat: A review. </w:t>
      </w:r>
      <w:r w:rsidRPr="001B1244">
        <w:rPr>
          <w:rFonts w:ascii="Arial" w:hAnsi="Arial" w:cs="Arial"/>
          <w:i/>
          <w:color w:val="000000" w:themeColor="text1"/>
          <w:sz w:val="22"/>
          <w:szCs w:val="22"/>
        </w:rPr>
        <w:t>Plant Breeding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128</w:t>
      </w:r>
      <w:r w:rsidRPr="001B1244">
        <w:rPr>
          <w:rFonts w:ascii="Arial" w:hAnsi="Arial" w:cs="Arial"/>
          <w:color w:val="000000" w:themeColor="text1"/>
          <w:sz w:val="22"/>
          <w:szCs w:val="22"/>
        </w:rPr>
        <w:t xml:space="preserve">(1), 1–26. </w:t>
      </w:r>
      <w:hyperlink r:id="rId46" w:history="1">
        <w:r w:rsidRPr="001B1244">
          <w:rPr>
            <w:rFonts w:ascii="Arial" w:hAnsi="Arial" w:cs="Arial"/>
            <w:color w:val="000000" w:themeColor="text1"/>
            <w:sz w:val="22"/>
            <w:szCs w:val="22"/>
            <w:u w:val="single"/>
          </w:rPr>
          <w:t>https://doi.org/10.1111/j.1439-0523.2008.01550.x</w:t>
        </w:r>
      </w:hyperlink>
    </w:p>
    <w:p w14:paraId="02FD6590"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Burrill, T. J., &amp; Earle, F. S. (1884). Parasitic Fungi of Illinois: Part II. Erysipheae.</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Illinois Natural History Survey Bulletin</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w:t>
      </w:r>
      <w:r w:rsidRPr="001B1244">
        <w:rPr>
          <w:rFonts w:ascii="Arial" w:hAnsi="Arial" w:cs="Arial"/>
          <w:color w:val="000000" w:themeColor="text1"/>
          <w:sz w:val="22"/>
          <w:szCs w:val="22"/>
          <w:shd w:val="clear" w:color="auto" w:fill="FFFFFF"/>
        </w:rPr>
        <w:t>(1-8), 387-432.</w:t>
      </w:r>
    </w:p>
    <w:p w14:paraId="4E2DEE73"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Büschges, R., Hollricher, K., Panstruga, R., Simons, G., Wolter, M., Frijters, A., van Daelen, R., van der Lee, T., Diergaarde, P., Groenendijk, J., Töpsch, S., Vos, P., Salamini, F., &amp; Schulze-Lefert, P. (1997). The Barley Mlo Gene: A Novel Control Element of Plant Pathogen Resistance. </w:t>
      </w:r>
      <w:r w:rsidRPr="001B1244">
        <w:rPr>
          <w:rFonts w:ascii="Arial" w:hAnsi="Arial" w:cs="Arial"/>
          <w:i/>
          <w:color w:val="000000" w:themeColor="text1"/>
          <w:sz w:val="22"/>
          <w:szCs w:val="22"/>
        </w:rPr>
        <w:t>Cell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88</w:t>
      </w:r>
      <w:r w:rsidRPr="001B1244">
        <w:rPr>
          <w:rFonts w:ascii="Arial" w:hAnsi="Arial" w:cs="Arial"/>
          <w:color w:val="000000" w:themeColor="text1"/>
          <w:sz w:val="22"/>
          <w:szCs w:val="22"/>
        </w:rPr>
        <w:t xml:space="preserve">(5), 695–705. </w:t>
      </w:r>
      <w:hyperlink r:id="rId47" w:history="1">
        <w:r w:rsidRPr="001B1244">
          <w:rPr>
            <w:rFonts w:ascii="Arial" w:hAnsi="Arial" w:cs="Arial"/>
            <w:color w:val="000000" w:themeColor="text1"/>
            <w:sz w:val="22"/>
            <w:szCs w:val="22"/>
            <w:u w:val="single"/>
          </w:rPr>
          <w:t>https://doi.org/10.1016/S0092-8674(00)81912-1</w:t>
        </w:r>
      </w:hyperlink>
    </w:p>
    <w:p w14:paraId="532180E7"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Caballero, M., &amp; Wegrzyn, J. (2019). </w:t>
      </w:r>
      <w:proofErr w:type="gramStart"/>
      <w:r w:rsidRPr="001B1244">
        <w:rPr>
          <w:rFonts w:ascii="Arial" w:hAnsi="Arial" w:cs="Arial"/>
          <w:color w:val="000000" w:themeColor="text1"/>
          <w:sz w:val="22"/>
          <w:szCs w:val="22"/>
          <w:shd w:val="clear" w:color="auto" w:fill="FFFFFF"/>
        </w:rPr>
        <w:t>gFACs</w:t>
      </w:r>
      <w:proofErr w:type="gramEnd"/>
      <w:r w:rsidRPr="001B1244">
        <w:rPr>
          <w:rFonts w:ascii="Arial" w:hAnsi="Arial" w:cs="Arial"/>
          <w:color w:val="000000" w:themeColor="text1"/>
          <w:sz w:val="22"/>
          <w:szCs w:val="22"/>
          <w:shd w:val="clear" w:color="auto" w:fill="FFFFFF"/>
        </w:rPr>
        <w:t>: gene filtering, analysis, and conversion to unify genome annotations across alignment and gene prediction frameworks.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Genomics, proteomics &amp; bioinformatics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17</w:t>
      </w:r>
      <w:r w:rsidRPr="001B1244">
        <w:rPr>
          <w:rFonts w:ascii="Arial" w:hAnsi="Arial" w:cs="Arial"/>
          <w:color w:val="000000" w:themeColor="text1"/>
          <w:sz w:val="22"/>
          <w:szCs w:val="22"/>
          <w:shd w:val="clear" w:color="auto" w:fill="FFFFFF"/>
        </w:rPr>
        <w:t xml:space="preserve">(3), 305-310. </w:t>
      </w:r>
    </w:p>
    <w:p w14:paraId="475B079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Calenge, F., &amp; Durel, C.-E. (2006). </w:t>
      </w:r>
      <w:proofErr w:type="gramStart"/>
      <w:r w:rsidRPr="001B1244">
        <w:rPr>
          <w:rFonts w:ascii="Arial" w:hAnsi="Arial" w:cs="Arial"/>
          <w:color w:val="000000" w:themeColor="text1"/>
          <w:sz w:val="22"/>
          <w:szCs w:val="22"/>
        </w:rPr>
        <w:t>Both</w:t>
      </w:r>
      <w:proofErr w:type="gramEnd"/>
      <w:r w:rsidRPr="001B1244">
        <w:rPr>
          <w:rFonts w:ascii="Arial" w:hAnsi="Arial" w:cs="Arial"/>
          <w:color w:val="000000" w:themeColor="text1"/>
          <w:sz w:val="22"/>
          <w:szCs w:val="22"/>
        </w:rPr>
        <w:t xml:space="preserve"> stable and unstable QTLs for resistance to powdery mildew are detected in apple after four years of field assessments. </w:t>
      </w:r>
      <w:r w:rsidRPr="001B1244">
        <w:rPr>
          <w:rFonts w:ascii="Arial" w:hAnsi="Arial" w:cs="Arial"/>
          <w:i/>
          <w:color w:val="000000" w:themeColor="text1"/>
          <w:sz w:val="22"/>
          <w:szCs w:val="22"/>
        </w:rPr>
        <w:t>Molecular Breeding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17</w:t>
      </w:r>
      <w:r w:rsidRPr="001B1244">
        <w:rPr>
          <w:rFonts w:ascii="Arial" w:hAnsi="Arial" w:cs="Arial"/>
          <w:color w:val="000000" w:themeColor="text1"/>
          <w:sz w:val="22"/>
          <w:szCs w:val="22"/>
        </w:rPr>
        <w:t xml:space="preserve">(4), 329–339. </w:t>
      </w:r>
      <w:hyperlink r:id="rId48" w:history="1">
        <w:r w:rsidRPr="001B1244">
          <w:rPr>
            <w:rFonts w:ascii="Arial" w:hAnsi="Arial" w:cs="Arial"/>
            <w:color w:val="000000" w:themeColor="text1"/>
            <w:sz w:val="22"/>
            <w:szCs w:val="22"/>
            <w:u w:val="single"/>
          </w:rPr>
          <w:t>https://doi.org/10.1007/s11032-006-9004-7</w:t>
        </w:r>
      </w:hyperlink>
    </w:p>
    <w:p w14:paraId="0A3E23DD"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lastRenderedPageBreak/>
        <w:t xml:space="preserve">Cao, Y., Li, K., Li, Y., Zhao, X., &amp; Wang, L. (2020). MYB Transcription Factors as Regulators of Secondary Metabolism in Plants. </w:t>
      </w:r>
      <w:r w:rsidRPr="001B1244">
        <w:rPr>
          <w:rFonts w:ascii="Arial" w:hAnsi="Arial" w:cs="Arial"/>
          <w:i/>
          <w:color w:val="000000" w:themeColor="text1"/>
          <w:sz w:val="22"/>
          <w:szCs w:val="22"/>
        </w:rPr>
        <w:t>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w:t>
      </w:r>
      <w:r w:rsidRPr="001B1244">
        <w:rPr>
          <w:rFonts w:ascii="Arial" w:hAnsi="Arial" w:cs="Arial"/>
          <w:color w:val="000000" w:themeColor="text1"/>
          <w:sz w:val="22"/>
          <w:szCs w:val="22"/>
        </w:rPr>
        <w:t xml:space="preserve">(3), 61. </w:t>
      </w:r>
      <w:hyperlink r:id="rId49" w:history="1">
        <w:r w:rsidRPr="001B1244">
          <w:rPr>
            <w:rFonts w:ascii="Arial" w:hAnsi="Arial" w:cs="Arial"/>
            <w:color w:val="000000" w:themeColor="text1"/>
            <w:sz w:val="22"/>
            <w:szCs w:val="22"/>
            <w:u w:val="single"/>
          </w:rPr>
          <w:t>https://doi.org/10.3390/biology9030061</w:t>
        </w:r>
      </w:hyperlink>
    </w:p>
    <w:p w14:paraId="0CF2952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Cappiello, P., &amp; Shadow, D. (2005). Dogwoods: </w:t>
      </w:r>
      <w:r w:rsidRPr="001B1244">
        <w:rPr>
          <w:rFonts w:ascii="Arial" w:hAnsi="Arial" w:cs="Arial"/>
          <w:i/>
          <w:iCs/>
          <w:color w:val="000000" w:themeColor="text1"/>
          <w:sz w:val="22"/>
          <w:szCs w:val="22"/>
        </w:rPr>
        <w:t>The Genus Cornus</w:t>
      </w:r>
      <w:r w:rsidRPr="001B1244">
        <w:rPr>
          <w:rFonts w:ascii="Arial" w:hAnsi="Arial" w:cs="Arial"/>
          <w:color w:val="000000" w:themeColor="text1"/>
          <w:sz w:val="22"/>
          <w:szCs w:val="22"/>
        </w:rPr>
        <w:t xml:space="preserve">. Timber Press. </w:t>
      </w:r>
    </w:p>
    <w:p w14:paraId="514FBD2C"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Carey, C. C., Strahle, J. T., Selinger, D. A., &amp; Chandler, V. L. (2004). Mutations in the </w:t>
      </w:r>
      <w:r w:rsidRPr="001B1244">
        <w:rPr>
          <w:rFonts w:ascii="Arial" w:hAnsi="Arial" w:cs="Arial"/>
          <w:i/>
          <w:color w:val="000000" w:themeColor="text1"/>
          <w:sz w:val="22"/>
          <w:szCs w:val="22"/>
        </w:rPr>
        <w:t>pale aleurone color1</w:t>
      </w:r>
      <w:r w:rsidRPr="001B1244">
        <w:rPr>
          <w:rFonts w:ascii="Arial" w:hAnsi="Arial" w:cs="Arial"/>
          <w:color w:val="000000" w:themeColor="text1"/>
          <w:sz w:val="22"/>
          <w:szCs w:val="22"/>
        </w:rPr>
        <w:t xml:space="preserve"> Regulatory Gene of the </w:t>
      </w:r>
      <w:r w:rsidRPr="001B1244">
        <w:rPr>
          <w:rFonts w:ascii="Arial" w:hAnsi="Arial" w:cs="Arial"/>
          <w:i/>
          <w:color w:val="000000" w:themeColor="text1"/>
          <w:sz w:val="22"/>
          <w:szCs w:val="22"/>
        </w:rPr>
        <w:t>Zea mays</w:t>
      </w:r>
      <w:r w:rsidRPr="001B1244">
        <w:rPr>
          <w:rFonts w:ascii="Arial" w:hAnsi="Arial" w:cs="Arial"/>
          <w:color w:val="000000" w:themeColor="text1"/>
          <w:sz w:val="22"/>
          <w:szCs w:val="22"/>
        </w:rPr>
        <w:t xml:space="preserve"> Anthocyanin Pathway Have Distinct Phenotypes Relative to the Functionally Similar </w:t>
      </w:r>
      <w:r w:rsidRPr="001B1244">
        <w:rPr>
          <w:rFonts w:ascii="Arial" w:hAnsi="Arial" w:cs="Arial"/>
          <w:i/>
          <w:color w:val="000000" w:themeColor="text1"/>
          <w:sz w:val="22"/>
          <w:szCs w:val="22"/>
        </w:rPr>
        <w:t>TRANSPARENT TESTA GLABRA1</w:t>
      </w:r>
      <w:r w:rsidRPr="001B1244">
        <w:rPr>
          <w:rFonts w:ascii="Arial" w:hAnsi="Arial" w:cs="Arial"/>
          <w:color w:val="000000" w:themeColor="text1"/>
          <w:sz w:val="22"/>
          <w:szCs w:val="22"/>
        </w:rPr>
        <w:t xml:space="preserve"> Gene in </w:t>
      </w:r>
      <w:r w:rsidRPr="001B1244">
        <w:rPr>
          <w:rFonts w:ascii="Arial" w:hAnsi="Arial" w:cs="Arial"/>
          <w:i/>
          <w:color w:val="000000" w:themeColor="text1"/>
          <w:sz w:val="22"/>
          <w:szCs w:val="22"/>
        </w:rPr>
        <w:t>Arabidopsis thaliana</w:t>
      </w:r>
      <w:r w:rsidRPr="001B1244">
        <w:rPr>
          <w:rFonts w:ascii="Arial" w:hAnsi="Arial" w:cs="Arial"/>
          <w:color w:val="000000" w:themeColor="text1"/>
          <w:sz w:val="22"/>
          <w:szCs w:val="22"/>
        </w:rPr>
        <w:t xml:space="preserve"> [W]. </w:t>
      </w:r>
      <w:r w:rsidRPr="001B1244">
        <w:rPr>
          <w:rFonts w:ascii="Arial" w:hAnsi="Arial" w:cs="Arial"/>
          <w:i/>
          <w:color w:val="000000" w:themeColor="text1"/>
          <w:sz w:val="22"/>
          <w:szCs w:val="22"/>
        </w:rPr>
        <w:t>The Plant Cell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w:t>
      </w:r>
      <w:r w:rsidRPr="001B1244">
        <w:rPr>
          <w:rFonts w:ascii="Arial" w:hAnsi="Arial" w:cs="Arial"/>
          <w:color w:val="000000" w:themeColor="text1"/>
          <w:sz w:val="22"/>
          <w:szCs w:val="22"/>
        </w:rPr>
        <w:t xml:space="preserve">(2), 450–464. </w:t>
      </w:r>
      <w:hyperlink r:id="rId50" w:history="1">
        <w:r w:rsidRPr="001B1244">
          <w:rPr>
            <w:rFonts w:ascii="Arial" w:hAnsi="Arial" w:cs="Arial"/>
            <w:color w:val="000000" w:themeColor="text1"/>
            <w:sz w:val="22"/>
            <w:szCs w:val="22"/>
            <w:u w:val="single"/>
          </w:rPr>
          <w:t>https://doi.org/10.1105/tpc.018796</w:t>
        </w:r>
      </w:hyperlink>
    </w:p>
    <w:p w14:paraId="7B1924EF"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Carlborg, </w:t>
      </w:r>
      <w:proofErr w:type="gramStart"/>
      <w:r w:rsidRPr="001B1244">
        <w:rPr>
          <w:rFonts w:ascii="Arial" w:hAnsi="Arial" w:cs="Arial"/>
          <w:color w:val="000000" w:themeColor="text1"/>
          <w:sz w:val="22"/>
          <w:szCs w:val="22"/>
          <w:shd w:val="clear" w:color="auto" w:fill="FFFFFF"/>
        </w:rPr>
        <w:t>Ö.,</w:t>
      </w:r>
      <w:proofErr w:type="gramEnd"/>
      <w:r w:rsidRPr="001B1244">
        <w:rPr>
          <w:rFonts w:ascii="Arial" w:hAnsi="Arial" w:cs="Arial"/>
          <w:color w:val="000000" w:themeColor="text1"/>
          <w:sz w:val="22"/>
          <w:szCs w:val="22"/>
          <w:shd w:val="clear" w:color="auto" w:fill="FFFFFF"/>
        </w:rPr>
        <w:t xml:space="preserve"> &amp; Haley, C. S. (2004). Epistasis: </w:t>
      </w:r>
      <w:proofErr w:type="gramStart"/>
      <w:r w:rsidRPr="001B1244">
        <w:rPr>
          <w:rFonts w:ascii="Arial" w:hAnsi="Arial" w:cs="Arial"/>
          <w:color w:val="000000" w:themeColor="text1"/>
          <w:sz w:val="22"/>
          <w:szCs w:val="22"/>
          <w:shd w:val="clear" w:color="auto" w:fill="FFFFFF"/>
        </w:rPr>
        <w:t>too often</w:t>
      </w:r>
      <w:proofErr w:type="gramEnd"/>
      <w:r w:rsidRPr="001B1244">
        <w:rPr>
          <w:rFonts w:ascii="Arial" w:hAnsi="Arial" w:cs="Arial"/>
          <w:color w:val="000000" w:themeColor="text1"/>
          <w:sz w:val="22"/>
          <w:szCs w:val="22"/>
          <w:shd w:val="clear" w:color="auto" w:fill="FFFFFF"/>
        </w:rPr>
        <w:t xml:space="preserve"> neglected in complex trait studies?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Nature Reviews Genetics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5</w:t>
      </w:r>
      <w:r w:rsidRPr="001B1244">
        <w:rPr>
          <w:rFonts w:ascii="Arial" w:hAnsi="Arial" w:cs="Arial"/>
          <w:color w:val="000000" w:themeColor="text1"/>
          <w:sz w:val="22"/>
          <w:szCs w:val="22"/>
          <w:shd w:val="clear" w:color="auto" w:fill="FFFFFF"/>
        </w:rPr>
        <w:t xml:space="preserve">(8), 618-625. </w:t>
      </w:r>
    </w:p>
    <w:p w14:paraId="0EAAF0DE"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Cavallini, E., Matus, J. T., Finezzo, L., Zenoni, S., Loyola, R., Guzzo, F., Schlechter, R., Ageorges, A., Arce-Johnson, P., &amp; Tornielli, G. B. (2015). The Phenylpropanoid Pathway </w:t>
      </w:r>
      <w:proofErr w:type="gramStart"/>
      <w:r w:rsidRPr="001B1244">
        <w:rPr>
          <w:rFonts w:ascii="Arial" w:hAnsi="Arial" w:cs="Arial"/>
          <w:color w:val="000000" w:themeColor="text1"/>
          <w:sz w:val="22"/>
          <w:szCs w:val="22"/>
        </w:rPr>
        <w:t>Is Controlled</w:t>
      </w:r>
      <w:proofErr w:type="gramEnd"/>
      <w:r w:rsidRPr="001B1244">
        <w:rPr>
          <w:rFonts w:ascii="Arial" w:hAnsi="Arial" w:cs="Arial"/>
          <w:color w:val="000000" w:themeColor="text1"/>
          <w:sz w:val="22"/>
          <w:szCs w:val="22"/>
        </w:rPr>
        <w:t xml:space="preserve"> at Different Branches by a Set of R2R3-MYB C2 Repressors in Grapevine.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167</w:t>
      </w:r>
      <w:r w:rsidRPr="001B1244">
        <w:rPr>
          <w:rFonts w:ascii="Arial" w:hAnsi="Arial" w:cs="Arial"/>
          <w:color w:val="000000" w:themeColor="text1"/>
          <w:sz w:val="22"/>
          <w:szCs w:val="22"/>
        </w:rPr>
        <w:t xml:space="preserve">(4), 1448–1470. </w:t>
      </w:r>
      <w:hyperlink r:id="rId51" w:history="1">
        <w:r w:rsidRPr="001B1244">
          <w:rPr>
            <w:rFonts w:ascii="Arial" w:hAnsi="Arial" w:cs="Arial"/>
            <w:color w:val="000000" w:themeColor="text1"/>
            <w:sz w:val="22"/>
            <w:szCs w:val="22"/>
            <w:u w:val="single"/>
          </w:rPr>
          <w:t>https://doi.org/10.1104/pp.114.256172</w:t>
        </w:r>
      </w:hyperlink>
    </w:p>
    <w:p w14:paraId="4EE73ADB" w14:textId="7D9698DC"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Celio, G. J., Mims, C. W., &amp; Richardson, E. A. (2004). </w:t>
      </w:r>
      <w:r w:rsidRPr="001B1244">
        <w:rPr>
          <w:rFonts w:ascii="Arial" w:hAnsi="Arial" w:cs="Arial"/>
          <w:i/>
          <w:color w:val="000000" w:themeColor="text1"/>
          <w:sz w:val="22"/>
          <w:szCs w:val="22"/>
        </w:rPr>
        <w:t>Ultrastructure and immunocytochemistry of the host–pathogen interface in poinsettia leaves infected with powdery mildew</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82</w:t>
      </w:r>
      <w:r w:rsidRPr="001B1244">
        <w:rPr>
          <w:rFonts w:ascii="Arial" w:hAnsi="Arial" w:cs="Arial"/>
          <w:color w:val="000000" w:themeColor="text1"/>
          <w:sz w:val="22"/>
          <w:szCs w:val="22"/>
        </w:rPr>
        <w:t>, 11.</w:t>
      </w:r>
    </w:p>
    <w:p w14:paraId="15731A66" w14:textId="4B8FDC7C" w:rsidR="00F6315A" w:rsidRPr="001B1244" w:rsidRDefault="00F6315A" w:rsidP="00CA01FD">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Cervera, M. T., Storme, V., Ivens, B., Gusmao, J., Liu, B. H., Hostyn, V</w:t>
      </w:r>
      <w:proofErr w:type="gramStart"/>
      <w:r w:rsidRPr="001B1244">
        <w:rPr>
          <w:rFonts w:ascii="Arial" w:hAnsi="Arial" w:cs="Arial"/>
          <w:color w:val="222222"/>
          <w:sz w:val="22"/>
          <w:szCs w:val="22"/>
          <w:shd w:val="clear" w:color="auto" w:fill="FFFFFF"/>
        </w:rPr>
        <w:t>., ...</w:t>
      </w:r>
      <w:proofErr w:type="gramEnd"/>
      <w:r w:rsidRPr="001B1244">
        <w:rPr>
          <w:rFonts w:ascii="Arial" w:hAnsi="Arial" w:cs="Arial"/>
          <w:color w:val="222222"/>
          <w:sz w:val="22"/>
          <w:szCs w:val="22"/>
          <w:shd w:val="clear" w:color="auto" w:fill="FFFFFF"/>
        </w:rPr>
        <w:t xml:space="preserve"> &amp; Boerjan, W. (2001). Dense genetic linkage maps of three Populus species (Populus deltoides, P. nigra and P. trichocarpa) based on AFLP and microsatellite markers.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Genetics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158</w:t>
      </w:r>
      <w:r w:rsidRPr="001B1244">
        <w:rPr>
          <w:rFonts w:ascii="Arial" w:hAnsi="Arial" w:cs="Arial"/>
          <w:color w:val="222222"/>
          <w:sz w:val="22"/>
          <w:szCs w:val="22"/>
          <w:shd w:val="clear" w:color="auto" w:fill="FFFFFF"/>
        </w:rPr>
        <w:t>(2), 787-809.</w:t>
      </w:r>
    </w:p>
    <w:p w14:paraId="17C9C4F8"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Chagné, D., Lin-Wang, K., Espley, R. V., Volz, R. K., How, N. M., Rouse, S., Brendolise, C., Carlisle, C. M., Kumar, S., De Silva, N., Micheletti, D., McGhie, T., Crowhurst, R. N., Storey, R. D., Velasco, R., Hellens, R. P., Gardiner, S. E., &amp; Allan, A. C. (2012). An Ancient Duplication of Apple MYB Transcription Factors Is Responsible for Novel Red Fruit-Flesh Phenotypes.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161</w:t>
      </w:r>
      <w:r w:rsidRPr="001B1244">
        <w:rPr>
          <w:rFonts w:ascii="Arial" w:hAnsi="Arial" w:cs="Arial"/>
          <w:color w:val="000000" w:themeColor="text1"/>
          <w:sz w:val="22"/>
          <w:szCs w:val="22"/>
        </w:rPr>
        <w:t xml:space="preserve">(1), 225–239. </w:t>
      </w:r>
      <w:hyperlink r:id="rId52" w:history="1">
        <w:r w:rsidRPr="001B1244">
          <w:rPr>
            <w:rFonts w:ascii="Arial" w:hAnsi="Arial" w:cs="Arial"/>
            <w:color w:val="000000" w:themeColor="text1"/>
            <w:sz w:val="22"/>
            <w:szCs w:val="22"/>
            <w:u w:val="single"/>
          </w:rPr>
          <w:t>https://doi.org/10.1104/pp.112.206771</w:t>
        </w:r>
      </w:hyperlink>
    </w:p>
    <w:p w14:paraId="329616AA"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Chen, C., Zhang, K., Khurshid, M., Li, J., He, M., Georgiev, M. I., Zhang, X., &amp; Zhou, M. (2019). MYB Transcription Repressors Regulate Plant Secondary Metabolism. </w:t>
      </w:r>
      <w:r w:rsidRPr="001B1244">
        <w:rPr>
          <w:rFonts w:ascii="Arial" w:hAnsi="Arial" w:cs="Arial"/>
          <w:i/>
          <w:color w:val="000000" w:themeColor="text1"/>
          <w:sz w:val="22"/>
          <w:szCs w:val="22"/>
        </w:rPr>
        <w:t>Critical Reviews in Plant Sciences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38</w:t>
      </w:r>
      <w:r w:rsidRPr="001B1244">
        <w:rPr>
          <w:rFonts w:ascii="Arial" w:hAnsi="Arial" w:cs="Arial"/>
          <w:color w:val="000000" w:themeColor="text1"/>
          <w:sz w:val="22"/>
          <w:szCs w:val="22"/>
        </w:rPr>
        <w:t xml:space="preserve">(3), 159–170. </w:t>
      </w:r>
      <w:hyperlink r:id="rId53" w:history="1">
        <w:r w:rsidRPr="001B1244">
          <w:rPr>
            <w:rFonts w:ascii="Arial" w:hAnsi="Arial" w:cs="Arial"/>
            <w:color w:val="000000" w:themeColor="text1"/>
            <w:sz w:val="22"/>
            <w:szCs w:val="22"/>
            <w:u w:val="single"/>
          </w:rPr>
          <w:t>https://doi.org/10.1080/07352689.2019.1632542</w:t>
        </w:r>
      </w:hyperlink>
    </w:p>
    <w:p w14:paraId="42F056E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Chen, K., Zhou, Y., Li, K., Qi, L., Zhang, Q., Wang, M., &amp; Xiao, J. (2016). A novel three-round multiplex PCR for SNP genotyping with next generation sequencing. </w:t>
      </w:r>
      <w:r w:rsidRPr="001B1244">
        <w:rPr>
          <w:rFonts w:ascii="Arial" w:hAnsi="Arial" w:cs="Arial"/>
          <w:i/>
          <w:iCs/>
          <w:color w:val="000000" w:themeColor="text1"/>
          <w:sz w:val="22"/>
          <w:szCs w:val="22"/>
        </w:rPr>
        <w:t>Analytical and Bioanalytical Chemistry</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408</w:t>
      </w:r>
      <w:r w:rsidRPr="001B1244">
        <w:rPr>
          <w:rFonts w:ascii="Arial" w:hAnsi="Arial" w:cs="Arial"/>
          <w:color w:val="000000" w:themeColor="text1"/>
          <w:sz w:val="22"/>
          <w:szCs w:val="22"/>
        </w:rPr>
        <w:t xml:space="preserve">(16), 4371–4377. </w:t>
      </w:r>
      <w:hyperlink r:id="rId54" w:history="1">
        <w:r w:rsidRPr="001B1244">
          <w:rPr>
            <w:rFonts w:ascii="Arial" w:hAnsi="Arial" w:cs="Arial"/>
            <w:color w:val="000000" w:themeColor="text1"/>
            <w:sz w:val="22"/>
            <w:szCs w:val="22"/>
            <w:u w:val="single"/>
          </w:rPr>
          <w:t>https://doi.org/10.1007/s00216-016-9536-6</w:t>
        </w:r>
      </w:hyperlink>
    </w:p>
    <w:p w14:paraId="19434313"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Chen, L., Hu, B., Qin, Y., Hu, G., &amp; Zhao, J. (2019). Advance of the negative regulation of anthocyanin biosynthesis by MYB transcription factors. </w:t>
      </w:r>
      <w:r w:rsidRPr="001B1244">
        <w:rPr>
          <w:rFonts w:ascii="Arial" w:hAnsi="Arial" w:cs="Arial"/>
          <w:i/>
          <w:color w:val="000000" w:themeColor="text1"/>
          <w:sz w:val="22"/>
          <w:szCs w:val="22"/>
        </w:rPr>
        <w:t>Plant Physiology and Biochemistry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136</w:t>
      </w:r>
      <w:r w:rsidRPr="001B1244">
        <w:rPr>
          <w:rFonts w:ascii="Arial" w:hAnsi="Arial" w:cs="Arial"/>
          <w:color w:val="000000" w:themeColor="text1"/>
          <w:sz w:val="22"/>
          <w:szCs w:val="22"/>
        </w:rPr>
        <w:t xml:space="preserve">, 178–187. </w:t>
      </w:r>
      <w:hyperlink r:id="rId55" w:history="1">
        <w:r w:rsidRPr="001B1244">
          <w:rPr>
            <w:rFonts w:ascii="Arial" w:hAnsi="Arial" w:cs="Arial"/>
            <w:color w:val="000000" w:themeColor="text1"/>
            <w:sz w:val="22"/>
            <w:szCs w:val="22"/>
            <w:u w:val="single"/>
          </w:rPr>
          <w:t>https://doi.org/10.1016/j.plaphy.2019.01.024</w:t>
        </w:r>
      </w:hyperlink>
    </w:p>
    <w:p w14:paraId="4470F13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Cheverud, J. M., &amp; Routman, E. J. (1995). Epistasis and its contribution to genetic variance components. </w:t>
      </w:r>
      <w:r w:rsidRPr="001B1244">
        <w:rPr>
          <w:rFonts w:ascii="Arial" w:hAnsi="Arial" w:cs="Arial"/>
          <w:i/>
          <w:iCs/>
          <w:color w:val="000000" w:themeColor="text1"/>
          <w:sz w:val="22"/>
          <w:szCs w:val="22"/>
        </w:rPr>
        <w:t>Genetics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139</w:t>
      </w:r>
      <w:r w:rsidRPr="001B1244">
        <w:rPr>
          <w:rFonts w:ascii="Arial" w:hAnsi="Arial" w:cs="Arial"/>
          <w:color w:val="000000" w:themeColor="text1"/>
          <w:sz w:val="22"/>
          <w:szCs w:val="22"/>
        </w:rPr>
        <w:t xml:space="preserve">(3), 1455–1461. </w:t>
      </w:r>
      <w:hyperlink r:id="rId56" w:history="1">
        <w:r w:rsidRPr="001B1244">
          <w:rPr>
            <w:rFonts w:ascii="Arial" w:hAnsi="Arial" w:cs="Arial"/>
            <w:color w:val="000000" w:themeColor="text1"/>
            <w:sz w:val="22"/>
            <w:szCs w:val="22"/>
            <w:u w:val="single"/>
          </w:rPr>
          <w:t>https://doi.org/10.1093/genetics/139.3.1455</w:t>
        </w:r>
      </w:hyperlink>
    </w:p>
    <w:p w14:paraId="3BE399FC"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Chiou, C.-Y., &amp; Yeh, K.-W. (2008). Differential expression of MYB gene (OgMYB1) determines color patterning in floral tissue of Oncidium Gower Ramsey. </w:t>
      </w:r>
      <w:r w:rsidRPr="001B1244">
        <w:rPr>
          <w:rFonts w:ascii="Arial" w:hAnsi="Arial" w:cs="Arial"/>
          <w:i/>
          <w:color w:val="000000" w:themeColor="text1"/>
          <w:sz w:val="22"/>
          <w:szCs w:val="22"/>
        </w:rPr>
        <w:t>Plant Molecular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66</w:t>
      </w:r>
      <w:r w:rsidRPr="001B1244">
        <w:rPr>
          <w:rFonts w:ascii="Arial" w:hAnsi="Arial" w:cs="Arial"/>
          <w:color w:val="000000" w:themeColor="text1"/>
          <w:sz w:val="22"/>
          <w:szCs w:val="22"/>
        </w:rPr>
        <w:t xml:space="preserve">(4), 379–388. </w:t>
      </w:r>
      <w:hyperlink r:id="rId57" w:history="1">
        <w:r w:rsidRPr="001B1244">
          <w:rPr>
            <w:rFonts w:ascii="Arial" w:hAnsi="Arial" w:cs="Arial"/>
            <w:color w:val="000000" w:themeColor="text1"/>
            <w:sz w:val="22"/>
            <w:szCs w:val="22"/>
            <w:u w:val="single"/>
          </w:rPr>
          <w:t>https://doi.org/10.1007/s11103-007-9275-3</w:t>
        </w:r>
      </w:hyperlink>
    </w:p>
    <w:p w14:paraId="259736CF"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Chung, Y. S., Choi, S. C., Jun, T. H., &amp; Kim, C. (2017). Genotyping-by-sequencing: a promising tool for plant genetics research and breeding.</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Horticulture, Environment, and Biotechnology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58</w:t>
      </w:r>
      <w:r w:rsidRPr="001B1244">
        <w:rPr>
          <w:rFonts w:ascii="Arial" w:hAnsi="Arial" w:cs="Arial"/>
          <w:color w:val="000000" w:themeColor="text1"/>
          <w:sz w:val="22"/>
          <w:szCs w:val="22"/>
          <w:shd w:val="clear" w:color="auto" w:fill="FFFFFF"/>
        </w:rPr>
        <w:t xml:space="preserve">(5), 425-431. </w:t>
      </w:r>
    </w:p>
    <w:p w14:paraId="351E6A0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Churchill, G. A., &amp; Doerge, R. (1994). Empirical threshold values for quantitative trait mapping.</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Genetics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138</w:t>
      </w:r>
      <w:r w:rsidRPr="001B1244">
        <w:rPr>
          <w:rFonts w:ascii="Arial" w:hAnsi="Arial" w:cs="Arial"/>
          <w:color w:val="000000" w:themeColor="text1"/>
          <w:sz w:val="22"/>
          <w:szCs w:val="22"/>
          <w:shd w:val="clear" w:color="auto" w:fill="FFFFFF"/>
        </w:rPr>
        <w:t xml:space="preserve">(3), 963-971. </w:t>
      </w:r>
    </w:p>
    <w:p w14:paraId="6AD59B27"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Choi, K., &amp; Henderson, I. R. (2015). Meiotic recombination hotspots—</w:t>
      </w:r>
      <w:proofErr w:type="gramStart"/>
      <w:r w:rsidRPr="001B1244">
        <w:rPr>
          <w:rFonts w:ascii="Arial" w:hAnsi="Arial" w:cs="Arial"/>
          <w:color w:val="000000" w:themeColor="text1"/>
          <w:sz w:val="22"/>
          <w:szCs w:val="22"/>
        </w:rPr>
        <w:t>A</w:t>
      </w:r>
      <w:proofErr w:type="gramEnd"/>
      <w:r w:rsidRPr="001B1244">
        <w:rPr>
          <w:rFonts w:ascii="Arial" w:hAnsi="Arial" w:cs="Arial"/>
          <w:color w:val="000000" w:themeColor="text1"/>
          <w:sz w:val="22"/>
          <w:szCs w:val="22"/>
        </w:rPr>
        <w:t xml:space="preserve"> comparative view. </w:t>
      </w:r>
      <w:r w:rsidRPr="001B1244">
        <w:rPr>
          <w:rFonts w:ascii="Arial" w:hAnsi="Arial" w:cs="Arial"/>
          <w:i/>
          <w:iCs/>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83</w:t>
      </w:r>
      <w:r w:rsidRPr="001B1244">
        <w:rPr>
          <w:rFonts w:ascii="Arial" w:hAnsi="Arial" w:cs="Arial"/>
          <w:color w:val="000000" w:themeColor="text1"/>
          <w:sz w:val="22"/>
          <w:szCs w:val="22"/>
        </w:rPr>
        <w:t xml:space="preserve">(1), 52–61. </w:t>
      </w:r>
      <w:hyperlink r:id="rId58" w:history="1">
        <w:r w:rsidRPr="001B1244">
          <w:rPr>
            <w:rFonts w:ascii="Arial" w:hAnsi="Arial" w:cs="Arial"/>
            <w:color w:val="000000" w:themeColor="text1"/>
            <w:sz w:val="22"/>
            <w:szCs w:val="22"/>
            <w:u w:val="single"/>
          </w:rPr>
          <w:t>https://doi.org/10.1111/tpj.12870</w:t>
        </w:r>
      </w:hyperlink>
    </w:p>
    <w:p w14:paraId="1FAE0B80" w14:textId="776C9865"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Colasuonno, P., Marcotuli, I., Gadaleta, A., &amp; Soriano, J. M. (2021). From Genetic Maps to QTL Cloning: An Overview for Durum Wheat. </w:t>
      </w:r>
      <w:r w:rsidRPr="001B1244">
        <w:rPr>
          <w:rFonts w:ascii="Arial" w:hAnsi="Arial" w:cs="Arial"/>
          <w:i/>
          <w:color w:val="000000" w:themeColor="text1"/>
          <w:sz w:val="22"/>
          <w:szCs w:val="22"/>
        </w:rPr>
        <w:t>Plants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(2), 315. </w:t>
      </w:r>
      <w:hyperlink r:id="rId59" w:history="1">
        <w:r w:rsidRPr="001B1244">
          <w:rPr>
            <w:rFonts w:ascii="Arial" w:hAnsi="Arial" w:cs="Arial"/>
            <w:color w:val="000000" w:themeColor="text1"/>
            <w:sz w:val="22"/>
            <w:szCs w:val="22"/>
            <w:u w:val="single"/>
          </w:rPr>
          <w:t>https://doi.org/10.3390/plants10020315</w:t>
        </w:r>
      </w:hyperlink>
    </w:p>
    <w:p w14:paraId="1C1F5474" w14:textId="0ABAD614" w:rsidR="00896D6B" w:rsidRPr="001B1244" w:rsidRDefault="00896D6B" w:rsidP="00CA01FD">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Collins, N. C., Thordal-Christensen, H., Lipka, V., Bau, S., Kombrink, E., Qiu, J. L</w:t>
      </w:r>
      <w:proofErr w:type="gramStart"/>
      <w:r w:rsidRPr="001B1244">
        <w:rPr>
          <w:rFonts w:ascii="Arial" w:hAnsi="Arial" w:cs="Arial"/>
          <w:color w:val="222222"/>
          <w:sz w:val="22"/>
          <w:szCs w:val="22"/>
          <w:shd w:val="clear" w:color="auto" w:fill="FFFFFF"/>
        </w:rPr>
        <w:t>., ...</w:t>
      </w:r>
      <w:proofErr w:type="gramEnd"/>
      <w:r w:rsidRPr="001B1244">
        <w:rPr>
          <w:rFonts w:ascii="Arial" w:hAnsi="Arial" w:cs="Arial"/>
          <w:color w:val="222222"/>
          <w:sz w:val="22"/>
          <w:szCs w:val="22"/>
          <w:shd w:val="clear" w:color="auto" w:fill="FFFFFF"/>
        </w:rPr>
        <w:t xml:space="preserve"> &amp; Schulze-Lefert, P. (2003). SNARE-protein-mediated disease resistance at the plant cell wall.</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Nature</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425</w:t>
      </w:r>
      <w:r w:rsidRPr="001B1244">
        <w:rPr>
          <w:rFonts w:ascii="Arial" w:hAnsi="Arial" w:cs="Arial"/>
          <w:color w:val="222222"/>
          <w:sz w:val="22"/>
          <w:szCs w:val="22"/>
          <w:shd w:val="clear" w:color="auto" w:fill="FFFFFF"/>
        </w:rPr>
        <w:t>(6961), 973-977.</w:t>
      </w:r>
    </w:p>
    <w:p w14:paraId="72FBE95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Collard, B. C. Y., &amp; Mackill, D. J. (2008). Marker-assisted selection: An approach for precision plant breeding in the twenty-first century. </w:t>
      </w:r>
      <w:r w:rsidRPr="001B1244">
        <w:rPr>
          <w:rFonts w:ascii="Arial" w:hAnsi="Arial" w:cs="Arial"/>
          <w:i/>
          <w:iCs/>
          <w:color w:val="000000" w:themeColor="text1"/>
          <w:sz w:val="22"/>
          <w:szCs w:val="22"/>
        </w:rPr>
        <w:t>Philosophical Transactions of the Royal Society B: Biological Sciences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363</w:t>
      </w:r>
      <w:r w:rsidRPr="001B1244">
        <w:rPr>
          <w:rFonts w:ascii="Arial" w:hAnsi="Arial" w:cs="Arial"/>
          <w:color w:val="000000" w:themeColor="text1"/>
          <w:sz w:val="22"/>
          <w:szCs w:val="22"/>
        </w:rPr>
        <w:t xml:space="preserve">(1491), 557–572. </w:t>
      </w:r>
      <w:hyperlink r:id="rId60" w:history="1">
        <w:r w:rsidRPr="001B1244">
          <w:rPr>
            <w:rFonts w:ascii="Arial" w:hAnsi="Arial" w:cs="Arial"/>
            <w:color w:val="000000" w:themeColor="text1"/>
            <w:sz w:val="22"/>
            <w:szCs w:val="22"/>
            <w:u w:val="single"/>
          </w:rPr>
          <w:t>https://doi.org/10.1098/rstb.2007.2170</w:t>
        </w:r>
      </w:hyperlink>
    </w:p>
    <w:p w14:paraId="45349A02"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Cominelli, E., Gusmaroli, G., Allegra, D., Galbiati, M., Wade, H. K., Jenkins, G. I., &amp; Tonelli, C. (2008). Expression analysis of anthocyanin regulatory genes in response to different light qualities in Arabidopsis thaliana. </w:t>
      </w:r>
      <w:r w:rsidRPr="001B1244">
        <w:rPr>
          <w:rFonts w:ascii="Arial" w:hAnsi="Arial" w:cs="Arial"/>
          <w:i/>
          <w:color w:val="000000" w:themeColor="text1"/>
          <w:sz w:val="22"/>
          <w:szCs w:val="22"/>
        </w:rPr>
        <w:t>Journal of 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165</w:t>
      </w:r>
      <w:r w:rsidRPr="001B1244">
        <w:rPr>
          <w:rFonts w:ascii="Arial" w:hAnsi="Arial" w:cs="Arial"/>
          <w:color w:val="000000" w:themeColor="text1"/>
          <w:sz w:val="22"/>
          <w:szCs w:val="22"/>
        </w:rPr>
        <w:t xml:space="preserve">(8), 886–894. </w:t>
      </w:r>
      <w:hyperlink r:id="rId61" w:history="1">
        <w:r w:rsidRPr="001B1244">
          <w:rPr>
            <w:rFonts w:ascii="Arial" w:hAnsi="Arial" w:cs="Arial"/>
            <w:color w:val="000000" w:themeColor="text1"/>
            <w:sz w:val="22"/>
            <w:szCs w:val="22"/>
            <w:u w:val="single"/>
          </w:rPr>
          <w:t>https://doi.org/10.1016/j.jplph.2007.06.010</w:t>
        </w:r>
      </w:hyperlink>
    </w:p>
    <w:p w14:paraId="0E05171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Cone, K. C. (1993). </w:t>
      </w:r>
      <w:r w:rsidRPr="001B1244">
        <w:rPr>
          <w:rFonts w:ascii="Arial" w:hAnsi="Arial" w:cs="Arial"/>
          <w:i/>
          <w:color w:val="000000" w:themeColor="text1"/>
          <w:sz w:val="22"/>
          <w:szCs w:val="22"/>
        </w:rPr>
        <w:t xml:space="preserve">Role of the Regulatory Gene </w:t>
      </w:r>
      <w:proofErr w:type="gramStart"/>
      <w:r w:rsidRPr="001B1244">
        <w:rPr>
          <w:rFonts w:ascii="Arial" w:hAnsi="Arial" w:cs="Arial"/>
          <w:i/>
          <w:color w:val="000000" w:themeColor="text1"/>
          <w:sz w:val="22"/>
          <w:szCs w:val="22"/>
        </w:rPr>
        <w:t>pl</w:t>
      </w:r>
      <w:proofErr w:type="gramEnd"/>
      <w:r w:rsidRPr="001B1244">
        <w:rPr>
          <w:rFonts w:ascii="Arial" w:hAnsi="Arial" w:cs="Arial"/>
          <w:i/>
          <w:color w:val="000000" w:themeColor="text1"/>
          <w:sz w:val="22"/>
          <w:szCs w:val="22"/>
        </w:rPr>
        <w:t xml:space="preserve"> in the Photocontrol of Maize Anthocyanin Pigmentation</w:t>
      </w:r>
      <w:r w:rsidRPr="001B1244">
        <w:rPr>
          <w:rFonts w:ascii="Arial" w:hAnsi="Arial" w:cs="Arial"/>
          <w:color w:val="000000" w:themeColor="text1"/>
          <w:sz w:val="22"/>
          <w:szCs w:val="22"/>
        </w:rPr>
        <w:t>. 10.</w:t>
      </w:r>
    </w:p>
    <w:p w14:paraId="7452C6EE"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Consonni, C., Humphry, M. E., Hartmann, H. A., Livaja, M., Durner, J., Westphal, L., Vogel, J., Lipka, V., Kemmerling, B., Schulze-Lefert, P., Somerville, S. C., &amp; Panstruga, R. (2006). Conserved requirement for a </w:t>
      </w:r>
      <w:proofErr w:type="gramStart"/>
      <w:r w:rsidRPr="001B1244">
        <w:rPr>
          <w:rFonts w:ascii="Arial" w:hAnsi="Arial" w:cs="Arial"/>
          <w:color w:val="000000" w:themeColor="text1"/>
          <w:sz w:val="22"/>
          <w:szCs w:val="22"/>
        </w:rPr>
        <w:t>plant host cell protein</w:t>
      </w:r>
      <w:proofErr w:type="gramEnd"/>
      <w:r w:rsidRPr="001B1244">
        <w:rPr>
          <w:rFonts w:ascii="Arial" w:hAnsi="Arial" w:cs="Arial"/>
          <w:color w:val="000000" w:themeColor="text1"/>
          <w:sz w:val="22"/>
          <w:szCs w:val="22"/>
        </w:rPr>
        <w:t xml:space="preserve"> in powdery mildew pathogenesis. </w:t>
      </w:r>
      <w:r w:rsidRPr="001B1244">
        <w:rPr>
          <w:rFonts w:ascii="Arial" w:hAnsi="Arial" w:cs="Arial"/>
          <w:i/>
          <w:color w:val="000000" w:themeColor="text1"/>
          <w:sz w:val="22"/>
          <w:szCs w:val="22"/>
        </w:rPr>
        <w:t>Nature Genetics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38</w:t>
      </w:r>
      <w:r w:rsidRPr="001B1244">
        <w:rPr>
          <w:rFonts w:ascii="Arial" w:hAnsi="Arial" w:cs="Arial"/>
          <w:color w:val="000000" w:themeColor="text1"/>
          <w:sz w:val="22"/>
          <w:szCs w:val="22"/>
        </w:rPr>
        <w:t xml:space="preserve">(6), 716–720. </w:t>
      </w:r>
      <w:hyperlink r:id="rId62" w:history="1">
        <w:r w:rsidRPr="001B1244">
          <w:rPr>
            <w:rFonts w:ascii="Arial" w:hAnsi="Arial" w:cs="Arial"/>
            <w:color w:val="000000" w:themeColor="text1"/>
            <w:sz w:val="22"/>
            <w:szCs w:val="22"/>
            <w:u w:val="single"/>
          </w:rPr>
          <w:t>https://doi.org/10.1038/ng1806</w:t>
        </w:r>
      </w:hyperlink>
    </w:p>
    <w:p w14:paraId="26A69DE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Croll, D., Lendenmann, M. H., Stewart, E., &amp; McDonald, B. A. (2015). The Impact of Recombination Hotspots on Genome Evolution of a Fungal Plant Pathogen. </w:t>
      </w:r>
      <w:r w:rsidRPr="001B1244">
        <w:rPr>
          <w:rFonts w:ascii="Arial" w:hAnsi="Arial" w:cs="Arial"/>
          <w:i/>
          <w:iCs/>
          <w:color w:val="000000" w:themeColor="text1"/>
          <w:sz w:val="22"/>
          <w:szCs w:val="22"/>
        </w:rPr>
        <w:t>Genetics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201</w:t>
      </w:r>
      <w:r w:rsidRPr="001B1244">
        <w:rPr>
          <w:rFonts w:ascii="Arial" w:hAnsi="Arial" w:cs="Arial"/>
          <w:color w:val="000000" w:themeColor="text1"/>
          <w:sz w:val="22"/>
          <w:szCs w:val="22"/>
        </w:rPr>
        <w:t xml:space="preserve">(3), 1213–1228. </w:t>
      </w:r>
      <w:hyperlink r:id="rId63" w:history="1">
        <w:r w:rsidRPr="001B1244">
          <w:rPr>
            <w:rFonts w:ascii="Arial" w:hAnsi="Arial" w:cs="Arial"/>
            <w:color w:val="000000" w:themeColor="text1"/>
            <w:sz w:val="22"/>
            <w:szCs w:val="22"/>
            <w:u w:val="single"/>
          </w:rPr>
          <w:t>https://doi.org/10.1534/genetics.115.180968</w:t>
        </w:r>
      </w:hyperlink>
    </w:p>
    <w:p w14:paraId="6104BA73"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lastRenderedPageBreak/>
        <w:t xml:space="preserve">Cui, H., Tsuda, K., &amp; Parker, J. E. (2015). Effector-Triggered Immunity: From Pathogen Perception to Robust Defense. </w:t>
      </w:r>
      <w:r w:rsidRPr="001B1244">
        <w:rPr>
          <w:rFonts w:ascii="Arial" w:hAnsi="Arial" w:cs="Arial"/>
          <w:i/>
          <w:color w:val="000000" w:themeColor="text1"/>
          <w:sz w:val="22"/>
          <w:szCs w:val="22"/>
        </w:rPr>
        <w:t>Annual Review of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66</w:t>
      </w:r>
      <w:r w:rsidRPr="001B1244">
        <w:rPr>
          <w:rFonts w:ascii="Arial" w:hAnsi="Arial" w:cs="Arial"/>
          <w:color w:val="000000" w:themeColor="text1"/>
          <w:sz w:val="22"/>
          <w:szCs w:val="22"/>
        </w:rPr>
        <w:t xml:space="preserve">(1), 487–511 </w:t>
      </w:r>
      <w:hyperlink r:id="rId64" w:history="1">
        <w:r w:rsidRPr="001B1244">
          <w:rPr>
            <w:rStyle w:val="Hyperlink"/>
            <w:rFonts w:ascii="Arial" w:eastAsiaTheme="majorEastAsia" w:hAnsi="Arial" w:cs="Arial"/>
            <w:color w:val="000000" w:themeColor="text1"/>
            <w:sz w:val="22"/>
            <w:szCs w:val="22"/>
          </w:rPr>
          <w:t>https://doi.org/10.1146/annurev-arplant-050213-040012</w:t>
        </w:r>
      </w:hyperlink>
    </w:p>
    <w:p w14:paraId="0D71C09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Czemmel, S., Heppel, S. C., &amp; Bogs, J. (2012). R2R3 MYB transcription factors: key regulators of the flavonoid biosynthetic pathway in grapevine.</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Protoplasma</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249</w:t>
      </w:r>
      <w:r w:rsidRPr="001B1244">
        <w:rPr>
          <w:rFonts w:ascii="Arial" w:hAnsi="Arial" w:cs="Arial"/>
          <w:color w:val="000000" w:themeColor="text1"/>
          <w:sz w:val="22"/>
          <w:szCs w:val="22"/>
          <w:shd w:val="clear" w:color="auto" w:fill="FFFFFF"/>
        </w:rPr>
        <w:t>(2), 109-118</w:t>
      </w:r>
    </w:p>
    <w:p w14:paraId="5FF55F0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Da Silva, C., Zamperin, G., Ferrarini, A., Minio, A., Dal Molin, A., Venturini, L., Buson, G., Tononi, P., Avanzato, C., Zago, E., Boido, E., Dellacassa, E., Gaggero, C., Pezzotti, M., Carrau, F., &amp; Delledonne, M. (2013). </w:t>
      </w:r>
      <w:proofErr w:type="gramStart"/>
      <w:r w:rsidRPr="001B1244">
        <w:rPr>
          <w:rFonts w:ascii="Arial" w:hAnsi="Arial" w:cs="Arial"/>
          <w:color w:val="000000" w:themeColor="text1"/>
          <w:sz w:val="22"/>
          <w:szCs w:val="22"/>
        </w:rPr>
        <w:t>The High Polyphenol Content of Grapevine Cultivar Tannat Berries Is Conferred Primarily by Genes That Are Not Shared with the Reference Genome</w:t>
      </w:r>
      <w:proofErr w:type="gramEnd"/>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The Plant Cell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25</w:t>
      </w:r>
      <w:r w:rsidRPr="001B1244">
        <w:rPr>
          <w:rFonts w:ascii="Arial" w:hAnsi="Arial" w:cs="Arial"/>
          <w:color w:val="000000" w:themeColor="text1"/>
          <w:sz w:val="22"/>
          <w:szCs w:val="22"/>
        </w:rPr>
        <w:t xml:space="preserve">(12), 4777–4788. </w:t>
      </w:r>
      <w:hyperlink r:id="rId65" w:history="1">
        <w:r w:rsidRPr="001B1244">
          <w:rPr>
            <w:rFonts w:ascii="Arial" w:hAnsi="Arial" w:cs="Arial"/>
            <w:color w:val="000000" w:themeColor="text1"/>
            <w:sz w:val="22"/>
            <w:szCs w:val="22"/>
            <w:u w:val="single"/>
          </w:rPr>
          <w:t>https://doi.org/10.1105/tpc.113.118810</w:t>
        </w:r>
      </w:hyperlink>
    </w:p>
    <w:p w14:paraId="634A8B84"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Daughtrey, M.L.; Hagan, A.K. (2001).</w:t>
      </w:r>
      <w:r w:rsidRPr="001B1244">
        <w:rPr>
          <w:rStyle w:val="apple-converted-space"/>
          <w:rFonts w:ascii="Arial" w:eastAsiaTheme="majorEastAsia" w:hAnsi="Arial" w:cs="Arial"/>
          <w:color w:val="000000" w:themeColor="text1"/>
          <w:sz w:val="22"/>
          <w:szCs w:val="22"/>
          <w:shd w:val="clear" w:color="auto" w:fill="FFFFFF"/>
        </w:rPr>
        <w:t xml:space="preserve"> In </w:t>
      </w:r>
      <w:r w:rsidRPr="001B1244">
        <w:rPr>
          <w:rFonts w:ascii="Arial" w:hAnsi="Arial" w:cs="Arial"/>
          <w:i/>
          <w:iCs/>
          <w:color w:val="000000" w:themeColor="text1"/>
          <w:sz w:val="22"/>
          <w:szCs w:val="22"/>
        </w:rPr>
        <w:t>Diseases of woody ornamentals and trees in nurseries</w:t>
      </w:r>
      <w:r w:rsidRPr="001B1244">
        <w:rPr>
          <w:rFonts w:ascii="Arial" w:hAnsi="Arial" w:cs="Arial"/>
          <w:color w:val="000000" w:themeColor="text1"/>
          <w:sz w:val="22"/>
          <w:szCs w:val="22"/>
          <w:shd w:val="clear" w:color="auto" w:fill="FFFFFF"/>
        </w:rPr>
        <w:t>. American Phytopathological Society (APS Press).</w:t>
      </w:r>
    </w:p>
    <w:p w14:paraId="3DD7453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Deschamps, S., Llaca, V., &amp; May, G. D. (2012). Genotyping-by-Sequencing in Plants. </w:t>
      </w:r>
      <w:r w:rsidRPr="001B1244">
        <w:rPr>
          <w:rFonts w:ascii="Arial" w:hAnsi="Arial" w:cs="Arial"/>
          <w:i/>
          <w:color w:val="000000" w:themeColor="text1"/>
          <w:sz w:val="22"/>
          <w:szCs w:val="22"/>
        </w:rPr>
        <w:t>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w:t>
      </w:r>
      <w:r w:rsidRPr="001B1244">
        <w:rPr>
          <w:rFonts w:ascii="Arial" w:hAnsi="Arial" w:cs="Arial"/>
          <w:color w:val="000000" w:themeColor="text1"/>
          <w:sz w:val="22"/>
          <w:szCs w:val="22"/>
        </w:rPr>
        <w:t xml:space="preserve">(3), 460–483. </w:t>
      </w:r>
      <w:hyperlink r:id="rId66" w:history="1">
        <w:r w:rsidRPr="001B1244">
          <w:rPr>
            <w:rFonts w:ascii="Arial" w:hAnsi="Arial" w:cs="Arial"/>
            <w:color w:val="000000" w:themeColor="text1"/>
            <w:sz w:val="22"/>
            <w:szCs w:val="22"/>
            <w:u w:val="single"/>
          </w:rPr>
          <w:t>https://doi.org/10.3390/biology1030460</w:t>
        </w:r>
      </w:hyperlink>
    </w:p>
    <w:p w14:paraId="0686DE9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Ding, B., Patterson, E. L., Holalu, S. V., Li, J., Johnson, G. A., Stanley, L. E., Greenlee, A. B., Peng, F., Bradshaw, H. D., Blinov, M. L., Blackman, B. K., &amp; Yuan, Y.-W. (2020). Two MYB Proteins in a Self-Organizing Activator-Inhibitor System Produce Spotted Pigmentation Patterns. </w:t>
      </w:r>
      <w:r w:rsidRPr="001B1244">
        <w:rPr>
          <w:rFonts w:ascii="Arial" w:hAnsi="Arial" w:cs="Arial"/>
          <w:i/>
          <w:color w:val="000000" w:themeColor="text1"/>
          <w:sz w:val="22"/>
          <w:szCs w:val="22"/>
        </w:rPr>
        <w:t>Current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30</w:t>
      </w:r>
      <w:r w:rsidRPr="001B1244">
        <w:rPr>
          <w:rFonts w:ascii="Arial" w:hAnsi="Arial" w:cs="Arial"/>
          <w:color w:val="000000" w:themeColor="text1"/>
          <w:sz w:val="22"/>
          <w:szCs w:val="22"/>
        </w:rPr>
        <w:t xml:space="preserve">(5), 802-814.e8. </w:t>
      </w:r>
      <w:hyperlink r:id="rId67" w:history="1">
        <w:r w:rsidRPr="001B1244">
          <w:rPr>
            <w:rFonts w:ascii="Arial" w:hAnsi="Arial" w:cs="Arial"/>
            <w:color w:val="000000" w:themeColor="text1"/>
            <w:sz w:val="22"/>
            <w:szCs w:val="22"/>
            <w:u w:val="single"/>
          </w:rPr>
          <w:t>https://doi.org/10.1016/j.cub.2019.12.067</w:t>
        </w:r>
      </w:hyperlink>
    </w:p>
    <w:p w14:paraId="7F15321F" w14:textId="1CA39C82"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Dixon, R. A., Xie, D., &amp; Sharma, S. B. (200</w:t>
      </w:r>
      <w:r w:rsidR="00E4529E" w:rsidRPr="001B1244">
        <w:rPr>
          <w:rFonts w:ascii="Arial" w:hAnsi="Arial" w:cs="Arial"/>
          <w:color w:val="000000" w:themeColor="text1"/>
          <w:sz w:val="22"/>
          <w:szCs w:val="22"/>
        </w:rPr>
        <w:t>4</w:t>
      </w:r>
      <w:r w:rsidRPr="001B1244">
        <w:rPr>
          <w:rFonts w:ascii="Arial" w:hAnsi="Arial" w:cs="Arial"/>
          <w:color w:val="000000" w:themeColor="text1"/>
          <w:sz w:val="22"/>
          <w:szCs w:val="22"/>
        </w:rPr>
        <w:t xml:space="preserve">). Proanthocyanidins – a final frontier in flavonoid research? </w:t>
      </w:r>
      <w:r w:rsidRPr="001B1244">
        <w:rPr>
          <w:rFonts w:ascii="Arial" w:hAnsi="Arial" w:cs="Arial"/>
          <w:i/>
          <w:color w:val="000000" w:themeColor="text1"/>
          <w:sz w:val="22"/>
          <w:szCs w:val="22"/>
        </w:rPr>
        <w:t>New Phytologist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165</w:t>
      </w:r>
      <w:r w:rsidRPr="001B1244">
        <w:rPr>
          <w:rFonts w:ascii="Arial" w:hAnsi="Arial" w:cs="Arial"/>
          <w:color w:val="000000" w:themeColor="text1"/>
          <w:sz w:val="22"/>
          <w:szCs w:val="22"/>
        </w:rPr>
        <w:t xml:space="preserve">(1), 9–28. </w:t>
      </w:r>
      <w:hyperlink r:id="rId68" w:history="1">
        <w:r w:rsidRPr="001B1244">
          <w:rPr>
            <w:rFonts w:ascii="Arial" w:hAnsi="Arial" w:cs="Arial"/>
            <w:color w:val="000000" w:themeColor="text1"/>
            <w:sz w:val="22"/>
            <w:szCs w:val="22"/>
            <w:u w:val="single"/>
          </w:rPr>
          <w:t>https://doi.org/10.1111/j.1469-8137.2004.01217.x</w:t>
        </w:r>
      </w:hyperlink>
    </w:p>
    <w:p w14:paraId="6B30BA1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Dobin, A., Davis, C. A., Schlesinger, F., Drenkow, J., Zaleski, C., Jha, S., Batut, P., Chaisson, M., &amp; Gingeras, T. R. (2013). STAR: Ultrafast universal RNA-seq aligner. </w:t>
      </w:r>
      <w:r w:rsidRPr="001B1244">
        <w:rPr>
          <w:rFonts w:ascii="Arial" w:hAnsi="Arial" w:cs="Arial"/>
          <w:i/>
          <w:color w:val="000000" w:themeColor="text1"/>
          <w:sz w:val="22"/>
          <w:szCs w:val="22"/>
        </w:rPr>
        <w:t>Bioinformatics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29</w:t>
      </w:r>
      <w:r w:rsidRPr="001B1244">
        <w:rPr>
          <w:rFonts w:ascii="Arial" w:hAnsi="Arial" w:cs="Arial"/>
          <w:color w:val="000000" w:themeColor="text1"/>
          <w:sz w:val="22"/>
          <w:szCs w:val="22"/>
        </w:rPr>
        <w:t xml:space="preserve">(1), 15–21. </w:t>
      </w:r>
      <w:hyperlink r:id="rId69" w:history="1">
        <w:r w:rsidRPr="001B1244">
          <w:rPr>
            <w:rFonts w:ascii="Arial" w:hAnsi="Arial" w:cs="Arial"/>
            <w:color w:val="000000" w:themeColor="text1"/>
            <w:sz w:val="22"/>
            <w:szCs w:val="22"/>
            <w:u w:val="single"/>
          </w:rPr>
          <w:t>https://doi.org/10.1093/bioinformatics/bts635</w:t>
        </w:r>
      </w:hyperlink>
    </w:p>
    <w:p w14:paraId="47609EE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Du, H., Liang, Z., Zhao, S., Nan, M.-G., Tran, L.-S. P., Lu, K., Huang, Y.-B., &amp; Li, J.-N. (2015). </w:t>
      </w:r>
      <w:proofErr w:type="gramStart"/>
      <w:r w:rsidRPr="001B1244">
        <w:rPr>
          <w:rFonts w:ascii="Arial" w:hAnsi="Arial" w:cs="Arial"/>
          <w:color w:val="000000" w:themeColor="text1"/>
          <w:sz w:val="22"/>
          <w:szCs w:val="22"/>
        </w:rPr>
        <w:t>The</w:t>
      </w:r>
      <w:proofErr w:type="gramEnd"/>
      <w:r w:rsidRPr="001B1244">
        <w:rPr>
          <w:rFonts w:ascii="Arial" w:hAnsi="Arial" w:cs="Arial"/>
          <w:color w:val="000000" w:themeColor="text1"/>
          <w:sz w:val="22"/>
          <w:szCs w:val="22"/>
        </w:rPr>
        <w:t xml:space="preserve"> Evolutionary History of R2R3-MYB Proteins Across 50 Eukaryotes: New Insights Into Subfamily Classification and Expansion. </w:t>
      </w:r>
      <w:r w:rsidRPr="001B1244">
        <w:rPr>
          <w:rFonts w:ascii="Arial" w:hAnsi="Arial" w:cs="Arial"/>
          <w:i/>
          <w:color w:val="000000" w:themeColor="text1"/>
          <w:sz w:val="22"/>
          <w:szCs w:val="22"/>
        </w:rPr>
        <w:t>Scientific Reports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5</w:t>
      </w:r>
      <w:r w:rsidRPr="001B1244">
        <w:rPr>
          <w:rFonts w:ascii="Arial" w:hAnsi="Arial" w:cs="Arial"/>
          <w:color w:val="000000" w:themeColor="text1"/>
          <w:sz w:val="22"/>
          <w:szCs w:val="22"/>
        </w:rPr>
        <w:t xml:space="preserve">(1), 11037. </w:t>
      </w:r>
      <w:hyperlink r:id="rId70" w:history="1">
        <w:r w:rsidRPr="001B1244">
          <w:rPr>
            <w:rFonts w:ascii="Arial" w:hAnsi="Arial" w:cs="Arial"/>
            <w:color w:val="000000" w:themeColor="text1"/>
            <w:sz w:val="22"/>
            <w:szCs w:val="22"/>
            <w:u w:val="single"/>
          </w:rPr>
          <w:t>https://doi.org/10.1038/srep11037</w:t>
        </w:r>
      </w:hyperlink>
    </w:p>
    <w:p w14:paraId="60BD2948"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Du, H., Yang, S.-S., Liang, Z., Feng, B.-R., Liu, L., Huang, Y.-B., &amp; Tang, Y.-X. (2012). Genome-wide analysis of the MYB transcription factor superfamily in soybean. </w:t>
      </w:r>
      <w:r w:rsidRPr="001B1244">
        <w:rPr>
          <w:rFonts w:ascii="Arial" w:hAnsi="Arial" w:cs="Arial"/>
          <w:i/>
          <w:color w:val="000000" w:themeColor="text1"/>
          <w:sz w:val="22"/>
          <w:szCs w:val="22"/>
        </w:rPr>
        <w:t>BMC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w:t>
      </w:r>
      <w:r w:rsidRPr="001B1244">
        <w:rPr>
          <w:rFonts w:ascii="Arial" w:hAnsi="Arial" w:cs="Arial"/>
          <w:color w:val="000000" w:themeColor="text1"/>
          <w:sz w:val="22"/>
          <w:szCs w:val="22"/>
        </w:rPr>
        <w:t xml:space="preserve">(1), 106. </w:t>
      </w:r>
      <w:hyperlink r:id="rId71" w:history="1">
        <w:r w:rsidRPr="001B1244">
          <w:rPr>
            <w:rFonts w:ascii="Arial" w:hAnsi="Arial" w:cs="Arial"/>
            <w:color w:val="000000" w:themeColor="text1"/>
            <w:sz w:val="22"/>
            <w:szCs w:val="22"/>
            <w:u w:val="single"/>
          </w:rPr>
          <w:t>https://doi.org/10.1186/1471-2229-12-106</w:t>
        </w:r>
      </w:hyperlink>
    </w:p>
    <w:p w14:paraId="53E5AAC9"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Du, H., Zhang, L., Liu, L., Tang, X.-F., Yang, W.-J., Wu, Y.-M., Huang, Y.-B., &amp; Tang, Y.-X. (2009). Biochemical and molecular characterization of plant MYB transcription factor family. </w:t>
      </w:r>
      <w:r w:rsidRPr="001B1244">
        <w:rPr>
          <w:rFonts w:ascii="Arial" w:hAnsi="Arial" w:cs="Arial"/>
          <w:i/>
          <w:color w:val="000000" w:themeColor="text1"/>
          <w:sz w:val="22"/>
          <w:szCs w:val="22"/>
        </w:rPr>
        <w:t>Biochemistry (Moscow)</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74</w:t>
      </w:r>
      <w:r w:rsidRPr="001B1244">
        <w:rPr>
          <w:rFonts w:ascii="Arial" w:hAnsi="Arial" w:cs="Arial"/>
          <w:color w:val="000000" w:themeColor="text1"/>
          <w:sz w:val="22"/>
          <w:szCs w:val="22"/>
        </w:rPr>
        <w:t xml:space="preserve">(1), 1–11. </w:t>
      </w:r>
      <w:hyperlink r:id="rId72" w:history="1">
        <w:r w:rsidRPr="001B1244">
          <w:rPr>
            <w:rFonts w:ascii="Arial" w:hAnsi="Arial" w:cs="Arial"/>
            <w:color w:val="000000" w:themeColor="text1"/>
            <w:sz w:val="22"/>
            <w:szCs w:val="22"/>
            <w:u w:val="single"/>
          </w:rPr>
          <w:t>https://doi.org/10.1134/S0006297909010015</w:t>
        </w:r>
      </w:hyperlink>
    </w:p>
    <w:p w14:paraId="2CD5D5FC"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lastRenderedPageBreak/>
        <w:t xml:space="preserve">Du, Z., Zhou, X., Ling, Y., Zhang, Z., &amp; Su, Z. (2010). </w:t>
      </w:r>
      <w:proofErr w:type="gramStart"/>
      <w:r w:rsidRPr="001B1244">
        <w:rPr>
          <w:rFonts w:ascii="Arial" w:hAnsi="Arial" w:cs="Arial"/>
          <w:color w:val="000000" w:themeColor="text1"/>
          <w:sz w:val="22"/>
          <w:szCs w:val="22"/>
          <w:shd w:val="clear" w:color="auto" w:fill="FFFFFF"/>
        </w:rPr>
        <w:t>agriGO</w:t>
      </w:r>
      <w:proofErr w:type="gramEnd"/>
      <w:r w:rsidRPr="001B1244">
        <w:rPr>
          <w:rFonts w:ascii="Arial" w:hAnsi="Arial" w:cs="Arial"/>
          <w:color w:val="000000" w:themeColor="text1"/>
          <w:sz w:val="22"/>
          <w:szCs w:val="22"/>
          <w:shd w:val="clear" w:color="auto" w:fill="FFFFFF"/>
        </w:rPr>
        <w:t>: a GO analysis toolkit for the agricultural community.</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Nucleic acids research</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38</w:t>
      </w:r>
      <w:r w:rsidRPr="001B1244">
        <w:rPr>
          <w:rFonts w:ascii="Arial" w:hAnsi="Arial" w:cs="Arial"/>
          <w:color w:val="000000" w:themeColor="text1"/>
          <w:sz w:val="22"/>
          <w:szCs w:val="22"/>
          <w:shd w:val="clear" w:color="auto" w:fill="FFFFFF"/>
        </w:rPr>
        <w:t xml:space="preserve">(suppl_2), W64-W70. </w:t>
      </w:r>
    </w:p>
    <w:p w14:paraId="227EECC8"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Dubos, C., Stracke, R., Grotewold, E., Weisshaar, B., Martin, C., &amp; Lepiniec, L. (2010). MYB transcription factors in Arabidopsis. </w:t>
      </w:r>
      <w:r w:rsidRPr="001B1244">
        <w:rPr>
          <w:rFonts w:ascii="Arial" w:hAnsi="Arial" w:cs="Arial"/>
          <w:i/>
          <w:color w:val="000000" w:themeColor="text1"/>
          <w:sz w:val="22"/>
          <w:szCs w:val="22"/>
        </w:rPr>
        <w:t>Trends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15</w:t>
      </w:r>
      <w:r w:rsidRPr="001B1244">
        <w:rPr>
          <w:rFonts w:ascii="Arial" w:hAnsi="Arial" w:cs="Arial"/>
          <w:color w:val="000000" w:themeColor="text1"/>
          <w:sz w:val="22"/>
          <w:szCs w:val="22"/>
        </w:rPr>
        <w:t xml:space="preserve">(10), 573–581. </w:t>
      </w:r>
      <w:hyperlink r:id="rId73" w:history="1">
        <w:r w:rsidRPr="001B1244">
          <w:rPr>
            <w:rFonts w:ascii="Arial" w:hAnsi="Arial" w:cs="Arial"/>
            <w:color w:val="000000" w:themeColor="text1"/>
            <w:sz w:val="22"/>
            <w:szCs w:val="22"/>
            <w:u w:val="single"/>
          </w:rPr>
          <w:t>https://doi.org/10.1016/j.tplants.2010.06.005</w:t>
        </w:r>
      </w:hyperlink>
    </w:p>
    <w:p w14:paraId="7A4E6C06"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Dugo, M. L., Satovic, Z., Millan, T., Cubero, J. I., Rubiales, D., Cabrera, A., &amp; Torres, A. M. (2005). Genetic mapping of QTLs controlling horticultural traits in diploid roses.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Theoretical and applied genetics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111</w:t>
      </w:r>
      <w:r w:rsidRPr="001B1244">
        <w:rPr>
          <w:rFonts w:ascii="Arial" w:hAnsi="Arial" w:cs="Arial"/>
          <w:color w:val="000000" w:themeColor="text1"/>
          <w:sz w:val="22"/>
          <w:szCs w:val="22"/>
          <w:shd w:val="clear" w:color="auto" w:fill="FFFFFF"/>
        </w:rPr>
        <w:t xml:space="preserve">(3), 511-520. </w:t>
      </w:r>
    </w:p>
    <w:p w14:paraId="2D932B4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Dwivedi, S. L., Scheben, A., Edwards, D., Spillane, C., &amp; Ortiz, R. (2017). Assessing and exploiting functional diversity in germplasm pools to enhance abiotic stress adaptation and yield in cereals and food legumes.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Frontiers in plant science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8</w:t>
      </w:r>
      <w:r w:rsidRPr="001B1244">
        <w:rPr>
          <w:rFonts w:ascii="Arial" w:hAnsi="Arial" w:cs="Arial"/>
          <w:color w:val="000000" w:themeColor="text1"/>
          <w:sz w:val="22"/>
          <w:szCs w:val="22"/>
          <w:shd w:val="clear" w:color="auto" w:fill="FFFFFF"/>
        </w:rPr>
        <w:t xml:space="preserve">, 1461. </w:t>
      </w:r>
    </w:p>
    <w:p w14:paraId="01F0EC0A"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Ellis, J., Dodds, P., &amp; Pryor, T. (2000). Structure, function and evolution of </w:t>
      </w:r>
      <w:proofErr w:type="gramStart"/>
      <w:r w:rsidRPr="001B1244">
        <w:rPr>
          <w:rFonts w:ascii="Arial" w:hAnsi="Arial" w:cs="Arial"/>
          <w:color w:val="000000" w:themeColor="text1"/>
          <w:sz w:val="22"/>
          <w:szCs w:val="22"/>
        </w:rPr>
        <w:t>plant disease resistance genes</w:t>
      </w:r>
      <w:proofErr w:type="gramEnd"/>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Current Opinion in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w:t>
      </w:r>
      <w:r w:rsidRPr="001B1244">
        <w:rPr>
          <w:rFonts w:ascii="Arial" w:hAnsi="Arial" w:cs="Arial"/>
          <w:color w:val="000000" w:themeColor="text1"/>
          <w:sz w:val="22"/>
          <w:szCs w:val="22"/>
        </w:rPr>
        <w:t xml:space="preserve">(4), 278–284. </w:t>
      </w:r>
      <w:hyperlink r:id="rId74" w:history="1">
        <w:r w:rsidRPr="001B1244">
          <w:rPr>
            <w:rFonts w:ascii="Arial" w:hAnsi="Arial" w:cs="Arial"/>
            <w:color w:val="000000" w:themeColor="text1"/>
            <w:sz w:val="22"/>
            <w:szCs w:val="22"/>
            <w:u w:val="single"/>
          </w:rPr>
          <w:t>https://doi.org/10.1016/S1369-5266(00)00080-7</w:t>
        </w:r>
      </w:hyperlink>
    </w:p>
    <w:p w14:paraId="129BDE8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Elomaa, P., Uimari, A., Mehto, M., Albert, V. A., Laitinen, R. A. E., &amp; Teeri, T. H. (2003). Activation of Anthocyanin Biosynthesis in </w:t>
      </w:r>
      <w:r w:rsidRPr="001B1244">
        <w:rPr>
          <w:rFonts w:ascii="Arial" w:hAnsi="Arial" w:cs="Arial"/>
          <w:i/>
          <w:color w:val="000000" w:themeColor="text1"/>
          <w:sz w:val="22"/>
          <w:szCs w:val="22"/>
        </w:rPr>
        <w:t>Gerbera hybrida</w:t>
      </w:r>
      <w:r w:rsidRPr="001B1244">
        <w:rPr>
          <w:rFonts w:ascii="Arial" w:hAnsi="Arial" w:cs="Arial"/>
          <w:color w:val="000000" w:themeColor="text1"/>
          <w:sz w:val="22"/>
          <w:szCs w:val="22"/>
        </w:rPr>
        <w:t xml:space="preserve"> (Asteraceae) Suggests Conserved Protein-Protein and Protein-Promoter Interactions between the Anciently Diverged Monocots and Eudicots.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133</w:t>
      </w:r>
      <w:r w:rsidRPr="001B1244">
        <w:rPr>
          <w:rFonts w:ascii="Arial" w:hAnsi="Arial" w:cs="Arial"/>
          <w:color w:val="000000" w:themeColor="text1"/>
          <w:sz w:val="22"/>
          <w:szCs w:val="22"/>
        </w:rPr>
        <w:t xml:space="preserve">(4), 1831–1842. </w:t>
      </w:r>
      <w:hyperlink r:id="rId75" w:history="1">
        <w:r w:rsidRPr="001B1244">
          <w:rPr>
            <w:rFonts w:ascii="Arial" w:hAnsi="Arial" w:cs="Arial"/>
            <w:color w:val="000000" w:themeColor="text1"/>
            <w:sz w:val="22"/>
            <w:szCs w:val="22"/>
            <w:u w:val="single"/>
          </w:rPr>
          <w:t>https://doi.org/10.1104/pp.103.026039</w:t>
        </w:r>
      </w:hyperlink>
    </w:p>
    <w:p w14:paraId="00B5936E"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Espley, R. V., Hellens, R. P., Putterill, J., Stevenson, D. E., Kutty-Amma, S., &amp; Allan, A. C. (2007). Red colouration in apple fruit is due to the activity of the MYB transcription factor, MdMYB10: A MYB transcription factor controlling apple fruit colour.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49</w:t>
      </w:r>
      <w:r w:rsidRPr="001B1244">
        <w:rPr>
          <w:rFonts w:ascii="Arial" w:hAnsi="Arial" w:cs="Arial"/>
          <w:color w:val="000000" w:themeColor="text1"/>
          <w:sz w:val="22"/>
          <w:szCs w:val="22"/>
        </w:rPr>
        <w:t xml:space="preserve">(3), 414–427. </w:t>
      </w:r>
      <w:hyperlink r:id="rId76" w:history="1">
        <w:r w:rsidRPr="001B1244">
          <w:rPr>
            <w:rFonts w:ascii="Arial" w:hAnsi="Arial" w:cs="Arial"/>
            <w:color w:val="000000" w:themeColor="text1"/>
            <w:sz w:val="22"/>
            <w:szCs w:val="22"/>
            <w:u w:val="single"/>
          </w:rPr>
          <w:t>https://doi.org/10.1111/j.1365-313X.2006.02964.x</w:t>
        </w:r>
      </w:hyperlink>
    </w:p>
    <w:p w14:paraId="50E5A306"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i/>
          <w:iCs/>
          <w:color w:val="000000" w:themeColor="text1"/>
          <w:sz w:val="22"/>
          <w:szCs w:val="22"/>
        </w:rPr>
        <w:t>EUROPEAN ACADEMIC RESEARCH, VOL</w:t>
      </w:r>
      <w:r w:rsidRPr="001B1244">
        <w:rPr>
          <w:rFonts w:ascii="Arial" w:hAnsi="Arial" w:cs="Arial"/>
          <w:color w:val="000000" w:themeColor="text1"/>
          <w:sz w:val="22"/>
          <w:szCs w:val="22"/>
        </w:rPr>
        <w:t xml:space="preserve">. (2014). </w:t>
      </w:r>
      <w:r w:rsidRPr="001B1244">
        <w:rPr>
          <w:rFonts w:ascii="Arial" w:hAnsi="Arial" w:cs="Arial"/>
          <w:i/>
          <w:iCs/>
          <w:color w:val="000000" w:themeColor="text1"/>
          <w:sz w:val="22"/>
          <w:szCs w:val="22"/>
        </w:rPr>
        <w:t>3</w:t>
      </w:r>
      <w:r w:rsidRPr="001B1244">
        <w:rPr>
          <w:rFonts w:ascii="Arial" w:hAnsi="Arial" w:cs="Arial"/>
          <w:color w:val="000000" w:themeColor="text1"/>
          <w:sz w:val="22"/>
          <w:szCs w:val="22"/>
        </w:rPr>
        <w:t>, 30.</w:t>
      </w:r>
    </w:p>
    <w:p w14:paraId="14AC02A3" w14:textId="309D75DD"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Eyde, R. H. (1987). The </w:t>
      </w:r>
      <w:r w:rsidR="00272021" w:rsidRPr="001B1244">
        <w:rPr>
          <w:rFonts w:ascii="Arial" w:hAnsi="Arial" w:cs="Arial"/>
          <w:color w:val="000000" w:themeColor="text1"/>
          <w:sz w:val="22"/>
          <w:szCs w:val="22"/>
        </w:rPr>
        <w:t>c</w:t>
      </w:r>
      <w:r w:rsidRPr="001B1244">
        <w:rPr>
          <w:rFonts w:ascii="Arial" w:hAnsi="Arial" w:cs="Arial"/>
          <w:color w:val="000000" w:themeColor="text1"/>
          <w:sz w:val="22"/>
          <w:szCs w:val="22"/>
        </w:rPr>
        <w:t xml:space="preserve">ase for </w:t>
      </w:r>
      <w:r w:rsidR="00272021" w:rsidRPr="001B1244">
        <w:rPr>
          <w:rFonts w:ascii="Arial" w:hAnsi="Arial" w:cs="Arial"/>
          <w:color w:val="000000" w:themeColor="text1"/>
          <w:sz w:val="22"/>
          <w:szCs w:val="22"/>
        </w:rPr>
        <w:t>k</w:t>
      </w:r>
      <w:r w:rsidRPr="001B1244">
        <w:rPr>
          <w:rFonts w:ascii="Arial" w:hAnsi="Arial" w:cs="Arial"/>
          <w:color w:val="000000" w:themeColor="text1"/>
          <w:sz w:val="22"/>
          <w:szCs w:val="22"/>
        </w:rPr>
        <w:t xml:space="preserve">eeping </w:t>
      </w:r>
      <w:r w:rsidRPr="001B1244">
        <w:rPr>
          <w:rFonts w:ascii="Arial" w:hAnsi="Arial" w:cs="Arial"/>
          <w:i/>
          <w:color w:val="000000" w:themeColor="text1"/>
          <w:sz w:val="22"/>
          <w:szCs w:val="22"/>
        </w:rPr>
        <w:t>Cornus</w:t>
      </w:r>
      <w:r w:rsidRPr="001B1244">
        <w:rPr>
          <w:rFonts w:ascii="Arial" w:hAnsi="Arial" w:cs="Arial"/>
          <w:color w:val="000000" w:themeColor="text1"/>
          <w:sz w:val="22"/>
          <w:szCs w:val="22"/>
        </w:rPr>
        <w:t xml:space="preserve"> in the </w:t>
      </w:r>
      <w:r w:rsidR="00272021" w:rsidRPr="001B1244">
        <w:rPr>
          <w:rFonts w:ascii="Arial" w:hAnsi="Arial" w:cs="Arial"/>
          <w:color w:val="000000" w:themeColor="text1"/>
          <w:sz w:val="22"/>
          <w:szCs w:val="22"/>
        </w:rPr>
        <w:t>b</w:t>
      </w:r>
      <w:r w:rsidRPr="001B1244">
        <w:rPr>
          <w:rFonts w:ascii="Arial" w:hAnsi="Arial" w:cs="Arial"/>
          <w:color w:val="000000" w:themeColor="text1"/>
          <w:sz w:val="22"/>
          <w:szCs w:val="22"/>
        </w:rPr>
        <w:t xml:space="preserve">road Linnaean </w:t>
      </w:r>
      <w:r w:rsidR="00272021" w:rsidRPr="001B1244">
        <w:rPr>
          <w:rFonts w:ascii="Arial" w:hAnsi="Arial" w:cs="Arial"/>
          <w:color w:val="000000" w:themeColor="text1"/>
          <w:sz w:val="22"/>
          <w:szCs w:val="22"/>
        </w:rPr>
        <w:t>s</w:t>
      </w:r>
      <w:r w:rsidRPr="001B1244">
        <w:rPr>
          <w:rFonts w:ascii="Arial" w:hAnsi="Arial" w:cs="Arial"/>
          <w:color w:val="000000" w:themeColor="text1"/>
          <w:sz w:val="22"/>
          <w:szCs w:val="22"/>
        </w:rPr>
        <w:t xml:space="preserve">ense. </w:t>
      </w:r>
      <w:r w:rsidRPr="001B1244">
        <w:rPr>
          <w:rFonts w:ascii="Arial" w:hAnsi="Arial" w:cs="Arial"/>
          <w:i/>
          <w:color w:val="000000" w:themeColor="text1"/>
          <w:sz w:val="22"/>
          <w:szCs w:val="22"/>
        </w:rPr>
        <w:t>Systematic Botany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w:t>
      </w:r>
      <w:r w:rsidRPr="001B1244">
        <w:rPr>
          <w:rFonts w:ascii="Arial" w:hAnsi="Arial" w:cs="Arial"/>
          <w:color w:val="000000" w:themeColor="text1"/>
          <w:sz w:val="22"/>
          <w:szCs w:val="22"/>
        </w:rPr>
        <w:t xml:space="preserve">(4), 505. </w:t>
      </w:r>
      <w:hyperlink r:id="rId77" w:history="1">
        <w:r w:rsidRPr="001B1244">
          <w:rPr>
            <w:rFonts w:ascii="Arial" w:hAnsi="Arial" w:cs="Arial"/>
            <w:color w:val="000000" w:themeColor="text1"/>
            <w:sz w:val="22"/>
            <w:szCs w:val="22"/>
            <w:u w:val="single"/>
          </w:rPr>
          <w:t>https://doi.org/10.2307/2418886</w:t>
        </w:r>
      </w:hyperlink>
    </w:p>
    <w:p w14:paraId="25EDE3E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Faino, L., Azizinia, S., Hassanzadeh, B. H., Verzaux, E., Ercolano, M. R., Visser, R. G., &amp; Bai, Y. (2012). Fine mapping of two major QTLs conferring resistance to powdery mildew in tomato.</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Euphytica</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184</w:t>
      </w:r>
      <w:r w:rsidRPr="001B1244">
        <w:rPr>
          <w:rFonts w:ascii="Arial" w:hAnsi="Arial" w:cs="Arial"/>
          <w:color w:val="000000" w:themeColor="text1"/>
          <w:sz w:val="22"/>
          <w:szCs w:val="22"/>
          <w:shd w:val="clear" w:color="auto" w:fill="FFFFFF"/>
        </w:rPr>
        <w:t xml:space="preserve">(2), 223-234. </w:t>
      </w:r>
    </w:p>
    <w:p w14:paraId="324D1A1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Falconer, D. S. (1996). Introduction to quantitative genetics. Pearson Education India.</w:t>
      </w:r>
    </w:p>
    <w:p w14:paraId="52EDCF66"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Fan, C., &amp; Xiang, Q. Y. (2003). Phylogenetic analyses of Cornales based on 26S rRNA and combined 26S rDNA</w:t>
      </w:r>
      <w:r w:rsidRPr="001B1244">
        <w:rPr>
          <w:rFonts w:ascii="Cambria Math" w:hAnsi="Cambria Math" w:cs="Cambria Math"/>
          <w:color w:val="000000" w:themeColor="text1"/>
          <w:sz w:val="22"/>
          <w:szCs w:val="22"/>
          <w:shd w:val="clear" w:color="auto" w:fill="FFFFFF"/>
        </w:rPr>
        <w:t>‐</w:t>
      </w:r>
      <w:r w:rsidRPr="001B1244">
        <w:rPr>
          <w:rFonts w:ascii="Arial" w:hAnsi="Arial" w:cs="Arial"/>
          <w:color w:val="000000" w:themeColor="text1"/>
          <w:sz w:val="22"/>
          <w:szCs w:val="22"/>
          <w:shd w:val="clear" w:color="auto" w:fill="FFFFFF"/>
        </w:rPr>
        <w:t>MATK</w:t>
      </w:r>
      <w:r w:rsidRPr="001B1244">
        <w:rPr>
          <w:rFonts w:ascii="Cambria Math" w:hAnsi="Cambria Math" w:cs="Cambria Math"/>
          <w:color w:val="000000" w:themeColor="text1"/>
          <w:sz w:val="22"/>
          <w:szCs w:val="22"/>
          <w:shd w:val="clear" w:color="auto" w:fill="FFFFFF"/>
        </w:rPr>
        <w:t>‐</w:t>
      </w:r>
      <w:r w:rsidRPr="001B1244">
        <w:rPr>
          <w:rFonts w:ascii="Arial" w:hAnsi="Arial" w:cs="Arial"/>
          <w:color w:val="000000" w:themeColor="text1"/>
          <w:sz w:val="22"/>
          <w:szCs w:val="22"/>
          <w:shd w:val="clear" w:color="auto" w:fill="FFFFFF"/>
        </w:rPr>
        <w:t>RBCL sequence data.</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American journal of botany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90</w:t>
      </w:r>
      <w:r w:rsidRPr="001B1244">
        <w:rPr>
          <w:rFonts w:ascii="Arial" w:hAnsi="Arial" w:cs="Arial"/>
          <w:color w:val="000000" w:themeColor="text1"/>
          <w:sz w:val="22"/>
          <w:szCs w:val="22"/>
          <w:shd w:val="clear" w:color="auto" w:fill="FFFFFF"/>
        </w:rPr>
        <w:t>(9), 1357-1372.</w:t>
      </w:r>
    </w:p>
    <w:p w14:paraId="083A5200"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lastRenderedPageBreak/>
        <w:t xml:space="preserve">Feechan, A., Jermakow, A. M., Torregrosa, L., Panstruga, R., &amp; Dry, I. B. (2008). Identification of grapevine MLO gene candidates involved in susceptibility to powdery mildew. </w:t>
      </w:r>
      <w:r w:rsidRPr="001B1244">
        <w:rPr>
          <w:rFonts w:ascii="Arial" w:hAnsi="Arial" w:cs="Arial"/>
          <w:i/>
          <w:color w:val="000000" w:themeColor="text1"/>
          <w:sz w:val="22"/>
          <w:szCs w:val="22"/>
        </w:rPr>
        <w:t>Functional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35</w:t>
      </w:r>
      <w:r w:rsidRPr="001B1244">
        <w:rPr>
          <w:rFonts w:ascii="Arial" w:hAnsi="Arial" w:cs="Arial"/>
          <w:color w:val="000000" w:themeColor="text1"/>
          <w:sz w:val="22"/>
          <w:szCs w:val="22"/>
        </w:rPr>
        <w:t xml:space="preserve">(12), 1255. </w:t>
      </w:r>
      <w:hyperlink r:id="rId78" w:history="1">
        <w:r w:rsidRPr="001B1244">
          <w:rPr>
            <w:rFonts w:ascii="Arial" w:hAnsi="Arial" w:cs="Arial"/>
            <w:color w:val="000000" w:themeColor="text1"/>
            <w:sz w:val="22"/>
            <w:szCs w:val="22"/>
            <w:u w:val="single"/>
          </w:rPr>
          <w:t>https://doi.org/10.1071/FP08173</w:t>
        </w:r>
      </w:hyperlink>
    </w:p>
    <w:p w14:paraId="40688A97"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Felsenstein, J. (1976). The theoretical population genetics of variable selection and migration.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Annual review of genetics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10</w:t>
      </w:r>
      <w:r w:rsidRPr="001B1244">
        <w:rPr>
          <w:rFonts w:ascii="Arial" w:hAnsi="Arial" w:cs="Arial"/>
          <w:color w:val="000000" w:themeColor="text1"/>
          <w:sz w:val="22"/>
          <w:szCs w:val="22"/>
          <w:shd w:val="clear" w:color="auto" w:fill="FFFFFF"/>
        </w:rPr>
        <w:t>(1), 253-280</w:t>
      </w:r>
    </w:p>
    <w:p w14:paraId="05998C5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Fenoll, C., Grundler, F. M. W., &amp; Ohl, S. A. (Eds.). (1997). </w:t>
      </w:r>
      <w:r w:rsidRPr="001B1244">
        <w:rPr>
          <w:rFonts w:ascii="Arial" w:hAnsi="Arial" w:cs="Arial"/>
          <w:i/>
          <w:color w:val="000000" w:themeColor="text1"/>
          <w:sz w:val="22"/>
          <w:szCs w:val="22"/>
        </w:rPr>
        <w:t>Cellular and molecular aspects of plant-nematode interactions</w:t>
      </w:r>
      <w:r w:rsidRPr="001B1244">
        <w:rPr>
          <w:rFonts w:ascii="Arial" w:hAnsi="Arial" w:cs="Arial"/>
          <w:color w:val="000000" w:themeColor="text1"/>
          <w:sz w:val="22"/>
          <w:szCs w:val="22"/>
        </w:rPr>
        <w:t>. Kluwer.</w:t>
      </w:r>
    </w:p>
    <w:p w14:paraId="6EAA8687"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Fichman, Y., Zandalinas, S. I., Sengupta, S., Burks, D., Myers, R. J., Azad, R. K., &amp; Mittler, R. (2020). MYB30 Orchestrates Systemic Reactive Oxygen Signaling and Plant Acclimation.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184</w:t>
      </w:r>
      <w:r w:rsidRPr="001B1244">
        <w:rPr>
          <w:rFonts w:ascii="Arial" w:hAnsi="Arial" w:cs="Arial"/>
          <w:color w:val="000000" w:themeColor="text1"/>
          <w:sz w:val="22"/>
          <w:szCs w:val="22"/>
        </w:rPr>
        <w:t xml:space="preserve">(2), 666–675. </w:t>
      </w:r>
      <w:hyperlink r:id="rId79" w:history="1">
        <w:r w:rsidRPr="001B1244">
          <w:rPr>
            <w:rFonts w:ascii="Arial" w:hAnsi="Arial" w:cs="Arial"/>
            <w:color w:val="000000" w:themeColor="text1"/>
            <w:sz w:val="22"/>
            <w:szCs w:val="22"/>
            <w:u w:val="single"/>
          </w:rPr>
          <w:t>https://doi.org/10.1104/pp.20.00859</w:t>
        </w:r>
      </w:hyperlink>
    </w:p>
    <w:p w14:paraId="1EF7D278"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Filiz, E., &amp; Vatansever, R. (2018). Genome-wide identification of mildew resistance locus O (MLO) genes in tree model poplar (</w:t>
      </w:r>
      <w:r w:rsidRPr="001B1244">
        <w:rPr>
          <w:rFonts w:ascii="Arial" w:hAnsi="Arial" w:cs="Arial"/>
          <w:i/>
          <w:iCs/>
          <w:color w:val="000000" w:themeColor="text1"/>
          <w:sz w:val="22"/>
          <w:szCs w:val="22"/>
        </w:rPr>
        <w:t>Populus trichocarpa</w:t>
      </w:r>
      <w:r w:rsidRPr="001B1244">
        <w:rPr>
          <w:rFonts w:ascii="Arial" w:hAnsi="Arial" w:cs="Arial"/>
          <w:color w:val="000000" w:themeColor="text1"/>
          <w:sz w:val="22"/>
          <w:szCs w:val="22"/>
        </w:rPr>
        <w:t xml:space="preserve">): Powdery mildew management in woody plants. </w:t>
      </w:r>
      <w:r w:rsidRPr="001B1244">
        <w:rPr>
          <w:rFonts w:ascii="Arial" w:hAnsi="Arial" w:cs="Arial"/>
          <w:i/>
          <w:color w:val="000000" w:themeColor="text1"/>
          <w:sz w:val="22"/>
          <w:szCs w:val="22"/>
        </w:rPr>
        <w:t>European Journal of Plant Pathology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152</w:t>
      </w:r>
      <w:r w:rsidRPr="001B1244">
        <w:rPr>
          <w:rFonts w:ascii="Arial" w:hAnsi="Arial" w:cs="Arial"/>
          <w:color w:val="000000" w:themeColor="text1"/>
          <w:sz w:val="22"/>
          <w:szCs w:val="22"/>
        </w:rPr>
        <w:t xml:space="preserve">(1), 95–109. </w:t>
      </w:r>
      <w:hyperlink r:id="rId80" w:history="1">
        <w:r w:rsidRPr="001B1244">
          <w:rPr>
            <w:rFonts w:ascii="Arial" w:hAnsi="Arial" w:cs="Arial"/>
            <w:color w:val="000000" w:themeColor="text1"/>
            <w:sz w:val="22"/>
            <w:szCs w:val="22"/>
            <w:u w:val="single"/>
          </w:rPr>
          <w:t>https://doi.org/10.1007/s10658-018-1454-3</w:t>
        </w:r>
      </w:hyperlink>
    </w:p>
    <w:p w14:paraId="24520EF3"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Finn, R. D., Coggill, P., Eberhardt, R. Y., Eddy, S. R., Mistry, J., Mitchell, A. L., Potter, S. C., Punta, M., Qureshi, M., Sangrador-Vegas, A., Salazar, G. A., Tate, J., &amp; Bateman, A. (2016). The Pfam protein </w:t>
      </w:r>
      <w:proofErr w:type="gramStart"/>
      <w:r w:rsidRPr="001B1244">
        <w:rPr>
          <w:rFonts w:ascii="Arial" w:hAnsi="Arial" w:cs="Arial"/>
          <w:color w:val="000000" w:themeColor="text1"/>
          <w:sz w:val="22"/>
          <w:szCs w:val="22"/>
        </w:rPr>
        <w:t>families</w:t>
      </w:r>
      <w:proofErr w:type="gramEnd"/>
      <w:r w:rsidRPr="001B1244">
        <w:rPr>
          <w:rFonts w:ascii="Arial" w:hAnsi="Arial" w:cs="Arial"/>
          <w:color w:val="000000" w:themeColor="text1"/>
          <w:sz w:val="22"/>
          <w:szCs w:val="22"/>
        </w:rPr>
        <w:t xml:space="preserve"> database: Towards a more sustainable future. </w:t>
      </w:r>
      <w:r w:rsidRPr="001B1244">
        <w:rPr>
          <w:rFonts w:ascii="Arial" w:hAnsi="Arial" w:cs="Arial"/>
          <w:i/>
          <w:color w:val="000000" w:themeColor="text1"/>
          <w:sz w:val="22"/>
          <w:szCs w:val="22"/>
        </w:rPr>
        <w:t>Nucleic Acids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44</w:t>
      </w:r>
      <w:r w:rsidRPr="001B1244">
        <w:rPr>
          <w:rFonts w:ascii="Arial" w:hAnsi="Arial" w:cs="Arial"/>
          <w:color w:val="000000" w:themeColor="text1"/>
          <w:sz w:val="22"/>
          <w:szCs w:val="22"/>
        </w:rPr>
        <w:t xml:space="preserve">(D1), D279–D285. </w:t>
      </w:r>
      <w:hyperlink r:id="rId81" w:history="1">
        <w:r w:rsidRPr="001B1244">
          <w:rPr>
            <w:rFonts w:ascii="Arial" w:hAnsi="Arial" w:cs="Arial"/>
            <w:color w:val="000000" w:themeColor="text1"/>
            <w:sz w:val="22"/>
            <w:szCs w:val="22"/>
            <w:u w:val="single"/>
          </w:rPr>
          <w:t>https://doi.org/10.1093/nar/gkv1344</w:t>
        </w:r>
      </w:hyperlink>
    </w:p>
    <w:p w14:paraId="7B14537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Fisher, R. A. (1958).</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 genetical theory of natural selection</w:t>
      </w:r>
      <w:r w:rsidRPr="001B1244">
        <w:rPr>
          <w:rFonts w:ascii="Arial" w:hAnsi="Arial" w:cs="Arial"/>
          <w:color w:val="000000" w:themeColor="text1"/>
          <w:sz w:val="22"/>
          <w:szCs w:val="22"/>
          <w:shd w:val="clear" w:color="auto" w:fill="FFFFFF"/>
        </w:rPr>
        <w:t xml:space="preserve">. Рипол Классик. </w:t>
      </w:r>
    </w:p>
    <w:p w14:paraId="55D22E14"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Fornalé, S., Lopez, E., Salazar-Henao, J. E., Fernández-Nohales, P., Rigau, J., &amp; Caparros-Ruiz, D. (2014). AtMYB7, a New Player in the Regulation of UV-Sunscreens in </w:t>
      </w:r>
      <w:r w:rsidRPr="001B1244">
        <w:rPr>
          <w:rFonts w:ascii="Arial" w:hAnsi="Arial" w:cs="Arial"/>
          <w:i/>
          <w:iCs/>
          <w:color w:val="000000" w:themeColor="text1"/>
          <w:sz w:val="22"/>
          <w:szCs w:val="22"/>
        </w:rPr>
        <w:t>Arabidopsis thaliana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Plant and Cell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55</w:t>
      </w:r>
      <w:r w:rsidRPr="001B1244">
        <w:rPr>
          <w:rFonts w:ascii="Arial" w:hAnsi="Arial" w:cs="Arial"/>
          <w:color w:val="000000" w:themeColor="text1"/>
          <w:sz w:val="22"/>
          <w:szCs w:val="22"/>
        </w:rPr>
        <w:t xml:space="preserve">(3), 507–516. </w:t>
      </w:r>
      <w:hyperlink r:id="rId82" w:history="1">
        <w:r w:rsidRPr="001B1244">
          <w:rPr>
            <w:rFonts w:ascii="Arial" w:hAnsi="Arial" w:cs="Arial"/>
            <w:color w:val="000000" w:themeColor="text1"/>
            <w:sz w:val="22"/>
            <w:szCs w:val="22"/>
            <w:u w:val="single"/>
          </w:rPr>
          <w:t>https://doi.org/10.1093/pcp/pct187</w:t>
        </w:r>
      </w:hyperlink>
    </w:p>
    <w:p w14:paraId="7B3EA43B"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Foyer, C. H., &amp; Noctor, G. (2009). Redox Regulation in Photosynthetic Organisms: Signaling, Acclimation, and Practical Implications. </w:t>
      </w:r>
      <w:r w:rsidRPr="001B1244">
        <w:rPr>
          <w:rFonts w:ascii="Arial" w:hAnsi="Arial" w:cs="Arial"/>
          <w:i/>
          <w:color w:val="000000" w:themeColor="text1"/>
          <w:sz w:val="22"/>
          <w:szCs w:val="22"/>
        </w:rPr>
        <w:t>Antioxidants &amp; Redox Signaling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11</w:t>
      </w:r>
      <w:r w:rsidRPr="001B1244">
        <w:rPr>
          <w:rFonts w:ascii="Arial" w:hAnsi="Arial" w:cs="Arial"/>
          <w:color w:val="000000" w:themeColor="text1"/>
          <w:sz w:val="22"/>
          <w:szCs w:val="22"/>
        </w:rPr>
        <w:t xml:space="preserve">(4), 861–905. </w:t>
      </w:r>
      <w:hyperlink r:id="rId83" w:history="1">
        <w:r w:rsidRPr="001B1244">
          <w:rPr>
            <w:rFonts w:ascii="Arial" w:hAnsi="Arial" w:cs="Arial"/>
            <w:color w:val="000000" w:themeColor="text1"/>
            <w:sz w:val="22"/>
            <w:szCs w:val="22"/>
            <w:u w:val="single"/>
          </w:rPr>
          <w:t>https://doi.org/10.1089/ars.2008.2177</w:t>
        </w:r>
      </w:hyperlink>
    </w:p>
    <w:p w14:paraId="2D2F6C03"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Freisleben, R., &amp; Lein, A. (1942). Über die Auffindung einer mehltauresistenten Mutante nach Röntgenbestrahlung einer anfälligen reinen Linie von Sommergerste.</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Naturwissenschaften</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30</w:t>
      </w:r>
      <w:r w:rsidRPr="001B1244">
        <w:rPr>
          <w:rFonts w:ascii="Arial" w:hAnsi="Arial" w:cs="Arial"/>
          <w:color w:val="000000" w:themeColor="text1"/>
          <w:sz w:val="22"/>
          <w:szCs w:val="22"/>
          <w:shd w:val="clear" w:color="auto" w:fill="FFFFFF"/>
        </w:rPr>
        <w:t xml:space="preserve">(40), 608-608. </w:t>
      </w:r>
    </w:p>
    <w:p w14:paraId="0F4F7D3E"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Lein, A. (1942). Über die Auffindung einer mehltauresistenten Mutante nach Röntgenbestrahlung einer anfälligen reinen Linie von Sommergerste. </w:t>
      </w:r>
      <w:r w:rsidRPr="001B1244">
        <w:rPr>
          <w:rFonts w:ascii="Arial" w:hAnsi="Arial" w:cs="Arial"/>
          <w:i/>
          <w:iCs/>
          <w:color w:val="000000" w:themeColor="text1"/>
          <w:sz w:val="22"/>
          <w:szCs w:val="22"/>
        </w:rPr>
        <w:t>Naturwissenschaften</w:t>
      </w:r>
      <w:r w:rsidRPr="001B1244">
        <w:rPr>
          <w:rFonts w:ascii="Arial" w:hAnsi="Arial" w:cs="Arial"/>
          <w:color w:val="000000" w:themeColor="text1"/>
          <w:sz w:val="22"/>
          <w:szCs w:val="22"/>
        </w:rPr>
        <w:t>, 30(40), 608-608</w:t>
      </w:r>
    </w:p>
    <w:p w14:paraId="7784784E" w14:textId="77777777" w:rsidR="00B51BF9" w:rsidRPr="001B1244" w:rsidRDefault="00B51BF9" w:rsidP="00CA01FD">
      <w:pPr>
        <w:spacing w:line="360" w:lineRule="auto"/>
        <w:ind w:left="480" w:hanging="480"/>
        <w:rPr>
          <w:rFonts w:ascii="Arial" w:hAnsi="Arial" w:cs="Arial"/>
          <w:color w:val="000000" w:themeColor="text1"/>
          <w:sz w:val="22"/>
          <w:szCs w:val="22"/>
        </w:rPr>
      </w:pPr>
      <w:proofErr w:type="gramStart"/>
      <w:r w:rsidRPr="001B1244">
        <w:rPr>
          <w:rFonts w:ascii="Arial" w:hAnsi="Arial" w:cs="Arial"/>
          <w:color w:val="000000" w:themeColor="text1"/>
          <w:sz w:val="22"/>
          <w:szCs w:val="22"/>
        </w:rPr>
        <w:t>Gao</w:t>
      </w:r>
      <w:proofErr w:type="gramEnd"/>
      <w:r w:rsidRPr="001B1244">
        <w:rPr>
          <w:rFonts w:ascii="Arial" w:hAnsi="Arial" w:cs="Arial"/>
          <w:color w:val="000000" w:themeColor="text1"/>
          <w:sz w:val="22"/>
          <w:szCs w:val="22"/>
        </w:rPr>
        <w:t xml:space="preserve">, Y., Wang, H., Liu, C., Chu, H., Dai, D., Song, S., Yu, L., Han, L., Fu, Y., Tian, B., &amp; Tang, L. (2018). De novo genome assembly of the red silk cotton tree (Bombax ceiba). </w:t>
      </w:r>
      <w:r w:rsidRPr="001B1244">
        <w:rPr>
          <w:rFonts w:ascii="Arial" w:hAnsi="Arial" w:cs="Arial"/>
          <w:i/>
          <w:color w:val="000000" w:themeColor="text1"/>
          <w:sz w:val="22"/>
          <w:szCs w:val="22"/>
        </w:rPr>
        <w:t>GigaScience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w:t>
      </w:r>
      <w:r w:rsidRPr="001B1244">
        <w:rPr>
          <w:rFonts w:ascii="Arial" w:hAnsi="Arial" w:cs="Arial"/>
          <w:color w:val="000000" w:themeColor="text1"/>
          <w:sz w:val="22"/>
          <w:szCs w:val="22"/>
        </w:rPr>
        <w:t xml:space="preserve">(5). </w:t>
      </w:r>
      <w:hyperlink r:id="rId84" w:history="1">
        <w:r w:rsidRPr="001B1244">
          <w:rPr>
            <w:rFonts w:ascii="Arial" w:hAnsi="Arial" w:cs="Arial"/>
            <w:color w:val="000000" w:themeColor="text1"/>
            <w:sz w:val="22"/>
            <w:szCs w:val="22"/>
            <w:u w:val="single"/>
          </w:rPr>
          <w:t>https://doi.org/10.1093/gigascience/giy051</w:t>
        </w:r>
      </w:hyperlink>
    </w:p>
    <w:p w14:paraId="30083EC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García, C., Guichoux, E., &amp; Hampe, A. (2018). A comparative analysis between SNPs and SSRs to investigate genetic variation in a juniper species (</w:t>
      </w:r>
      <w:r w:rsidRPr="001B1244">
        <w:rPr>
          <w:rFonts w:ascii="Arial" w:hAnsi="Arial" w:cs="Arial"/>
          <w:i/>
          <w:iCs/>
          <w:color w:val="000000" w:themeColor="text1"/>
          <w:sz w:val="22"/>
          <w:szCs w:val="22"/>
        </w:rPr>
        <w:t>Juniperus phoenicea</w:t>
      </w:r>
      <w:r w:rsidRPr="001B1244">
        <w:rPr>
          <w:rFonts w:ascii="Arial" w:hAnsi="Arial" w:cs="Arial"/>
          <w:color w:val="000000" w:themeColor="text1"/>
          <w:sz w:val="22"/>
          <w:szCs w:val="22"/>
        </w:rPr>
        <w:t xml:space="preserve"> ssp. </w:t>
      </w:r>
      <w:r w:rsidRPr="001B1244">
        <w:rPr>
          <w:rFonts w:ascii="Arial" w:hAnsi="Arial" w:cs="Arial"/>
          <w:i/>
          <w:iCs/>
          <w:color w:val="000000" w:themeColor="text1"/>
          <w:sz w:val="22"/>
          <w:szCs w:val="22"/>
        </w:rPr>
        <w:t>turbinata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Tree Genetics &amp; Genomes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14</w:t>
      </w:r>
      <w:r w:rsidRPr="001B1244">
        <w:rPr>
          <w:rFonts w:ascii="Arial" w:hAnsi="Arial" w:cs="Arial"/>
          <w:color w:val="000000" w:themeColor="text1"/>
          <w:sz w:val="22"/>
          <w:szCs w:val="22"/>
        </w:rPr>
        <w:t xml:space="preserve">(6), 87. </w:t>
      </w:r>
      <w:hyperlink r:id="rId85" w:history="1">
        <w:r w:rsidRPr="001B1244">
          <w:rPr>
            <w:rFonts w:ascii="Arial" w:hAnsi="Arial" w:cs="Arial"/>
            <w:color w:val="000000" w:themeColor="text1"/>
            <w:sz w:val="22"/>
            <w:szCs w:val="22"/>
            <w:u w:val="single"/>
          </w:rPr>
          <w:t>https://doi.org/10.1007/s11295-018-1301-x</w:t>
        </w:r>
      </w:hyperlink>
    </w:p>
    <w:p w14:paraId="475DF8B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Gerton, J. L., DeRisi, J., Shroff, R., Lichten, M., Brown, P. O., &amp; Petes, T. D. (2000). Global mapping of meiotic recombination hotspots and coldspots in the yeast </w:t>
      </w:r>
      <w:r w:rsidRPr="001B1244">
        <w:rPr>
          <w:rFonts w:ascii="Arial" w:hAnsi="Arial" w:cs="Arial"/>
          <w:i/>
          <w:iCs/>
          <w:color w:val="000000" w:themeColor="text1"/>
          <w:sz w:val="22"/>
          <w:szCs w:val="22"/>
        </w:rPr>
        <w:t>Saccharomyces cerevisiae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Proceedings of the National Academy of Sciences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97</w:t>
      </w:r>
      <w:r w:rsidRPr="001B1244">
        <w:rPr>
          <w:rFonts w:ascii="Arial" w:hAnsi="Arial" w:cs="Arial"/>
          <w:color w:val="000000" w:themeColor="text1"/>
          <w:sz w:val="22"/>
          <w:szCs w:val="22"/>
        </w:rPr>
        <w:t xml:space="preserve">(21), 11383–11390. </w:t>
      </w:r>
      <w:hyperlink r:id="rId86" w:history="1">
        <w:r w:rsidRPr="001B1244">
          <w:rPr>
            <w:rFonts w:ascii="Arial" w:hAnsi="Arial" w:cs="Arial"/>
            <w:color w:val="000000" w:themeColor="text1"/>
            <w:sz w:val="22"/>
            <w:szCs w:val="22"/>
            <w:u w:val="single"/>
          </w:rPr>
          <w:t>https://doi.org/10.1073/pnas.97.21.11383</w:t>
        </w:r>
      </w:hyperlink>
    </w:p>
    <w:p w14:paraId="7B1A7D4E"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Glawe, D. A. (2008). The Powdery Mildews: A Review of the World’s Most Familiar (Yet Poorly Known) Plant Pathogens. </w:t>
      </w:r>
      <w:r w:rsidRPr="001B1244">
        <w:rPr>
          <w:rFonts w:ascii="Arial" w:hAnsi="Arial" w:cs="Arial"/>
          <w:i/>
          <w:color w:val="000000" w:themeColor="text1"/>
          <w:sz w:val="22"/>
          <w:szCs w:val="22"/>
        </w:rPr>
        <w:t>Annual Review of Phytopathology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46</w:t>
      </w:r>
      <w:r w:rsidRPr="001B1244">
        <w:rPr>
          <w:rFonts w:ascii="Arial" w:hAnsi="Arial" w:cs="Arial"/>
          <w:color w:val="000000" w:themeColor="text1"/>
          <w:sz w:val="22"/>
          <w:szCs w:val="22"/>
        </w:rPr>
        <w:t xml:space="preserve">(1), 27–51. </w:t>
      </w:r>
      <w:hyperlink r:id="rId87" w:history="1">
        <w:r w:rsidRPr="001B1244">
          <w:rPr>
            <w:rFonts w:ascii="Arial" w:hAnsi="Arial" w:cs="Arial"/>
            <w:color w:val="000000" w:themeColor="text1"/>
            <w:sz w:val="22"/>
            <w:szCs w:val="22"/>
            <w:u w:val="single"/>
          </w:rPr>
          <w:t>https://doi.org/10.1146/annurev.phyto.46.081407.104740</w:t>
        </w:r>
      </w:hyperlink>
    </w:p>
    <w:p w14:paraId="424625D4"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Goddard, M. R., Godfray, H. C. J., &amp; Burt, A. (2005). Sex increases the efficacy of natural selection in experimental yeast populations. </w:t>
      </w:r>
      <w:r w:rsidRPr="001B1244">
        <w:rPr>
          <w:rFonts w:ascii="Arial" w:hAnsi="Arial" w:cs="Arial"/>
          <w:i/>
          <w:iCs/>
          <w:color w:val="000000" w:themeColor="text1"/>
          <w:sz w:val="22"/>
          <w:szCs w:val="22"/>
        </w:rPr>
        <w:t>Nature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434</w:t>
      </w:r>
      <w:r w:rsidRPr="001B1244">
        <w:rPr>
          <w:rFonts w:ascii="Arial" w:hAnsi="Arial" w:cs="Arial"/>
          <w:color w:val="000000" w:themeColor="text1"/>
          <w:sz w:val="22"/>
          <w:szCs w:val="22"/>
        </w:rPr>
        <w:t xml:space="preserve">(7033), 636–640. </w:t>
      </w:r>
      <w:hyperlink r:id="rId88" w:history="1">
        <w:r w:rsidRPr="001B1244">
          <w:rPr>
            <w:rFonts w:ascii="Arial" w:hAnsi="Arial" w:cs="Arial"/>
            <w:color w:val="000000" w:themeColor="text1"/>
            <w:sz w:val="22"/>
            <w:szCs w:val="22"/>
            <w:u w:val="single"/>
          </w:rPr>
          <w:t>https://doi.org/10.1038/nature03405</w:t>
        </w:r>
      </w:hyperlink>
    </w:p>
    <w:p w14:paraId="1825FFAC" w14:textId="79FDF7AA"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Gong, Q., Li, S., Zheng, Y., Duan, H., Xiao, F., Zhuang, Y., He, J., Wu, G., Zhao, S., Zhou, H., &amp; Lin, H. (2020). SUMOylation of MYB30 enhances salt tolerance by elevating alternative respiration via transcriptionally upregulating AOX1a in Arabidopsis.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102</w:t>
      </w:r>
      <w:r w:rsidRPr="001B1244">
        <w:rPr>
          <w:rFonts w:ascii="Arial" w:hAnsi="Arial" w:cs="Arial"/>
          <w:color w:val="000000" w:themeColor="text1"/>
          <w:sz w:val="22"/>
          <w:szCs w:val="22"/>
        </w:rPr>
        <w:t xml:space="preserve">(6), 1157–1171. </w:t>
      </w:r>
      <w:hyperlink r:id="rId89" w:history="1">
        <w:r w:rsidRPr="001B1244">
          <w:rPr>
            <w:rFonts w:ascii="Arial" w:hAnsi="Arial" w:cs="Arial"/>
            <w:color w:val="000000" w:themeColor="text1"/>
            <w:sz w:val="22"/>
            <w:szCs w:val="22"/>
            <w:u w:val="single"/>
          </w:rPr>
          <w:t>https://doi.org/10.1111/tpj.14689</w:t>
        </w:r>
      </w:hyperlink>
    </w:p>
    <w:p w14:paraId="1F133ACF" w14:textId="13E7CDAA" w:rsidR="00402678" w:rsidRPr="001B1244" w:rsidRDefault="00402678" w:rsidP="00CA01FD">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de Colmenares, N. G., Ramírez</w:t>
      </w:r>
      <w:r w:rsidRPr="001B1244">
        <w:rPr>
          <w:rFonts w:ascii="Cambria Math" w:hAnsi="Cambria Math" w:cs="Cambria Math"/>
          <w:color w:val="222222"/>
          <w:sz w:val="22"/>
          <w:szCs w:val="22"/>
          <w:shd w:val="clear" w:color="auto" w:fill="FFFFFF"/>
        </w:rPr>
        <w:t>‐</w:t>
      </w:r>
      <w:r w:rsidRPr="001B1244">
        <w:rPr>
          <w:rFonts w:ascii="Arial" w:hAnsi="Arial" w:cs="Arial"/>
          <w:color w:val="222222"/>
          <w:sz w:val="22"/>
          <w:szCs w:val="22"/>
          <w:shd w:val="clear" w:color="auto" w:fill="FFFFFF"/>
        </w:rPr>
        <w:t>Martínez, J. R., Aldana, J. O., Ramos</w:t>
      </w:r>
      <w:r w:rsidRPr="001B1244">
        <w:rPr>
          <w:rFonts w:ascii="Cambria Math" w:hAnsi="Cambria Math" w:cs="Cambria Math"/>
          <w:color w:val="222222"/>
          <w:sz w:val="22"/>
          <w:szCs w:val="22"/>
          <w:shd w:val="clear" w:color="auto" w:fill="FFFFFF"/>
        </w:rPr>
        <w:t>‐</w:t>
      </w:r>
      <w:r w:rsidRPr="001B1244">
        <w:rPr>
          <w:rFonts w:ascii="Arial" w:hAnsi="Arial" w:cs="Arial"/>
          <w:color w:val="222222"/>
          <w:sz w:val="22"/>
          <w:szCs w:val="22"/>
          <w:shd w:val="clear" w:color="auto" w:fill="FFFFFF"/>
        </w:rPr>
        <w:t>Niño, M. E., Clifford, M. N., Pékerar, S., &amp; Méndez, B. (1998). Isolation, characterisation and determination of biological activity of coffee proanthocyanidins.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Journal of the Science of Food and Agriculture</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77</w:t>
      </w:r>
      <w:r w:rsidRPr="001B1244">
        <w:rPr>
          <w:rFonts w:ascii="Arial" w:hAnsi="Arial" w:cs="Arial"/>
          <w:color w:val="222222"/>
          <w:sz w:val="22"/>
          <w:szCs w:val="22"/>
          <w:shd w:val="clear" w:color="auto" w:fill="FFFFFF"/>
        </w:rPr>
        <w:t>(3), 368-372.</w:t>
      </w:r>
    </w:p>
    <w:p w14:paraId="04CE322B" w14:textId="1DD9043B"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Goyal, N., Bhatia, G., Sharma, S., Garewal, N., Upadhyay, A., Upadhyay, S. K., &amp; Singh, K. (2020). Genome-wide characterization revealed role of NBS-LRR genes during powdery mildew infection in Vitis vinifera. </w:t>
      </w:r>
      <w:r w:rsidRPr="001B1244">
        <w:rPr>
          <w:rFonts w:ascii="Arial" w:hAnsi="Arial" w:cs="Arial"/>
          <w:i/>
          <w:color w:val="000000" w:themeColor="text1"/>
          <w:sz w:val="22"/>
          <w:szCs w:val="22"/>
        </w:rPr>
        <w:t>Genomics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112</w:t>
      </w:r>
      <w:r w:rsidRPr="001B1244">
        <w:rPr>
          <w:rFonts w:ascii="Arial" w:hAnsi="Arial" w:cs="Arial"/>
          <w:color w:val="000000" w:themeColor="text1"/>
          <w:sz w:val="22"/>
          <w:szCs w:val="22"/>
        </w:rPr>
        <w:t xml:space="preserve">(1), 312–322. </w:t>
      </w:r>
      <w:hyperlink r:id="rId90" w:history="1">
        <w:r w:rsidRPr="001B1244">
          <w:rPr>
            <w:rFonts w:ascii="Arial" w:hAnsi="Arial" w:cs="Arial"/>
            <w:color w:val="000000" w:themeColor="text1"/>
            <w:sz w:val="22"/>
            <w:szCs w:val="22"/>
            <w:u w:val="single"/>
          </w:rPr>
          <w:t>https://doi.org/10.1016/j.ygeno.2019.02.011</w:t>
        </w:r>
      </w:hyperlink>
    </w:p>
    <w:p w14:paraId="29840CFF" w14:textId="6270FB10" w:rsidR="00CB4BAA" w:rsidRPr="001B1244" w:rsidRDefault="00CB4BAA"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222222"/>
          <w:sz w:val="22"/>
          <w:szCs w:val="22"/>
          <w:shd w:val="clear" w:color="auto" w:fill="FFFFFF"/>
        </w:rPr>
        <w:t>Grattapaglia, D., &amp; Sederoff, R. (1994). Genetic linkage maps of Eucalyptus grandis and Eucalyptus urophylla using a pseudo-testcross: mapping strategy and RAPD markers.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Genetics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137</w:t>
      </w:r>
      <w:r w:rsidRPr="001B1244">
        <w:rPr>
          <w:rFonts w:ascii="Arial" w:hAnsi="Arial" w:cs="Arial"/>
          <w:color w:val="222222"/>
          <w:sz w:val="22"/>
          <w:szCs w:val="22"/>
          <w:shd w:val="clear" w:color="auto" w:fill="FFFFFF"/>
        </w:rPr>
        <w:t>(4), 1121-1137.</w:t>
      </w:r>
    </w:p>
    <w:p w14:paraId="75675670"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Green, J. R., Carver, T. L., &amp; Gurr, S. J. (2002). The formation and function of infection and feeding structures.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 powdery mildews: a comprehensive treatise</w:t>
      </w:r>
      <w:r w:rsidRPr="001B1244">
        <w:rPr>
          <w:rFonts w:ascii="Arial" w:hAnsi="Arial" w:cs="Arial"/>
          <w:color w:val="000000" w:themeColor="text1"/>
          <w:sz w:val="22"/>
          <w:szCs w:val="22"/>
          <w:shd w:val="clear" w:color="auto" w:fill="FFFFFF"/>
        </w:rPr>
        <w:t xml:space="preserve">, 66-82. </w:t>
      </w:r>
    </w:p>
    <w:p w14:paraId="186BF71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Grotewold, E., Sainz, M. B., Tagliani, L., Hernandez, J. M., Bowen, B., &amp; Chandler, V. L. (2000). Identification of the residues in the Myb domain of maize C1 that specify the interaction </w:t>
      </w:r>
      <w:r w:rsidRPr="001B1244">
        <w:rPr>
          <w:rFonts w:ascii="Arial" w:hAnsi="Arial" w:cs="Arial"/>
          <w:color w:val="000000" w:themeColor="text1"/>
          <w:sz w:val="22"/>
          <w:szCs w:val="22"/>
        </w:rPr>
        <w:lastRenderedPageBreak/>
        <w:t xml:space="preserve">with the bHLH cofactor R. </w:t>
      </w:r>
      <w:r w:rsidRPr="001B1244">
        <w:rPr>
          <w:rFonts w:ascii="Arial" w:hAnsi="Arial" w:cs="Arial"/>
          <w:i/>
          <w:color w:val="000000" w:themeColor="text1"/>
          <w:sz w:val="22"/>
          <w:szCs w:val="22"/>
        </w:rPr>
        <w:t>Proceedings of the National Academy of Sciences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97</w:t>
      </w:r>
      <w:r w:rsidRPr="001B1244">
        <w:rPr>
          <w:rFonts w:ascii="Arial" w:hAnsi="Arial" w:cs="Arial"/>
          <w:color w:val="000000" w:themeColor="text1"/>
          <w:sz w:val="22"/>
          <w:szCs w:val="22"/>
        </w:rPr>
        <w:t xml:space="preserve">(25), 13579–13584. </w:t>
      </w:r>
      <w:hyperlink r:id="rId91" w:history="1">
        <w:r w:rsidRPr="001B1244">
          <w:rPr>
            <w:rFonts w:ascii="Arial" w:hAnsi="Arial" w:cs="Arial"/>
            <w:color w:val="000000" w:themeColor="text1"/>
            <w:sz w:val="22"/>
            <w:szCs w:val="22"/>
            <w:u w:val="single"/>
          </w:rPr>
          <w:t>https://doi.org/10.1073/pnas.250379897</w:t>
        </w:r>
      </w:hyperlink>
    </w:p>
    <w:p w14:paraId="5EFFF34C" w14:textId="77777777" w:rsidR="00E17460"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Grover, A., &amp; Sharma, P. C. (2016). Development and use of molecular markers: Past and present. </w:t>
      </w:r>
      <w:r w:rsidRPr="001B1244">
        <w:rPr>
          <w:rFonts w:ascii="Arial" w:hAnsi="Arial" w:cs="Arial"/>
          <w:i/>
          <w:color w:val="000000" w:themeColor="text1"/>
          <w:sz w:val="22"/>
          <w:szCs w:val="22"/>
        </w:rPr>
        <w:t>Critical Reviews in Biotechnology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36</w:t>
      </w:r>
      <w:r w:rsidRPr="001B1244">
        <w:rPr>
          <w:rFonts w:ascii="Arial" w:hAnsi="Arial" w:cs="Arial"/>
          <w:color w:val="000000" w:themeColor="text1"/>
          <w:sz w:val="22"/>
          <w:szCs w:val="22"/>
        </w:rPr>
        <w:t xml:space="preserve">(2), 290–302. </w:t>
      </w:r>
      <w:hyperlink r:id="rId92" w:history="1">
        <w:r w:rsidRPr="001B1244">
          <w:rPr>
            <w:rFonts w:ascii="Arial" w:hAnsi="Arial" w:cs="Arial"/>
            <w:color w:val="000000" w:themeColor="text1"/>
            <w:sz w:val="22"/>
            <w:szCs w:val="22"/>
            <w:u w:val="single"/>
          </w:rPr>
          <w:t>https://doi.org/10.3109/07388551.2014.959891</w:t>
        </w:r>
      </w:hyperlink>
    </w:p>
    <w:p w14:paraId="43DC57F2" w14:textId="30D970FF" w:rsidR="00E17460" w:rsidRPr="001B1244" w:rsidRDefault="00E17460"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222222"/>
          <w:sz w:val="22"/>
          <w:szCs w:val="22"/>
          <w:shd w:val="clear" w:color="auto" w:fill="FFFFFF"/>
        </w:rPr>
        <w:t>Guindon, S., Delsuc, F., Dufayard, J. F., &amp; Gascuel, O. (2009). Estimating maximum likelihood phylogenies with PhyML. In</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 xml:space="preserve">Bioinformatics for </w:t>
      </w:r>
      <w:proofErr w:type="gramStart"/>
      <w:r w:rsidRPr="001B1244">
        <w:rPr>
          <w:rFonts w:ascii="Arial" w:hAnsi="Arial" w:cs="Arial"/>
          <w:i/>
          <w:iCs/>
          <w:color w:val="222222"/>
          <w:sz w:val="22"/>
          <w:szCs w:val="22"/>
        </w:rPr>
        <w:t>DNA</w:t>
      </w:r>
      <w:proofErr w:type="gramEnd"/>
      <w:r w:rsidRPr="001B1244">
        <w:rPr>
          <w:rFonts w:ascii="Arial" w:hAnsi="Arial" w:cs="Arial"/>
          <w:i/>
          <w:iCs/>
          <w:color w:val="222222"/>
          <w:sz w:val="22"/>
          <w:szCs w:val="22"/>
        </w:rPr>
        <w:t xml:space="preserve"> sequence analysis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color w:val="222222"/>
          <w:sz w:val="22"/>
          <w:szCs w:val="22"/>
          <w:shd w:val="clear" w:color="auto" w:fill="FFFFFF"/>
        </w:rPr>
        <w:t>(pp. 113-137). Humana Press.</w:t>
      </w:r>
    </w:p>
    <w:p w14:paraId="77CF02F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Gunatilleke, C. V. S., &amp; Gunatilleke, I. A. U. N. (1984). Some Observations on the Reproductive Biology of Three Species of </w:t>
      </w:r>
      <w:r w:rsidRPr="001B1244">
        <w:rPr>
          <w:rFonts w:ascii="Arial" w:hAnsi="Arial" w:cs="Arial"/>
          <w:i/>
          <w:iCs/>
          <w:color w:val="000000" w:themeColor="text1"/>
          <w:sz w:val="22"/>
          <w:szCs w:val="22"/>
        </w:rPr>
        <w:t>Cornus</w:t>
      </w:r>
      <w:r w:rsidRPr="001B1244">
        <w:rPr>
          <w:rFonts w:ascii="Arial" w:hAnsi="Arial" w:cs="Arial"/>
          <w:color w:val="000000" w:themeColor="text1"/>
          <w:sz w:val="22"/>
          <w:szCs w:val="22"/>
        </w:rPr>
        <w:t xml:space="preserve"> (Cornaceae). </w:t>
      </w:r>
      <w:r w:rsidRPr="001B1244">
        <w:rPr>
          <w:rFonts w:ascii="Arial" w:hAnsi="Arial" w:cs="Arial"/>
          <w:i/>
          <w:color w:val="000000" w:themeColor="text1"/>
          <w:sz w:val="22"/>
          <w:szCs w:val="22"/>
        </w:rPr>
        <w:t xml:space="preserve">Journal of the Arnold </w:t>
      </w:r>
      <w:proofErr w:type="gramStart"/>
      <w:r w:rsidRPr="001B1244">
        <w:rPr>
          <w:rFonts w:ascii="Arial" w:hAnsi="Arial" w:cs="Arial"/>
          <w:i/>
          <w:color w:val="000000" w:themeColor="text1"/>
          <w:sz w:val="22"/>
          <w:szCs w:val="22"/>
        </w:rPr>
        <w:t>Arboretum.</w:t>
      </w:r>
      <w:r w:rsidRPr="001B1244">
        <w:rPr>
          <w:rFonts w:ascii="Arial" w:hAnsi="Arial" w:cs="Arial"/>
          <w:color w:val="000000" w:themeColor="text1"/>
          <w:sz w:val="22"/>
          <w:szCs w:val="22"/>
        </w:rPr>
        <w:t>,</w:t>
      </w:r>
      <w:proofErr w:type="gramEnd"/>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65</w:t>
      </w:r>
      <w:r w:rsidRPr="001B1244">
        <w:rPr>
          <w:rFonts w:ascii="Arial" w:hAnsi="Arial" w:cs="Arial"/>
          <w:color w:val="000000" w:themeColor="text1"/>
          <w:sz w:val="22"/>
          <w:szCs w:val="22"/>
        </w:rPr>
        <w:t xml:space="preserve">(3), 419–427. </w:t>
      </w:r>
      <w:hyperlink r:id="rId93" w:history="1">
        <w:r w:rsidRPr="001B1244">
          <w:rPr>
            <w:rFonts w:ascii="Arial" w:hAnsi="Arial" w:cs="Arial"/>
            <w:color w:val="000000" w:themeColor="text1"/>
            <w:sz w:val="22"/>
            <w:szCs w:val="22"/>
            <w:u w:val="single"/>
          </w:rPr>
          <w:t>https://doi.org/10.5962/p.185924</w:t>
        </w:r>
      </w:hyperlink>
    </w:p>
    <w:p w14:paraId="5BB1634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Hadziabdic, D., Fitzpatrick, B. M., Wang, X., Wadl, P. A., Rinehart, T. A., Ownley, B. H., Windham, M. T., &amp; Trigiano, R. N. (2010). Analysis of genetic diversity in flowering dogwood natural stands using microsatellites: The effects of dogwood anthracnose. </w:t>
      </w:r>
      <w:r w:rsidRPr="001B1244">
        <w:rPr>
          <w:rFonts w:ascii="Arial" w:hAnsi="Arial" w:cs="Arial"/>
          <w:i/>
          <w:color w:val="000000" w:themeColor="text1"/>
          <w:sz w:val="22"/>
          <w:szCs w:val="22"/>
        </w:rPr>
        <w:t>Genetica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138</w:t>
      </w:r>
      <w:r w:rsidRPr="001B1244">
        <w:rPr>
          <w:rFonts w:ascii="Arial" w:hAnsi="Arial" w:cs="Arial"/>
          <w:color w:val="000000" w:themeColor="text1"/>
          <w:sz w:val="22"/>
          <w:szCs w:val="22"/>
        </w:rPr>
        <w:t xml:space="preserve">(9–10), 1047–1057. </w:t>
      </w:r>
      <w:hyperlink r:id="rId94" w:history="1">
        <w:r w:rsidRPr="001B1244">
          <w:rPr>
            <w:rFonts w:ascii="Arial" w:hAnsi="Arial" w:cs="Arial"/>
            <w:color w:val="000000" w:themeColor="text1"/>
            <w:sz w:val="22"/>
            <w:szCs w:val="22"/>
            <w:u w:val="single"/>
          </w:rPr>
          <w:t>https://doi.org/10.1007/s10709-010-9490-8</w:t>
        </w:r>
      </w:hyperlink>
    </w:p>
    <w:p w14:paraId="3F3A3398"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Hagan, A. K., Akridge, J. R., Ducar, J., &amp; Bowen, K. L. (2011). Disease Resistance and Adaptability of Stellar and Flowering Dogwood Cultivars at Two Alabama Sites. </w:t>
      </w:r>
      <w:r w:rsidRPr="001B1244">
        <w:rPr>
          <w:rFonts w:ascii="Arial" w:hAnsi="Arial" w:cs="Arial"/>
          <w:i/>
          <w:color w:val="000000" w:themeColor="text1"/>
          <w:sz w:val="22"/>
          <w:szCs w:val="22"/>
        </w:rPr>
        <w:t>Journal of Environmental Horticulture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29</w:t>
      </w:r>
      <w:r w:rsidRPr="001B1244">
        <w:rPr>
          <w:rFonts w:ascii="Arial" w:hAnsi="Arial" w:cs="Arial"/>
          <w:color w:val="000000" w:themeColor="text1"/>
          <w:sz w:val="22"/>
          <w:szCs w:val="22"/>
        </w:rPr>
        <w:t xml:space="preserve">(4), 169–174. </w:t>
      </w:r>
      <w:hyperlink r:id="rId95" w:history="1">
        <w:r w:rsidRPr="001B1244">
          <w:rPr>
            <w:rFonts w:ascii="Arial" w:hAnsi="Arial" w:cs="Arial"/>
            <w:color w:val="000000" w:themeColor="text1"/>
            <w:sz w:val="22"/>
            <w:szCs w:val="22"/>
            <w:u w:val="single"/>
          </w:rPr>
          <w:t>https://doi.org/10.24266/0738-2898-29.4.169</w:t>
        </w:r>
      </w:hyperlink>
    </w:p>
    <w:p w14:paraId="36DA2CC7"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Hagan, A. K., Hardin, B., Gilliam, C. H., Keever, G. J., Williams, J. D., &amp; Eakes, J. (1998). Susceptibility of Cultivars of Several Dogwood Taxa to Powdery Mildew and Spot Anthracnose. </w:t>
      </w:r>
      <w:r w:rsidRPr="001B1244">
        <w:rPr>
          <w:rFonts w:ascii="Arial" w:hAnsi="Arial" w:cs="Arial"/>
          <w:i/>
          <w:color w:val="000000" w:themeColor="text1"/>
          <w:sz w:val="22"/>
          <w:szCs w:val="22"/>
        </w:rPr>
        <w:t>Journal of Environmental Horticulture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w:t>
      </w:r>
      <w:r w:rsidRPr="001B1244">
        <w:rPr>
          <w:rFonts w:ascii="Arial" w:hAnsi="Arial" w:cs="Arial"/>
          <w:color w:val="000000" w:themeColor="text1"/>
          <w:sz w:val="22"/>
          <w:szCs w:val="22"/>
        </w:rPr>
        <w:t xml:space="preserve">(3), 147–151. </w:t>
      </w:r>
      <w:hyperlink r:id="rId96" w:history="1">
        <w:r w:rsidRPr="001B1244">
          <w:rPr>
            <w:rFonts w:ascii="Arial" w:hAnsi="Arial" w:cs="Arial"/>
            <w:color w:val="000000" w:themeColor="text1"/>
            <w:sz w:val="22"/>
            <w:szCs w:val="22"/>
            <w:u w:val="single"/>
          </w:rPr>
          <w:t>https://doi.org/10.24266/0738-2898-16.3.147</w:t>
        </w:r>
      </w:hyperlink>
    </w:p>
    <w:p w14:paraId="6AF4B0F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Hagan, A. K., &amp; Mullen, J. M. (1999). Occurrence of diseases in native stands of flowering dogwood in North Alabama. </w:t>
      </w:r>
    </w:p>
    <w:p w14:paraId="483622C3"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Haley, C. S., &amp; Knott, S. A. (1992). A simple regression method for mapping quantitative trait loci in line crosses using flanking markers. </w:t>
      </w:r>
      <w:r w:rsidRPr="001B1244">
        <w:rPr>
          <w:rFonts w:ascii="Arial" w:hAnsi="Arial" w:cs="Arial"/>
          <w:i/>
          <w:iCs/>
          <w:color w:val="000000" w:themeColor="text1"/>
          <w:sz w:val="22"/>
          <w:szCs w:val="22"/>
        </w:rPr>
        <w:t>Heredity</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69</w:t>
      </w:r>
      <w:r w:rsidRPr="001B1244">
        <w:rPr>
          <w:rFonts w:ascii="Arial" w:hAnsi="Arial" w:cs="Arial"/>
          <w:color w:val="000000" w:themeColor="text1"/>
          <w:sz w:val="22"/>
          <w:szCs w:val="22"/>
        </w:rPr>
        <w:t xml:space="preserve">(4), 315–324. </w:t>
      </w:r>
      <w:hyperlink r:id="rId97" w:history="1">
        <w:r w:rsidRPr="001B1244">
          <w:rPr>
            <w:rFonts w:ascii="Arial" w:hAnsi="Arial" w:cs="Arial"/>
            <w:color w:val="000000" w:themeColor="text1"/>
            <w:sz w:val="22"/>
            <w:szCs w:val="22"/>
            <w:u w:val="single"/>
          </w:rPr>
          <w:t>https://doi.org/10.1038/hdy.1992.131</w:t>
        </w:r>
      </w:hyperlink>
    </w:p>
    <w:p w14:paraId="5FE078AA"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Halterman, D., Zhou, F., Wei, F., Wise, R. P., &amp; Schulze-Lefert, P. (2001). The MLA6 coiled-coil, NBS-LRR protein confers AvrMla6-dependent resistance specificity to </w:t>
      </w:r>
      <w:r w:rsidRPr="001B1244">
        <w:rPr>
          <w:rFonts w:ascii="Arial" w:hAnsi="Arial" w:cs="Arial"/>
          <w:i/>
          <w:iCs/>
          <w:color w:val="000000" w:themeColor="text1"/>
          <w:sz w:val="22"/>
          <w:szCs w:val="22"/>
        </w:rPr>
        <w:t>Blumeria graminis</w:t>
      </w:r>
      <w:r w:rsidRPr="001B1244">
        <w:rPr>
          <w:rFonts w:ascii="Arial" w:hAnsi="Arial" w:cs="Arial"/>
          <w:color w:val="000000" w:themeColor="text1"/>
          <w:sz w:val="22"/>
          <w:szCs w:val="22"/>
        </w:rPr>
        <w:t xml:space="preserve"> f. sp. </w:t>
      </w:r>
      <w:r w:rsidRPr="001B1244">
        <w:rPr>
          <w:rFonts w:ascii="Arial" w:hAnsi="Arial" w:cs="Arial"/>
          <w:i/>
          <w:iCs/>
          <w:color w:val="000000" w:themeColor="text1"/>
          <w:sz w:val="22"/>
          <w:szCs w:val="22"/>
        </w:rPr>
        <w:t xml:space="preserve">hordei </w:t>
      </w:r>
      <w:r w:rsidRPr="001B1244">
        <w:rPr>
          <w:rFonts w:ascii="Arial" w:hAnsi="Arial" w:cs="Arial"/>
          <w:color w:val="000000" w:themeColor="text1"/>
          <w:sz w:val="22"/>
          <w:szCs w:val="22"/>
        </w:rPr>
        <w:t xml:space="preserve">in barley and wheat: Mla6-mediated specificity.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25</w:t>
      </w:r>
      <w:r w:rsidRPr="001B1244">
        <w:rPr>
          <w:rFonts w:ascii="Arial" w:hAnsi="Arial" w:cs="Arial"/>
          <w:color w:val="000000" w:themeColor="text1"/>
          <w:sz w:val="22"/>
          <w:szCs w:val="22"/>
        </w:rPr>
        <w:t xml:space="preserve">(3), 335–348. </w:t>
      </w:r>
      <w:hyperlink r:id="rId98" w:history="1">
        <w:r w:rsidRPr="001B1244">
          <w:rPr>
            <w:rFonts w:ascii="Arial" w:hAnsi="Arial" w:cs="Arial"/>
            <w:color w:val="000000" w:themeColor="text1"/>
            <w:sz w:val="22"/>
            <w:szCs w:val="22"/>
            <w:u w:val="single"/>
          </w:rPr>
          <w:t>https://doi.org/10.1046/j.1365-313x.2001.00982.x</w:t>
        </w:r>
      </w:hyperlink>
    </w:p>
    <w:p w14:paraId="41820C3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Hart, A. J., Ginzburg, S., Xu, M. (Sam), Fisher, C. R., Rahmatpour, N., Mitton, J. B., Paul, R., &amp; Wegrzyn, J. L. (2020). </w:t>
      </w:r>
      <w:r w:rsidRPr="001B1244">
        <w:rPr>
          <w:rFonts w:ascii="Arial" w:hAnsi="Arial" w:cs="Arial"/>
          <w:smallCaps/>
          <w:color w:val="000000" w:themeColor="text1"/>
          <w:sz w:val="22"/>
          <w:szCs w:val="22"/>
        </w:rPr>
        <w:t>EnTAP</w:t>
      </w:r>
      <w:r w:rsidRPr="001B1244">
        <w:rPr>
          <w:rFonts w:ascii="Arial" w:hAnsi="Arial" w:cs="Arial"/>
          <w:color w:val="000000" w:themeColor="text1"/>
          <w:sz w:val="22"/>
          <w:szCs w:val="22"/>
        </w:rPr>
        <w:t>: Bringing faster and smarter functional annotation to non</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lastRenderedPageBreak/>
        <w:t xml:space="preserve">model eukaryotic transcriptomes. </w:t>
      </w:r>
      <w:r w:rsidRPr="001B1244">
        <w:rPr>
          <w:rFonts w:ascii="Arial" w:hAnsi="Arial" w:cs="Arial"/>
          <w:i/>
          <w:color w:val="000000" w:themeColor="text1"/>
          <w:sz w:val="22"/>
          <w:szCs w:val="22"/>
        </w:rPr>
        <w:t>Molecular Ecology Resources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20</w:t>
      </w:r>
      <w:r w:rsidRPr="001B1244">
        <w:rPr>
          <w:rFonts w:ascii="Arial" w:hAnsi="Arial" w:cs="Arial"/>
          <w:color w:val="000000" w:themeColor="text1"/>
          <w:sz w:val="22"/>
          <w:szCs w:val="22"/>
        </w:rPr>
        <w:t xml:space="preserve">(2), 591–604. </w:t>
      </w:r>
      <w:hyperlink r:id="rId99" w:history="1">
        <w:r w:rsidRPr="001B1244">
          <w:rPr>
            <w:rFonts w:ascii="Arial" w:hAnsi="Arial" w:cs="Arial"/>
            <w:color w:val="000000" w:themeColor="text1"/>
            <w:sz w:val="22"/>
            <w:szCs w:val="22"/>
            <w:u w:val="single"/>
          </w:rPr>
          <w:t>https://doi.org/10.1111/1755-0998.13106</w:t>
        </w:r>
      </w:hyperlink>
    </w:p>
    <w:p w14:paraId="351A8600"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He, J., Liu, Y., Yuan, D., Duan, M., Liu, Y., Shen, Z., Yang, C., Qiu, Z., Liu, D., Wen, P., Huang, J., Fan, D., Xiao, S., Xin, Y., Chen, X., Jiang, L., Wang, H., Yuan, L., &amp; Wan, J. (2020). An R2R3 MYB transcription factor confers brown planthopper resistance by regulating the phenylalanine ammonia-lyase pathway in rice. </w:t>
      </w:r>
      <w:r w:rsidRPr="001B1244">
        <w:rPr>
          <w:rFonts w:ascii="Arial" w:hAnsi="Arial" w:cs="Arial"/>
          <w:i/>
          <w:color w:val="000000" w:themeColor="text1"/>
          <w:sz w:val="22"/>
          <w:szCs w:val="22"/>
        </w:rPr>
        <w:t>Proceedings of the National Academy of Sciences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117</w:t>
      </w:r>
      <w:r w:rsidRPr="001B1244">
        <w:rPr>
          <w:rFonts w:ascii="Arial" w:hAnsi="Arial" w:cs="Arial"/>
          <w:color w:val="000000" w:themeColor="text1"/>
          <w:sz w:val="22"/>
          <w:szCs w:val="22"/>
        </w:rPr>
        <w:t xml:space="preserve">(1), 271–277. </w:t>
      </w:r>
      <w:hyperlink r:id="rId100" w:history="1">
        <w:r w:rsidRPr="001B1244">
          <w:rPr>
            <w:rFonts w:ascii="Arial" w:hAnsi="Arial" w:cs="Arial"/>
            <w:color w:val="000000" w:themeColor="text1"/>
            <w:sz w:val="22"/>
            <w:szCs w:val="22"/>
            <w:u w:val="single"/>
          </w:rPr>
          <w:t>https://doi.org/10.1073/pnas.1902771116</w:t>
        </w:r>
      </w:hyperlink>
    </w:p>
    <w:p w14:paraId="55936B7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Hilbert, M., Novero, M., Rovenich, H., Mari, S., Grimm, C., Bonfante, P., &amp; Zuccaro, A. (2020). MLO Differentially Regulates Barley Root Colonization by Beneficial Endophytic and Mycorrhizal Fungi. </w:t>
      </w:r>
      <w:r w:rsidRPr="001B1244">
        <w:rPr>
          <w:rFonts w:ascii="Arial" w:hAnsi="Arial" w:cs="Arial"/>
          <w:i/>
          <w:color w:val="000000" w:themeColor="text1"/>
          <w:sz w:val="22"/>
          <w:szCs w:val="22"/>
        </w:rPr>
        <w:t>Frontiers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 1678. </w:t>
      </w:r>
      <w:hyperlink r:id="rId101" w:history="1">
        <w:r w:rsidRPr="001B1244">
          <w:rPr>
            <w:rFonts w:ascii="Arial" w:hAnsi="Arial" w:cs="Arial"/>
            <w:color w:val="000000" w:themeColor="text1"/>
            <w:sz w:val="22"/>
            <w:szCs w:val="22"/>
            <w:u w:val="single"/>
          </w:rPr>
          <w:t>https://doi.org/10.3389/fpls.2019.01678</w:t>
        </w:r>
      </w:hyperlink>
    </w:p>
    <w:p w14:paraId="138DA5C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Honig, J. A., Muehlbauer, M. F., Capik, J. M., Kubik, C., Vaiciunas, J. N., Mehlenbacher, S. A., &amp; J. (2019). Identification and mapping of eastern filbert blight resistance quantitative trait loci in </w:t>
      </w:r>
      <w:proofErr w:type="gramStart"/>
      <w:r w:rsidRPr="001B1244">
        <w:rPr>
          <w:rFonts w:ascii="Arial" w:hAnsi="Arial" w:cs="Arial"/>
          <w:color w:val="000000" w:themeColor="text1"/>
          <w:sz w:val="22"/>
          <w:szCs w:val="22"/>
        </w:rPr>
        <w:t>european</w:t>
      </w:r>
      <w:proofErr w:type="gramEnd"/>
      <w:r w:rsidRPr="001B1244">
        <w:rPr>
          <w:rFonts w:ascii="Arial" w:hAnsi="Arial" w:cs="Arial"/>
          <w:color w:val="000000" w:themeColor="text1"/>
          <w:sz w:val="22"/>
          <w:szCs w:val="22"/>
        </w:rPr>
        <w:t xml:space="preserve"> hazelnut using double digestion restriction site associated DNA sequencing. Journal of the American Society for Horticultural Science, 144(5), 295-304.</w:t>
      </w:r>
    </w:p>
    <w:p w14:paraId="3C1E2B1F"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Horsfall, J. G. (1945). An improved grading system for measuring plant diseases.</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Phytopathology</w:t>
      </w:r>
      <w:r w:rsidRPr="001B1244">
        <w:rPr>
          <w:rFonts w:ascii="Arial" w:hAnsi="Arial" w:cs="Arial"/>
          <w:color w:val="000000" w:themeColor="text1"/>
          <w:sz w:val="22"/>
          <w:szCs w:val="22"/>
          <w:shd w:val="clear" w:color="auto" w:fill="FFFFFF"/>
        </w:rPr>
        <w:t>,</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35</w:t>
      </w:r>
      <w:r w:rsidRPr="001B1244">
        <w:rPr>
          <w:rFonts w:ascii="Arial" w:hAnsi="Arial" w:cs="Arial"/>
          <w:color w:val="000000" w:themeColor="text1"/>
          <w:sz w:val="22"/>
          <w:szCs w:val="22"/>
          <w:shd w:val="clear" w:color="auto" w:fill="FFFFFF"/>
        </w:rPr>
        <w:t>, 655.</w:t>
      </w:r>
    </w:p>
    <w:p w14:paraId="6C691DF3"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Hrdlickova, R., Toloue, M., &amp; Tian, B. (2017). RNA</w:t>
      </w:r>
      <w:r w:rsidRPr="001B1244">
        <w:rPr>
          <w:rFonts w:ascii="Cambria Math" w:hAnsi="Cambria Math" w:cs="Cambria Math"/>
          <w:color w:val="000000" w:themeColor="text1"/>
          <w:sz w:val="22"/>
          <w:szCs w:val="22"/>
          <w:shd w:val="clear" w:color="auto" w:fill="FFFFFF"/>
        </w:rPr>
        <w:t>‐</w:t>
      </w:r>
      <w:r w:rsidRPr="001B1244">
        <w:rPr>
          <w:rFonts w:ascii="Arial" w:hAnsi="Arial" w:cs="Arial"/>
          <w:color w:val="000000" w:themeColor="text1"/>
          <w:sz w:val="22"/>
          <w:szCs w:val="22"/>
          <w:shd w:val="clear" w:color="auto" w:fill="FFFFFF"/>
        </w:rPr>
        <w:t>Seq methods for transcriptome analysis.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Wiley Interdisciplinary Reviews: RNA</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8</w:t>
      </w:r>
      <w:r w:rsidRPr="001B1244">
        <w:rPr>
          <w:rFonts w:ascii="Arial" w:hAnsi="Arial" w:cs="Arial"/>
          <w:color w:val="000000" w:themeColor="text1"/>
          <w:sz w:val="22"/>
          <w:szCs w:val="22"/>
          <w:shd w:val="clear" w:color="auto" w:fill="FFFFFF"/>
        </w:rPr>
        <w:t xml:space="preserve">(1), e1364. </w:t>
      </w:r>
    </w:p>
    <w:p w14:paraId="17AEDD6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Huang, Y., Vialet, S., Guiraud, J., Torregrosa, L., Bertrand, Y., Cheynier, V., This, P., &amp; Terrier, N. (2014). A negative </w:t>
      </w:r>
      <w:r w:rsidRPr="001B1244">
        <w:rPr>
          <w:rFonts w:ascii="Arial" w:hAnsi="Arial" w:cs="Arial"/>
          <w:smallCaps/>
          <w:color w:val="000000" w:themeColor="text1"/>
          <w:sz w:val="22"/>
          <w:szCs w:val="22"/>
        </w:rPr>
        <w:t>MYB</w:t>
      </w:r>
      <w:r w:rsidRPr="001B1244">
        <w:rPr>
          <w:rFonts w:ascii="Arial" w:hAnsi="Arial" w:cs="Arial"/>
          <w:color w:val="000000" w:themeColor="text1"/>
          <w:sz w:val="22"/>
          <w:szCs w:val="22"/>
        </w:rPr>
        <w:t xml:space="preserve"> regulator of proanthocyanidin accumulation, identified through expression quantitative locus mapping in the grape berry. </w:t>
      </w:r>
      <w:r w:rsidRPr="001B1244">
        <w:rPr>
          <w:rFonts w:ascii="Arial" w:hAnsi="Arial" w:cs="Arial"/>
          <w:i/>
          <w:color w:val="000000" w:themeColor="text1"/>
          <w:sz w:val="22"/>
          <w:szCs w:val="22"/>
        </w:rPr>
        <w:t>New Phytologist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201</w:t>
      </w:r>
      <w:r w:rsidRPr="001B1244">
        <w:rPr>
          <w:rFonts w:ascii="Arial" w:hAnsi="Arial" w:cs="Arial"/>
          <w:color w:val="000000" w:themeColor="text1"/>
          <w:sz w:val="22"/>
          <w:szCs w:val="22"/>
        </w:rPr>
        <w:t xml:space="preserve">(3), 795–809. </w:t>
      </w:r>
      <w:hyperlink r:id="rId102" w:history="1">
        <w:r w:rsidRPr="001B1244">
          <w:rPr>
            <w:rFonts w:ascii="Arial" w:hAnsi="Arial" w:cs="Arial"/>
            <w:color w:val="000000" w:themeColor="text1"/>
            <w:sz w:val="22"/>
            <w:szCs w:val="22"/>
            <w:u w:val="single"/>
          </w:rPr>
          <w:t>https://doi.org/10.1111/nph.12557</w:t>
        </w:r>
      </w:hyperlink>
    </w:p>
    <w:p w14:paraId="2A6F8D8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Hückelhoven, R., &amp; Panstruga, R. (2011). Cell biology of the plant–powdery mildew interaction. </w:t>
      </w:r>
      <w:r w:rsidRPr="001B1244">
        <w:rPr>
          <w:rFonts w:ascii="Arial" w:hAnsi="Arial" w:cs="Arial"/>
          <w:i/>
          <w:color w:val="000000" w:themeColor="text1"/>
          <w:sz w:val="22"/>
          <w:szCs w:val="22"/>
        </w:rPr>
        <w:t>Current Opinion in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14</w:t>
      </w:r>
      <w:r w:rsidRPr="001B1244">
        <w:rPr>
          <w:rFonts w:ascii="Arial" w:hAnsi="Arial" w:cs="Arial"/>
          <w:color w:val="000000" w:themeColor="text1"/>
          <w:sz w:val="22"/>
          <w:szCs w:val="22"/>
        </w:rPr>
        <w:t xml:space="preserve">(6), 738–746. </w:t>
      </w:r>
      <w:hyperlink r:id="rId103" w:history="1">
        <w:r w:rsidRPr="001B1244">
          <w:rPr>
            <w:rFonts w:ascii="Arial" w:hAnsi="Arial" w:cs="Arial"/>
            <w:color w:val="000000" w:themeColor="text1"/>
            <w:sz w:val="22"/>
            <w:szCs w:val="22"/>
            <w:u w:val="single"/>
          </w:rPr>
          <w:t>https://doi.org/10.1016/j.pbi.2011.08.002</w:t>
        </w:r>
      </w:hyperlink>
    </w:p>
    <w:p w14:paraId="149481B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Jaakola, L. (2013). New insights into the regulation of anthocyanin biosynthesis in fruits. </w:t>
      </w:r>
      <w:r w:rsidRPr="001B1244">
        <w:rPr>
          <w:rFonts w:ascii="Arial" w:hAnsi="Arial" w:cs="Arial"/>
          <w:i/>
          <w:color w:val="000000" w:themeColor="text1"/>
          <w:sz w:val="22"/>
          <w:szCs w:val="22"/>
        </w:rPr>
        <w:t>Trends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18</w:t>
      </w:r>
      <w:r w:rsidRPr="001B1244">
        <w:rPr>
          <w:rFonts w:ascii="Arial" w:hAnsi="Arial" w:cs="Arial"/>
          <w:color w:val="000000" w:themeColor="text1"/>
          <w:sz w:val="22"/>
          <w:szCs w:val="22"/>
        </w:rPr>
        <w:t xml:space="preserve">(9), 477–483. </w:t>
      </w:r>
      <w:hyperlink r:id="rId104" w:history="1">
        <w:r w:rsidRPr="001B1244">
          <w:rPr>
            <w:rFonts w:ascii="Arial" w:hAnsi="Arial" w:cs="Arial"/>
            <w:color w:val="000000" w:themeColor="text1"/>
            <w:sz w:val="22"/>
            <w:szCs w:val="22"/>
            <w:u w:val="single"/>
          </w:rPr>
          <w:t>https://doi.org/10.1016/j.tplants.2013.06.003</w:t>
        </w:r>
      </w:hyperlink>
    </w:p>
    <w:p w14:paraId="2040A930"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Jacott, C. N., Ridout, C. J., &amp; Murray, J. D. (2021). Unmasking Mildew Resistance Locus O. </w:t>
      </w:r>
      <w:r w:rsidRPr="001B1244">
        <w:rPr>
          <w:rFonts w:ascii="Arial" w:hAnsi="Arial" w:cs="Arial"/>
          <w:i/>
          <w:color w:val="000000" w:themeColor="text1"/>
          <w:sz w:val="22"/>
          <w:szCs w:val="22"/>
        </w:rPr>
        <w:t>Trends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26</w:t>
      </w:r>
      <w:r w:rsidRPr="001B1244">
        <w:rPr>
          <w:rFonts w:ascii="Arial" w:hAnsi="Arial" w:cs="Arial"/>
          <w:color w:val="000000" w:themeColor="text1"/>
          <w:sz w:val="22"/>
          <w:szCs w:val="22"/>
        </w:rPr>
        <w:t xml:space="preserve">(10), 1006–1013. </w:t>
      </w:r>
      <w:hyperlink r:id="rId105" w:history="1">
        <w:r w:rsidRPr="001B1244">
          <w:rPr>
            <w:rFonts w:ascii="Arial" w:hAnsi="Arial" w:cs="Arial"/>
            <w:color w:val="000000" w:themeColor="text1"/>
            <w:sz w:val="22"/>
            <w:szCs w:val="22"/>
            <w:u w:val="single"/>
          </w:rPr>
          <w:t>https://doi.org/10.1016/j.tplants.2021.05.009</w:t>
        </w:r>
      </w:hyperlink>
    </w:p>
    <w:p w14:paraId="6BA76542"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Jiang, C.-K., &amp; Rao, G.-Y. (2020). Insights into the Diversification and Evolution of R2R3-MYB Transcription Factors in Plants.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183</w:t>
      </w:r>
      <w:r w:rsidRPr="001B1244">
        <w:rPr>
          <w:rFonts w:ascii="Arial" w:hAnsi="Arial" w:cs="Arial"/>
          <w:color w:val="000000" w:themeColor="text1"/>
          <w:sz w:val="22"/>
          <w:szCs w:val="22"/>
        </w:rPr>
        <w:t xml:space="preserve">(2), 637–655. </w:t>
      </w:r>
      <w:hyperlink r:id="rId106" w:history="1">
        <w:r w:rsidRPr="001B1244">
          <w:rPr>
            <w:rFonts w:ascii="Arial" w:hAnsi="Arial" w:cs="Arial"/>
            <w:color w:val="000000" w:themeColor="text1"/>
            <w:sz w:val="22"/>
            <w:szCs w:val="22"/>
            <w:u w:val="single"/>
          </w:rPr>
          <w:t>https://doi.org/10.1104/pp.19.01082</w:t>
        </w:r>
      </w:hyperlink>
    </w:p>
    <w:p w14:paraId="0FE4987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Jiang, H., Lei, R., Ding, S. W., &amp; Zhu, S. (2014). Skewer: a fast and accurate adapter trimmer for next-generation sequencing paired-end reads.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BMC bioinformatics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15</w:t>
      </w:r>
      <w:r w:rsidRPr="001B1244">
        <w:rPr>
          <w:rFonts w:ascii="Arial" w:hAnsi="Arial" w:cs="Arial"/>
          <w:color w:val="000000" w:themeColor="text1"/>
          <w:sz w:val="22"/>
          <w:szCs w:val="22"/>
          <w:shd w:val="clear" w:color="auto" w:fill="FFFFFF"/>
        </w:rPr>
        <w:t xml:space="preserve">(1), 1-12. </w:t>
      </w:r>
    </w:p>
    <w:p w14:paraId="4FBA51C4"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Jiang, P., Chen, Y., &amp; Wilde, H. D. (2016). Reduction of MLO1 expression in petunia increases resistance to powdery mildew. </w:t>
      </w:r>
      <w:r w:rsidRPr="001B1244">
        <w:rPr>
          <w:rFonts w:ascii="Arial" w:hAnsi="Arial" w:cs="Arial"/>
          <w:i/>
          <w:color w:val="000000" w:themeColor="text1"/>
          <w:sz w:val="22"/>
          <w:szCs w:val="22"/>
        </w:rPr>
        <w:t>Scientia Horticulturae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201</w:t>
      </w:r>
      <w:r w:rsidRPr="001B1244">
        <w:rPr>
          <w:rFonts w:ascii="Arial" w:hAnsi="Arial" w:cs="Arial"/>
          <w:color w:val="000000" w:themeColor="text1"/>
          <w:sz w:val="22"/>
          <w:szCs w:val="22"/>
        </w:rPr>
        <w:t xml:space="preserve">, 225–229. </w:t>
      </w:r>
      <w:hyperlink r:id="rId107" w:history="1">
        <w:r w:rsidRPr="001B1244">
          <w:rPr>
            <w:rFonts w:ascii="Arial" w:hAnsi="Arial" w:cs="Arial"/>
            <w:color w:val="000000" w:themeColor="text1"/>
            <w:sz w:val="22"/>
            <w:szCs w:val="22"/>
            <w:u w:val="single"/>
          </w:rPr>
          <w:t>https://doi.org/10.1016/j.scienta.2016.02.007</w:t>
        </w:r>
      </w:hyperlink>
    </w:p>
    <w:p w14:paraId="39DFB70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Jin, H. (2000). Transcriptional repression by AtMYB4 controls production of UV-protecting sunscreens in Arabidopsis. </w:t>
      </w:r>
      <w:r w:rsidRPr="001B1244">
        <w:rPr>
          <w:rFonts w:ascii="Arial" w:hAnsi="Arial" w:cs="Arial"/>
          <w:i/>
          <w:color w:val="000000" w:themeColor="text1"/>
          <w:sz w:val="22"/>
          <w:szCs w:val="22"/>
        </w:rPr>
        <w:t>The EMBO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19</w:t>
      </w:r>
      <w:r w:rsidRPr="001B1244">
        <w:rPr>
          <w:rFonts w:ascii="Arial" w:hAnsi="Arial" w:cs="Arial"/>
          <w:color w:val="000000" w:themeColor="text1"/>
          <w:sz w:val="22"/>
          <w:szCs w:val="22"/>
        </w:rPr>
        <w:t xml:space="preserve">(22), 6150–6161. </w:t>
      </w:r>
      <w:hyperlink r:id="rId108" w:history="1">
        <w:r w:rsidRPr="001B1244">
          <w:rPr>
            <w:rFonts w:ascii="Arial" w:hAnsi="Arial" w:cs="Arial"/>
            <w:color w:val="000000" w:themeColor="text1"/>
            <w:sz w:val="22"/>
            <w:szCs w:val="22"/>
            <w:u w:val="single"/>
          </w:rPr>
          <w:t>https://doi.org/10.1093/emboj/19.22.6150</w:t>
        </w:r>
      </w:hyperlink>
    </w:p>
    <w:p w14:paraId="567E484F"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Jiwan, D., Roalson, E. H., Main, D., &amp; Dhingra, A. (2013). Antisense expression of peach mildew resistance locus O (PpMlo1) gene confers cross-species resistance to powdery mildew in </w:t>
      </w:r>
      <w:r w:rsidRPr="001B1244">
        <w:rPr>
          <w:rFonts w:ascii="Arial" w:hAnsi="Arial" w:cs="Arial"/>
          <w:i/>
          <w:iCs/>
          <w:color w:val="000000" w:themeColor="text1"/>
          <w:sz w:val="22"/>
          <w:szCs w:val="22"/>
        </w:rPr>
        <w:t>Fragaria</w:t>
      </w:r>
      <w:r w:rsidRPr="001B1244">
        <w:rPr>
          <w:rFonts w:ascii="Arial" w:hAnsi="Arial" w:cs="Arial"/>
          <w:color w:val="000000" w:themeColor="text1"/>
          <w:sz w:val="22"/>
          <w:szCs w:val="22"/>
        </w:rPr>
        <w:t xml:space="preserve"> x </w:t>
      </w:r>
      <w:r w:rsidRPr="001B1244">
        <w:rPr>
          <w:rFonts w:ascii="Arial" w:hAnsi="Arial" w:cs="Arial"/>
          <w:i/>
          <w:iCs/>
          <w:color w:val="000000" w:themeColor="text1"/>
          <w:sz w:val="22"/>
          <w:szCs w:val="22"/>
        </w:rPr>
        <w:t>ananassa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Transgenic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22</w:t>
      </w:r>
      <w:r w:rsidRPr="001B1244">
        <w:rPr>
          <w:rFonts w:ascii="Arial" w:hAnsi="Arial" w:cs="Arial"/>
          <w:color w:val="000000" w:themeColor="text1"/>
          <w:sz w:val="22"/>
          <w:szCs w:val="22"/>
        </w:rPr>
        <w:t xml:space="preserve">(6), 1119–1131. </w:t>
      </w:r>
      <w:hyperlink r:id="rId109" w:history="1">
        <w:r w:rsidRPr="001B1244">
          <w:rPr>
            <w:rFonts w:ascii="Arial" w:hAnsi="Arial" w:cs="Arial"/>
            <w:color w:val="000000" w:themeColor="text1"/>
            <w:sz w:val="22"/>
            <w:szCs w:val="22"/>
            <w:u w:val="single"/>
          </w:rPr>
          <w:t>https://doi.org/10.1007/s11248-013-9715-6</w:t>
        </w:r>
      </w:hyperlink>
    </w:p>
    <w:p w14:paraId="45A8EFB1"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Johnson, R. (1981). Durable resistance: definition of, genetic control, and attainment in plant breeding.</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Phytopathology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71</w:t>
      </w:r>
      <w:r w:rsidRPr="001B1244">
        <w:rPr>
          <w:rFonts w:ascii="Arial" w:hAnsi="Arial" w:cs="Arial"/>
          <w:color w:val="000000" w:themeColor="text1"/>
          <w:sz w:val="22"/>
          <w:szCs w:val="22"/>
          <w:shd w:val="clear" w:color="auto" w:fill="FFFFFF"/>
        </w:rPr>
        <w:t xml:space="preserve">(6), 567-568. </w:t>
      </w:r>
    </w:p>
    <w:p w14:paraId="7D002FD7"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Johnson, M. P., Hartman, J. R., McNiel, R. E., &amp; Fountain, W. M. (2001). Evaluation of Dogwood and Birch Species and Cultivars for Resistance to Key Insect Pests and Diseases. </w:t>
      </w:r>
      <w:r w:rsidRPr="001B1244">
        <w:rPr>
          <w:rFonts w:ascii="Arial" w:hAnsi="Arial" w:cs="Arial"/>
          <w:i/>
          <w:color w:val="000000" w:themeColor="text1"/>
          <w:sz w:val="22"/>
          <w:szCs w:val="22"/>
        </w:rPr>
        <w:t>Journal of Environmental Horticulture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19</w:t>
      </w:r>
      <w:r w:rsidRPr="001B1244">
        <w:rPr>
          <w:rFonts w:ascii="Arial" w:hAnsi="Arial" w:cs="Arial"/>
          <w:color w:val="000000" w:themeColor="text1"/>
          <w:sz w:val="22"/>
          <w:szCs w:val="22"/>
        </w:rPr>
        <w:t xml:space="preserve">(2), 73–78. </w:t>
      </w:r>
      <w:hyperlink r:id="rId110" w:history="1">
        <w:r w:rsidRPr="001B1244">
          <w:rPr>
            <w:rFonts w:ascii="Arial" w:hAnsi="Arial" w:cs="Arial"/>
            <w:color w:val="000000" w:themeColor="text1"/>
            <w:sz w:val="22"/>
            <w:szCs w:val="22"/>
            <w:u w:val="single"/>
          </w:rPr>
          <w:t>https://doi.org/10.24266/0738-2898-19.2.73</w:t>
        </w:r>
      </w:hyperlink>
    </w:p>
    <w:p w14:paraId="0B38437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Jones, J. D. G., &amp; Dangl, J. L. (2006). The plant immune system. </w:t>
      </w:r>
      <w:r w:rsidRPr="001B1244">
        <w:rPr>
          <w:rFonts w:ascii="Arial" w:hAnsi="Arial" w:cs="Arial"/>
          <w:i/>
          <w:color w:val="000000" w:themeColor="text1"/>
          <w:sz w:val="22"/>
          <w:szCs w:val="22"/>
        </w:rPr>
        <w:t>Nature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444</w:t>
      </w:r>
      <w:r w:rsidRPr="001B1244">
        <w:rPr>
          <w:rFonts w:ascii="Arial" w:hAnsi="Arial" w:cs="Arial"/>
          <w:color w:val="000000" w:themeColor="text1"/>
          <w:sz w:val="22"/>
          <w:szCs w:val="22"/>
        </w:rPr>
        <w:t xml:space="preserve">(7117), 323–329. </w:t>
      </w:r>
      <w:hyperlink r:id="rId111" w:history="1">
        <w:r w:rsidRPr="001B1244">
          <w:rPr>
            <w:rFonts w:ascii="Arial" w:hAnsi="Arial" w:cs="Arial"/>
            <w:color w:val="000000" w:themeColor="text1"/>
            <w:sz w:val="22"/>
            <w:szCs w:val="22"/>
            <w:u w:val="single"/>
          </w:rPr>
          <w:t>https://doi.org/10.1038/nature05286</w:t>
        </w:r>
      </w:hyperlink>
    </w:p>
    <w:p w14:paraId="270B1BD4" w14:textId="1125B39C" w:rsidR="00BC73F1" w:rsidRPr="001B1244" w:rsidRDefault="00BC73F1" w:rsidP="00CA01FD">
      <w:pPr>
        <w:spacing w:line="360" w:lineRule="auto"/>
        <w:ind w:left="480" w:hanging="480"/>
        <w:rPr>
          <w:rFonts w:ascii="Arial" w:hAnsi="Arial" w:cs="Arial"/>
          <w:b/>
          <w:bCs/>
          <w:color w:val="000000" w:themeColor="text1"/>
          <w:sz w:val="22"/>
          <w:szCs w:val="22"/>
        </w:rPr>
      </w:pPr>
      <w:r w:rsidRPr="001B1244">
        <w:rPr>
          <w:rFonts w:ascii="Arial" w:hAnsi="Arial" w:cs="Arial"/>
          <w:color w:val="222222"/>
          <w:sz w:val="22"/>
          <w:szCs w:val="22"/>
          <w:shd w:val="clear" w:color="auto" w:fill="FFFFFF"/>
        </w:rPr>
        <w:t>Jones, P., Binns, D., Chang, H. Y., Fraser, M., Li, W., McAnulla, C</w:t>
      </w:r>
      <w:proofErr w:type="gramStart"/>
      <w:r w:rsidRPr="001B1244">
        <w:rPr>
          <w:rFonts w:ascii="Arial" w:hAnsi="Arial" w:cs="Arial"/>
          <w:color w:val="222222"/>
          <w:sz w:val="22"/>
          <w:szCs w:val="22"/>
          <w:shd w:val="clear" w:color="auto" w:fill="FFFFFF"/>
        </w:rPr>
        <w:t>., ...</w:t>
      </w:r>
      <w:proofErr w:type="gramEnd"/>
      <w:r w:rsidRPr="001B1244">
        <w:rPr>
          <w:rFonts w:ascii="Arial" w:hAnsi="Arial" w:cs="Arial"/>
          <w:color w:val="222222"/>
          <w:sz w:val="22"/>
          <w:szCs w:val="22"/>
          <w:shd w:val="clear" w:color="auto" w:fill="FFFFFF"/>
        </w:rPr>
        <w:t xml:space="preserve"> &amp; Hunter, S. (2014). InterProScan 5: genome-scale protein function classification.</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Bioinformatics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30</w:t>
      </w:r>
      <w:r w:rsidRPr="001B1244">
        <w:rPr>
          <w:rFonts w:ascii="Arial" w:hAnsi="Arial" w:cs="Arial"/>
          <w:color w:val="222222"/>
          <w:sz w:val="22"/>
          <w:szCs w:val="22"/>
          <w:shd w:val="clear" w:color="auto" w:fill="FFFFFF"/>
        </w:rPr>
        <w:t>(9), 1236-1240.</w:t>
      </w:r>
    </w:p>
    <w:p w14:paraId="0880151B" w14:textId="0DC3AE87" w:rsidR="00B51BF9" w:rsidRPr="001B1244" w:rsidRDefault="00B51BF9" w:rsidP="00CA01FD">
      <w:pPr>
        <w:spacing w:line="360" w:lineRule="auto"/>
        <w:ind w:left="480" w:hanging="480"/>
        <w:rPr>
          <w:rFonts w:ascii="Arial" w:hAnsi="Arial" w:cs="Arial"/>
          <w:iCs/>
          <w:color w:val="000000" w:themeColor="text1"/>
          <w:sz w:val="22"/>
          <w:szCs w:val="22"/>
        </w:rPr>
      </w:pPr>
      <w:r w:rsidRPr="001B1244">
        <w:rPr>
          <w:rFonts w:ascii="Arial" w:hAnsi="Arial" w:cs="Arial"/>
          <w:color w:val="000000" w:themeColor="text1"/>
          <w:sz w:val="22"/>
          <w:szCs w:val="22"/>
        </w:rPr>
        <w:t xml:space="preserve">Jorgensen, J. H. (1992). </w:t>
      </w:r>
      <w:r w:rsidRPr="001B1244">
        <w:rPr>
          <w:rFonts w:ascii="Arial" w:hAnsi="Arial" w:cs="Arial"/>
          <w:i/>
          <w:color w:val="000000" w:themeColor="text1"/>
          <w:sz w:val="22"/>
          <w:szCs w:val="22"/>
        </w:rPr>
        <w:t>Discovery, characterization and exploitation of Mlo powdery mildew resistance in barley</w:t>
      </w:r>
      <w:r w:rsidRPr="001B1244">
        <w:rPr>
          <w:rFonts w:ascii="Arial" w:hAnsi="Arial" w:cs="Arial"/>
          <w:iCs/>
          <w:color w:val="000000" w:themeColor="text1"/>
          <w:sz w:val="22"/>
          <w:szCs w:val="22"/>
        </w:rPr>
        <w:t xml:space="preserve">. </w:t>
      </w:r>
    </w:p>
    <w:p w14:paraId="34B65220"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Jun, J. H., Liu, C., Xiao, X., &amp; Dixon, R. A. (2015). The Transcriptional Repressor MYB2 Regulates Both Spatial and Temporal Patterns of Proanthocyandin and Anthocyanin Pigmentation in </w:t>
      </w:r>
      <w:r w:rsidRPr="001B1244">
        <w:rPr>
          <w:rFonts w:ascii="Arial" w:hAnsi="Arial" w:cs="Arial"/>
          <w:i/>
          <w:color w:val="000000" w:themeColor="text1"/>
          <w:sz w:val="22"/>
          <w:szCs w:val="22"/>
        </w:rPr>
        <w:t>Medicago truncatula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The Plant Cell</w:t>
      </w:r>
      <w:r w:rsidRPr="001B1244">
        <w:rPr>
          <w:rFonts w:ascii="Arial" w:hAnsi="Arial" w:cs="Arial"/>
          <w:color w:val="000000" w:themeColor="text1"/>
          <w:sz w:val="22"/>
          <w:szCs w:val="22"/>
        </w:rPr>
        <w:t xml:space="preserve">, tpc.15.00476. </w:t>
      </w:r>
      <w:hyperlink r:id="rId112" w:history="1">
        <w:r w:rsidRPr="001B1244">
          <w:rPr>
            <w:rFonts w:ascii="Arial" w:hAnsi="Arial" w:cs="Arial"/>
            <w:color w:val="000000" w:themeColor="text1"/>
            <w:sz w:val="22"/>
            <w:szCs w:val="22"/>
            <w:u w:val="single"/>
          </w:rPr>
          <w:t>https://doi.org/10.1105/tpc.15.00476</w:t>
        </w:r>
      </w:hyperlink>
    </w:p>
    <w:p w14:paraId="51795AA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Kagale, S., &amp; Rozwadowski, K. (2011). EAR motif-mediated transcriptional repression in plants: An underlying mechanism for epigenetic regulation of gene expression. </w:t>
      </w:r>
      <w:r w:rsidRPr="001B1244">
        <w:rPr>
          <w:rFonts w:ascii="Arial" w:hAnsi="Arial" w:cs="Arial"/>
          <w:i/>
          <w:color w:val="000000" w:themeColor="text1"/>
          <w:sz w:val="22"/>
          <w:szCs w:val="22"/>
        </w:rPr>
        <w:t>Epigenetics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6</w:t>
      </w:r>
      <w:r w:rsidRPr="001B1244">
        <w:rPr>
          <w:rFonts w:ascii="Arial" w:hAnsi="Arial" w:cs="Arial"/>
          <w:color w:val="000000" w:themeColor="text1"/>
          <w:sz w:val="22"/>
          <w:szCs w:val="22"/>
        </w:rPr>
        <w:t xml:space="preserve">(2), 141–146. </w:t>
      </w:r>
      <w:hyperlink r:id="rId113" w:history="1">
        <w:r w:rsidRPr="001B1244">
          <w:rPr>
            <w:rFonts w:ascii="Arial" w:hAnsi="Arial" w:cs="Arial"/>
            <w:color w:val="000000" w:themeColor="text1"/>
            <w:sz w:val="22"/>
            <w:szCs w:val="22"/>
            <w:u w:val="single"/>
          </w:rPr>
          <w:t>https://doi.org/10.4161/epi.6.2.13627</w:t>
        </w:r>
      </w:hyperlink>
    </w:p>
    <w:p w14:paraId="3796DDD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Kalia, R. K., Rai, M. K., Kalia, S., Singh, R., &amp; Dhawan, A. K. (2011). Microsatellite markers: An overview of the recent progress in plants. </w:t>
      </w:r>
      <w:r w:rsidRPr="001B1244">
        <w:rPr>
          <w:rFonts w:ascii="Arial" w:hAnsi="Arial" w:cs="Arial"/>
          <w:i/>
          <w:color w:val="000000" w:themeColor="text1"/>
          <w:sz w:val="22"/>
          <w:szCs w:val="22"/>
        </w:rPr>
        <w:t>Euphytica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177</w:t>
      </w:r>
      <w:r w:rsidRPr="001B1244">
        <w:rPr>
          <w:rFonts w:ascii="Arial" w:hAnsi="Arial" w:cs="Arial"/>
          <w:color w:val="000000" w:themeColor="text1"/>
          <w:sz w:val="22"/>
          <w:szCs w:val="22"/>
        </w:rPr>
        <w:t xml:space="preserve">(3), 309–334. </w:t>
      </w:r>
      <w:hyperlink r:id="rId114" w:history="1">
        <w:r w:rsidRPr="001B1244">
          <w:rPr>
            <w:rFonts w:ascii="Arial" w:hAnsi="Arial" w:cs="Arial"/>
            <w:color w:val="000000" w:themeColor="text1"/>
            <w:sz w:val="22"/>
            <w:szCs w:val="22"/>
            <w:u w:val="single"/>
          </w:rPr>
          <w:t>https://doi.org/10.1007/s10681-010-0286-9</w:t>
        </w:r>
      </w:hyperlink>
    </w:p>
    <w:p w14:paraId="31C9EEB4"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lastRenderedPageBreak/>
        <w:t xml:space="preserve">Kanehisa, M., &amp; Goto, S. (2000). KEGG: </w:t>
      </w:r>
      <w:proofErr w:type="gramStart"/>
      <w:r w:rsidRPr="001B1244">
        <w:rPr>
          <w:rFonts w:ascii="Arial" w:hAnsi="Arial" w:cs="Arial"/>
          <w:color w:val="000000" w:themeColor="text1"/>
          <w:sz w:val="22"/>
          <w:szCs w:val="22"/>
          <w:shd w:val="clear" w:color="auto" w:fill="FFFFFF"/>
        </w:rPr>
        <w:t>kyoto</w:t>
      </w:r>
      <w:proofErr w:type="gramEnd"/>
      <w:r w:rsidRPr="001B1244">
        <w:rPr>
          <w:rFonts w:ascii="Arial" w:hAnsi="Arial" w:cs="Arial"/>
          <w:color w:val="000000" w:themeColor="text1"/>
          <w:sz w:val="22"/>
          <w:szCs w:val="22"/>
          <w:shd w:val="clear" w:color="auto" w:fill="FFFFFF"/>
        </w:rPr>
        <w:t xml:space="preserve"> encyclopedia of genes and genomes.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Nucleic acids research</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28</w:t>
      </w:r>
      <w:r w:rsidRPr="001B1244">
        <w:rPr>
          <w:rFonts w:ascii="Arial" w:hAnsi="Arial" w:cs="Arial"/>
          <w:color w:val="000000" w:themeColor="text1"/>
          <w:sz w:val="22"/>
          <w:szCs w:val="22"/>
          <w:shd w:val="clear" w:color="auto" w:fill="FFFFFF"/>
        </w:rPr>
        <w:t>(1), 27-30.</w:t>
      </w:r>
    </w:p>
    <w:p w14:paraId="2AD7488F"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Kaufmann, H., Qiu, X., Wehmeyer, J., &amp; Debener, T. (2012). Isolation, Molecular Characterization, and Mapping of Four Rose MLO Orthologs. </w:t>
      </w:r>
      <w:r w:rsidRPr="001B1244">
        <w:rPr>
          <w:rFonts w:ascii="Arial" w:hAnsi="Arial" w:cs="Arial"/>
          <w:i/>
          <w:iCs/>
          <w:color w:val="000000" w:themeColor="text1"/>
          <w:sz w:val="22"/>
          <w:szCs w:val="22"/>
        </w:rPr>
        <w:t>Frontiers in Plant Science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3</w:t>
      </w:r>
      <w:r w:rsidRPr="001B1244">
        <w:rPr>
          <w:rFonts w:ascii="Arial" w:hAnsi="Arial" w:cs="Arial"/>
          <w:color w:val="000000" w:themeColor="text1"/>
          <w:sz w:val="22"/>
          <w:szCs w:val="22"/>
        </w:rPr>
        <w:t xml:space="preserve">. </w:t>
      </w:r>
      <w:hyperlink r:id="rId115" w:history="1">
        <w:r w:rsidRPr="001B1244">
          <w:rPr>
            <w:rFonts w:ascii="Arial" w:hAnsi="Arial" w:cs="Arial"/>
            <w:color w:val="000000" w:themeColor="text1"/>
            <w:sz w:val="22"/>
            <w:szCs w:val="22"/>
            <w:u w:val="single"/>
          </w:rPr>
          <w:t>https://doi.org/10.3389/fpls.2012.00244</w:t>
        </w:r>
      </w:hyperlink>
    </w:p>
    <w:p w14:paraId="20074F46"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Kaveriappa, K. M., Phillips, L. M., &amp; Trigiano, R. N. (1997). Micropropagation of flowering dogwood (</w:t>
      </w:r>
      <w:r w:rsidRPr="001B1244">
        <w:rPr>
          <w:rFonts w:ascii="Arial" w:hAnsi="Arial" w:cs="Arial"/>
          <w:i/>
          <w:iCs/>
          <w:color w:val="000000" w:themeColor="text1"/>
          <w:sz w:val="22"/>
          <w:szCs w:val="22"/>
          <w:shd w:val="clear" w:color="auto" w:fill="FFFFFF"/>
        </w:rPr>
        <w:t xml:space="preserve">Cornus </w:t>
      </w:r>
      <w:proofErr w:type="gramStart"/>
      <w:r w:rsidRPr="001B1244">
        <w:rPr>
          <w:rFonts w:ascii="Arial" w:hAnsi="Arial" w:cs="Arial"/>
          <w:i/>
          <w:iCs/>
          <w:color w:val="000000" w:themeColor="text1"/>
          <w:sz w:val="22"/>
          <w:szCs w:val="22"/>
          <w:shd w:val="clear" w:color="auto" w:fill="FFFFFF"/>
        </w:rPr>
        <w:t>florida</w:t>
      </w:r>
      <w:proofErr w:type="gramEnd"/>
      <w:r w:rsidRPr="001B1244">
        <w:rPr>
          <w:rFonts w:ascii="Arial" w:hAnsi="Arial" w:cs="Arial"/>
          <w:color w:val="000000" w:themeColor="text1"/>
          <w:sz w:val="22"/>
          <w:szCs w:val="22"/>
          <w:shd w:val="clear" w:color="auto" w:fill="FFFFFF"/>
        </w:rPr>
        <w:t>) from seedlings.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Plant Cell Reports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16</w:t>
      </w:r>
      <w:r w:rsidRPr="001B1244">
        <w:rPr>
          <w:rFonts w:ascii="Arial" w:hAnsi="Arial" w:cs="Arial"/>
          <w:color w:val="000000" w:themeColor="text1"/>
          <w:sz w:val="22"/>
          <w:szCs w:val="22"/>
          <w:shd w:val="clear" w:color="auto" w:fill="FFFFFF"/>
        </w:rPr>
        <w:t xml:space="preserve">(7), 485-489. </w:t>
      </w:r>
    </w:p>
    <w:p w14:paraId="5378E22E"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Khan, M. I., Shin, J. H., Shin, T. S., Kim, M. Y., Cho, N. J., &amp; Kim, J. D. (2018). Anthocyanins from </w:t>
      </w:r>
      <w:r w:rsidRPr="001B1244">
        <w:rPr>
          <w:rFonts w:ascii="Arial" w:hAnsi="Arial" w:cs="Arial"/>
          <w:i/>
          <w:iCs/>
          <w:color w:val="000000" w:themeColor="text1"/>
          <w:sz w:val="22"/>
          <w:szCs w:val="22"/>
          <w:shd w:val="clear" w:color="auto" w:fill="FFFFFF"/>
        </w:rPr>
        <w:t>Cornus kousa</w:t>
      </w:r>
      <w:r w:rsidRPr="001B1244">
        <w:rPr>
          <w:rFonts w:ascii="Arial" w:hAnsi="Arial" w:cs="Arial"/>
          <w:color w:val="000000" w:themeColor="text1"/>
          <w:sz w:val="22"/>
          <w:szCs w:val="22"/>
          <w:shd w:val="clear" w:color="auto" w:fill="FFFFFF"/>
        </w:rPr>
        <w:t xml:space="preserve"> ethanolic extract attenuate obesity in association with anti-angiogenic activities in 3T3-L1 cells by down-regulating adipogeneses and lipogenesis.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PLoS One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13</w:t>
      </w:r>
      <w:r w:rsidRPr="001B1244">
        <w:rPr>
          <w:rFonts w:ascii="Arial" w:hAnsi="Arial" w:cs="Arial"/>
          <w:color w:val="000000" w:themeColor="text1"/>
          <w:sz w:val="22"/>
          <w:szCs w:val="22"/>
          <w:shd w:val="clear" w:color="auto" w:fill="FFFFFF"/>
        </w:rPr>
        <w:t xml:space="preserve">(12), e0208556. </w:t>
      </w:r>
    </w:p>
    <w:p w14:paraId="5F89EFED"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Kim, C., Guo, H., Kong, W., Chandnani, R., Shuang, L.-S., &amp; Paterson, A. H. (2016). Application of genotyping by sequencing technology to a variety of crop breeding programs. </w:t>
      </w:r>
      <w:r w:rsidRPr="001B1244">
        <w:rPr>
          <w:rFonts w:ascii="Arial" w:hAnsi="Arial" w:cs="Arial"/>
          <w:i/>
          <w:color w:val="000000" w:themeColor="text1"/>
          <w:sz w:val="22"/>
          <w:szCs w:val="22"/>
        </w:rPr>
        <w:t>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242</w:t>
      </w:r>
      <w:r w:rsidRPr="001B1244">
        <w:rPr>
          <w:rFonts w:ascii="Arial" w:hAnsi="Arial" w:cs="Arial"/>
          <w:color w:val="000000" w:themeColor="text1"/>
          <w:sz w:val="22"/>
          <w:szCs w:val="22"/>
        </w:rPr>
        <w:t xml:space="preserve">, 14–22. </w:t>
      </w:r>
      <w:hyperlink r:id="rId116" w:history="1">
        <w:r w:rsidRPr="001B1244">
          <w:rPr>
            <w:rFonts w:ascii="Arial" w:hAnsi="Arial" w:cs="Arial"/>
            <w:color w:val="000000" w:themeColor="text1"/>
            <w:sz w:val="22"/>
            <w:szCs w:val="22"/>
            <w:u w:val="single"/>
          </w:rPr>
          <w:t>https://doi.org/10.1016/j.plantsci.2015.04.016</w:t>
        </w:r>
      </w:hyperlink>
    </w:p>
    <w:p w14:paraId="49C6428B"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Kiss, L., Jankovics, T., Kovács, G. M., &amp; Daughtrey, M. L. (2008). </w:t>
      </w:r>
      <w:r w:rsidRPr="001B1244">
        <w:rPr>
          <w:rFonts w:ascii="Arial" w:hAnsi="Arial" w:cs="Arial"/>
          <w:i/>
          <w:iCs/>
          <w:color w:val="000000" w:themeColor="text1"/>
          <w:sz w:val="22"/>
          <w:szCs w:val="22"/>
          <w:shd w:val="clear" w:color="auto" w:fill="FFFFFF"/>
        </w:rPr>
        <w:t>Oidium longipes</w:t>
      </w:r>
      <w:r w:rsidRPr="001B1244">
        <w:rPr>
          <w:rFonts w:ascii="Arial" w:hAnsi="Arial" w:cs="Arial"/>
          <w:color w:val="000000" w:themeColor="text1"/>
          <w:sz w:val="22"/>
          <w:szCs w:val="22"/>
          <w:shd w:val="clear" w:color="auto" w:fill="FFFFFF"/>
        </w:rPr>
        <w:t>, a new powdery mildew fungus on petunia in the USA: A potential threat to ornamental and vegetable solanaceous crops.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Plant Disease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92</w:t>
      </w:r>
      <w:r w:rsidRPr="001B1244">
        <w:rPr>
          <w:rFonts w:ascii="Arial" w:hAnsi="Arial" w:cs="Arial"/>
          <w:color w:val="000000" w:themeColor="text1"/>
          <w:sz w:val="22"/>
          <w:szCs w:val="22"/>
          <w:shd w:val="clear" w:color="auto" w:fill="FFFFFF"/>
        </w:rPr>
        <w:t xml:space="preserve">(5), 818-825. </w:t>
      </w:r>
    </w:p>
    <w:p w14:paraId="55F3BA77"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Kloos, W. E., George, C. G., &amp; Sorge, L. K. (2005). Inheritance of Powdery Mildew Resistance and Leaf Macrohair Density in </w:t>
      </w:r>
      <w:r w:rsidRPr="001B1244">
        <w:rPr>
          <w:rFonts w:ascii="Arial" w:hAnsi="Arial" w:cs="Arial"/>
          <w:i/>
          <w:iCs/>
          <w:color w:val="000000" w:themeColor="text1"/>
          <w:sz w:val="22"/>
          <w:szCs w:val="22"/>
        </w:rPr>
        <w:t>Gerbera hybrida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HortScience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40</w:t>
      </w:r>
      <w:r w:rsidRPr="001B1244">
        <w:rPr>
          <w:rFonts w:ascii="Arial" w:hAnsi="Arial" w:cs="Arial"/>
          <w:color w:val="000000" w:themeColor="text1"/>
          <w:sz w:val="22"/>
          <w:szCs w:val="22"/>
        </w:rPr>
        <w:t xml:space="preserve">(5), 1246–1251. </w:t>
      </w:r>
      <w:hyperlink r:id="rId117" w:history="1">
        <w:r w:rsidRPr="001B1244">
          <w:rPr>
            <w:rFonts w:ascii="Arial" w:hAnsi="Arial" w:cs="Arial"/>
            <w:color w:val="000000" w:themeColor="text1"/>
            <w:sz w:val="22"/>
            <w:szCs w:val="22"/>
            <w:u w:val="single"/>
          </w:rPr>
          <w:t>https://doi.org/10.21273/HORTSCI.40.5.1246</w:t>
        </w:r>
      </w:hyperlink>
    </w:p>
    <w:p w14:paraId="02455D9F"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Klempnauer, K. H., Gonda, T. J., &amp; Bishop, J. M. (1982). Nucleotide sequence of the retroviral leukemia gene v-myb and its cellular progenitor c-myb: the architecture of a transduced oncogene.</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Cell</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31</w:t>
      </w:r>
      <w:r w:rsidRPr="001B1244">
        <w:rPr>
          <w:rFonts w:ascii="Arial" w:hAnsi="Arial" w:cs="Arial"/>
          <w:color w:val="000000" w:themeColor="text1"/>
          <w:sz w:val="22"/>
          <w:szCs w:val="22"/>
          <w:shd w:val="clear" w:color="auto" w:fill="FFFFFF"/>
        </w:rPr>
        <w:t xml:space="preserve">(2), 453-463. </w:t>
      </w:r>
    </w:p>
    <w:p w14:paraId="3A254FF0"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Kodama, M., Brinch-Pedersen, H., Sharma, S., Holme, I. B., Joernsgaard, B., Dzhanfezova, T., Amby, D. B., Vieira, F. G., Liu, S., &amp; Gilbert, M. T. P. (2018). Identification of transcription factor genes involved in anthocyanin biosynthesis in carrot (</w:t>
      </w:r>
      <w:r w:rsidRPr="001B1244">
        <w:rPr>
          <w:rFonts w:ascii="Arial" w:hAnsi="Arial" w:cs="Arial"/>
          <w:i/>
          <w:iCs/>
          <w:color w:val="000000" w:themeColor="text1"/>
          <w:sz w:val="22"/>
          <w:szCs w:val="22"/>
        </w:rPr>
        <w:t>Daucus carota</w:t>
      </w:r>
      <w:r w:rsidRPr="001B1244">
        <w:rPr>
          <w:rFonts w:ascii="Arial" w:hAnsi="Arial" w:cs="Arial"/>
          <w:color w:val="000000" w:themeColor="text1"/>
          <w:sz w:val="22"/>
          <w:szCs w:val="22"/>
        </w:rPr>
        <w:t xml:space="preserve"> L.) using RNA-Seq. </w:t>
      </w:r>
      <w:r w:rsidRPr="001B1244">
        <w:rPr>
          <w:rFonts w:ascii="Arial" w:hAnsi="Arial" w:cs="Arial"/>
          <w:i/>
          <w:iCs/>
          <w:color w:val="000000" w:themeColor="text1"/>
          <w:sz w:val="22"/>
          <w:szCs w:val="22"/>
        </w:rPr>
        <w:t>BMC Genomics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19</w:t>
      </w:r>
      <w:r w:rsidRPr="001B1244">
        <w:rPr>
          <w:rFonts w:ascii="Arial" w:hAnsi="Arial" w:cs="Arial"/>
          <w:color w:val="000000" w:themeColor="text1"/>
          <w:sz w:val="22"/>
          <w:szCs w:val="22"/>
        </w:rPr>
        <w:t xml:space="preserve">(1), 811. </w:t>
      </w:r>
      <w:hyperlink r:id="rId118" w:history="1">
        <w:r w:rsidRPr="001B1244">
          <w:rPr>
            <w:rFonts w:ascii="Arial" w:hAnsi="Arial" w:cs="Arial"/>
            <w:color w:val="000000" w:themeColor="text1"/>
            <w:sz w:val="22"/>
            <w:szCs w:val="22"/>
            <w:u w:val="single"/>
          </w:rPr>
          <w:t>https://doi.org/10.1186/s12864-018-5135-6</w:t>
        </w:r>
      </w:hyperlink>
    </w:p>
    <w:p w14:paraId="4478865A"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Kou, Y., &amp; Wang, S. (2010). Broad-spectrum and durability: Understanding of quantitative disease resistance. </w:t>
      </w:r>
      <w:r w:rsidRPr="001B1244">
        <w:rPr>
          <w:rFonts w:ascii="Arial" w:hAnsi="Arial" w:cs="Arial"/>
          <w:i/>
          <w:iCs/>
          <w:color w:val="000000" w:themeColor="text1"/>
          <w:sz w:val="22"/>
          <w:szCs w:val="22"/>
        </w:rPr>
        <w:t>Current Opinion in Plant Biology</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13</w:t>
      </w:r>
      <w:r w:rsidRPr="001B1244">
        <w:rPr>
          <w:rFonts w:ascii="Arial" w:hAnsi="Arial" w:cs="Arial"/>
          <w:color w:val="000000" w:themeColor="text1"/>
          <w:sz w:val="22"/>
          <w:szCs w:val="22"/>
        </w:rPr>
        <w:t xml:space="preserve">(2), 181–185. </w:t>
      </w:r>
      <w:hyperlink r:id="rId119" w:history="1">
        <w:r w:rsidRPr="001B1244">
          <w:rPr>
            <w:rFonts w:ascii="Arial" w:hAnsi="Arial" w:cs="Arial"/>
            <w:color w:val="000000" w:themeColor="text1"/>
            <w:sz w:val="22"/>
            <w:szCs w:val="22"/>
            <w:u w:val="single"/>
          </w:rPr>
          <w:t>https://doi.org/10.1016/j.pbi.2009.12.010</w:t>
        </w:r>
      </w:hyperlink>
    </w:p>
    <w:p w14:paraId="5EC70535" w14:textId="1FD78388"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Kranz, H., Scholz, K., &amp; Weisshaar, B. (2000). C-MYB oncogene-like genes encoding three MYB repeats occur in all major plant lineages.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21</w:t>
      </w:r>
      <w:r w:rsidRPr="001B1244">
        <w:rPr>
          <w:rFonts w:ascii="Arial" w:hAnsi="Arial" w:cs="Arial"/>
          <w:color w:val="000000" w:themeColor="text1"/>
          <w:sz w:val="22"/>
          <w:szCs w:val="22"/>
        </w:rPr>
        <w:t xml:space="preserve">(2), 231–235. </w:t>
      </w:r>
      <w:hyperlink r:id="rId120" w:history="1">
        <w:r w:rsidRPr="001B1244">
          <w:rPr>
            <w:rFonts w:ascii="Arial" w:hAnsi="Arial" w:cs="Arial"/>
            <w:color w:val="000000" w:themeColor="text1"/>
            <w:sz w:val="22"/>
            <w:szCs w:val="22"/>
            <w:u w:val="single"/>
          </w:rPr>
          <w:t>https://doi.org/10.1046/j.1365-313x.2000.00666.x</w:t>
        </w:r>
      </w:hyperlink>
    </w:p>
    <w:p w14:paraId="29DDACA2" w14:textId="42C6C640" w:rsidR="00847375" w:rsidRPr="001B1244" w:rsidRDefault="00847375" w:rsidP="00CA01FD">
      <w:pPr>
        <w:spacing w:line="360" w:lineRule="auto"/>
        <w:ind w:left="480" w:hanging="480"/>
        <w:rPr>
          <w:rFonts w:ascii="Arial" w:hAnsi="Arial" w:cs="Arial"/>
          <w:b/>
          <w:bCs/>
          <w:color w:val="000000" w:themeColor="text1"/>
          <w:sz w:val="22"/>
          <w:szCs w:val="22"/>
        </w:rPr>
      </w:pPr>
      <w:r w:rsidRPr="001B1244">
        <w:rPr>
          <w:rFonts w:ascii="Arial" w:hAnsi="Arial" w:cs="Arial"/>
          <w:color w:val="222222"/>
          <w:sz w:val="22"/>
          <w:szCs w:val="22"/>
          <w:shd w:val="clear" w:color="auto" w:fill="FFFFFF"/>
        </w:rPr>
        <w:lastRenderedPageBreak/>
        <w:t>Krenn, L., Steitz, M., Schlicht, C., Kurth, H., &amp; Gaedcke, F. (2007). Anthocyanin-and proanthocyanidin-rich extracts of berries in food supplements–analysis with problems.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Die Pharmazie-An International Journal of Pharmaceutical Sciences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62</w:t>
      </w:r>
      <w:r w:rsidRPr="001B1244">
        <w:rPr>
          <w:rFonts w:ascii="Arial" w:hAnsi="Arial" w:cs="Arial"/>
          <w:color w:val="222222"/>
          <w:sz w:val="22"/>
          <w:szCs w:val="22"/>
          <w:shd w:val="clear" w:color="auto" w:fill="FFFFFF"/>
        </w:rPr>
        <w:t>(11), 803-812.</w:t>
      </w:r>
    </w:p>
    <w:p w14:paraId="141FAC48"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Kumar, S., Stecher, G., &amp; Tamura, K. (2016). MEGA7: Molecular Evolutionary Genetics Analysis Version 7.0 for Bigger Datasets. </w:t>
      </w:r>
      <w:r w:rsidRPr="001B1244">
        <w:rPr>
          <w:rFonts w:ascii="Arial" w:hAnsi="Arial" w:cs="Arial"/>
          <w:i/>
          <w:color w:val="000000" w:themeColor="text1"/>
          <w:sz w:val="22"/>
          <w:szCs w:val="22"/>
        </w:rPr>
        <w:t>Molecular Biology and Evolution</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33</w:t>
      </w:r>
      <w:r w:rsidRPr="001B1244">
        <w:rPr>
          <w:rFonts w:ascii="Arial" w:hAnsi="Arial" w:cs="Arial"/>
          <w:color w:val="000000" w:themeColor="text1"/>
          <w:sz w:val="22"/>
          <w:szCs w:val="22"/>
        </w:rPr>
        <w:t xml:space="preserve">(7), 1870–1874. </w:t>
      </w:r>
      <w:hyperlink r:id="rId121" w:history="1">
        <w:r w:rsidRPr="001B1244">
          <w:rPr>
            <w:rFonts w:ascii="Arial" w:hAnsi="Arial" w:cs="Arial"/>
            <w:color w:val="000000" w:themeColor="text1"/>
            <w:sz w:val="22"/>
            <w:szCs w:val="22"/>
            <w:u w:val="single"/>
          </w:rPr>
          <w:t>https://doi.org/10.1093/molbev/msw054</w:t>
        </w:r>
      </w:hyperlink>
    </w:p>
    <w:p w14:paraId="1E20FA7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Kusch, S., &amp; Panstruga, R. (2017). </w:t>
      </w:r>
      <w:proofErr w:type="gramStart"/>
      <w:r w:rsidRPr="001B1244">
        <w:rPr>
          <w:rFonts w:ascii="Arial" w:hAnsi="Arial" w:cs="Arial"/>
          <w:i/>
          <w:color w:val="000000" w:themeColor="text1"/>
          <w:sz w:val="22"/>
          <w:szCs w:val="22"/>
        </w:rPr>
        <w:t>mlo</w:t>
      </w:r>
      <w:proofErr w:type="gramEnd"/>
      <w:r w:rsidRPr="001B1244">
        <w:rPr>
          <w:rFonts w:ascii="Arial" w:hAnsi="Arial" w:cs="Arial"/>
          <w:color w:val="000000" w:themeColor="text1"/>
          <w:sz w:val="22"/>
          <w:szCs w:val="22"/>
        </w:rPr>
        <w:t xml:space="preserve"> -Based Resistance: An Apparently Universal “Weapon” to Defeat Powdery Mildew Disease. </w:t>
      </w:r>
      <w:r w:rsidRPr="001B1244">
        <w:rPr>
          <w:rFonts w:ascii="Arial" w:hAnsi="Arial" w:cs="Arial"/>
          <w:i/>
          <w:color w:val="000000" w:themeColor="text1"/>
          <w:sz w:val="22"/>
          <w:szCs w:val="22"/>
        </w:rPr>
        <w:t>Molecular Plant-Microbe Interactions®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30</w:t>
      </w:r>
      <w:r w:rsidRPr="001B1244">
        <w:rPr>
          <w:rFonts w:ascii="Arial" w:hAnsi="Arial" w:cs="Arial"/>
          <w:color w:val="000000" w:themeColor="text1"/>
          <w:sz w:val="22"/>
          <w:szCs w:val="22"/>
        </w:rPr>
        <w:t xml:space="preserve">(3), 179–189. </w:t>
      </w:r>
      <w:hyperlink r:id="rId122" w:history="1">
        <w:r w:rsidRPr="001B1244">
          <w:rPr>
            <w:rFonts w:ascii="Arial" w:hAnsi="Arial" w:cs="Arial"/>
            <w:color w:val="000000" w:themeColor="text1"/>
            <w:sz w:val="22"/>
            <w:szCs w:val="22"/>
            <w:u w:val="single"/>
          </w:rPr>
          <w:t>https://doi.org/10.1094/MPMI-12-16-0255-CR</w:t>
        </w:r>
      </w:hyperlink>
    </w:p>
    <w:p w14:paraId="72352C19" w14:textId="25B5884B"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Kusch, S., Pesch, L., &amp; Panstruga, R. (2016). Comprehensive Phylogenetic Analysis Sheds Light on the Diversity and Origin of the MLO Family of Integral Membrane Proteins. </w:t>
      </w:r>
      <w:r w:rsidRPr="001B1244">
        <w:rPr>
          <w:rFonts w:ascii="Arial" w:hAnsi="Arial" w:cs="Arial"/>
          <w:i/>
          <w:color w:val="000000" w:themeColor="text1"/>
          <w:sz w:val="22"/>
          <w:szCs w:val="22"/>
        </w:rPr>
        <w:t>Genome Biology and Evolution</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w:t>
      </w:r>
      <w:r w:rsidRPr="001B1244">
        <w:rPr>
          <w:rFonts w:ascii="Arial" w:hAnsi="Arial" w:cs="Arial"/>
          <w:color w:val="000000" w:themeColor="text1"/>
          <w:sz w:val="22"/>
          <w:szCs w:val="22"/>
        </w:rPr>
        <w:t xml:space="preserve">(3), 878–895. </w:t>
      </w:r>
      <w:hyperlink r:id="rId123" w:history="1">
        <w:r w:rsidRPr="001B1244">
          <w:rPr>
            <w:rFonts w:ascii="Arial" w:hAnsi="Arial" w:cs="Arial"/>
            <w:color w:val="000000" w:themeColor="text1"/>
            <w:sz w:val="22"/>
            <w:szCs w:val="22"/>
            <w:u w:val="single"/>
          </w:rPr>
          <w:t>https://doi.org/10.1093/gbe/evw036</w:t>
        </w:r>
      </w:hyperlink>
    </w:p>
    <w:p w14:paraId="403A6FBA" w14:textId="7DF3BEC1" w:rsidR="00891242" w:rsidRPr="001B1244" w:rsidRDefault="00891242" w:rsidP="00CA01FD">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Kwaaitaal, M., Keinath, N. F., Pajonk, S., Biskup, C., &amp; Panstruga, R. (2010). Combined bimolecular fluorescence complementation and Förster resonance energy transfer reveals ternary SNARE complex formation in living plant cells.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Plant physiology</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152</w:t>
      </w:r>
      <w:r w:rsidRPr="001B1244">
        <w:rPr>
          <w:rFonts w:ascii="Arial" w:hAnsi="Arial" w:cs="Arial"/>
          <w:color w:val="222222"/>
          <w:sz w:val="22"/>
          <w:szCs w:val="22"/>
          <w:shd w:val="clear" w:color="auto" w:fill="FFFFFF"/>
        </w:rPr>
        <w:t>(3), 1135-1147.</w:t>
      </w:r>
    </w:p>
    <w:p w14:paraId="7CE9B3D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Langfelder, P., &amp; Horvath, S. (2008). WGCNA: An R package for weighted correlation network analysis. </w:t>
      </w:r>
      <w:r w:rsidRPr="001B1244">
        <w:rPr>
          <w:rFonts w:ascii="Arial" w:hAnsi="Arial" w:cs="Arial"/>
          <w:i/>
          <w:color w:val="000000" w:themeColor="text1"/>
          <w:sz w:val="22"/>
          <w:szCs w:val="22"/>
        </w:rPr>
        <w:t>BMC Bioinformatics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w:t>
      </w:r>
      <w:r w:rsidRPr="001B1244">
        <w:rPr>
          <w:rFonts w:ascii="Arial" w:hAnsi="Arial" w:cs="Arial"/>
          <w:color w:val="000000" w:themeColor="text1"/>
          <w:sz w:val="22"/>
          <w:szCs w:val="22"/>
        </w:rPr>
        <w:t xml:space="preserve">(1), 559. </w:t>
      </w:r>
      <w:hyperlink r:id="rId124" w:history="1">
        <w:r w:rsidRPr="001B1244">
          <w:rPr>
            <w:rFonts w:ascii="Arial" w:hAnsi="Arial" w:cs="Arial"/>
            <w:color w:val="000000" w:themeColor="text1"/>
            <w:sz w:val="22"/>
            <w:szCs w:val="22"/>
            <w:u w:val="single"/>
          </w:rPr>
          <w:t>https://doi.org/10.1186/1471-2105-9-559</w:t>
        </w:r>
      </w:hyperlink>
    </w:p>
    <w:p w14:paraId="2CA61DFF"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Lanteri, S., Acquadro, A., Comino, C., Mauro, R., Mauromicale, G., &amp; Portis, E. (2006). A first linkage map of globe artichoke (</w:t>
      </w:r>
      <w:r w:rsidRPr="001B1244">
        <w:rPr>
          <w:rFonts w:ascii="Arial" w:hAnsi="Arial" w:cs="Arial"/>
          <w:i/>
          <w:iCs/>
          <w:color w:val="000000" w:themeColor="text1"/>
          <w:sz w:val="22"/>
          <w:szCs w:val="22"/>
        </w:rPr>
        <w:t xml:space="preserve">Cynara cardunculus </w:t>
      </w:r>
      <w:r w:rsidRPr="001B1244">
        <w:rPr>
          <w:rFonts w:ascii="Arial" w:hAnsi="Arial" w:cs="Arial"/>
          <w:color w:val="000000" w:themeColor="text1"/>
          <w:sz w:val="22"/>
          <w:szCs w:val="22"/>
        </w:rPr>
        <w:t xml:space="preserve">var. </w:t>
      </w:r>
      <w:r w:rsidRPr="001B1244">
        <w:rPr>
          <w:rFonts w:ascii="Arial" w:hAnsi="Arial" w:cs="Arial"/>
          <w:i/>
          <w:iCs/>
          <w:color w:val="000000" w:themeColor="text1"/>
          <w:sz w:val="22"/>
          <w:szCs w:val="22"/>
        </w:rPr>
        <w:t xml:space="preserve">Scolymus </w:t>
      </w:r>
      <w:r w:rsidRPr="001B1244">
        <w:rPr>
          <w:rFonts w:ascii="Arial" w:hAnsi="Arial" w:cs="Arial"/>
          <w:color w:val="000000" w:themeColor="text1"/>
          <w:sz w:val="22"/>
          <w:szCs w:val="22"/>
        </w:rPr>
        <w:t xml:space="preserve">L.) based on AFLP, S-SAP, M-AFLP and microsatellite markers. </w:t>
      </w:r>
      <w:r w:rsidRPr="001B1244">
        <w:rPr>
          <w:rFonts w:ascii="Arial" w:hAnsi="Arial" w:cs="Arial"/>
          <w:i/>
          <w:iCs/>
          <w:color w:val="000000" w:themeColor="text1"/>
          <w:sz w:val="22"/>
          <w:szCs w:val="22"/>
        </w:rPr>
        <w:t>Theoretical and Applied Genetics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112</w:t>
      </w:r>
      <w:r w:rsidRPr="001B1244">
        <w:rPr>
          <w:rFonts w:ascii="Arial" w:hAnsi="Arial" w:cs="Arial"/>
          <w:color w:val="000000" w:themeColor="text1"/>
          <w:sz w:val="22"/>
          <w:szCs w:val="22"/>
        </w:rPr>
        <w:t xml:space="preserve">(8), 1532–1542. </w:t>
      </w:r>
      <w:hyperlink r:id="rId125" w:history="1">
        <w:r w:rsidRPr="001B1244">
          <w:rPr>
            <w:rFonts w:ascii="Arial" w:hAnsi="Arial" w:cs="Arial"/>
            <w:color w:val="000000" w:themeColor="text1"/>
            <w:sz w:val="22"/>
            <w:szCs w:val="22"/>
            <w:u w:val="single"/>
          </w:rPr>
          <w:t>https://doi.org/10.1007/s00122-006-0256-8</w:t>
        </w:r>
      </w:hyperlink>
    </w:p>
    <w:p w14:paraId="7BD98B16"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Latrille, T., Duret, L., &amp; Lartillot, N. (2017). The Red Queen model of recombination hot-spot evolution: a theoretical investigation.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Philosophical Transactions of the Royal Society B: Biological Sciences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372</w:t>
      </w:r>
      <w:r w:rsidRPr="001B1244">
        <w:rPr>
          <w:rFonts w:ascii="Arial" w:hAnsi="Arial" w:cs="Arial"/>
          <w:color w:val="000000" w:themeColor="text1"/>
          <w:sz w:val="22"/>
          <w:szCs w:val="22"/>
          <w:shd w:val="clear" w:color="auto" w:fill="FFFFFF"/>
        </w:rPr>
        <w:t xml:space="preserve">(1736), 20160463. </w:t>
      </w:r>
    </w:p>
    <w:p w14:paraId="63B9C7D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Lev-Yadun, S., &amp; Gould, K. S. (2008). Role of anthocyanins in plant defence. In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Anthocyanins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color w:val="000000" w:themeColor="text1"/>
          <w:sz w:val="22"/>
          <w:szCs w:val="22"/>
          <w:shd w:val="clear" w:color="auto" w:fill="FFFFFF"/>
        </w:rPr>
        <w:t xml:space="preserve">(pp. 22-28). Springer, New York, NY. </w:t>
      </w:r>
    </w:p>
    <w:p w14:paraId="6933B4CE"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Li, C., &amp; Lu, S. (2014). Genome-wide characterization and comparative analysis of R2R3-MYB transcription factors shows the complexity of MYB-associated regulatory networks in </w:t>
      </w:r>
      <w:r w:rsidRPr="001B1244">
        <w:rPr>
          <w:rFonts w:ascii="Arial" w:hAnsi="Arial" w:cs="Arial"/>
          <w:i/>
          <w:iCs/>
          <w:color w:val="000000" w:themeColor="text1"/>
          <w:sz w:val="22"/>
          <w:szCs w:val="22"/>
        </w:rPr>
        <w:t>Salvia miltiorrhiza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BMC Genomics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15</w:t>
      </w:r>
      <w:r w:rsidRPr="001B1244">
        <w:rPr>
          <w:rFonts w:ascii="Arial" w:hAnsi="Arial" w:cs="Arial"/>
          <w:color w:val="000000" w:themeColor="text1"/>
          <w:sz w:val="22"/>
          <w:szCs w:val="22"/>
        </w:rPr>
        <w:t xml:space="preserve">(1), 277. </w:t>
      </w:r>
      <w:hyperlink r:id="rId126" w:history="1">
        <w:r w:rsidRPr="001B1244">
          <w:rPr>
            <w:rFonts w:ascii="Arial" w:hAnsi="Arial" w:cs="Arial"/>
            <w:color w:val="000000" w:themeColor="text1"/>
            <w:sz w:val="22"/>
            <w:szCs w:val="22"/>
            <w:u w:val="single"/>
          </w:rPr>
          <w:t>https://doi.org/10.1186/1471-2164-15-277</w:t>
        </w:r>
      </w:hyperlink>
    </w:p>
    <w:p w14:paraId="7FAC23CA"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Li, L., Fang, Z., Zhou, J., Chen, H., Hu, Z., </w:t>
      </w:r>
      <w:proofErr w:type="gramStart"/>
      <w:r w:rsidRPr="001B1244">
        <w:rPr>
          <w:rFonts w:ascii="Arial" w:hAnsi="Arial" w:cs="Arial"/>
          <w:color w:val="000000" w:themeColor="text1"/>
          <w:sz w:val="22"/>
          <w:szCs w:val="22"/>
        </w:rPr>
        <w:t>Gao</w:t>
      </w:r>
      <w:proofErr w:type="gramEnd"/>
      <w:r w:rsidRPr="001B1244">
        <w:rPr>
          <w:rFonts w:ascii="Arial" w:hAnsi="Arial" w:cs="Arial"/>
          <w:color w:val="000000" w:themeColor="text1"/>
          <w:sz w:val="22"/>
          <w:szCs w:val="22"/>
        </w:rPr>
        <w:t xml:space="preserve">, L., Chen, L., Ren, S., Ma, H., Lu, L., Zhang, W., &amp; Peng, H. (2017). An accurate and efficient method for large-scale SSR genotyping and applications. </w:t>
      </w:r>
      <w:r w:rsidRPr="001B1244">
        <w:rPr>
          <w:rFonts w:ascii="Arial" w:hAnsi="Arial" w:cs="Arial"/>
          <w:i/>
          <w:color w:val="000000" w:themeColor="text1"/>
          <w:sz w:val="22"/>
          <w:szCs w:val="22"/>
        </w:rPr>
        <w:t>Nucleic Acids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45</w:t>
      </w:r>
      <w:r w:rsidRPr="001B1244">
        <w:rPr>
          <w:rFonts w:ascii="Arial" w:hAnsi="Arial" w:cs="Arial"/>
          <w:color w:val="000000" w:themeColor="text1"/>
          <w:sz w:val="22"/>
          <w:szCs w:val="22"/>
        </w:rPr>
        <w:t xml:space="preserve">(10), e88–e88. </w:t>
      </w:r>
      <w:hyperlink r:id="rId127" w:history="1">
        <w:r w:rsidRPr="001B1244">
          <w:rPr>
            <w:rFonts w:ascii="Arial" w:hAnsi="Arial" w:cs="Arial"/>
            <w:color w:val="000000" w:themeColor="text1"/>
            <w:sz w:val="22"/>
            <w:szCs w:val="22"/>
            <w:u w:val="single"/>
          </w:rPr>
          <w:t>https://doi.org/10.1093/nar/gkx093</w:t>
        </w:r>
      </w:hyperlink>
    </w:p>
    <w:p w14:paraId="09E5FE3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Li, P., Wen, J., Chen, P., Guo, P., Ke, Y., Wang, M., Liu, M., Tran, L.-S. P., Li, J., &amp; Du, H. (2020). MYB Superfamily in </w:t>
      </w:r>
      <w:r w:rsidRPr="001B1244">
        <w:rPr>
          <w:rFonts w:ascii="Arial" w:hAnsi="Arial" w:cs="Arial"/>
          <w:i/>
          <w:iCs/>
          <w:color w:val="000000" w:themeColor="text1"/>
          <w:sz w:val="22"/>
          <w:szCs w:val="22"/>
        </w:rPr>
        <w:t>Brassica napus</w:t>
      </w:r>
      <w:r w:rsidRPr="001B1244">
        <w:rPr>
          <w:rFonts w:ascii="Arial" w:hAnsi="Arial" w:cs="Arial"/>
          <w:color w:val="000000" w:themeColor="text1"/>
          <w:sz w:val="22"/>
          <w:szCs w:val="22"/>
        </w:rPr>
        <w:t xml:space="preserve">: Evidence for Hormone-Mediated Expression Profiles, Large Expansion, and Functions in Root Hair Development. </w:t>
      </w:r>
      <w:r w:rsidRPr="001B1244">
        <w:rPr>
          <w:rFonts w:ascii="Arial" w:hAnsi="Arial" w:cs="Arial"/>
          <w:i/>
          <w:color w:val="000000" w:themeColor="text1"/>
          <w:sz w:val="22"/>
          <w:szCs w:val="22"/>
        </w:rPr>
        <w:t>Biomolecules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(6), 875. </w:t>
      </w:r>
      <w:hyperlink r:id="rId128" w:history="1">
        <w:r w:rsidRPr="001B1244">
          <w:rPr>
            <w:rFonts w:ascii="Arial" w:hAnsi="Arial" w:cs="Arial"/>
            <w:color w:val="000000" w:themeColor="text1"/>
            <w:sz w:val="22"/>
            <w:szCs w:val="22"/>
            <w:u w:val="single"/>
          </w:rPr>
          <w:t>https://doi.org/10.3390/biom10060875</w:t>
        </w:r>
      </w:hyperlink>
    </w:p>
    <w:p w14:paraId="5757156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Li, Y. H., Windham, M. T., Trigiano, R. N., Fare, D. C., Spiers, J. M., &amp; Copes, W. E. (2005). Spore Germination, Infection Structure Formation, and Colony Development of </w:t>
      </w:r>
      <w:r w:rsidRPr="001B1244">
        <w:rPr>
          <w:rFonts w:ascii="Arial" w:hAnsi="Arial" w:cs="Arial"/>
          <w:i/>
          <w:color w:val="000000" w:themeColor="text1"/>
          <w:sz w:val="22"/>
          <w:szCs w:val="22"/>
        </w:rPr>
        <w:t>Erysiphe pulchra</w:t>
      </w:r>
      <w:r w:rsidRPr="001B1244">
        <w:rPr>
          <w:rFonts w:ascii="Arial" w:hAnsi="Arial" w:cs="Arial"/>
          <w:color w:val="000000" w:themeColor="text1"/>
          <w:sz w:val="22"/>
          <w:szCs w:val="22"/>
        </w:rPr>
        <w:t xml:space="preserve"> on Dogwood Leaves and Glass Slides. </w:t>
      </w:r>
      <w:r w:rsidRPr="001B1244">
        <w:rPr>
          <w:rFonts w:ascii="Arial" w:hAnsi="Arial" w:cs="Arial"/>
          <w:i/>
          <w:color w:val="000000" w:themeColor="text1"/>
          <w:sz w:val="22"/>
          <w:szCs w:val="22"/>
        </w:rPr>
        <w:t>Plant Disease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89</w:t>
      </w:r>
      <w:r w:rsidRPr="001B1244">
        <w:rPr>
          <w:rFonts w:ascii="Arial" w:hAnsi="Arial" w:cs="Arial"/>
          <w:color w:val="000000" w:themeColor="text1"/>
          <w:sz w:val="22"/>
          <w:szCs w:val="22"/>
        </w:rPr>
        <w:t xml:space="preserve">(12), 1301–1304. </w:t>
      </w:r>
      <w:hyperlink r:id="rId129" w:history="1">
        <w:r w:rsidRPr="001B1244">
          <w:rPr>
            <w:rFonts w:ascii="Arial" w:hAnsi="Arial" w:cs="Arial"/>
            <w:color w:val="000000" w:themeColor="text1"/>
            <w:sz w:val="22"/>
            <w:szCs w:val="22"/>
            <w:u w:val="single"/>
          </w:rPr>
          <w:t>https://doi.org/10.1094/PD-89-1301</w:t>
        </w:r>
      </w:hyperlink>
    </w:p>
    <w:p w14:paraId="42DC961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Li, Y. H., Windham, M. T., Trigiano, R. N., Fare, D. C., Spiers, J. M., &amp; Copes, W. E. (2007). Evaluation for Resistance to Powdery Mildew in </w:t>
      </w:r>
      <w:r w:rsidRPr="001B1244">
        <w:rPr>
          <w:rFonts w:ascii="Arial" w:hAnsi="Arial" w:cs="Arial"/>
          <w:i/>
          <w:iCs/>
          <w:color w:val="000000" w:themeColor="text1"/>
          <w:sz w:val="22"/>
          <w:szCs w:val="22"/>
        </w:rPr>
        <w:t>Cornus</w:t>
      </w:r>
      <w:r w:rsidRPr="001B1244">
        <w:rPr>
          <w:rFonts w:ascii="Arial" w:hAnsi="Arial" w:cs="Arial"/>
          <w:color w:val="000000" w:themeColor="text1"/>
          <w:sz w:val="22"/>
          <w:szCs w:val="22"/>
        </w:rPr>
        <w:t xml:space="preserve"> Species and Hybrids Using a Leaf Disk Assay. </w:t>
      </w:r>
      <w:r w:rsidRPr="001B1244">
        <w:rPr>
          <w:rFonts w:ascii="Arial" w:hAnsi="Arial" w:cs="Arial"/>
          <w:i/>
          <w:color w:val="000000" w:themeColor="text1"/>
          <w:sz w:val="22"/>
          <w:szCs w:val="22"/>
        </w:rPr>
        <w:t>Journal of Environmental Horticulture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25</w:t>
      </w:r>
      <w:r w:rsidRPr="001B1244">
        <w:rPr>
          <w:rFonts w:ascii="Arial" w:hAnsi="Arial" w:cs="Arial"/>
          <w:color w:val="000000" w:themeColor="text1"/>
          <w:sz w:val="22"/>
          <w:szCs w:val="22"/>
        </w:rPr>
        <w:t xml:space="preserve">(3), 131–133. </w:t>
      </w:r>
      <w:hyperlink r:id="rId130" w:history="1">
        <w:r w:rsidRPr="001B1244">
          <w:rPr>
            <w:rFonts w:ascii="Arial" w:hAnsi="Arial" w:cs="Arial"/>
            <w:color w:val="000000" w:themeColor="text1"/>
            <w:sz w:val="22"/>
            <w:szCs w:val="22"/>
            <w:u w:val="single"/>
          </w:rPr>
          <w:t>https://doi.org/10.24266/0738-2898-25.3.131</w:t>
        </w:r>
      </w:hyperlink>
    </w:p>
    <w:p w14:paraId="2377A8E2"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Li, Y., Mmbaga, M. T., Windham, A. S., Windham, M. T., &amp; Trigiano, R. N. (2009). Powdery Mildew of Dogwoods: </w:t>
      </w:r>
      <w:proofErr w:type="gramStart"/>
      <w:r w:rsidRPr="001B1244">
        <w:rPr>
          <w:rFonts w:ascii="Arial" w:hAnsi="Arial" w:cs="Arial"/>
          <w:color w:val="000000" w:themeColor="text1"/>
          <w:sz w:val="22"/>
          <w:szCs w:val="22"/>
        </w:rPr>
        <w:t>Current Status</w:t>
      </w:r>
      <w:proofErr w:type="gramEnd"/>
      <w:r w:rsidRPr="001B1244">
        <w:rPr>
          <w:rFonts w:ascii="Arial" w:hAnsi="Arial" w:cs="Arial"/>
          <w:color w:val="000000" w:themeColor="text1"/>
          <w:sz w:val="22"/>
          <w:szCs w:val="22"/>
        </w:rPr>
        <w:t xml:space="preserve"> and Future Prospects. </w:t>
      </w:r>
      <w:r w:rsidRPr="001B1244">
        <w:rPr>
          <w:rFonts w:ascii="Arial" w:hAnsi="Arial" w:cs="Arial"/>
          <w:i/>
          <w:color w:val="000000" w:themeColor="text1"/>
          <w:sz w:val="22"/>
          <w:szCs w:val="22"/>
        </w:rPr>
        <w:t>Plant Disease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93</w:t>
      </w:r>
      <w:r w:rsidRPr="001B1244">
        <w:rPr>
          <w:rFonts w:ascii="Arial" w:hAnsi="Arial" w:cs="Arial"/>
          <w:color w:val="000000" w:themeColor="text1"/>
          <w:sz w:val="22"/>
          <w:szCs w:val="22"/>
        </w:rPr>
        <w:t xml:space="preserve">(11), 1084–1092. </w:t>
      </w:r>
      <w:hyperlink r:id="rId131" w:history="1">
        <w:r w:rsidRPr="001B1244">
          <w:rPr>
            <w:rFonts w:ascii="Arial" w:hAnsi="Arial" w:cs="Arial"/>
            <w:color w:val="000000" w:themeColor="text1"/>
            <w:sz w:val="22"/>
            <w:szCs w:val="22"/>
            <w:u w:val="single"/>
          </w:rPr>
          <w:t>https://doi.org/10.1094/PDIS-93-11-1084</w:t>
        </w:r>
      </w:hyperlink>
    </w:p>
    <w:p w14:paraId="4096B17B"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Lin-Wang, K., Bolitho, K., Grafton, K., Kortstee, A., Karunairetnam, S., McGhie, T. K., Espley, R. V., Hellens, R. P., &amp; Allan, A. C. (2010). An R2R3 MYB transcription factor associated with regulation of the anthocyanin biosynthetic pathway in Rosaceae. </w:t>
      </w:r>
      <w:r w:rsidRPr="001B1244">
        <w:rPr>
          <w:rFonts w:ascii="Arial" w:hAnsi="Arial" w:cs="Arial"/>
          <w:i/>
          <w:color w:val="000000" w:themeColor="text1"/>
          <w:sz w:val="22"/>
          <w:szCs w:val="22"/>
        </w:rPr>
        <w:t>BMC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(1), 50. </w:t>
      </w:r>
      <w:hyperlink r:id="rId132" w:history="1">
        <w:r w:rsidRPr="001B1244">
          <w:rPr>
            <w:rFonts w:ascii="Arial" w:hAnsi="Arial" w:cs="Arial"/>
            <w:color w:val="000000" w:themeColor="text1"/>
            <w:sz w:val="22"/>
            <w:szCs w:val="22"/>
            <w:u w:val="single"/>
          </w:rPr>
          <w:t>https://doi.org/10.1186/1471-2229-10-50</w:t>
        </w:r>
      </w:hyperlink>
    </w:p>
    <w:p w14:paraId="70238B2E"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Linde, M., Hattendorf, A., Kaufmann, H., &amp; Debener, T. (2006). Powdery mildew resistance in roses: QTL mapping in different environments using selective genotyping.</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Theoretical and Applied Genetics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113</w:t>
      </w:r>
      <w:r w:rsidRPr="001B1244">
        <w:rPr>
          <w:rFonts w:ascii="Arial" w:hAnsi="Arial" w:cs="Arial"/>
          <w:color w:val="000000" w:themeColor="text1"/>
          <w:sz w:val="22"/>
          <w:szCs w:val="22"/>
          <w:shd w:val="clear" w:color="auto" w:fill="FFFFFF"/>
        </w:rPr>
        <w:t>(6), 1081-1092.</w:t>
      </w:r>
    </w:p>
    <w:p w14:paraId="1E9F5933"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Lipsick, J. S. (1996). One billion years of Myb.</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Oncogene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13</w:t>
      </w:r>
      <w:r w:rsidRPr="001B1244">
        <w:rPr>
          <w:rFonts w:ascii="Arial" w:hAnsi="Arial" w:cs="Arial"/>
          <w:color w:val="000000" w:themeColor="text1"/>
          <w:sz w:val="22"/>
          <w:szCs w:val="22"/>
          <w:shd w:val="clear" w:color="auto" w:fill="FFFFFF"/>
        </w:rPr>
        <w:t>(2), 223-235.</w:t>
      </w:r>
    </w:p>
    <w:p w14:paraId="622DCC2C"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Liu, J., Osbourn, A., &amp; Ma, P. (2015). MYB Transcription Factors as Regulators of Phenylpropanoid Metabolism in Plants. </w:t>
      </w:r>
      <w:r w:rsidRPr="001B1244">
        <w:rPr>
          <w:rFonts w:ascii="Arial" w:hAnsi="Arial" w:cs="Arial"/>
          <w:i/>
          <w:color w:val="000000" w:themeColor="text1"/>
          <w:sz w:val="22"/>
          <w:szCs w:val="22"/>
        </w:rPr>
        <w:t>Molecular Plant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w:t>
      </w:r>
      <w:r w:rsidRPr="001B1244">
        <w:rPr>
          <w:rFonts w:ascii="Arial" w:hAnsi="Arial" w:cs="Arial"/>
          <w:color w:val="000000" w:themeColor="text1"/>
          <w:sz w:val="22"/>
          <w:szCs w:val="22"/>
        </w:rPr>
        <w:t xml:space="preserve">(5), 689–708. </w:t>
      </w:r>
      <w:hyperlink r:id="rId133" w:history="1">
        <w:r w:rsidRPr="001B1244">
          <w:rPr>
            <w:rFonts w:ascii="Arial" w:hAnsi="Arial" w:cs="Arial"/>
            <w:color w:val="000000" w:themeColor="text1"/>
            <w:sz w:val="22"/>
            <w:szCs w:val="22"/>
            <w:u w:val="single"/>
          </w:rPr>
          <w:t>https://doi.org/10.1016/j.molp.2015.03.012</w:t>
        </w:r>
      </w:hyperlink>
    </w:p>
    <w:p w14:paraId="11FE9B3D"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Liu, L.-P., Qu, J.-W., Yi, X.-Q., &amp; Huang, H.-H. (2017). Genome-wide Identiﬁcation, Classiﬁcation and Expression Analysis of the Mildew Resistance Locus O (MLO) Gene Family in Sweet Orange (</w:t>
      </w:r>
      <w:r w:rsidRPr="001B1244">
        <w:rPr>
          <w:rFonts w:ascii="Arial" w:hAnsi="Arial" w:cs="Arial"/>
          <w:i/>
          <w:iCs/>
          <w:color w:val="000000" w:themeColor="text1"/>
          <w:sz w:val="22"/>
          <w:szCs w:val="22"/>
        </w:rPr>
        <w:t>Citrus sinensis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Brazilian Archives of Biology and Technology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60</w:t>
      </w:r>
      <w:r w:rsidRPr="001B1244">
        <w:rPr>
          <w:rFonts w:ascii="Arial" w:hAnsi="Arial" w:cs="Arial"/>
          <w:color w:val="000000" w:themeColor="text1"/>
          <w:sz w:val="22"/>
          <w:szCs w:val="22"/>
        </w:rPr>
        <w:t xml:space="preserve">(0). </w:t>
      </w:r>
      <w:hyperlink r:id="rId134" w:history="1">
        <w:r w:rsidRPr="001B1244">
          <w:rPr>
            <w:rFonts w:ascii="Arial" w:hAnsi="Arial" w:cs="Arial"/>
            <w:color w:val="000000" w:themeColor="text1"/>
            <w:sz w:val="22"/>
            <w:szCs w:val="22"/>
            <w:u w:val="single"/>
          </w:rPr>
          <w:t>https://doi.org/10.1590/1678-4324-2017160474</w:t>
        </w:r>
      </w:hyperlink>
    </w:p>
    <w:p w14:paraId="6F96322C"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Liu, X. F., Xiang, L. L., Yin, X. R., Grierson, D., Li, F., &amp; Chen, K. S. (2015). The identification of a MYB transcription factor controlling anthocyanin biosynthesis regulation in Chrysanthemum flowers.</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Scientia Horticulturae</w:t>
      </w:r>
      <w:r w:rsidRPr="001B1244">
        <w:rPr>
          <w:rFonts w:ascii="Arial" w:hAnsi="Arial" w:cs="Arial"/>
          <w:color w:val="000000" w:themeColor="text1"/>
          <w:sz w:val="22"/>
          <w:szCs w:val="22"/>
          <w:shd w:val="clear" w:color="auto" w:fill="FFFFFF"/>
        </w:rPr>
        <w:t>,</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194</w:t>
      </w:r>
      <w:r w:rsidRPr="001B1244">
        <w:rPr>
          <w:rFonts w:ascii="Arial" w:hAnsi="Arial" w:cs="Arial"/>
          <w:color w:val="000000" w:themeColor="text1"/>
          <w:sz w:val="22"/>
          <w:szCs w:val="22"/>
          <w:shd w:val="clear" w:color="auto" w:fill="FFFFFF"/>
        </w:rPr>
        <w:t xml:space="preserve">, 278-285. </w:t>
      </w:r>
    </w:p>
    <w:p w14:paraId="700FB8F8"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lastRenderedPageBreak/>
        <w:t>Love, M. I., Huber, W., &amp; Anders, S. (2014). Moderated estimation of fold change and dispersion for RNA-seq data with DESeq2.</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Genome biology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15</w:t>
      </w:r>
      <w:r w:rsidRPr="001B1244">
        <w:rPr>
          <w:rFonts w:ascii="Arial" w:hAnsi="Arial" w:cs="Arial"/>
          <w:color w:val="000000" w:themeColor="text1"/>
          <w:sz w:val="22"/>
          <w:szCs w:val="22"/>
          <w:shd w:val="clear" w:color="auto" w:fill="FFFFFF"/>
        </w:rPr>
        <w:t xml:space="preserve">(12), 1-21. </w:t>
      </w:r>
    </w:p>
    <w:p w14:paraId="2637ED0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Lowe, K. M., &amp; Walker, M. A. (2006). Genetic linkage map of the interspecific grape rootstock cross Ramsey (</w:t>
      </w:r>
      <w:r w:rsidRPr="001B1244">
        <w:rPr>
          <w:rFonts w:ascii="Arial" w:hAnsi="Arial" w:cs="Arial"/>
          <w:i/>
          <w:iCs/>
          <w:color w:val="000000" w:themeColor="text1"/>
          <w:sz w:val="22"/>
          <w:szCs w:val="22"/>
        </w:rPr>
        <w:t>Vitis champinii</w:t>
      </w:r>
      <w:r w:rsidRPr="001B1244">
        <w:rPr>
          <w:rFonts w:ascii="Arial" w:hAnsi="Arial" w:cs="Arial"/>
          <w:color w:val="000000" w:themeColor="text1"/>
          <w:sz w:val="22"/>
          <w:szCs w:val="22"/>
        </w:rPr>
        <w:t>) × Riparia Gloire (</w:t>
      </w:r>
      <w:r w:rsidRPr="001B1244">
        <w:rPr>
          <w:rFonts w:ascii="Arial" w:hAnsi="Arial" w:cs="Arial"/>
          <w:i/>
          <w:iCs/>
          <w:color w:val="000000" w:themeColor="text1"/>
          <w:sz w:val="22"/>
          <w:szCs w:val="22"/>
        </w:rPr>
        <w:t>Vitis riparia</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Theoretical and Applied Genetics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112</w:t>
      </w:r>
      <w:r w:rsidRPr="001B1244">
        <w:rPr>
          <w:rFonts w:ascii="Arial" w:hAnsi="Arial" w:cs="Arial"/>
          <w:color w:val="000000" w:themeColor="text1"/>
          <w:sz w:val="22"/>
          <w:szCs w:val="22"/>
        </w:rPr>
        <w:t xml:space="preserve">(8), 1582–1592. </w:t>
      </w:r>
      <w:hyperlink r:id="rId135" w:history="1">
        <w:r w:rsidRPr="001B1244">
          <w:rPr>
            <w:rFonts w:ascii="Arial" w:hAnsi="Arial" w:cs="Arial"/>
            <w:color w:val="000000" w:themeColor="text1"/>
            <w:sz w:val="22"/>
            <w:szCs w:val="22"/>
            <w:u w:val="single"/>
          </w:rPr>
          <w:t>https://doi.org/10.1007/s00122-006-0264-8</w:t>
        </w:r>
      </w:hyperlink>
    </w:p>
    <w:p w14:paraId="4A8C9416"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Luecken, M. D., &amp; Theis, F. J. (2019). Current best practices in single</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cell RNA</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seq analysis: A tutorial. </w:t>
      </w:r>
      <w:r w:rsidRPr="001B1244">
        <w:rPr>
          <w:rFonts w:ascii="Arial" w:hAnsi="Arial" w:cs="Arial"/>
          <w:i/>
          <w:color w:val="000000" w:themeColor="text1"/>
          <w:sz w:val="22"/>
          <w:szCs w:val="22"/>
        </w:rPr>
        <w:t>Molecular Systems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15</w:t>
      </w:r>
      <w:r w:rsidRPr="001B1244">
        <w:rPr>
          <w:rFonts w:ascii="Arial" w:hAnsi="Arial" w:cs="Arial"/>
          <w:color w:val="000000" w:themeColor="text1"/>
          <w:sz w:val="22"/>
          <w:szCs w:val="22"/>
        </w:rPr>
        <w:t xml:space="preserve">(6). </w:t>
      </w:r>
      <w:hyperlink r:id="rId136" w:history="1">
        <w:r w:rsidRPr="001B1244">
          <w:rPr>
            <w:rFonts w:ascii="Arial" w:hAnsi="Arial" w:cs="Arial"/>
            <w:color w:val="000000" w:themeColor="text1"/>
            <w:sz w:val="22"/>
            <w:szCs w:val="22"/>
            <w:u w:val="single"/>
          </w:rPr>
          <w:t>https://doi.org/10.15252/msb.20188746</w:t>
        </w:r>
      </w:hyperlink>
    </w:p>
    <w:p w14:paraId="0E19DD79" w14:textId="78E03FE1"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Lynch, M., &amp; Walsh, B. (1998).</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Genetics and analysis of quantitative traits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color w:val="000000" w:themeColor="text1"/>
          <w:sz w:val="22"/>
          <w:szCs w:val="22"/>
          <w:shd w:val="clear" w:color="auto" w:fill="FFFFFF"/>
        </w:rPr>
        <w:t xml:space="preserve">(Vol. 1, pp. 535-557). Sunderland, MA: Sinauer. </w:t>
      </w:r>
    </w:p>
    <w:p w14:paraId="4DFF8E21" w14:textId="120C109B" w:rsidR="008806EA" w:rsidRPr="001B1244" w:rsidRDefault="008806EA" w:rsidP="00CA01FD">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Lyngkjær, M., Newton, A., Atzema, J., &amp; Baker, S. (2000). The barley mlo-gene: an important powdery mildew resistance source.</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Agronomie</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20</w:t>
      </w:r>
      <w:r w:rsidRPr="001B1244">
        <w:rPr>
          <w:rFonts w:ascii="Arial" w:hAnsi="Arial" w:cs="Arial"/>
          <w:color w:val="222222"/>
          <w:sz w:val="22"/>
          <w:szCs w:val="22"/>
          <w:shd w:val="clear" w:color="auto" w:fill="FFFFFF"/>
        </w:rPr>
        <w:t>(7), 745-756.</w:t>
      </w:r>
    </w:p>
    <w:p w14:paraId="1152176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Ma, D., &amp; Constabel, C. P. (2019). MYB Repressors as Regulators of Phenylpropanoid Metabolism in Plants. </w:t>
      </w:r>
      <w:r w:rsidRPr="001B1244">
        <w:rPr>
          <w:rFonts w:ascii="Arial" w:hAnsi="Arial" w:cs="Arial"/>
          <w:i/>
          <w:color w:val="000000" w:themeColor="text1"/>
          <w:sz w:val="22"/>
          <w:szCs w:val="22"/>
        </w:rPr>
        <w:t>Trends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24</w:t>
      </w:r>
      <w:r w:rsidRPr="001B1244">
        <w:rPr>
          <w:rFonts w:ascii="Arial" w:hAnsi="Arial" w:cs="Arial"/>
          <w:color w:val="000000" w:themeColor="text1"/>
          <w:sz w:val="22"/>
          <w:szCs w:val="22"/>
        </w:rPr>
        <w:t xml:space="preserve">(3), 275–289. </w:t>
      </w:r>
      <w:hyperlink r:id="rId137" w:history="1">
        <w:r w:rsidRPr="001B1244">
          <w:rPr>
            <w:rFonts w:ascii="Arial" w:hAnsi="Arial" w:cs="Arial"/>
            <w:color w:val="000000" w:themeColor="text1"/>
            <w:sz w:val="22"/>
            <w:szCs w:val="22"/>
            <w:u w:val="single"/>
          </w:rPr>
          <w:t>https://doi.org/10.1016/j.tplants.2018.12.003</w:t>
        </w:r>
      </w:hyperlink>
    </w:p>
    <w:p w14:paraId="15582628"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Ma, Q.-H., Wang, C., &amp; Zhu, H.-H. (2011). TaMYB4 cloned from wheat regulates lignin biosynthesis through negatively controlling the transcripts of both cinnamyl alcohol dehydrogenase and cinnamoyl-CoA reductase genes. </w:t>
      </w:r>
      <w:r w:rsidRPr="001B1244">
        <w:rPr>
          <w:rFonts w:ascii="Arial" w:hAnsi="Arial" w:cs="Arial"/>
          <w:i/>
          <w:color w:val="000000" w:themeColor="text1"/>
          <w:sz w:val="22"/>
          <w:szCs w:val="22"/>
        </w:rPr>
        <w:t>Biochimie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93</w:t>
      </w:r>
      <w:r w:rsidRPr="001B1244">
        <w:rPr>
          <w:rFonts w:ascii="Arial" w:hAnsi="Arial" w:cs="Arial"/>
          <w:color w:val="000000" w:themeColor="text1"/>
          <w:sz w:val="22"/>
          <w:szCs w:val="22"/>
        </w:rPr>
        <w:t xml:space="preserve">(7), 1179–1186. </w:t>
      </w:r>
      <w:hyperlink r:id="rId138" w:history="1">
        <w:r w:rsidRPr="001B1244">
          <w:rPr>
            <w:rFonts w:ascii="Arial" w:hAnsi="Arial" w:cs="Arial"/>
            <w:color w:val="000000" w:themeColor="text1"/>
            <w:sz w:val="22"/>
            <w:szCs w:val="22"/>
            <w:u w:val="single"/>
          </w:rPr>
          <w:t>https://doi.org/10.1016/j.biochi.2011.04.012</w:t>
        </w:r>
      </w:hyperlink>
    </w:p>
    <w:p w14:paraId="71BC834D"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Mackay, T. F. C. (2014). Epistasis and quantitative traits: Using model organisms to study gene–gene interactions. </w:t>
      </w:r>
      <w:r w:rsidRPr="001B1244">
        <w:rPr>
          <w:rFonts w:ascii="Arial" w:hAnsi="Arial" w:cs="Arial"/>
          <w:i/>
          <w:iCs/>
          <w:color w:val="000000" w:themeColor="text1"/>
          <w:sz w:val="22"/>
          <w:szCs w:val="22"/>
        </w:rPr>
        <w:t>Nature Reviews Genetics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15</w:t>
      </w:r>
      <w:r w:rsidRPr="001B1244">
        <w:rPr>
          <w:rFonts w:ascii="Arial" w:hAnsi="Arial" w:cs="Arial"/>
          <w:color w:val="000000" w:themeColor="text1"/>
          <w:sz w:val="22"/>
          <w:szCs w:val="22"/>
        </w:rPr>
        <w:t xml:space="preserve">(1), 22–33. </w:t>
      </w:r>
      <w:hyperlink r:id="rId139" w:history="1">
        <w:r w:rsidRPr="001B1244">
          <w:rPr>
            <w:rFonts w:ascii="Arial" w:hAnsi="Arial" w:cs="Arial"/>
            <w:color w:val="000000" w:themeColor="text1"/>
            <w:sz w:val="22"/>
            <w:szCs w:val="22"/>
            <w:u w:val="single"/>
          </w:rPr>
          <w:t>https://doi.org/10.1038/nrg3627</w:t>
        </w:r>
      </w:hyperlink>
    </w:p>
    <w:p w14:paraId="680618B5"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Maere, S., Heymans, K., &amp; Kuiper, M. (2005). BiNGO: A Cytoscape plugin to assess overrepresentation of Gene Ontology categories in Biological Networks. </w:t>
      </w:r>
      <w:r w:rsidRPr="001B1244">
        <w:rPr>
          <w:rFonts w:ascii="Arial" w:hAnsi="Arial" w:cs="Arial"/>
          <w:i/>
          <w:color w:val="000000" w:themeColor="text1"/>
          <w:sz w:val="22"/>
          <w:szCs w:val="22"/>
        </w:rPr>
        <w:t>Bioinformatics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21</w:t>
      </w:r>
      <w:r w:rsidRPr="001B1244">
        <w:rPr>
          <w:rFonts w:ascii="Arial" w:hAnsi="Arial" w:cs="Arial"/>
          <w:color w:val="000000" w:themeColor="text1"/>
          <w:sz w:val="22"/>
          <w:szCs w:val="22"/>
        </w:rPr>
        <w:t xml:space="preserve">(16), 3448–3449. </w:t>
      </w:r>
      <w:hyperlink r:id="rId140" w:history="1">
        <w:r w:rsidRPr="001B1244">
          <w:rPr>
            <w:rFonts w:ascii="Arial" w:hAnsi="Arial" w:cs="Arial"/>
            <w:color w:val="000000" w:themeColor="text1"/>
            <w:sz w:val="22"/>
            <w:szCs w:val="22"/>
            <w:u w:val="single"/>
          </w:rPr>
          <w:t>https://doi.org/10.1093/bioinformatics/bti551</w:t>
        </w:r>
      </w:hyperlink>
    </w:p>
    <w:p w14:paraId="4CEEBBC8" w14:textId="77777777" w:rsidR="00B51BF9" w:rsidRPr="001B1244" w:rsidRDefault="00B51BF9" w:rsidP="00CA01FD">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Mammadov, J., Aggarwal, R., Buyyarapu, R., &amp; Kumpatla, S. (2012). SNP markers and their impact on plant breeding.</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International journal of plant genomics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2012</w:t>
      </w:r>
      <w:r w:rsidRPr="001B1244">
        <w:rPr>
          <w:rFonts w:ascii="Arial" w:hAnsi="Arial" w:cs="Arial"/>
          <w:color w:val="000000" w:themeColor="text1"/>
          <w:sz w:val="22"/>
          <w:szCs w:val="22"/>
        </w:rPr>
        <w:t xml:space="preserve">. </w:t>
      </w:r>
    </w:p>
    <w:p w14:paraId="7DA6D44D"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Mantooth, K., Hadziabdic, D., Boggess, S., Windham, M., Miller, S., Cai, G</w:t>
      </w:r>
      <w:proofErr w:type="gramStart"/>
      <w:r w:rsidRPr="001B1244">
        <w:rPr>
          <w:rFonts w:ascii="Arial" w:hAnsi="Arial" w:cs="Arial"/>
          <w:color w:val="000000" w:themeColor="text1"/>
          <w:sz w:val="22"/>
          <w:szCs w:val="22"/>
          <w:shd w:val="clear" w:color="auto" w:fill="FFFFFF"/>
        </w:rPr>
        <w:t>., ...</w:t>
      </w:r>
      <w:proofErr w:type="gramEnd"/>
      <w:r w:rsidRPr="001B1244">
        <w:rPr>
          <w:rFonts w:ascii="Arial" w:hAnsi="Arial" w:cs="Arial"/>
          <w:color w:val="000000" w:themeColor="text1"/>
          <w:sz w:val="22"/>
          <w:szCs w:val="22"/>
          <w:shd w:val="clear" w:color="auto" w:fill="FFFFFF"/>
        </w:rPr>
        <w:t xml:space="preserve"> &amp; Trigiano, R. (2017). Confirmation of independent introductions of an exotic plant pathogen of </w:t>
      </w:r>
      <w:r w:rsidRPr="001B1244">
        <w:rPr>
          <w:rFonts w:ascii="Arial" w:hAnsi="Arial" w:cs="Arial"/>
          <w:i/>
          <w:iCs/>
          <w:color w:val="000000" w:themeColor="text1"/>
          <w:sz w:val="22"/>
          <w:szCs w:val="22"/>
          <w:shd w:val="clear" w:color="auto" w:fill="FFFFFF"/>
        </w:rPr>
        <w:t>Cornus</w:t>
      </w:r>
      <w:r w:rsidRPr="001B1244">
        <w:rPr>
          <w:rFonts w:ascii="Arial" w:hAnsi="Arial" w:cs="Arial"/>
          <w:color w:val="000000" w:themeColor="text1"/>
          <w:sz w:val="22"/>
          <w:szCs w:val="22"/>
          <w:shd w:val="clear" w:color="auto" w:fill="FFFFFF"/>
        </w:rPr>
        <w:t xml:space="preserve"> species, </w:t>
      </w:r>
      <w:r w:rsidRPr="001B1244">
        <w:rPr>
          <w:rFonts w:ascii="Arial" w:hAnsi="Arial" w:cs="Arial"/>
          <w:i/>
          <w:iCs/>
          <w:color w:val="000000" w:themeColor="text1"/>
          <w:sz w:val="22"/>
          <w:szCs w:val="22"/>
          <w:shd w:val="clear" w:color="auto" w:fill="FFFFFF"/>
        </w:rPr>
        <w:t>Discula destructiva</w:t>
      </w:r>
      <w:r w:rsidRPr="001B1244">
        <w:rPr>
          <w:rFonts w:ascii="Arial" w:hAnsi="Arial" w:cs="Arial"/>
          <w:color w:val="000000" w:themeColor="text1"/>
          <w:sz w:val="22"/>
          <w:szCs w:val="22"/>
          <w:shd w:val="clear" w:color="auto" w:fill="FFFFFF"/>
        </w:rPr>
        <w:t>, on the east and west coasts of North America.</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PloS one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12</w:t>
      </w:r>
      <w:r w:rsidRPr="001B1244">
        <w:rPr>
          <w:rFonts w:ascii="Arial" w:hAnsi="Arial" w:cs="Arial"/>
          <w:color w:val="000000" w:themeColor="text1"/>
          <w:sz w:val="22"/>
          <w:szCs w:val="22"/>
          <w:shd w:val="clear" w:color="auto" w:fill="FFFFFF"/>
        </w:rPr>
        <w:t>(7), e0180345.</w:t>
      </w:r>
    </w:p>
    <w:p w14:paraId="042B765A" w14:textId="77777777" w:rsidR="00B51BF9" w:rsidRPr="001B1244" w:rsidRDefault="00B51BF9" w:rsidP="00CA01FD">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Marmolejo, J., Siahaan, S. A., Takamatsu, S., &amp; Braun, U. (2018). Three new records of powdery mildews found in Mexico with one genus and one new species proposed.</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Mycoscience</w:t>
      </w:r>
      <w:r w:rsidRPr="001B1244">
        <w:rPr>
          <w:rFonts w:ascii="Arial" w:hAnsi="Arial" w:cs="Arial"/>
          <w:color w:val="000000" w:themeColor="text1"/>
          <w:sz w:val="22"/>
          <w:szCs w:val="22"/>
          <w:shd w:val="clear" w:color="auto" w:fill="FFFFFF"/>
        </w:rPr>
        <w:t>,</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59</w:t>
      </w:r>
      <w:r w:rsidRPr="001B1244">
        <w:rPr>
          <w:rFonts w:ascii="Arial" w:hAnsi="Arial" w:cs="Arial"/>
          <w:color w:val="000000" w:themeColor="text1"/>
          <w:sz w:val="22"/>
          <w:szCs w:val="22"/>
          <w:shd w:val="clear" w:color="auto" w:fill="FFFFFF"/>
        </w:rPr>
        <w:t>(1), 1-7.</w:t>
      </w:r>
    </w:p>
    <w:p w14:paraId="12680F3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Marone, D., Russo, M., Laidò, G., De Leonardis, A., &amp; Mastrangelo, A. (2013). Plant Nucleotide Binding Site–Leucine-Rich Repeat (NBS-LRR) Genes: Active Guardians in Host Defense Responses. </w:t>
      </w:r>
      <w:r w:rsidRPr="001B1244">
        <w:rPr>
          <w:rFonts w:ascii="Arial" w:hAnsi="Arial" w:cs="Arial"/>
          <w:i/>
          <w:color w:val="000000" w:themeColor="text1"/>
          <w:sz w:val="22"/>
          <w:szCs w:val="22"/>
        </w:rPr>
        <w:t>International Journal of Molecular Sciences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14</w:t>
      </w:r>
      <w:r w:rsidRPr="001B1244">
        <w:rPr>
          <w:rFonts w:ascii="Arial" w:hAnsi="Arial" w:cs="Arial"/>
          <w:color w:val="000000" w:themeColor="text1"/>
          <w:sz w:val="22"/>
          <w:szCs w:val="22"/>
        </w:rPr>
        <w:t xml:space="preserve">(4), 7302–7326. </w:t>
      </w:r>
      <w:hyperlink r:id="rId141" w:history="1">
        <w:r w:rsidRPr="001B1244">
          <w:rPr>
            <w:rFonts w:ascii="Arial" w:hAnsi="Arial" w:cs="Arial"/>
            <w:color w:val="000000" w:themeColor="text1"/>
            <w:sz w:val="22"/>
            <w:szCs w:val="22"/>
            <w:u w:val="single"/>
          </w:rPr>
          <w:t>https://doi.org/10.3390/ijms14047302</w:t>
        </w:r>
      </w:hyperlink>
    </w:p>
    <w:p w14:paraId="3D1CBDD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Martin, C., Prescott, A., Mackay, S., Bartlett, J., &amp; Vrijlandt, E. (1991). </w:t>
      </w:r>
      <w:r w:rsidRPr="001B1244">
        <w:rPr>
          <w:rFonts w:ascii="Arial" w:hAnsi="Arial" w:cs="Arial"/>
          <w:i/>
          <w:color w:val="000000" w:themeColor="text1"/>
          <w:sz w:val="22"/>
          <w:szCs w:val="22"/>
        </w:rPr>
        <w:t>Control of anthocyanin biosynthesis in flowers of</w:t>
      </w:r>
      <w:r w:rsidRPr="001B1244">
        <w:rPr>
          <w:rFonts w:ascii="Arial" w:hAnsi="Arial" w:cs="Arial"/>
          <w:color w:val="000000" w:themeColor="text1"/>
          <w:sz w:val="22"/>
          <w:szCs w:val="22"/>
        </w:rPr>
        <w:t>. 13.</w:t>
      </w:r>
    </w:p>
    <w:p w14:paraId="12ABF3E5"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Martínez-Cruz, J., Romero, D., Dávila, J. C., &amp; Pérez-García, A. (2014). The </w:t>
      </w:r>
      <w:r w:rsidRPr="001B1244">
        <w:rPr>
          <w:rFonts w:ascii="Arial" w:hAnsi="Arial" w:cs="Arial"/>
          <w:i/>
          <w:iCs/>
          <w:color w:val="000000" w:themeColor="text1"/>
          <w:sz w:val="22"/>
          <w:szCs w:val="22"/>
        </w:rPr>
        <w:t>Podosphaera xanthii</w:t>
      </w:r>
      <w:r w:rsidRPr="001B1244">
        <w:rPr>
          <w:rFonts w:ascii="Arial" w:hAnsi="Arial" w:cs="Arial"/>
          <w:color w:val="000000" w:themeColor="text1"/>
          <w:sz w:val="22"/>
          <w:szCs w:val="22"/>
        </w:rPr>
        <w:t xml:space="preserve"> haustorium, the fungal Trojan horse of cucurbit-powdery mildew interactions. </w:t>
      </w:r>
      <w:r w:rsidRPr="001B1244">
        <w:rPr>
          <w:rFonts w:ascii="Arial" w:hAnsi="Arial" w:cs="Arial"/>
          <w:i/>
          <w:color w:val="000000" w:themeColor="text1"/>
          <w:sz w:val="22"/>
          <w:szCs w:val="22"/>
        </w:rPr>
        <w:t>Fungal Genetics and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71</w:t>
      </w:r>
      <w:r w:rsidRPr="001B1244">
        <w:rPr>
          <w:rFonts w:ascii="Arial" w:hAnsi="Arial" w:cs="Arial"/>
          <w:color w:val="000000" w:themeColor="text1"/>
          <w:sz w:val="22"/>
          <w:szCs w:val="22"/>
        </w:rPr>
        <w:t xml:space="preserve">, 21–31. </w:t>
      </w:r>
      <w:hyperlink r:id="rId142" w:history="1">
        <w:r w:rsidRPr="001B1244">
          <w:rPr>
            <w:rFonts w:ascii="Arial" w:hAnsi="Arial" w:cs="Arial"/>
            <w:color w:val="000000" w:themeColor="text1"/>
            <w:sz w:val="22"/>
            <w:szCs w:val="22"/>
            <w:u w:val="single"/>
          </w:rPr>
          <w:t>https://doi.org/10.1016/j.fgb.2014.08.006</w:t>
        </w:r>
      </w:hyperlink>
    </w:p>
    <w:p w14:paraId="69B8454C"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Mattioli, R., Francioso, A., Mosca, L., &amp; Silva, P. (2020). Anthocyanins: A Comprehensive Review of Their Chemical Properties and Health Effects on Cardiovascular and Neurodegenerative Diseases. </w:t>
      </w:r>
      <w:r w:rsidRPr="001B1244">
        <w:rPr>
          <w:rFonts w:ascii="Arial" w:hAnsi="Arial" w:cs="Arial"/>
          <w:i/>
          <w:color w:val="000000" w:themeColor="text1"/>
          <w:sz w:val="22"/>
          <w:szCs w:val="22"/>
        </w:rPr>
        <w:t>Molecules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25</w:t>
      </w:r>
      <w:r w:rsidRPr="001B1244">
        <w:rPr>
          <w:rFonts w:ascii="Arial" w:hAnsi="Arial" w:cs="Arial"/>
          <w:color w:val="000000" w:themeColor="text1"/>
          <w:sz w:val="22"/>
          <w:szCs w:val="22"/>
        </w:rPr>
        <w:t xml:space="preserve">(17), 3809. </w:t>
      </w:r>
      <w:hyperlink r:id="rId143" w:history="1">
        <w:r w:rsidRPr="001B1244">
          <w:rPr>
            <w:rFonts w:ascii="Arial" w:hAnsi="Arial" w:cs="Arial"/>
            <w:color w:val="000000" w:themeColor="text1"/>
            <w:sz w:val="22"/>
            <w:szCs w:val="22"/>
            <w:u w:val="single"/>
          </w:rPr>
          <w:t>https://doi.org/10.3390/molecules25173809</w:t>
        </w:r>
      </w:hyperlink>
    </w:p>
    <w:p w14:paraId="5D475BC9" w14:textId="7777777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Meng, R., Zhang, J., </w:t>
      </w:r>
      <w:proofErr w:type="gramStart"/>
      <w:r w:rsidRPr="001B1244">
        <w:rPr>
          <w:rFonts w:ascii="Arial" w:hAnsi="Arial" w:cs="Arial"/>
          <w:color w:val="000000" w:themeColor="text1"/>
          <w:sz w:val="22"/>
          <w:szCs w:val="22"/>
        </w:rPr>
        <w:t>An</w:t>
      </w:r>
      <w:proofErr w:type="gramEnd"/>
      <w:r w:rsidRPr="001B1244">
        <w:rPr>
          <w:rFonts w:ascii="Arial" w:hAnsi="Arial" w:cs="Arial"/>
          <w:color w:val="000000" w:themeColor="text1"/>
          <w:sz w:val="22"/>
          <w:szCs w:val="22"/>
        </w:rPr>
        <w:t>, L., Zhang, B., Jiang, X., Yang, Y., &amp; Zhao, Z. (2016). Expression Profiling of Several Gene Families Involved in Anthocyanin Biosynthesis in Apple (</w:t>
      </w:r>
      <w:r w:rsidRPr="001B1244">
        <w:rPr>
          <w:rFonts w:ascii="Arial" w:hAnsi="Arial" w:cs="Arial"/>
          <w:i/>
          <w:iCs/>
          <w:color w:val="000000" w:themeColor="text1"/>
          <w:sz w:val="22"/>
          <w:szCs w:val="22"/>
        </w:rPr>
        <w:t>Malus domestica</w:t>
      </w:r>
      <w:r w:rsidRPr="001B1244">
        <w:rPr>
          <w:rFonts w:ascii="Arial" w:hAnsi="Arial" w:cs="Arial"/>
          <w:color w:val="000000" w:themeColor="text1"/>
          <w:sz w:val="22"/>
          <w:szCs w:val="22"/>
        </w:rPr>
        <w:t xml:space="preserve"> Borkh.) Skin </w:t>
      </w:r>
      <w:proofErr w:type="gramStart"/>
      <w:r w:rsidRPr="001B1244">
        <w:rPr>
          <w:rFonts w:ascii="Arial" w:hAnsi="Arial" w:cs="Arial"/>
          <w:color w:val="000000" w:themeColor="text1"/>
          <w:sz w:val="22"/>
          <w:szCs w:val="22"/>
        </w:rPr>
        <w:t>During</w:t>
      </w:r>
      <w:proofErr w:type="gramEnd"/>
      <w:r w:rsidRPr="001B1244">
        <w:rPr>
          <w:rFonts w:ascii="Arial" w:hAnsi="Arial" w:cs="Arial"/>
          <w:color w:val="000000" w:themeColor="text1"/>
          <w:sz w:val="22"/>
          <w:szCs w:val="22"/>
        </w:rPr>
        <w:t xml:space="preserve"> Fruit Development. </w:t>
      </w:r>
      <w:r w:rsidRPr="001B1244">
        <w:rPr>
          <w:rFonts w:ascii="Arial" w:hAnsi="Arial" w:cs="Arial"/>
          <w:i/>
          <w:color w:val="000000" w:themeColor="text1"/>
          <w:sz w:val="22"/>
          <w:szCs w:val="22"/>
        </w:rPr>
        <w:t>Journal of Plant Growth Regulation</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35</w:t>
      </w:r>
      <w:r w:rsidRPr="001B1244">
        <w:rPr>
          <w:rFonts w:ascii="Arial" w:hAnsi="Arial" w:cs="Arial"/>
          <w:color w:val="000000" w:themeColor="text1"/>
          <w:sz w:val="22"/>
          <w:szCs w:val="22"/>
        </w:rPr>
        <w:t xml:space="preserve">(2), 449–464. </w:t>
      </w:r>
      <w:hyperlink r:id="rId144" w:history="1">
        <w:r w:rsidRPr="001B1244">
          <w:rPr>
            <w:rFonts w:ascii="Arial" w:hAnsi="Arial" w:cs="Arial"/>
            <w:color w:val="000000" w:themeColor="text1"/>
            <w:sz w:val="22"/>
            <w:szCs w:val="22"/>
            <w:u w:val="single"/>
          </w:rPr>
          <w:t>https://doi.org/10.1007/s00344-015-9552-3</w:t>
        </w:r>
      </w:hyperlink>
    </w:p>
    <w:p w14:paraId="15990C6F" w14:textId="0F1B3B67" w:rsidR="00B51BF9" w:rsidRPr="001B1244" w:rsidRDefault="00B51BF9" w:rsidP="00CA01FD">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Meyers, B. C., Dickerman, A. W., Michelmore, R. W., Sobral, B. W., &amp; Young, N. D. (1999). </w:t>
      </w:r>
      <w:proofErr w:type="gramStart"/>
      <w:r w:rsidRPr="001B1244">
        <w:rPr>
          <w:rFonts w:ascii="Arial" w:hAnsi="Arial" w:cs="Arial"/>
          <w:color w:val="000000" w:themeColor="text1"/>
          <w:sz w:val="22"/>
          <w:szCs w:val="22"/>
        </w:rPr>
        <w:t>Plant disease resistance genes</w:t>
      </w:r>
      <w:proofErr w:type="gramEnd"/>
      <w:r w:rsidRPr="001B1244">
        <w:rPr>
          <w:rFonts w:ascii="Arial" w:hAnsi="Arial" w:cs="Arial"/>
          <w:color w:val="000000" w:themeColor="text1"/>
          <w:sz w:val="22"/>
          <w:szCs w:val="22"/>
        </w:rPr>
        <w:t xml:space="preserve"> encode members of an ancient and diverse protein family within the nucleotide</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binding superfamily.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16.</w:t>
      </w:r>
    </w:p>
    <w:p w14:paraId="033C6AFF" w14:textId="77777777" w:rsidR="00541BD0" w:rsidRPr="001B1244" w:rsidRDefault="003176BE" w:rsidP="00CA01FD">
      <w:pPr>
        <w:spacing w:line="360" w:lineRule="auto"/>
        <w:ind w:left="480" w:hanging="480"/>
        <w:rPr>
          <w:rFonts w:ascii="Arial" w:hAnsi="Arial" w:cs="Arial"/>
          <w:color w:val="222222"/>
          <w:sz w:val="22"/>
          <w:szCs w:val="22"/>
          <w:shd w:val="clear" w:color="auto" w:fill="FFFFFF"/>
        </w:rPr>
      </w:pPr>
      <w:r w:rsidRPr="001B1244">
        <w:rPr>
          <w:rFonts w:ascii="Arial" w:hAnsi="Arial" w:cs="Arial"/>
          <w:color w:val="222222"/>
          <w:sz w:val="22"/>
          <w:szCs w:val="22"/>
          <w:shd w:val="clear" w:color="auto" w:fill="FFFFFF"/>
        </w:rPr>
        <w:t>Meyer, D., Pajonk, S., Micali, C., O’Connell, R., &amp; Schulze</w:t>
      </w:r>
      <w:r w:rsidRPr="001B1244">
        <w:rPr>
          <w:rFonts w:ascii="Cambria Math" w:hAnsi="Cambria Math" w:cs="Cambria Math"/>
          <w:color w:val="222222"/>
          <w:sz w:val="22"/>
          <w:szCs w:val="22"/>
          <w:shd w:val="clear" w:color="auto" w:fill="FFFFFF"/>
        </w:rPr>
        <w:t>‐</w:t>
      </w:r>
      <w:r w:rsidRPr="001B1244">
        <w:rPr>
          <w:rFonts w:ascii="Arial" w:hAnsi="Arial" w:cs="Arial"/>
          <w:color w:val="222222"/>
          <w:sz w:val="22"/>
          <w:szCs w:val="22"/>
          <w:shd w:val="clear" w:color="auto" w:fill="FFFFFF"/>
        </w:rPr>
        <w:t>Lefert, P. (2009). Extracellular transport and integration of plant secretory proteins into pathogen</w:t>
      </w:r>
      <w:r w:rsidRPr="001B1244">
        <w:rPr>
          <w:rFonts w:ascii="Cambria Math" w:hAnsi="Cambria Math" w:cs="Cambria Math"/>
          <w:color w:val="222222"/>
          <w:sz w:val="22"/>
          <w:szCs w:val="22"/>
          <w:shd w:val="clear" w:color="auto" w:fill="FFFFFF"/>
        </w:rPr>
        <w:t>‐</w:t>
      </w:r>
      <w:r w:rsidRPr="001B1244">
        <w:rPr>
          <w:rFonts w:ascii="Arial" w:hAnsi="Arial" w:cs="Arial"/>
          <w:color w:val="222222"/>
          <w:sz w:val="22"/>
          <w:szCs w:val="22"/>
          <w:shd w:val="clear" w:color="auto" w:fill="FFFFFF"/>
        </w:rPr>
        <w:t>induced cell wall compartments.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The Plant Journal</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57</w:t>
      </w:r>
      <w:r w:rsidRPr="001B1244">
        <w:rPr>
          <w:rFonts w:ascii="Arial" w:hAnsi="Arial" w:cs="Arial"/>
          <w:color w:val="222222"/>
          <w:sz w:val="22"/>
          <w:szCs w:val="22"/>
          <w:shd w:val="clear" w:color="auto" w:fill="FFFFFF"/>
        </w:rPr>
        <w:t>(6), 986-999</w:t>
      </w:r>
    </w:p>
    <w:p w14:paraId="35B45FF1" w14:textId="27027DFD" w:rsidR="00B51BF9" w:rsidRPr="001B1244" w:rsidRDefault="00B51BF9" w:rsidP="00C312F7">
      <w:pPr>
        <w:spacing w:line="360" w:lineRule="auto"/>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Mitchell, W. A. (1988).</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color w:val="000000" w:themeColor="text1"/>
          <w:sz w:val="22"/>
          <w:szCs w:val="22"/>
        </w:rPr>
        <w:t>Flowering dogwood</w:t>
      </w:r>
      <w:r w:rsidRPr="001B1244">
        <w:rPr>
          <w:rFonts w:ascii="Arial" w:hAnsi="Arial" w:cs="Arial"/>
          <w:i/>
          <w:iCs/>
          <w:color w:val="000000" w:themeColor="text1"/>
          <w:sz w:val="22"/>
          <w:szCs w:val="22"/>
        </w:rPr>
        <w:t xml:space="preserve"> (Cornus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i/>
          <w:iCs/>
          <w:color w:val="000000" w:themeColor="text1"/>
          <w:sz w:val="22"/>
          <w:szCs w:val="22"/>
        </w:rPr>
        <w:t>)</w:t>
      </w:r>
      <w:r w:rsidRPr="001B1244">
        <w:rPr>
          <w:rFonts w:ascii="Arial" w:hAnsi="Arial" w:cs="Arial"/>
          <w:color w:val="000000" w:themeColor="text1"/>
          <w:sz w:val="22"/>
          <w:szCs w:val="22"/>
          <w:shd w:val="clear" w:color="auto" w:fill="FFFFFF"/>
        </w:rPr>
        <w:t>. US Army Corps of Engineers; July.</w:t>
      </w:r>
    </w:p>
    <w:p w14:paraId="63D15F44" w14:textId="171468F8"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Mmbaga, M. T., &amp; Sauve, R. J. (2004). Multiple disease resistance in dogwoods (</w:t>
      </w:r>
      <w:r w:rsidRPr="001B1244">
        <w:rPr>
          <w:rFonts w:ascii="Arial" w:hAnsi="Arial" w:cs="Arial"/>
          <w:i/>
          <w:iCs/>
          <w:color w:val="000000" w:themeColor="text1"/>
          <w:sz w:val="22"/>
          <w:szCs w:val="22"/>
          <w:shd w:val="clear" w:color="auto" w:fill="FFFFFF"/>
        </w:rPr>
        <w:t>Cornus</w:t>
      </w:r>
      <w:r w:rsidRPr="001B1244">
        <w:rPr>
          <w:rFonts w:ascii="Arial" w:hAnsi="Arial" w:cs="Arial"/>
          <w:color w:val="000000" w:themeColor="text1"/>
          <w:sz w:val="22"/>
          <w:szCs w:val="22"/>
          <w:shd w:val="clear" w:color="auto" w:fill="FFFFFF"/>
        </w:rPr>
        <w:t xml:space="preserve"> spp.) to foliar pathogens.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Journal of Arboriculture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30</w:t>
      </w:r>
      <w:r w:rsidRPr="001B1244">
        <w:rPr>
          <w:rFonts w:ascii="Arial" w:hAnsi="Arial" w:cs="Arial"/>
          <w:color w:val="000000" w:themeColor="text1"/>
          <w:sz w:val="22"/>
          <w:szCs w:val="22"/>
          <w:shd w:val="clear" w:color="auto" w:fill="FFFFFF"/>
        </w:rPr>
        <w:t xml:space="preserve">(2), 101-107. </w:t>
      </w:r>
    </w:p>
    <w:p w14:paraId="72408ED0"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Molnar, T. J., Muehlbauer, M., Wadl, P. A., &amp; Capik, J. M. (2017). ‘Rutpink’ (Scarlet Fire®) Kousa Dogwood. </w:t>
      </w:r>
      <w:r w:rsidRPr="001B1244">
        <w:rPr>
          <w:rFonts w:ascii="Arial" w:hAnsi="Arial" w:cs="Arial"/>
          <w:i/>
          <w:color w:val="000000" w:themeColor="text1"/>
          <w:sz w:val="22"/>
          <w:szCs w:val="22"/>
        </w:rPr>
        <w:t>HortScience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52</w:t>
      </w:r>
      <w:r w:rsidRPr="001B1244">
        <w:rPr>
          <w:rFonts w:ascii="Arial" w:hAnsi="Arial" w:cs="Arial"/>
          <w:color w:val="000000" w:themeColor="text1"/>
          <w:sz w:val="22"/>
          <w:szCs w:val="22"/>
        </w:rPr>
        <w:t xml:space="preserve">(10), 1438–1442. </w:t>
      </w:r>
      <w:hyperlink r:id="rId145" w:history="1">
        <w:r w:rsidRPr="001B1244">
          <w:rPr>
            <w:rFonts w:ascii="Arial" w:hAnsi="Arial" w:cs="Arial"/>
            <w:color w:val="000000" w:themeColor="text1"/>
            <w:sz w:val="22"/>
            <w:szCs w:val="22"/>
            <w:u w:val="single"/>
          </w:rPr>
          <w:t>https://doi.org/10.21273/HORTSCI12242-17</w:t>
        </w:r>
      </w:hyperlink>
    </w:p>
    <w:p w14:paraId="31B3BCF8"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Morozova, O., &amp; Marra, M. A. (2008). Applications of next-generation sequencing technologies in functional genomics. </w:t>
      </w:r>
      <w:r w:rsidRPr="001B1244">
        <w:rPr>
          <w:rFonts w:ascii="Arial" w:hAnsi="Arial" w:cs="Arial"/>
          <w:i/>
          <w:color w:val="000000" w:themeColor="text1"/>
          <w:sz w:val="22"/>
          <w:szCs w:val="22"/>
        </w:rPr>
        <w:t>Genomics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92</w:t>
      </w:r>
      <w:r w:rsidRPr="001B1244">
        <w:rPr>
          <w:rFonts w:ascii="Arial" w:hAnsi="Arial" w:cs="Arial"/>
          <w:color w:val="000000" w:themeColor="text1"/>
          <w:sz w:val="22"/>
          <w:szCs w:val="22"/>
        </w:rPr>
        <w:t xml:space="preserve">(5), 255–264. </w:t>
      </w:r>
      <w:hyperlink r:id="rId146" w:history="1">
        <w:r w:rsidRPr="001B1244">
          <w:rPr>
            <w:rFonts w:ascii="Arial" w:hAnsi="Arial" w:cs="Arial"/>
            <w:color w:val="000000" w:themeColor="text1"/>
            <w:sz w:val="22"/>
            <w:szCs w:val="22"/>
            <w:u w:val="single"/>
          </w:rPr>
          <w:t>https://doi.org/10.1016/j.ygeno.2008.07.001</w:t>
        </w:r>
      </w:hyperlink>
    </w:p>
    <w:p w14:paraId="5765563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Moyano, E., &amp; Martínez-Garcia, J. F. (1996). </w:t>
      </w:r>
      <w:r w:rsidRPr="001B1244">
        <w:rPr>
          <w:rFonts w:ascii="Arial" w:hAnsi="Arial" w:cs="Arial"/>
          <w:i/>
          <w:color w:val="000000" w:themeColor="text1"/>
          <w:sz w:val="22"/>
          <w:szCs w:val="22"/>
        </w:rPr>
        <w:t>Apparent Redundancy in myb Gene Function Provides Gearing for the Control of Flavonoid Biosynthesis in Antirrhinum Flowers</w:t>
      </w:r>
      <w:r w:rsidRPr="001B1244">
        <w:rPr>
          <w:rFonts w:ascii="Arial" w:hAnsi="Arial" w:cs="Arial"/>
          <w:color w:val="000000" w:themeColor="text1"/>
          <w:sz w:val="22"/>
          <w:szCs w:val="22"/>
        </w:rPr>
        <w:t>. 14.</w:t>
      </w:r>
    </w:p>
    <w:p w14:paraId="65A9CAA1"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Muller, H. J. (1964). The relation of recombination to mutational advance. </w:t>
      </w:r>
      <w:r w:rsidRPr="001B1244">
        <w:rPr>
          <w:rFonts w:ascii="Arial" w:hAnsi="Arial" w:cs="Arial"/>
          <w:i/>
          <w:iCs/>
          <w:color w:val="000000" w:themeColor="text1"/>
          <w:sz w:val="22"/>
          <w:szCs w:val="22"/>
        </w:rPr>
        <w:t>Mutation Research/Fundamental and Molecular Mechanisms of Mutagenesis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w:t>
      </w:r>
      <w:r w:rsidRPr="001B1244">
        <w:rPr>
          <w:rFonts w:ascii="Arial" w:hAnsi="Arial" w:cs="Arial"/>
          <w:color w:val="000000" w:themeColor="text1"/>
          <w:sz w:val="22"/>
          <w:szCs w:val="22"/>
        </w:rPr>
        <w:t xml:space="preserve">(1), 2–9. </w:t>
      </w:r>
      <w:hyperlink r:id="rId147" w:history="1">
        <w:r w:rsidRPr="001B1244">
          <w:rPr>
            <w:rFonts w:ascii="Arial" w:hAnsi="Arial" w:cs="Arial"/>
            <w:color w:val="000000" w:themeColor="text1"/>
            <w:sz w:val="22"/>
            <w:szCs w:val="22"/>
            <w:u w:val="single"/>
          </w:rPr>
          <w:t>https://doi.org/10.1016/0027-5107(64)90047-8</w:t>
        </w:r>
      </w:hyperlink>
    </w:p>
    <w:p w14:paraId="3DCF8158"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Naing, A. H., Ai, T. N., Lim, K. B., Lee, I. J., &amp; Kim, C. K. (2018). Overexpression of Rosea1 From Snapdragon Enhances Anthocyanin Accumulation and Abiotic Stress Tolerance in Transgenic Tobacco. </w:t>
      </w:r>
      <w:r w:rsidRPr="001B1244">
        <w:rPr>
          <w:rFonts w:ascii="Arial" w:hAnsi="Arial" w:cs="Arial"/>
          <w:i/>
          <w:color w:val="000000" w:themeColor="text1"/>
          <w:sz w:val="22"/>
          <w:szCs w:val="22"/>
        </w:rPr>
        <w:t>Frontiers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w:t>
      </w:r>
      <w:r w:rsidRPr="001B1244">
        <w:rPr>
          <w:rFonts w:ascii="Arial" w:hAnsi="Arial" w:cs="Arial"/>
          <w:color w:val="000000" w:themeColor="text1"/>
          <w:sz w:val="22"/>
          <w:szCs w:val="22"/>
        </w:rPr>
        <w:t xml:space="preserve">, 1070. </w:t>
      </w:r>
      <w:hyperlink r:id="rId148" w:history="1">
        <w:r w:rsidRPr="001B1244">
          <w:rPr>
            <w:rFonts w:ascii="Arial" w:hAnsi="Arial" w:cs="Arial"/>
            <w:color w:val="000000" w:themeColor="text1"/>
            <w:sz w:val="22"/>
            <w:szCs w:val="22"/>
            <w:u w:val="single"/>
          </w:rPr>
          <w:t>https://doi.org/10.3389/fpls.2018.01070</w:t>
        </w:r>
      </w:hyperlink>
    </w:p>
    <w:p w14:paraId="5CA1D44D"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Naing, A. H., &amp; Kim, C. K. (2018). Roles of R2R3-MYB transcription factors in transcriptional regulation of anthocyanin biosynthesis in horticultural plants. </w:t>
      </w:r>
      <w:r w:rsidRPr="001B1244">
        <w:rPr>
          <w:rFonts w:ascii="Arial" w:hAnsi="Arial" w:cs="Arial"/>
          <w:i/>
          <w:color w:val="000000" w:themeColor="text1"/>
          <w:sz w:val="22"/>
          <w:szCs w:val="22"/>
        </w:rPr>
        <w:t>Plant Molecular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98</w:t>
      </w:r>
      <w:r w:rsidRPr="001B1244">
        <w:rPr>
          <w:rFonts w:ascii="Arial" w:hAnsi="Arial" w:cs="Arial"/>
          <w:color w:val="000000" w:themeColor="text1"/>
          <w:sz w:val="22"/>
          <w:szCs w:val="22"/>
        </w:rPr>
        <w:t xml:space="preserve">(1–2), 1–18. </w:t>
      </w:r>
      <w:hyperlink r:id="rId149" w:history="1">
        <w:r w:rsidRPr="001B1244">
          <w:rPr>
            <w:rFonts w:ascii="Arial" w:hAnsi="Arial" w:cs="Arial"/>
            <w:color w:val="000000" w:themeColor="text1"/>
            <w:sz w:val="22"/>
            <w:szCs w:val="22"/>
            <w:u w:val="single"/>
          </w:rPr>
          <w:t>https://doi.org/10.1007/s11103-018-0771-4</w:t>
        </w:r>
      </w:hyperlink>
    </w:p>
    <w:p w14:paraId="475A64D0"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Nakatsuka, T., Haruta, K. S., Pitaksutheepong, C., Abe, Y., Kakizaki, Y., Yamamoto, K., Shimada, N., Yamamura, S., &amp; Nishihara, M. (2008). Identification and Characterization of R2R3-MYB and bHLH Transcription Factors Regulating Anthocyanin Biosynthesis in Gentian Flowers. </w:t>
      </w:r>
      <w:r w:rsidRPr="001B1244">
        <w:rPr>
          <w:rFonts w:ascii="Arial" w:hAnsi="Arial" w:cs="Arial"/>
          <w:i/>
          <w:color w:val="000000" w:themeColor="text1"/>
          <w:sz w:val="22"/>
          <w:szCs w:val="22"/>
        </w:rPr>
        <w:t>Plant and Cell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49</w:t>
      </w:r>
      <w:r w:rsidRPr="001B1244">
        <w:rPr>
          <w:rFonts w:ascii="Arial" w:hAnsi="Arial" w:cs="Arial"/>
          <w:color w:val="000000" w:themeColor="text1"/>
          <w:sz w:val="22"/>
          <w:szCs w:val="22"/>
        </w:rPr>
        <w:t xml:space="preserve">(12), 1818–1829. </w:t>
      </w:r>
      <w:hyperlink r:id="rId150" w:history="1">
        <w:r w:rsidRPr="001B1244">
          <w:rPr>
            <w:rFonts w:ascii="Arial" w:hAnsi="Arial" w:cs="Arial"/>
            <w:color w:val="000000" w:themeColor="text1"/>
            <w:sz w:val="22"/>
            <w:szCs w:val="22"/>
            <w:u w:val="single"/>
          </w:rPr>
          <w:t>https://doi.org/10.1093/pcp/pcn163</w:t>
        </w:r>
      </w:hyperlink>
    </w:p>
    <w:p w14:paraId="63A4138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Nelson, W. A., &amp; Crone, E. E. (1999). </w:t>
      </w:r>
      <w:r w:rsidRPr="001B1244">
        <w:rPr>
          <w:rFonts w:ascii="Arial" w:hAnsi="Arial" w:cs="Arial"/>
          <w:i/>
          <w:iCs/>
          <w:color w:val="000000" w:themeColor="text1"/>
          <w:sz w:val="22"/>
          <w:szCs w:val="22"/>
        </w:rPr>
        <w:t>Genetics and Analysis of Quantitative Traits</w:t>
      </w:r>
    </w:p>
    <w:p w14:paraId="288F3AA1"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Nesi, N., Jond, C., Debeaujon, I., Caboche, M., &amp; Lepiniec, L. (2001). The Arabidopsis TT2 gene encodes an R2R3 MYB domain protein that acts as a key determinant for proanthocyanidin accumulation in developing seed.</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 Plant Cell</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13</w:t>
      </w:r>
      <w:r w:rsidRPr="001B1244">
        <w:rPr>
          <w:rFonts w:ascii="Arial" w:hAnsi="Arial" w:cs="Arial"/>
          <w:color w:val="000000" w:themeColor="text1"/>
          <w:sz w:val="22"/>
          <w:szCs w:val="22"/>
          <w:shd w:val="clear" w:color="auto" w:fill="FFFFFF"/>
        </w:rPr>
        <w:t>(9), 2099-2114.</w:t>
      </w:r>
    </w:p>
    <w:p w14:paraId="19C8F8A0"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Nguyen, N. H., Jeong, C. Y., Kang, G., Yoo, S., Hong, S., &amp; Lee, H. (2015). </w:t>
      </w:r>
      <w:r w:rsidRPr="001B1244">
        <w:rPr>
          <w:rFonts w:ascii="Arial" w:hAnsi="Arial" w:cs="Arial"/>
          <w:smallCaps/>
          <w:color w:val="000000" w:themeColor="text1"/>
          <w:sz w:val="22"/>
          <w:szCs w:val="22"/>
        </w:rPr>
        <w:t>MYBD</w:t>
      </w:r>
      <w:r w:rsidRPr="001B1244">
        <w:rPr>
          <w:rFonts w:ascii="Arial" w:hAnsi="Arial" w:cs="Arial"/>
          <w:color w:val="000000" w:themeColor="text1"/>
          <w:sz w:val="22"/>
          <w:szCs w:val="22"/>
        </w:rPr>
        <w:t xml:space="preserve"> employed by </w:t>
      </w:r>
      <w:r w:rsidRPr="001B1244">
        <w:rPr>
          <w:rFonts w:ascii="Arial" w:hAnsi="Arial" w:cs="Arial"/>
          <w:smallCaps/>
          <w:color w:val="000000" w:themeColor="text1"/>
          <w:sz w:val="22"/>
          <w:szCs w:val="22"/>
        </w:rPr>
        <w:t>HY</w:t>
      </w:r>
      <w:r w:rsidRPr="001B1244">
        <w:rPr>
          <w:rFonts w:ascii="Arial" w:hAnsi="Arial" w:cs="Arial"/>
          <w:color w:val="000000" w:themeColor="text1"/>
          <w:sz w:val="22"/>
          <w:szCs w:val="22"/>
        </w:rPr>
        <w:t xml:space="preserve"> 5 increases anthocyanin accumulation via repression of </w:t>
      </w:r>
      <w:r w:rsidRPr="001B1244">
        <w:rPr>
          <w:rFonts w:ascii="Arial" w:hAnsi="Arial" w:cs="Arial"/>
          <w:i/>
          <w:smallCaps/>
          <w:color w:val="000000" w:themeColor="text1"/>
          <w:sz w:val="22"/>
          <w:szCs w:val="22"/>
        </w:rPr>
        <w:t>MYBL</w:t>
      </w:r>
      <w:r w:rsidRPr="001B1244">
        <w:rPr>
          <w:rFonts w:ascii="Arial" w:hAnsi="Arial" w:cs="Arial"/>
          <w:i/>
          <w:color w:val="000000" w:themeColor="text1"/>
          <w:sz w:val="22"/>
          <w:szCs w:val="22"/>
        </w:rPr>
        <w:t xml:space="preserve"> 2 </w:t>
      </w:r>
      <w:r w:rsidRPr="001B1244">
        <w:rPr>
          <w:rFonts w:ascii="Arial" w:hAnsi="Arial" w:cs="Arial"/>
          <w:color w:val="000000" w:themeColor="text1"/>
          <w:sz w:val="22"/>
          <w:szCs w:val="22"/>
        </w:rPr>
        <w:t xml:space="preserve">in Arabidopsis.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84</w:t>
      </w:r>
      <w:r w:rsidRPr="001B1244">
        <w:rPr>
          <w:rFonts w:ascii="Arial" w:hAnsi="Arial" w:cs="Arial"/>
          <w:color w:val="000000" w:themeColor="text1"/>
          <w:sz w:val="22"/>
          <w:szCs w:val="22"/>
        </w:rPr>
        <w:t xml:space="preserve">(6), 1192–1205. </w:t>
      </w:r>
      <w:hyperlink r:id="rId151" w:history="1">
        <w:r w:rsidRPr="001B1244">
          <w:rPr>
            <w:rFonts w:ascii="Arial" w:hAnsi="Arial" w:cs="Arial"/>
            <w:color w:val="000000" w:themeColor="text1"/>
            <w:sz w:val="22"/>
            <w:szCs w:val="22"/>
            <w:u w:val="single"/>
          </w:rPr>
          <w:t>https://doi.org/10.1111/tpj.13077</w:t>
        </w:r>
      </w:hyperlink>
    </w:p>
    <w:p w14:paraId="4DF6C63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Nowicki, M., Houston, L. C., Boggess, S. L., Aiello, A. S., Payá</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Milans, M., Staton, M. E., Hayashida, M., Yamanaka, M., Eda, S., &amp; Trigiano, R. N. (2020). Species diversity and phylogeography of </w:t>
      </w:r>
      <w:r w:rsidRPr="001B1244">
        <w:rPr>
          <w:rFonts w:ascii="Arial" w:hAnsi="Arial" w:cs="Arial"/>
          <w:i/>
          <w:color w:val="000000" w:themeColor="text1"/>
          <w:sz w:val="22"/>
          <w:szCs w:val="22"/>
        </w:rPr>
        <w:t>Cornus kousa</w:t>
      </w:r>
      <w:r w:rsidRPr="001B1244">
        <w:rPr>
          <w:rFonts w:ascii="Arial" w:hAnsi="Arial" w:cs="Arial"/>
          <w:color w:val="000000" w:themeColor="text1"/>
          <w:sz w:val="22"/>
          <w:szCs w:val="22"/>
        </w:rPr>
        <w:t xml:space="preserve"> (Asian dogwood) captured by genomic and genic microsatellites. </w:t>
      </w:r>
      <w:r w:rsidRPr="001B1244">
        <w:rPr>
          <w:rFonts w:ascii="Arial" w:hAnsi="Arial" w:cs="Arial"/>
          <w:i/>
          <w:color w:val="000000" w:themeColor="text1"/>
          <w:sz w:val="22"/>
          <w:szCs w:val="22"/>
        </w:rPr>
        <w:t>Ecology and Evolution</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(15), 8299–8312. </w:t>
      </w:r>
      <w:hyperlink r:id="rId152" w:history="1">
        <w:r w:rsidRPr="001B1244">
          <w:rPr>
            <w:rFonts w:ascii="Arial" w:hAnsi="Arial" w:cs="Arial"/>
            <w:color w:val="000000" w:themeColor="text1"/>
            <w:sz w:val="22"/>
            <w:szCs w:val="22"/>
            <w:u w:val="single"/>
          </w:rPr>
          <w:t>https://doi.org/10.1002/ece3.6537</w:t>
        </w:r>
      </w:hyperlink>
    </w:p>
    <w:p w14:paraId="0F1E7596"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Ohta, M., Matsui, K., Hiratsu, K., Shinshi, H., &amp; Ohme-Takagi, M. (2001). Repression domains of class II ERF transcriptional repressors share an essential motif for active repression.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 plant cell</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13</w:t>
      </w:r>
      <w:r w:rsidRPr="001B1244">
        <w:rPr>
          <w:rFonts w:ascii="Arial" w:hAnsi="Arial" w:cs="Arial"/>
          <w:color w:val="000000" w:themeColor="text1"/>
          <w:sz w:val="22"/>
          <w:szCs w:val="22"/>
          <w:shd w:val="clear" w:color="auto" w:fill="FFFFFF"/>
        </w:rPr>
        <w:t>(8), 1959-1968.</w:t>
      </w:r>
    </w:p>
    <w:p w14:paraId="1E91B3E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Okogbenin, E., Marin, J., &amp; Fregene, M. (2008). QTL analysis for early yield in a pseudo F2 population of cassava.</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African Journal of Biotechnology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7</w:t>
      </w:r>
      <w:r w:rsidRPr="001B1244">
        <w:rPr>
          <w:rFonts w:ascii="Arial" w:hAnsi="Arial" w:cs="Arial"/>
          <w:color w:val="000000" w:themeColor="text1"/>
          <w:sz w:val="22"/>
          <w:szCs w:val="22"/>
          <w:shd w:val="clear" w:color="auto" w:fill="FFFFFF"/>
        </w:rPr>
        <w:t>(2).</w:t>
      </w:r>
    </w:p>
    <w:p w14:paraId="56AFE93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Olmstead, J. W., Lang, G. A., &amp; Grove, G. G. (2001). Inheritance of Powdery Mildew Resistance in Sweet Cherry. </w:t>
      </w:r>
      <w:r w:rsidRPr="001B1244">
        <w:rPr>
          <w:rFonts w:ascii="Arial" w:hAnsi="Arial" w:cs="Arial"/>
          <w:i/>
          <w:iCs/>
          <w:color w:val="000000" w:themeColor="text1"/>
          <w:sz w:val="22"/>
          <w:szCs w:val="22"/>
        </w:rPr>
        <w:t>HortScience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36</w:t>
      </w:r>
      <w:r w:rsidRPr="001B1244">
        <w:rPr>
          <w:rFonts w:ascii="Arial" w:hAnsi="Arial" w:cs="Arial"/>
          <w:color w:val="000000" w:themeColor="text1"/>
          <w:sz w:val="22"/>
          <w:szCs w:val="22"/>
        </w:rPr>
        <w:t xml:space="preserve">(2), 337–340. </w:t>
      </w:r>
      <w:hyperlink r:id="rId153" w:history="1">
        <w:r w:rsidRPr="001B1244">
          <w:rPr>
            <w:rFonts w:ascii="Arial" w:hAnsi="Arial" w:cs="Arial"/>
            <w:color w:val="000000" w:themeColor="text1"/>
            <w:sz w:val="22"/>
            <w:szCs w:val="22"/>
            <w:u w:val="single"/>
          </w:rPr>
          <w:t>https://doi.org/10.21273/HORTSCI.36.2.337</w:t>
        </w:r>
      </w:hyperlink>
    </w:p>
    <w:p w14:paraId="35935261"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Omer, S., Kumar, S., &amp; Khan, B. M. (2013). Over-expression of a subgroup 4 R2R3 </w:t>
      </w:r>
      <w:proofErr w:type="gramStart"/>
      <w:r w:rsidRPr="001B1244">
        <w:rPr>
          <w:rFonts w:ascii="Arial" w:hAnsi="Arial" w:cs="Arial"/>
          <w:color w:val="000000" w:themeColor="text1"/>
          <w:sz w:val="22"/>
          <w:szCs w:val="22"/>
        </w:rPr>
        <w:t>type MYB transcription factor gene</w:t>
      </w:r>
      <w:proofErr w:type="gramEnd"/>
      <w:r w:rsidRPr="001B1244">
        <w:rPr>
          <w:rFonts w:ascii="Arial" w:hAnsi="Arial" w:cs="Arial"/>
          <w:color w:val="000000" w:themeColor="text1"/>
          <w:sz w:val="22"/>
          <w:szCs w:val="22"/>
        </w:rPr>
        <w:t xml:space="preserve"> from </w:t>
      </w:r>
      <w:r w:rsidRPr="001B1244">
        <w:rPr>
          <w:rFonts w:ascii="Arial" w:hAnsi="Arial" w:cs="Arial"/>
          <w:i/>
          <w:iCs/>
          <w:color w:val="000000" w:themeColor="text1"/>
          <w:sz w:val="22"/>
          <w:szCs w:val="22"/>
        </w:rPr>
        <w:t>Leucaena leucocephala</w:t>
      </w:r>
      <w:r w:rsidRPr="001B1244">
        <w:rPr>
          <w:rFonts w:ascii="Arial" w:hAnsi="Arial" w:cs="Arial"/>
          <w:color w:val="000000" w:themeColor="text1"/>
          <w:sz w:val="22"/>
          <w:szCs w:val="22"/>
        </w:rPr>
        <w:t xml:space="preserve"> reduces lignin content in transgenic tobacco. </w:t>
      </w:r>
      <w:r w:rsidRPr="001B1244">
        <w:rPr>
          <w:rFonts w:ascii="Arial" w:hAnsi="Arial" w:cs="Arial"/>
          <w:i/>
          <w:color w:val="000000" w:themeColor="text1"/>
          <w:sz w:val="22"/>
          <w:szCs w:val="22"/>
        </w:rPr>
        <w:t>Plant Cell Reports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32</w:t>
      </w:r>
      <w:r w:rsidRPr="001B1244">
        <w:rPr>
          <w:rFonts w:ascii="Arial" w:hAnsi="Arial" w:cs="Arial"/>
          <w:color w:val="000000" w:themeColor="text1"/>
          <w:sz w:val="22"/>
          <w:szCs w:val="22"/>
        </w:rPr>
        <w:t xml:space="preserve">(1), 161–171. </w:t>
      </w:r>
      <w:hyperlink r:id="rId154" w:history="1">
        <w:r w:rsidRPr="001B1244">
          <w:rPr>
            <w:rFonts w:ascii="Arial" w:hAnsi="Arial" w:cs="Arial"/>
            <w:color w:val="000000" w:themeColor="text1"/>
            <w:sz w:val="22"/>
            <w:szCs w:val="22"/>
            <w:u w:val="single"/>
          </w:rPr>
          <w:t>https://doi.org/10.1007/s00299-012-1350-9</w:t>
        </w:r>
      </w:hyperlink>
    </w:p>
    <w:p w14:paraId="6FCC13D3" w14:textId="4DA2CA08"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Onda, Y., Takahagi, K., Shimizu, M., Inoue, K., &amp; Mochida, K. (2018). Multiplex PCR Targeted Amplicon Sequencing (MTA-Seq): Simple, Flexible, and Versatile SNP Genotyping by Highly Multiplexed PCR Amplicon Sequencing. </w:t>
      </w:r>
      <w:r w:rsidRPr="001B1244">
        <w:rPr>
          <w:rFonts w:ascii="Arial" w:hAnsi="Arial" w:cs="Arial"/>
          <w:i/>
          <w:iCs/>
          <w:color w:val="000000" w:themeColor="text1"/>
          <w:sz w:val="22"/>
          <w:szCs w:val="22"/>
        </w:rPr>
        <w:t>Frontiers in Plant Science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9</w:t>
      </w:r>
      <w:r w:rsidRPr="001B1244">
        <w:rPr>
          <w:rFonts w:ascii="Arial" w:hAnsi="Arial" w:cs="Arial"/>
          <w:color w:val="000000" w:themeColor="text1"/>
          <w:sz w:val="22"/>
          <w:szCs w:val="22"/>
        </w:rPr>
        <w:t xml:space="preserve">, 201. </w:t>
      </w:r>
      <w:hyperlink r:id="rId155" w:history="1">
        <w:r w:rsidRPr="001B1244">
          <w:rPr>
            <w:rFonts w:ascii="Arial" w:hAnsi="Arial" w:cs="Arial"/>
            <w:color w:val="000000" w:themeColor="text1"/>
            <w:sz w:val="22"/>
            <w:szCs w:val="22"/>
            <w:u w:val="single"/>
          </w:rPr>
          <w:t>https://doi.org/10.3389/fpls.2018.00201</w:t>
        </w:r>
      </w:hyperlink>
    </w:p>
    <w:p w14:paraId="792D79AE" w14:textId="1547D2ED" w:rsidR="009D05F2" w:rsidRPr="001B1244" w:rsidRDefault="009D05F2" w:rsidP="00C312F7">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Panstruga, R. (2004). A golden shot: how ballistic single cell transformation boosts the molecular analysis of cereal–mildew interactions.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Molecular Plant Pathology</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5</w:t>
      </w:r>
      <w:r w:rsidRPr="001B1244">
        <w:rPr>
          <w:rFonts w:ascii="Arial" w:hAnsi="Arial" w:cs="Arial"/>
          <w:color w:val="222222"/>
          <w:sz w:val="22"/>
          <w:szCs w:val="22"/>
          <w:shd w:val="clear" w:color="auto" w:fill="FFFFFF"/>
        </w:rPr>
        <w:t>(2), 141-148.</w:t>
      </w:r>
    </w:p>
    <w:p w14:paraId="03217586"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Parikh, L., Mmbaga, M. T., Meru, G., Zhang, G., Mackasmiel, L., Wadl, P. A., Wang, X., &amp; Trigiano, R. N. (2017). Quantitative trait loci associated with resistance to powdery mildew in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Scientia Horticulturae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226</w:t>
      </w:r>
      <w:r w:rsidRPr="001B1244">
        <w:rPr>
          <w:rFonts w:ascii="Arial" w:hAnsi="Arial" w:cs="Arial"/>
          <w:color w:val="000000" w:themeColor="text1"/>
          <w:sz w:val="22"/>
          <w:szCs w:val="22"/>
        </w:rPr>
        <w:t xml:space="preserve">, 322–326. </w:t>
      </w:r>
      <w:hyperlink r:id="rId156" w:history="1">
        <w:r w:rsidRPr="001B1244">
          <w:rPr>
            <w:rFonts w:ascii="Arial" w:hAnsi="Arial" w:cs="Arial"/>
            <w:color w:val="000000" w:themeColor="text1"/>
            <w:sz w:val="22"/>
            <w:szCs w:val="22"/>
            <w:u w:val="single"/>
          </w:rPr>
          <w:t>https://doi.org/10.1016/j.scienta.2017.08.044</w:t>
        </w:r>
      </w:hyperlink>
    </w:p>
    <w:p w14:paraId="35A65080"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Parikh, L., Mmbaga, M. T., Kodati, S., Blair, M., Hui, D., &amp; Meru, G. (2016a). Broad-sense heritability and genetic gain for powdery mildew resistance in multiple pseudo-F2 populations of flowering dogwoods (</w:t>
      </w:r>
      <w:r w:rsidRPr="001B1244">
        <w:rPr>
          <w:rFonts w:ascii="Arial" w:hAnsi="Arial" w:cs="Arial"/>
          <w:i/>
          <w:iCs/>
          <w:color w:val="000000" w:themeColor="text1"/>
          <w:sz w:val="22"/>
          <w:szCs w:val="22"/>
          <w:shd w:val="clear" w:color="auto" w:fill="FFFFFF"/>
        </w:rPr>
        <w:t xml:space="preserve">Cornus </w:t>
      </w:r>
      <w:proofErr w:type="gramStart"/>
      <w:r w:rsidRPr="001B1244">
        <w:rPr>
          <w:rFonts w:ascii="Arial" w:hAnsi="Arial" w:cs="Arial"/>
          <w:i/>
          <w:iCs/>
          <w:color w:val="000000" w:themeColor="text1"/>
          <w:sz w:val="22"/>
          <w:szCs w:val="22"/>
          <w:shd w:val="clear" w:color="auto" w:fill="FFFFFF"/>
        </w:rPr>
        <w:t>florida</w:t>
      </w:r>
      <w:proofErr w:type="gramEnd"/>
      <w:r w:rsidRPr="001B1244">
        <w:rPr>
          <w:rFonts w:ascii="Arial" w:hAnsi="Arial" w:cs="Arial"/>
          <w:color w:val="000000" w:themeColor="text1"/>
          <w:sz w:val="22"/>
          <w:szCs w:val="22"/>
          <w:shd w:val="clear" w:color="auto" w:fill="FFFFFF"/>
        </w:rPr>
        <w:t xml:space="preserve"> L.).</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Scientia Horticulturae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213</w:t>
      </w:r>
      <w:r w:rsidRPr="001B1244">
        <w:rPr>
          <w:rFonts w:ascii="Arial" w:hAnsi="Arial" w:cs="Arial"/>
          <w:color w:val="000000" w:themeColor="text1"/>
          <w:sz w:val="22"/>
          <w:szCs w:val="22"/>
          <w:shd w:val="clear" w:color="auto" w:fill="FFFFFF"/>
        </w:rPr>
        <w:t xml:space="preserve">, 216-221. </w:t>
      </w:r>
    </w:p>
    <w:p w14:paraId="486B0888"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Parikh, L., Mmbaga, M. T., Kodati, S., &amp; Zhang, G. (2016b). Estimation of narrow sense heritability of powdery mildew resistance in pseudo F2 (F1) population of flowering dogwoods (</w:t>
      </w:r>
      <w:r w:rsidRPr="001B1244">
        <w:rPr>
          <w:rFonts w:ascii="Arial" w:hAnsi="Arial" w:cs="Arial"/>
          <w:i/>
          <w:iCs/>
          <w:color w:val="000000" w:themeColor="text1"/>
          <w:sz w:val="22"/>
          <w:szCs w:val="22"/>
          <w:shd w:val="clear" w:color="auto" w:fill="FFFFFF"/>
        </w:rPr>
        <w:t xml:space="preserve">Cornus </w:t>
      </w:r>
      <w:proofErr w:type="gramStart"/>
      <w:r w:rsidRPr="001B1244">
        <w:rPr>
          <w:rFonts w:ascii="Arial" w:hAnsi="Arial" w:cs="Arial"/>
          <w:i/>
          <w:iCs/>
          <w:color w:val="000000" w:themeColor="text1"/>
          <w:sz w:val="22"/>
          <w:szCs w:val="22"/>
          <w:shd w:val="clear" w:color="auto" w:fill="FFFFFF"/>
        </w:rPr>
        <w:t>florida</w:t>
      </w:r>
      <w:proofErr w:type="gramEnd"/>
      <w:r w:rsidRPr="001B1244">
        <w:rPr>
          <w:rFonts w:ascii="Arial" w:hAnsi="Arial" w:cs="Arial"/>
          <w:color w:val="000000" w:themeColor="text1"/>
          <w:sz w:val="22"/>
          <w:szCs w:val="22"/>
          <w:shd w:val="clear" w:color="auto" w:fill="FFFFFF"/>
        </w:rPr>
        <w:t xml:space="preserve"> L).</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European Journal of Plant Pathology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145</w:t>
      </w:r>
      <w:r w:rsidRPr="001B1244">
        <w:rPr>
          <w:rFonts w:ascii="Arial" w:hAnsi="Arial" w:cs="Arial"/>
          <w:color w:val="000000" w:themeColor="text1"/>
          <w:sz w:val="22"/>
          <w:szCs w:val="22"/>
          <w:shd w:val="clear" w:color="auto" w:fill="FFFFFF"/>
        </w:rPr>
        <w:t xml:space="preserve">(1), 17-25. </w:t>
      </w:r>
    </w:p>
    <w:p w14:paraId="4D332591"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Park, J.-S., Kim, J.-B., Cho, K.-J., Cheon, C.-I., Sung, M.-K., Choung, M.-G., &amp; Roh, K.-H. (2008). Arabidopsis R2R3-MYB transcription factor AtMYB60 functions as a transcriptional repressor of anthocyanin biosynthesis in lettuce (</w:t>
      </w:r>
      <w:r w:rsidRPr="001B1244">
        <w:rPr>
          <w:rFonts w:ascii="Arial" w:hAnsi="Arial" w:cs="Arial"/>
          <w:i/>
          <w:iCs/>
          <w:color w:val="000000" w:themeColor="text1"/>
          <w:sz w:val="22"/>
          <w:szCs w:val="22"/>
        </w:rPr>
        <w:t>Lactuca sativa</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Plant Cell Reports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27</w:t>
      </w:r>
      <w:r w:rsidRPr="001B1244">
        <w:rPr>
          <w:rFonts w:ascii="Arial" w:hAnsi="Arial" w:cs="Arial"/>
          <w:color w:val="000000" w:themeColor="text1"/>
          <w:sz w:val="22"/>
          <w:szCs w:val="22"/>
        </w:rPr>
        <w:t xml:space="preserve">(6), 985–994. </w:t>
      </w:r>
      <w:hyperlink r:id="rId157" w:history="1">
        <w:r w:rsidRPr="001B1244">
          <w:rPr>
            <w:rFonts w:ascii="Arial" w:hAnsi="Arial" w:cs="Arial"/>
            <w:color w:val="000000" w:themeColor="text1"/>
            <w:sz w:val="22"/>
            <w:szCs w:val="22"/>
            <w:u w:val="single"/>
          </w:rPr>
          <w:t>https://doi.org/10.1007/s00299-008-0521-1</w:t>
        </w:r>
      </w:hyperlink>
    </w:p>
    <w:p w14:paraId="3E35158D"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Park, K.-I., Ishikawa, N., Morita, Y., Choi, J.-D., Hoshino, A., &amp; Iida, S. (2007). A bHLH regulatory gene in the common morning glory, Ipomoea purpurea, controls anthocyanin biosynthesis in flowers, proanthocyanidin and phytomelanin pigmentation in seeds, and seed trichome formation: Epidermal traits controlled by bHLH2.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49</w:t>
      </w:r>
      <w:r w:rsidRPr="001B1244">
        <w:rPr>
          <w:rFonts w:ascii="Arial" w:hAnsi="Arial" w:cs="Arial"/>
          <w:color w:val="000000" w:themeColor="text1"/>
          <w:sz w:val="22"/>
          <w:szCs w:val="22"/>
        </w:rPr>
        <w:t xml:space="preserve">(4), 641–654. </w:t>
      </w:r>
      <w:hyperlink r:id="rId158" w:history="1">
        <w:r w:rsidRPr="001B1244">
          <w:rPr>
            <w:rFonts w:ascii="Arial" w:hAnsi="Arial" w:cs="Arial"/>
            <w:color w:val="000000" w:themeColor="text1"/>
            <w:sz w:val="22"/>
            <w:szCs w:val="22"/>
            <w:u w:val="single"/>
          </w:rPr>
          <w:t>https://doi.org/10.1111/j.1365-313X.2006.02988.x</w:t>
        </w:r>
      </w:hyperlink>
    </w:p>
    <w:p w14:paraId="15888EF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Paux, E., Tamasloukht, M., Ladouce, N., Sivadon, P., &amp; Grima-Pettenati, J. (2004). Identification of genes preferentially expressed during wood formation in Eucalyptus. </w:t>
      </w:r>
      <w:r w:rsidRPr="001B1244">
        <w:rPr>
          <w:rFonts w:ascii="Arial" w:hAnsi="Arial" w:cs="Arial"/>
          <w:i/>
          <w:color w:val="000000" w:themeColor="text1"/>
          <w:sz w:val="22"/>
          <w:szCs w:val="22"/>
        </w:rPr>
        <w:t>Plant Molecular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55</w:t>
      </w:r>
      <w:r w:rsidRPr="001B1244">
        <w:rPr>
          <w:rFonts w:ascii="Arial" w:hAnsi="Arial" w:cs="Arial"/>
          <w:color w:val="000000" w:themeColor="text1"/>
          <w:sz w:val="22"/>
          <w:szCs w:val="22"/>
        </w:rPr>
        <w:t xml:space="preserve">(2), 263–280. </w:t>
      </w:r>
      <w:hyperlink r:id="rId159" w:history="1">
        <w:r w:rsidRPr="001B1244">
          <w:rPr>
            <w:rFonts w:ascii="Arial" w:hAnsi="Arial" w:cs="Arial"/>
            <w:color w:val="000000" w:themeColor="text1"/>
            <w:sz w:val="22"/>
            <w:szCs w:val="22"/>
            <w:u w:val="single"/>
          </w:rPr>
          <w:t>https://doi.org/10.1007/s11103-004-0621-4</w:t>
        </w:r>
      </w:hyperlink>
    </w:p>
    <w:p w14:paraId="32E0DA1E"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Pavan, S., Schiavulli, A., Appiano, M., Marcotrigiano, A. R., Cillo, F., Visser, R. G. F., Bai, Y., Lotti, C., &amp; Ricciardi, L. (2011). Pea powdery mildew er1 resistance is associated to loss-of-function mutations at a MLO homologous locus. </w:t>
      </w:r>
      <w:r w:rsidRPr="001B1244">
        <w:rPr>
          <w:rFonts w:ascii="Arial" w:hAnsi="Arial" w:cs="Arial"/>
          <w:i/>
          <w:color w:val="000000" w:themeColor="text1"/>
          <w:sz w:val="22"/>
          <w:szCs w:val="22"/>
        </w:rPr>
        <w:t>Theoretical and Applied Genetics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123</w:t>
      </w:r>
      <w:r w:rsidRPr="001B1244">
        <w:rPr>
          <w:rFonts w:ascii="Arial" w:hAnsi="Arial" w:cs="Arial"/>
          <w:color w:val="000000" w:themeColor="text1"/>
          <w:sz w:val="22"/>
          <w:szCs w:val="22"/>
        </w:rPr>
        <w:t xml:space="preserve">(8), 1425–1431. </w:t>
      </w:r>
      <w:hyperlink r:id="rId160" w:history="1">
        <w:r w:rsidRPr="001B1244">
          <w:rPr>
            <w:rFonts w:ascii="Arial" w:hAnsi="Arial" w:cs="Arial"/>
            <w:color w:val="000000" w:themeColor="text1"/>
            <w:sz w:val="22"/>
            <w:szCs w:val="22"/>
            <w:u w:val="single"/>
          </w:rPr>
          <w:t>https://doi.org/10.1007/s00122-011-1677-6</w:t>
        </w:r>
      </w:hyperlink>
    </w:p>
    <w:p w14:paraId="771C8291"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Penelope, P.-V., Guoying, M., &amp; Dennis, W. (2017). Anthocyanin Pigments in Redbud </w:t>
      </w:r>
      <w:r w:rsidRPr="001B1244">
        <w:rPr>
          <w:rFonts w:ascii="Arial" w:hAnsi="Arial" w:cs="Arial"/>
          <w:i/>
          <w:iCs/>
          <w:color w:val="000000" w:themeColor="text1"/>
          <w:sz w:val="22"/>
          <w:szCs w:val="22"/>
        </w:rPr>
        <w:t>(Cercis</w:t>
      </w:r>
      <w:r w:rsidRPr="001B1244">
        <w:rPr>
          <w:rFonts w:ascii="Arial" w:hAnsi="Arial" w:cs="Arial"/>
          <w:color w:val="000000" w:themeColor="text1"/>
          <w:sz w:val="22"/>
          <w:szCs w:val="22"/>
        </w:rPr>
        <w:t xml:space="preserve"> spp) Flowers. </w:t>
      </w:r>
      <w:r w:rsidRPr="001B1244">
        <w:rPr>
          <w:rFonts w:ascii="Arial" w:hAnsi="Arial" w:cs="Arial"/>
          <w:i/>
          <w:color w:val="000000" w:themeColor="text1"/>
          <w:sz w:val="22"/>
          <w:szCs w:val="22"/>
        </w:rPr>
        <w:t>Journal of Horticultural Science and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w:t>
      </w:r>
      <w:r w:rsidRPr="001B1244">
        <w:rPr>
          <w:rFonts w:ascii="Arial" w:hAnsi="Arial" w:cs="Arial"/>
          <w:color w:val="000000" w:themeColor="text1"/>
          <w:sz w:val="22"/>
          <w:szCs w:val="22"/>
        </w:rPr>
        <w:t xml:space="preserve">(1). </w:t>
      </w:r>
      <w:hyperlink r:id="rId161" w:history="1">
        <w:r w:rsidRPr="001B1244">
          <w:rPr>
            <w:rFonts w:ascii="Arial" w:hAnsi="Arial" w:cs="Arial"/>
            <w:color w:val="000000" w:themeColor="text1"/>
            <w:sz w:val="22"/>
            <w:szCs w:val="22"/>
            <w:u w:val="single"/>
          </w:rPr>
          <w:t>https://doi.org/10.36959/745/393</w:t>
        </w:r>
      </w:hyperlink>
    </w:p>
    <w:p w14:paraId="1BC9F46E"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Pelletier, M. K., Burbulis, I. E., &amp; Winkel-Shirley, B. (1999). Disruption of specific flavonoid genes enhances the accumulation of flavonoid enzymes and </w:t>
      </w:r>
      <w:proofErr w:type="gramStart"/>
      <w:r w:rsidRPr="001B1244">
        <w:rPr>
          <w:rFonts w:ascii="Arial" w:hAnsi="Arial" w:cs="Arial"/>
          <w:color w:val="000000" w:themeColor="text1"/>
          <w:sz w:val="22"/>
          <w:szCs w:val="22"/>
          <w:shd w:val="clear" w:color="auto" w:fill="FFFFFF"/>
        </w:rPr>
        <w:t>end-products</w:t>
      </w:r>
      <w:proofErr w:type="gramEnd"/>
      <w:r w:rsidRPr="001B1244">
        <w:rPr>
          <w:rFonts w:ascii="Arial" w:hAnsi="Arial" w:cs="Arial"/>
          <w:color w:val="000000" w:themeColor="text1"/>
          <w:sz w:val="22"/>
          <w:szCs w:val="22"/>
          <w:shd w:val="clear" w:color="auto" w:fill="FFFFFF"/>
        </w:rPr>
        <w:t xml:space="preserve"> in Arabidopsis seedlings.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Plant molecular biology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40</w:t>
      </w:r>
      <w:r w:rsidRPr="001B1244">
        <w:rPr>
          <w:rFonts w:ascii="Arial" w:hAnsi="Arial" w:cs="Arial"/>
          <w:color w:val="000000" w:themeColor="text1"/>
          <w:sz w:val="22"/>
          <w:szCs w:val="22"/>
          <w:shd w:val="clear" w:color="auto" w:fill="FFFFFF"/>
        </w:rPr>
        <w:t>(1), 45-54.</w:t>
      </w:r>
    </w:p>
    <w:p w14:paraId="2DB2EE43"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Pérez-Díaz, J. R., Pérez-Díaz, J., Madrid-Espinoza, J., González-Villanueva, E., Moreno, Y., &amp; Ruiz-Lara, S. (2016). New member of the R2R3-MYB transcription factors family in grapevine suppresses the anthocyanin accumulation in the flowers of transgenic tobacco. </w:t>
      </w:r>
      <w:r w:rsidRPr="001B1244">
        <w:rPr>
          <w:rFonts w:ascii="Arial" w:hAnsi="Arial" w:cs="Arial"/>
          <w:i/>
          <w:color w:val="000000" w:themeColor="text1"/>
          <w:sz w:val="22"/>
          <w:szCs w:val="22"/>
        </w:rPr>
        <w:t>Plant Molecular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90</w:t>
      </w:r>
      <w:r w:rsidRPr="001B1244">
        <w:rPr>
          <w:rFonts w:ascii="Arial" w:hAnsi="Arial" w:cs="Arial"/>
          <w:color w:val="000000" w:themeColor="text1"/>
          <w:sz w:val="22"/>
          <w:szCs w:val="22"/>
        </w:rPr>
        <w:t xml:space="preserve">(1–2), 63–76. </w:t>
      </w:r>
      <w:hyperlink r:id="rId162" w:history="1">
        <w:r w:rsidRPr="001B1244">
          <w:rPr>
            <w:rFonts w:ascii="Arial" w:hAnsi="Arial" w:cs="Arial"/>
            <w:color w:val="000000" w:themeColor="text1"/>
            <w:sz w:val="22"/>
            <w:szCs w:val="22"/>
            <w:u w:val="single"/>
          </w:rPr>
          <w:t>https://doi.org/10.1007/s11103-015-0394-y</w:t>
        </w:r>
      </w:hyperlink>
    </w:p>
    <w:p w14:paraId="446B5310"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 xml:space="preserve">Persson, M., Staal, J., Oide, S., &amp; Dixelius, C. (2009). Layers of defense responses to </w:t>
      </w:r>
      <w:r w:rsidRPr="001B1244">
        <w:rPr>
          <w:rFonts w:ascii="Arial" w:hAnsi="Arial" w:cs="Arial"/>
          <w:i/>
          <w:iCs/>
          <w:color w:val="000000" w:themeColor="text1"/>
          <w:sz w:val="22"/>
          <w:szCs w:val="22"/>
          <w:shd w:val="clear" w:color="auto" w:fill="FFFFFF"/>
        </w:rPr>
        <w:t>Leptosphaeria maculans</w:t>
      </w:r>
      <w:r w:rsidRPr="001B1244">
        <w:rPr>
          <w:rFonts w:ascii="Arial" w:hAnsi="Arial" w:cs="Arial"/>
          <w:color w:val="000000" w:themeColor="text1"/>
          <w:sz w:val="22"/>
          <w:szCs w:val="22"/>
          <w:shd w:val="clear" w:color="auto" w:fill="FFFFFF"/>
        </w:rPr>
        <w:t xml:space="preserve"> below the RLM1</w:t>
      </w:r>
      <w:r w:rsidRPr="001B1244">
        <w:rPr>
          <w:rFonts w:ascii="Cambria Math" w:hAnsi="Cambria Math" w:cs="Cambria Math"/>
          <w:color w:val="000000" w:themeColor="text1"/>
          <w:sz w:val="22"/>
          <w:szCs w:val="22"/>
          <w:shd w:val="clear" w:color="auto" w:fill="FFFFFF"/>
        </w:rPr>
        <w:t>‐</w:t>
      </w:r>
      <w:r w:rsidRPr="001B1244">
        <w:rPr>
          <w:rFonts w:ascii="Arial" w:hAnsi="Arial" w:cs="Arial"/>
          <w:color w:val="000000" w:themeColor="text1"/>
          <w:sz w:val="22"/>
          <w:szCs w:val="22"/>
          <w:shd w:val="clear" w:color="auto" w:fill="FFFFFF"/>
        </w:rPr>
        <w:t>and camalexin</w:t>
      </w:r>
      <w:r w:rsidRPr="001B1244">
        <w:rPr>
          <w:rFonts w:ascii="Cambria Math" w:hAnsi="Cambria Math" w:cs="Cambria Math"/>
          <w:color w:val="000000" w:themeColor="text1"/>
          <w:sz w:val="22"/>
          <w:szCs w:val="22"/>
          <w:shd w:val="clear" w:color="auto" w:fill="FFFFFF"/>
        </w:rPr>
        <w:t>‐</w:t>
      </w:r>
      <w:r w:rsidRPr="001B1244">
        <w:rPr>
          <w:rFonts w:ascii="Arial" w:hAnsi="Arial" w:cs="Arial"/>
          <w:color w:val="000000" w:themeColor="text1"/>
          <w:sz w:val="22"/>
          <w:szCs w:val="22"/>
          <w:shd w:val="clear" w:color="auto" w:fill="FFFFFF"/>
        </w:rPr>
        <w:t>dependent resistances.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New Phytologist</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182</w:t>
      </w:r>
      <w:r w:rsidRPr="001B1244">
        <w:rPr>
          <w:rFonts w:ascii="Arial" w:hAnsi="Arial" w:cs="Arial"/>
          <w:color w:val="000000" w:themeColor="text1"/>
          <w:sz w:val="22"/>
          <w:szCs w:val="22"/>
          <w:shd w:val="clear" w:color="auto" w:fill="FFFFFF"/>
        </w:rPr>
        <w:t xml:space="preserve">(2), 470-482. </w:t>
      </w:r>
    </w:p>
    <w:p w14:paraId="645E54A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Perchepied, L., Bardin, M., Dogimont, C., &amp; Pitrat, M. (2005). Relationship between loci conferring downy mildew and powdery mildew resistance in melon assessed by quantitative trait loci mapping.</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Phytopathology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95</w:t>
      </w:r>
      <w:r w:rsidRPr="001B1244">
        <w:rPr>
          <w:rFonts w:ascii="Arial" w:hAnsi="Arial" w:cs="Arial"/>
          <w:color w:val="000000" w:themeColor="text1"/>
          <w:sz w:val="22"/>
          <w:szCs w:val="22"/>
          <w:shd w:val="clear" w:color="auto" w:fill="FFFFFF"/>
        </w:rPr>
        <w:t xml:space="preserve">(5), 556-565. </w:t>
      </w:r>
    </w:p>
    <w:p w14:paraId="11E3056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Pessina, S., Pavan, S., Catalano, D., Gallotta, A., Visser, R. G., Bai, Y., Malnoy, M., &amp; Schouten, H. J. (2014). Characterization of the MLO gene family in Rosaceae and gene expression analysis in </w:t>
      </w:r>
      <w:r w:rsidRPr="001B1244">
        <w:rPr>
          <w:rFonts w:ascii="Arial" w:hAnsi="Arial" w:cs="Arial"/>
          <w:i/>
          <w:iCs/>
          <w:color w:val="000000" w:themeColor="text1"/>
          <w:sz w:val="22"/>
          <w:szCs w:val="22"/>
        </w:rPr>
        <w:t>Malus domestica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BMC Genomics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15</w:t>
      </w:r>
      <w:r w:rsidRPr="001B1244">
        <w:rPr>
          <w:rFonts w:ascii="Arial" w:hAnsi="Arial" w:cs="Arial"/>
          <w:color w:val="000000" w:themeColor="text1"/>
          <w:sz w:val="22"/>
          <w:szCs w:val="22"/>
        </w:rPr>
        <w:t xml:space="preserve">(1), 618. </w:t>
      </w:r>
      <w:hyperlink r:id="rId163" w:history="1">
        <w:r w:rsidRPr="001B1244">
          <w:rPr>
            <w:rFonts w:ascii="Arial" w:hAnsi="Arial" w:cs="Arial"/>
            <w:color w:val="000000" w:themeColor="text1"/>
            <w:sz w:val="22"/>
            <w:szCs w:val="22"/>
            <w:u w:val="single"/>
          </w:rPr>
          <w:t>https://doi.org/10.1186/1471-2164-15-618</w:t>
        </w:r>
      </w:hyperlink>
    </w:p>
    <w:p w14:paraId="4D522B3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Pfarr Moreau, E., Honig, J. A., &amp; Molnar, T. J. (2022). High-Density Linkage Mapping and Identification of Quantitative Trait Loci Associated with Powdery Mildew Resistance in Flowering Dogwood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Horticulturae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w:t>
      </w:r>
      <w:r w:rsidRPr="001B1244">
        <w:rPr>
          <w:rFonts w:ascii="Arial" w:hAnsi="Arial" w:cs="Arial"/>
          <w:color w:val="000000" w:themeColor="text1"/>
          <w:sz w:val="22"/>
          <w:szCs w:val="22"/>
        </w:rPr>
        <w:t xml:space="preserve">(5), 405. </w:t>
      </w:r>
      <w:hyperlink r:id="rId164" w:history="1">
        <w:r w:rsidRPr="001B1244">
          <w:rPr>
            <w:rFonts w:ascii="Arial" w:hAnsi="Arial" w:cs="Arial"/>
            <w:color w:val="000000" w:themeColor="text1"/>
            <w:sz w:val="22"/>
            <w:szCs w:val="22"/>
            <w:u w:val="single"/>
          </w:rPr>
          <w:t>https://doi.org/10.3390/horticulturae8050405</w:t>
        </w:r>
      </w:hyperlink>
    </w:p>
    <w:p w14:paraId="6451843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Piffanelli, P., Ramsay, L., Waugh, R., Benabdelmouna, A., D’Hont, A., Hollricher, K., Jørgensen, J. H., Schulze-Lefert, P., &amp; Panstruga, R. (2004). A barley cultivation-associated </w:t>
      </w:r>
      <w:r w:rsidRPr="001B1244">
        <w:rPr>
          <w:rFonts w:ascii="Arial" w:hAnsi="Arial" w:cs="Arial"/>
          <w:color w:val="000000" w:themeColor="text1"/>
          <w:sz w:val="22"/>
          <w:szCs w:val="22"/>
        </w:rPr>
        <w:lastRenderedPageBreak/>
        <w:t xml:space="preserve">polymorphism conveys resistance to powdery mildew. </w:t>
      </w:r>
      <w:r w:rsidRPr="001B1244">
        <w:rPr>
          <w:rFonts w:ascii="Arial" w:hAnsi="Arial" w:cs="Arial"/>
          <w:i/>
          <w:color w:val="000000" w:themeColor="text1"/>
          <w:sz w:val="22"/>
          <w:szCs w:val="22"/>
        </w:rPr>
        <w:t>Nature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430</w:t>
      </w:r>
      <w:r w:rsidRPr="001B1244">
        <w:rPr>
          <w:rFonts w:ascii="Arial" w:hAnsi="Arial" w:cs="Arial"/>
          <w:color w:val="000000" w:themeColor="text1"/>
          <w:sz w:val="22"/>
          <w:szCs w:val="22"/>
        </w:rPr>
        <w:t xml:space="preserve">(7002), 887–891. </w:t>
      </w:r>
      <w:hyperlink r:id="rId165" w:history="1">
        <w:r w:rsidRPr="001B1244">
          <w:rPr>
            <w:rFonts w:ascii="Arial" w:hAnsi="Arial" w:cs="Arial"/>
            <w:color w:val="000000" w:themeColor="text1"/>
            <w:sz w:val="22"/>
            <w:szCs w:val="22"/>
            <w:u w:val="single"/>
          </w:rPr>
          <w:t>https://doi.org/10.1038/nature02781</w:t>
        </w:r>
      </w:hyperlink>
    </w:p>
    <w:p w14:paraId="2649657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Piffanelli, P., Zhou, F., Casais, C., Orme, J., Jarosch, B., Schaffrath, U., Collins, N. C., Panstruga, R., &amp; Schulze-Lefert, P. (2002). The Barley MLO Modulator of Defense and Cell Death Is Responsive to Biotic and Abiotic Stress Stimuli.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129</w:t>
      </w:r>
      <w:r w:rsidRPr="001B1244">
        <w:rPr>
          <w:rFonts w:ascii="Arial" w:hAnsi="Arial" w:cs="Arial"/>
          <w:color w:val="000000" w:themeColor="text1"/>
          <w:sz w:val="22"/>
          <w:szCs w:val="22"/>
        </w:rPr>
        <w:t xml:space="preserve">(3), 1076–1085. </w:t>
      </w:r>
      <w:hyperlink r:id="rId166" w:history="1">
        <w:r w:rsidRPr="001B1244">
          <w:rPr>
            <w:rFonts w:ascii="Arial" w:hAnsi="Arial" w:cs="Arial"/>
            <w:color w:val="000000" w:themeColor="text1"/>
            <w:sz w:val="22"/>
            <w:szCs w:val="22"/>
            <w:u w:val="single"/>
          </w:rPr>
          <w:t>https://doi.org/10.1104/pp.010954</w:t>
        </w:r>
      </w:hyperlink>
    </w:p>
    <w:p w14:paraId="68C6E810" w14:textId="16AA7E2D"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Potter, S. C., Luciani, A., Eddy, S. R., Park, Y., Lopez, R., &amp; Finn, R. D. (2018). HMMER web server: 2018 update. </w:t>
      </w:r>
      <w:r w:rsidRPr="001B1244">
        <w:rPr>
          <w:rFonts w:ascii="Arial" w:hAnsi="Arial" w:cs="Arial"/>
          <w:i/>
          <w:color w:val="000000" w:themeColor="text1"/>
          <w:sz w:val="22"/>
          <w:szCs w:val="22"/>
        </w:rPr>
        <w:t>Nucleic Acids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46</w:t>
      </w:r>
      <w:r w:rsidRPr="001B1244">
        <w:rPr>
          <w:rFonts w:ascii="Arial" w:hAnsi="Arial" w:cs="Arial"/>
          <w:color w:val="000000" w:themeColor="text1"/>
          <w:sz w:val="22"/>
          <w:szCs w:val="22"/>
        </w:rPr>
        <w:t xml:space="preserve">(W1), W200–W204. </w:t>
      </w:r>
      <w:hyperlink r:id="rId167" w:history="1">
        <w:r w:rsidRPr="001B1244">
          <w:rPr>
            <w:rFonts w:ascii="Arial" w:hAnsi="Arial" w:cs="Arial"/>
            <w:color w:val="000000" w:themeColor="text1"/>
            <w:sz w:val="22"/>
            <w:szCs w:val="22"/>
            <w:u w:val="single"/>
          </w:rPr>
          <w:t>https://doi.org/10.1093/nar/gky448</w:t>
        </w:r>
      </w:hyperlink>
    </w:p>
    <w:p w14:paraId="25B73175" w14:textId="447D7440" w:rsidR="00D52E17" w:rsidRPr="001B1244" w:rsidRDefault="00D52E17" w:rsidP="00C312F7">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Qin, Y., Che, F., Li, J., &amp; Hu, B. (2009). Analysis of content of proanthocyanidin from featured fruit of Xinjiang.</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Xinjiang Agricultural Sciences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46</w:t>
      </w:r>
      <w:r w:rsidRPr="001B1244">
        <w:rPr>
          <w:rFonts w:ascii="Arial" w:hAnsi="Arial" w:cs="Arial"/>
          <w:color w:val="222222"/>
          <w:sz w:val="22"/>
          <w:szCs w:val="22"/>
          <w:shd w:val="clear" w:color="auto" w:fill="FFFFFF"/>
        </w:rPr>
        <w:t>(3), 484-487.</w:t>
      </w:r>
    </w:p>
    <w:p w14:paraId="47760254" w14:textId="2E5F3CC1" w:rsidR="00D52E17"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Quattrocchio, F., Wing, J., &amp; Koes, R. (1999). </w:t>
      </w:r>
      <w:r w:rsidRPr="001B1244">
        <w:rPr>
          <w:rFonts w:ascii="Arial" w:hAnsi="Arial" w:cs="Arial"/>
          <w:i/>
          <w:color w:val="000000" w:themeColor="text1"/>
          <w:sz w:val="22"/>
          <w:szCs w:val="22"/>
        </w:rPr>
        <w:t>Molecular Analysis of the anthocyanin2 Gene of Petunia and Its Role in the Evolution of Flower Color</w:t>
      </w:r>
      <w:r w:rsidRPr="001B1244">
        <w:rPr>
          <w:rFonts w:ascii="Arial" w:hAnsi="Arial" w:cs="Arial"/>
          <w:color w:val="000000" w:themeColor="text1"/>
          <w:sz w:val="22"/>
          <w:szCs w:val="22"/>
        </w:rPr>
        <w:t>. 12.</w:t>
      </w:r>
    </w:p>
    <w:p w14:paraId="6B2A048F" w14:textId="2B86DC69"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Ranney, T., Grand, L., &amp; Knighten, J. (1995). Susceptibility of Cultivars and Hybrids of Kousa </w:t>
      </w:r>
      <w:proofErr w:type="gramStart"/>
      <w:r w:rsidRPr="001B1244">
        <w:rPr>
          <w:rFonts w:ascii="Arial" w:hAnsi="Arial" w:cs="Arial"/>
          <w:color w:val="000000" w:themeColor="text1"/>
          <w:sz w:val="22"/>
          <w:szCs w:val="22"/>
        </w:rPr>
        <w:t>Dogwood to Dogwood</w:t>
      </w:r>
      <w:proofErr w:type="gramEnd"/>
      <w:r w:rsidRPr="001B1244">
        <w:rPr>
          <w:rFonts w:ascii="Arial" w:hAnsi="Arial" w:cs="Arial"/>
          <w:color w:val="000000" w:themeColor="text1"/>
          <w:sz w:val="22"/>
          <w:szCs w:val="22"/>
        </w:rPr>
        <w:t xml:space="preserve"> Anthracnose and Powdery Mildew. </w:t>
      </w:r>
      <w:r w:rsidRPr="001B1244">
        <w:rPr>
          <w:rFonts w:ascii="Arial" w:hAnsi="Arial" w:cs="Arial"/>
          <w:i/>
          <w:color w:val="000000" w:themeColor="text1"/>
          <w:sz w:val="22"/>
          <w:szCs w:val="22"/>
        </w:rPr>
        <w:t>Arboriculture &amp; Urban Forestry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21</w:t>
      </w:r>
      <w:r w:rsidRPr="001B1244">
        <w:rPr>
          <w:rFonts w:ascii="Arial" w:hAnsi="Arial" w:cs="Arial"/>
          <w:color w:val="000000" w:themeColor="text1"/>
          <w:sz w:val="22"/>
          <w:szCs w:val="22"/>
        </w:rPr>
        <w:t xml:space="preserve">(1), 11–16. </w:t>
      </w:r>
      <w:hyperlink r:id="rId168" w:history="1">
        <w:r w:rsidRPr="001B1244">
          <w:rPr>
            <w:rFonts w:ascii="Arial" w:hAnsi="Arial" w:cs="Arial"/>
            <w:color w:val="000000" w:themeColor="text1"/>
            <w:sz w:val="22"/>
            <w:szCs w:val="22"/>
            <w:u w:val="single"/>
          </w:rPr>
          <w:t>https://doi.org/10.48044/jauf.1995.003</w:t>
        </w:r>
      </w:hyperlink>
    </w:p>
    <w:p w14:paraId="6FC2705F" w14:textId="4604210E" w:rsidR="006762A9" w:rsidRPr="001B1244" w:rsidRDefault="006762A9" w:rsidP="00C312F7">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Rauf, A., Imran, M., Abu-Izneid, T., Patel, S., Pan, X., Naz, S</w:t>
      </w:r>
      <w:proofErr w:type="gramStart"/>
      <w:r w:rsidRPr="001B1244">
        <w:rPr>
          <w:rFonts w:ascii="Arial" w:hAnsi="Arial" w:cs="Arial"/>
          <w:color w:val="222222"/>
          <w:sz w:val="22"/>
          <w:szCs w:val="22"/>
          <w:shd w:val="clear" w:color="auto" w:fill="FFFFFF"/>
        </w:rPr>
        <w:t>., ...</w:t>
      </w:r>
      <w:proofErr w:type="gramEnd"/>
      <w:r w:rsidRPr="001B1244">
        <w:rPr>
          <w:rFonts w:ascii="Arial" w:hAnsi="Arial" w:cs="Arial"/>
          <w:color w:val="222222"/>
          <w:sz w:val="22"/>
          <w:szCs w:val="22"/>
          <w:shd w:val="clear" w:color="auto" w:fill="FFFFFF"/>
        </w:rPr>
        <w:t xml:space="preserve"> &amp; Suleria, H. A. R. (2019). Proanthocyanidins: A comprehensive review.</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Biomedicine &amp; Pharmacotherapy</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116</w:t>
      </w:r>
      <w:r w:rsidRPr="001B1244">
        <w:rPr>
          <w:rFonts w:ascii="Arial" w:hAnsi="Arial" w:cs="Arial"/>
          <w:color w:val="222222"/>
          <w:sz w:val="22"/>
          <w:szCs w:val="22"/>
          <w:shd w:val="clear" w:color="auto" w:fill="FFFFFF"/>
        </w:rPr>
        <w:t>, 108999.</w:t>
      </w:r>
    </w:p>
    <w:p w14:paraId="45FDCBF9"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Reed, S. M. (2004). Self-incompatibility in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HortScience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39</w:t>
      </w:r>
      <w:r w:rsidRPr="001B1244">
        <w:rPr>
          <w:rFonts w:ascii="Arial" w:hAnsi="Arial" w:cs="Arial"/>
          <w:color w:val="000000" w:themeColor="text1"/>
          <w:sz w:val="22"/>
          <w:szCs w:val="22"/>
        </w:rPr>
        <w:t xml:space="preserve">(2), 335–338. </w:t>
      </w:r>
      <w:hyperlink r:id="rId169" w:history="1">
        <w:r w:rsidRPr="001B1244">
          <w:rPr>
            <w:rFonts w:ascii="Arial" w:hAnsi="Arial" w:cs="Arial"/>
            <w:color w:val="000000" w:themeColor="text1"/>
            <w:sz w:val="22"/>
            <w:szCs w:val="22"/>
            <w:u w:val="single"/>
          </w:rPr>
          <w:t>https://doi.org/10.21273/HORTSCI.39.2.335</w:t>
        </w:r>
      </w:hyperlink>
    </w:p>
    <w:p w14:paraId="3486EA3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Reddy, K. S., Pawar, S. E., &amp; Bhatia, C. R. (1994). Inheritance of powdery mildew (</w:t>
      </w:r>
      <w:r w:rsidRPr="001B1244">
        <w:rPr>
          <w:rFonts w:ascii="Arial" w:hAnsi="Arial" w:cs="Arial"/>
          <w:i/>
          <w:iCs/>
          <w:color w:val="000000" w:themeColor="text1"/>
          <w:sz w:val="22"/>
          <w:szCs w:val="22"/>
          <w:shd w:val="clear" w:color="auto" w:fill="FFFFFF"/>
        </w:rPr>
        <w:t>Erysiphe polygoni</w:t>
      </w:r>
      <w:r w:rsidRPr="001B1244">
        <w:rPr>
          <w:rFonts w:ascii="Arial" w:hAnsi="Arial" w:cs="Arial"/>
          <w:color w:val="000000" w:themeColor="text1"/>
          <w:sz w:val="22"/>
          <w:szCs w:val="22"/>
          <w:shd w:val="clear" w:color="auto" w:fill="FFFFFF"/>
        </w:rPr>
        <w:t xml:space="preserve"> DC) resistance in mungbean (</w:t>
      </w:r>
      <w:r w:rsidRPr="001B1244">
        <w:rPr>
          <w:rFonts w:ascii="Arial" w:hAnsi="Arial" w:cs="Arial"/>
          <w:i/>
          <w:iCs/>
          <w:color w:val="000000" w:themeColor="text1"/>
          <w:sz w:val="22"/>
          <w:szCs w:val="22"/>
          <w:shd w:val="clear" w:color="auto" w:fill="FFFFFF"/>
        </w:rPr>
        <w:t>Vigna radiata</w:t>
      </w:r>
      <w:r w:rsidRPr="001B1244">
        <w:rPr>
          <w:rFonts w:ascii="Arial" w:hAnsi="Arial" w:cs="Arial"/>
          <w:color w:val="000000" w:themeColor="text1"/>
          <w:sz w:val="22"/>
          <w:szCs w:val="22"/>
          <w:shd w:val="clear" w:color="auto" w:fill="FFFFFF"/>
        </w:rPr>
        <w:t xml:space="preserve"> L. Wilczek).</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Theoretical and Applied Genetics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88</w:t>
      </w:r>
      <w:r w:rsidRPr="001B1244">
        <w:rPr>
          <w:rFonts w:ascii="Arial" w:hAnsi="Arial" w:cs="Arial"/>
          <w:color w:val="000000" w:themeColor="text1"/>
          <w:sz w:val="22"/>
          <w:szCs w:val="22"/>
          <w:shd w:val="clear" w:color="auto" w:fill="FFFFFF"/>
        </w:rPr>
        <w:t xml:space="preserve">(8), 945-948. </w:t>
      </w:r>
    </w:p>
    <w:p w14:paraId="36D358BB"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Riaz, S., Tenscher, A. C., Ramming, D. W., &amp; Walker, M. A. (2011). Using a limited mapping strategy to identify major QTLs for resistance to grapevine powdery mildew (</w:t>
      </w:r>
      <w:r w:rsidRPr="001B1244">
        <w:rPr>
          <w:rFonts w:ascii="Arial" w:hAnsi="Arial" w:cs="Arial"/>
          <w:i/>
          <w:iCs/>
          <w:color w:val="000000" w:themeColor="text1"/>
          <w:sz w:val="22"/>
          <w:szCs w:val="22"/>
        </w:rPr>
        <w:t>Erysiphe necator</w:t>
      </w:r>
      <w:r w:rsidRPr="001B1244">
        <w:rPr>
          <w:rFonts w:ascii="Arial" w:hAnsi="Arial" w:cs="Arial"/>
          <w:color w:val="000000" w:themeColor="text1"/>
          <w:sz w:val="22"/>
          <w:szCs w:val="22"/>
        </w:rPr>
        <w:t xml:space="preserve">) and their use in marker-assisted breeding. </w:t>
      </w:r>
      <w:r w:rsidRPr="001B1244">
        <w:rPr>
          <w:rFonts w:ascii="Arial" w:hAnsi="Arial" w:cs="Arial"/>
          <w:i/>
          <w:color w:val="000000" w:themeColor="text1"/>
          <w:sz w:val="22"/>
          <w:szCs w:val="22"/>
        </w:rPr>
        <w:t>Theoretical and Applied Genetics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122</w:t>
      </w:r>
      <w:r w:rsidRPr="001B1244">
        <w:rPr>
          <w:rFonts w:ascii="Arial" w:hAnsi="Arial" w:cs="Arial"/>
          <w:color w:val="000000" w:themeColor="text1"/>
          <w:sz w:val="22"/>
          <w:szCs w:val="22"/>
        </w:rPr>
        <w:t xml:space="preserve">(6), 1059–1073. </w:t>
      </w:r>
      <w:hyperlink r:id="rId170" w:history="1">
        <w:r w:rsidRPr="001B1244">
          <w:rPr>
            <w:rFonts w:ascii="Arial" w:hAnsi="Arial" w:cs="Arial"/>
            <w:color w:val="000000" w:themeColor="text1"/>
            <w:sz w:val="22"/>
            <w:szCs w:val="22"/>
            <w:u w:val="single"/>
          </w:rPr>
          <w:t>https://doi.org/10.1007/s00122-010-1511-6</w:t>
        </w:r>
      </w:hyperlink>
    </w:p>
    <w:p w14:paraId="64FFCC3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Ribaut, J. M., &amp; Hoisington, D. (1998). Marker-assisted selection: new tools and strategies.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Trends in Plant Science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w:t>
      </w:r>
      <w:r w:rsidRPr="001B1244">
        <w:rPr>
          <w:rFonts w:ascii="Arial" w:hAnsi="Arial" w:cs="Arial"/>
          <w:color w:val="000000" w:themeColor="text1"/>
          <w:sz w:val="22"/>
          <w:szCs w:val="22"/>
          <w:shd w:val="clear" w:color="auto" w:fill="FFFFFF"/>
        </w:rPr>
        <w:t xml:space="preserve">(6), 236-239. </w:t>
      </w:r>
    </w:p>
    <w:p w14:paraId="444AEC8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Romero, D., Eugenia Rivera, M., Cazorla, F. M., Codina, J. C., Fernández-Ortuño, D., Torés, J. A., Pérez-García, A., &amp; de Vicente, A. (2008). Comparative histochemical analyses of oxidative burst and cell wall reinforcement in compatible and incompatible melon–powdery </w:t>
      </w:r>
      <w:r w:rsidRPr="001B1244">
        <w:rPr>
          <w:rFonts w:ascii="Arial" w:hAnsi="Arial" w:cs="Arial"/>
          <w:color w:val="000000" w:themeColor="text1"/>
          <w:sz w:val="22"/>
          <w:szCs w:val="22"/>
        </w:rPr>
        <w:lastRenderedPageBreak/>
        <w:t>mildew (</w:t>
      </w:r>
      <w:r w:rsidRPr="001B1244">
        <w:rPr>
          <w:rFonts w:ascii="Arial" w:hAnsi="Arial" w:cs="Arial"/>
          <w:i/>
          <w:iCs/>
          <w:color w:val="000000" w:themeColor="text1"/>
          <w:sz w:val="22"/>
          <w:szCs w:val="22"/>
        </w:rPr>
        <w:t>Podosphaera fusca</w:t>
      </w:r>
      <w:r w:rsidRPr="001B1244">
        <w:rPr>
          <w:rFonts w:ascii="Arial" w:hAnsi="Arial" w:cs="Arial"/>
          <w:color w:val="000000" w:themeColor="text1"/>
          <w:sz w:val="22"/>
          <w:szCs w:val="22"/>
        </w:rPr>
        <w:t xml:space="preserve">) interactions. </w:t>
      </w:r>
      <w:r w:rsidRPr="001B1244">
        <w:rPr>
          <w:rFonts w:ascii="Arial" w:hAnsi="Arial" w:cs="Arial"/>
          <w:i/>
          <w:color w:val="000000" w:themeColor="text1"/>
          <w:sz w:val="22"/>
          <w:szCs w:val="22"/>
        </w:rPr>
        <w:t>Journal of 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165</w:t>
      </w:r>
      <w:r w:rsidRPr="001B1244">
        <w:rPr>
          <w:rFonts w:ascii="Arial" w:hAnsi="Arial" w:cs="Arial"/>
          <w:color w:val="000000" w:themeColor="text1"/>
          <w:sz w:val="22"/>
          <w:szCs w:val="22"/>
        </w:rPr>
        <w:t xml:space="preserve">(18), 1895–1905. </w:t>
      </w:r>
      <w:hyperlink r:id="rId171" w:history="1">
        <w:r w:rsidRPr="001B1244">
          <w:rPr>
            <w:rFonts w:ascii="Arial" w:hAnsi="Arial" w:cs="Arial"/>
            <w:color w:val="000000" w:themeColor="text1"/>
            <w:sz w:val="22"/>
            <w:szCs w:val="22"/>
            <w:u w:val="single"/>
          </w:rPr>
          <w:t>https://doi.org/10.1016/j.jplph.2008.04.020</w:t>
        </w:r>
      </w:hyperlink>
    </w:p>
    <w:p w14:paraId="0960722D"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Rosinski, J. A., &amp; Atchley, W. R. (1998). Molecular Evolution of the Myb Family of Transcription Factors: Evidence for Polyphyletic Origin. </w:t>
      </w:r>
      <w:r w:rsidRPr="001B1244">
        <w:rPr>
          <w:rFonts w:ascii="Arial" w:hAnsi="Arial" w:cs="Arial"/>
          <w:i/>
          <w:color w:val="000000" w:themeColor="text1"/>
          <w:sz w:val="22"/>
          <w:szCs w:val="22"/>
        </w:rPr>
        <w:t>Journal of Molecular Evolution</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46</w:t>
      </w:r>
      <w:r w:rsidRPr="001B1244">
        <w:rPr>
          <w:rFonts w:ascii="Arial" w:hAnsi="Arial" w:cs="Arial"/>
          <w:color w:val="000000" w:themeColor="text1"/>
          <w:sz w:val="22"/>
          <w:szCs w:val="22"/>
        </w:rPr>
        <w:t xml:space="preserve">(1), 74–83. </w:t>
      </w:r>
      <w:hyperlink r:id="rId172" w:history="1">
        <w:r w:rsidRPr="001B1244">
          <w:rPr>
            <w:rFonts w:ascii="Arial" w:hAnsi="Arial" w:cs="Arial"/>
            <w:color w:val="000000" w:themeColor="text1"/>
            <w:sz w:val="22"/>
            <w:szCs w:val="22"/>
            <w:u w:val="single"/>
          </w:rPr>
          <w:t>https://doi.org/10.1007/PL00006285</w:t>
        </w:r>
      </w:hyperlink>
    </w:p>
    <w:p w14:paraId="5408E33E"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Ruiz-Lozano, J. M., Gianinazzi, S., &amp; Gianinazzi-Pearson, V. (1999). Genes involved in resistance to powdery mildew in barley differentially modulate root colonization by the mycorrhizal fungus </w:t>
      </w:r>
      <w:r w:rsidRPr="001B1244">
        <w:rPr>
          <w:rFonts w:ascii="Arial" w:hAnsi="Arial" w:cs="Arial"/>
          <w:i/>
          <w:iCs/>
          <w:color w:val="000000" w:themeColor="text1"/>
          <w:sz w:val="22"/>
          <w:szCs w:val="22"/>
        </w:rPr>
        <w:t>Glomus mosseae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Mycorrhiza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w:t>
      </w:r>
      <w:r w:rsidRPr="001B1244">
        <w:rPr>
          <w:rFonts w:ascii="Arial" w:hAnsi="Arial" w:cs="Arial"/>
          <w:color w:val="000000" w:themeColor="text1"/>
          <w:sz w:val="22"/>
          <w:szCs w:val="22"/>
        </w:rPr>
        <w:t xml:space="preserve">(4), 237–240. </w:t>
      </w:r>
      <w:hyperlink r:id="rId173" w:history="1">
        <w:r w:rsidRPr="001B1244">
          <w:rPr>
            <w:rFonts w:ascii="Arial" w:hAnsi="Arial" w:cs="Arial"/>
            <w:color w:val="000000" w:themeColor="text1"/>
            <w:sz w:val="22"/>
            <w:szCs w:val="22"/>
            <w:u w:val="single"/>
          </w:rPr>
          <w:t>https://doi.org/10.1007/s005720050273</w:t>
        </w:r>
      </w:hyperlink>
    </w:p>
    <w:p w14:paraId="74029285"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Salvatierra, A., Pimentel, P., Moya-León, M. A., &amp; Herrera, R. (2013). Increased accumulation of anthocyanins in </w:t>
      </w:r>
      <w:r w:rsidRPr="001B1244">
        <w:rPr>
          <w:rFonts w:ascii="Arial" w:hAnsi="Arial" w:cs="Arial"/>
          <w:i/>
          <w:iCs/>
          <w:color w:val="000000" w:themeColor="text1"/>
          <w:sz w:val="22"/>
          <w:szCs w:val="22"/>
        </w:rPr>
        <w:t>Fragaria chiloensis</w:t>
      </w:r>
      <w:r w:rsidRPr="001B1244">
        <w:rPr>
          <w:rFonts w:ascii="Arial" w:hAnsi="Arial" w:cs="Arial"/>
          <w:color w:val="000000" w:themeColor="text1"/>
          <w:sz w:val="22"/>
          <w:szCs w:val="22"/>
        </w:rPr>
        <w:t xml:space="preserve"> fruits by transient suppression of FcMYB1 gene. </w:t>
      </w:r>
      <w:r w:rsidRPr="001B1244">
        <w:rPr>
          <w:rFonts w:ascii="Arial" w:hAnsi="Arial" w:cs="Arial"/>
          <w:i/>
          <w:color w:val="000000" w:themeColor="text1"/>
          <w:sz w:val="22"/>
          <w:szCs w:val="22"/>
        </w:rPr>
        <w:t>Phytochemistry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90</w:t>
      </w:r>
      <w:r w:rsidRPr="001B1244">
        <w:rPr>
          <w:rFonts w:ascii="Arial" w:hAnsi="Arial" w:cs="Arial"/>
          <w:color w:val="000000" w:themeColor="text1"/>
          <w:sz w:val="22"/>
          <w:szCs w:val="22"/>
        </w:rPr>
        <w:t xml:space="preserve">, 25–36. </w:t>
      </w:r>
      <w:hyperlink r:id="rId174" w:history="1">
        <w:r w:rsidRPr="001B1244">
          <w:rPr>
            <w:rFonts w:ascii="Arial" w:hAnsi="Arial" w:cs="Arial"/>
            <w:color w:val="000000" w:themeColor="text1"/>
            <w:sz w:val="22"/>
            <w:szCs w:val="22"/>
            <w:u w:val="single"/>
          </w:rPr>
          <w:t>https://doi.org/10.1016/j.phytochem.2013.02.016</w:t>
        </w:r>
      </w:hyperlink>
    </w:p>
    <w:p w14:paraId="3F8262C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Schaart, J. G., Dubos, C., Romero De La Fuente, I., Houwelingen, A. M. M. L., Vos, R. C. H., Jonker, H. H., Xu, W., Routaboul, J., Lepiniec, L., &amp; Bovy, A. G. (2013). Identification and characterization of </w:t>
      </w:r>
      <w:r w:rsidRPr="001B1244">
        <w:rPr>
          <w:rFonts w:ascii="Arial" w:hAnsi="Arial" w:cs="Arial"/>
          <w:smallCaps/>
          <w:color w:val="000000" w:themeColor="text1"/>
          <w:sz w:val="22"/>
          <w:szCs w:val="22"/>
        </w:rPr>
        <w:t>MYB</w:t>
      </w:r>
      <w:r w:rsidRPr="001B1244">
        <w:rPr>
          <w:rFonts w:ascii="Arial" w:hAnsi="Arial" w:cs="Arial"/>
          <w:color w:val="000000" w:themeColor="text1"/>
          <w:sz w:val="22"/>
          <w:szCs w:val="22"/>
        </w:rPr>
        <w:t xml:space="preserve"> </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b </w:t>
      </w:r>
      <w:r w:rsidRPr="001B1244">
        <w:rPr>
          <w:rFonts w:ascii="Arial" w:hAnsi="Arial" w:cs="Arial"/>
          <w:smallCaps/>
          <w:color w:val="000000" w:themeColor="text1"/>
          <w:sz w:val="22"/>
          <w:szCs w:val="22"/>
        </w:rPr>
        <w:t>HLH</w:t>
      </w:r>
      <w:r w:rsidRPr="001B1244">
        <w:rPr>
          <w:rFonts w:ascii="Arial" w:hAnsi="Arial" w:cs="Arial"/>
          <w:color w:val="000000" w:themeColor="text1"/>
          <w:sz w:val="22"/>
          <w:szCs w:val="22"/>
        </w:rPr>
        <w:t xml:space="preserve"> </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 </w:t>
      </w:r>
      <w:r w:rsidRPr="001B1244">
        <w:rPr>
          <w:rFonts w:ascii="Arial" w:hAnsi="Arial" w:cs="Arial"/>
          <w:smallCaps/>
          <w:color w:val="000000" w:themeColor="text1"/>
          <w:sz w:val="22"/>
          <w:szCs w:val="22"/>
        </w:rPr>
        <w:t>WD</w:t>
      </w:r>
      <w:r w:rsidRPr="001B1244">
        <w:rPr>
          <w:rFonts w:ascii="Arial" w:hAnsi="Arial" w:cs="Arial"/>
          <w:color w:val="000000" w:themeColor="text1"/>
          <w:sz w:val="22"/>
          <w:szCs w:val="22"/>
        </w:rPr>
        <w:t xml:space="preserve"> 40 regulatory complexes controlling proanthocyanidin biosynthesis in strawberry (</w:t>
      </w:r>
      <w:r w:rsidRPr="001B1244">
        <w:rPr>
          <w:rFonts w:ascii="Arial" w:hAnsi="Arial" w:cs="Arial"/>
          <w:i/>
          <w:smallCaps/>
          <w:color w:val="000000" w:themeColor="text1"/>
          <w:sz w:val="22"/>
          <w:szCs w:val="22"/>
        </w:rPr>
        <w:t>F</w:t>
      </w:r>
      <w:r w:rsidRPr="001B1244">
        <w:rPr>
          <w:rFonts w:ascii="Arial" w:hAnsi="Arial" w:cs="Arial"/>
          <w:i/>
          <w:color w:val="000000" w:themeColor="text1"/>
          <w:sz w:val="22"/>
          <w:szCs w:val="22"/>
        </w:rPr>
        <w:t xml:space="preserve">ragaria </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ananassa</w:t>
      </w:r>
      <w:r w:rsidRPr="001B1244">
        <w:rPr>
          <w:rFonts w:ascii="Arial" w:hAnsi="Arial" w:cs="Arial"/>
          <w:color w:val="000000" w:themeColor="text1"/>
          <w:sz w:val="22"/>
          <w:szCs w:val="22"/>
        </w:rPr>
        <w:t xml:space="preserve">) fruits. </w:t>
      </w:r>
      <w:r w:rsidRPr="001B1244">
        <w:rPr>
          <w:rFonts w:ascii="Arial" w:hAnsi="Arial" w:cs="Arial"/>
          <w:i/>
          <w:color w:val="000000" w:themeColor="text1"/>
          <w:sz w:val="22"/>
          <w:szCs w:val="22"/>
        </w:rPr>
        <w:t>New Phytologist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197</w:t>
      </w:r>
      <w:r w:rsidRPr="001B1244">
        <w:rPr>
          <w:rFonts w:ascii="Arial" w:hAnsi="Arial" w:cs="Arial"/>
          <w:color w:val="000000" w:themeColor="text1"/>
          <w:sz w:val="22"/>
          <w:szCs w:val="22"/>
        </w:rPr>
        <w:t xml:space="preserve">(2), 454–467. </w:t>
      </w:r>
      <w:hyperlink r:id="rId175" w:history="1">
        <w:r w:rsidRPr="001B1244">
          <w:rPr>
            <w:rFonts w:ascii="Arial" w:hAnsi="Arial" w:cs="Arial"/>
            <w:color w:val="000000" w:themeColor="text1"/>
            <w:sz w:val="22"/>
            <w:szCs w:val="22"/>
            <w:u w:val="single"/>
          </w:rPr>
          <w:t>https://doi.org/10.1111/nph.12017</w:t>
        </w:r>
      </w:hyperlink>
    </w:p>
    <w:p w14:paraId="0814F47E"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Schwinn, K., Venail, J., Shang, Y., Mackay, S., Alm, V., Butelli, E., Oyama, R., Bailey, P., Davies, K., &amp; Martin, C. (2006). A Small Family of </w:t>
      </w:r>
      <w:r w:rsidRPr="001B1244">
        <w:rPr>
          <w:rFonts w:ascii="Arial" w:hAnsi="Arial" w:cs="Arial"/>
          <w:i/>
          <w:color w:val="000000" w:themeColor="text1"/>
          <w:sz w:val="22"/>
          <w:szCs w:val="22"/>
        </w:rPr>
        <w:t>MYB</w:t>
      </w:r>
      <w:r w:rsidRPr="001B1244">
        <w:rPr>
          <w:rFonts w:ascii="Arial" w:hAnsi="Arial" w:cs="Arial"/>
          <w:color w:val="000000" w:themeColor="text1"/>
          <w:sz w:val="22"/>
          <w:szCs w:val="22"/>
        </w:rPr>
        <w:t xml:space="preserve"> -Regulatory Genes Controls Floral Pigmentation Intensity and Patterning in the Genus </w:t>
      </w:r>
      <w:r w:rsidRPr="001B1244">
        <w:rPr>
          <w:rFonts w:ascii="Arial" w:hAnsi="Arial" w:cs="Arial"/>
          <w:i/>
          <w:color w:val="000000" w:themeColor="text1"/>
          <w:sz w:val="22"/>
          <w:szCs w:val="22"/>
        </w:rPr>
        <w:t>Antirrhinum</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The Plant Cell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18</w:t>
      </w:r>
      <w:r w:rsidRPr="001B1244">
        <w:rPr>
          <w:rFonts w:ascii="Arial" w:hAnsi="Arial" w:cs="Arial"/>
          <w:color w:val="000000" w:themeColor="text1"/>
          <w:sz w:val="22"/>
          <w:szCs w:val="22"/>
        </w:rPr>
        <w:t xml:space="preserve">(4), 831–851. </w:t>
      </w:r>
      <w:hyperlink r:id="rId176" w:history="1">
        <w:r w:rsidRPr="001B1244">
          <w:rPr>
            <w:rFonts w:ascii="Arial" w:hAnsi="Arial" w:cs="Arial"/>
            <w:color w:val="000000" w:themeColor="text1"/>
            <w:sz w:val="22"/>
            <w:szCs w:val="22"/>
            <w:u w:val="single"/>
          </w:rPr>
          <w:t>https://doi.org/10.1105/tpc.105.039255</w:t>
        </w:r>
      </w:hyperlink>
    </w:p>
    <w:p w14:paraId="26F44B15"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Seeram, N. P., Schutzki, R., Chandra, A., &amp; Nair, M. G. (2002). Characterization, Quantification, and Bioactivities of Anthocyanins in </w:t>
      </w:r>
      <w:r w:rsidRPr="001B1244">
        <w:rPr>
          <w:rFonts w:ascii="Arial" w:hAnsi="Arial" w:cs="Arial"/>
          <w:i/>
          <w:color w:val="000000" w:themeColor="text1"/>
          <w:sz w:val="22"/>
          <w:szCs w:val="22"/>
        </w:rPr>
        <w:t>Cornus</w:t>
      </w:r>
      <w:r w:rsidRPr="001B1244">
        <w:rPr>
          <w:rFonts w:ascii="Arial" w:hAnsi="Arial" w:cs="Arial"/>
          <w:color w:val="000000" w:themeColor="text1"/>
          <w:sz w:val="22"/>
          <w:szCs w:val="22"/>
        </w:rPr>
        <w:t xml:space="preserve"> Species. </w:t>
      </w:r>
      <w:r w:rsidRPr="001B1244">
        <w:rPr>
          <w:rFonts w:ascii="Arial" w:hAnsi="Arial" w:cs="Arial"/>
          <w:i/>
          <w:color w:val="000000" w:themeColor="text1"/>
          <w:sz w:val="22"/>
          <w:szCs w:val="22"/>
        </w:rPr>
        <w:t>Journal of Agricultural and Food Chemistry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50</w:t>
      </w:r>
      <w:r w:rsidRPr="001B1244">
        <w:rPr>
          <w:rFonts w:ascii="Arial" w:hAnsi="Arial" w:cs="Arial"/>
          <w:color w:val="000000" w:themeColor="text1"/>
          <w:sz w:val="22"/>
          <w:szCs w:val="22"/>
        </w:rPr>
        <w:t xml:space="preserve">(9), 2519–2523. </w:t>
      </w:r>
      <w:hyperlink r:id="rId177" w:history="1">
        <w:r w:rsidRPr="001B1244">
          <w:rPr>
            <w:rFonts w:ascii="Arial" w:hAnsi="Arial" w:cs="Arial"/>
            <w:color w:val="000000" w:themeColor="text1"/>
            <w:sz w:val="22"/>
            <w:szCs w:val="22"/>
            <w:u w:val="single"/>
          </w:rPr>
          <w:t>https://doi.org/10.1021/jf0115903</w:t>
        </w:r>
      </w:hyperlink>
    </w:p>
    <w:p w14:paraId="04F13F25"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Sessa, E. B., Banks, J. A., Barker, M. S., Der, J. P., Duffy, A. M., Graham, S. W., ... &amp; Wolf, P. G. (2014). Between two fern genomes.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GigaScience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w:t>
      </w:r>
      <w:r w:rsidRPr="001B1244">
        <w:rPr>
          <w:rFonts w:ascii="Arial" w:hAnsi="Arial" w:cs="Arial"/>
          <w:color w:val="000000" w:themeColor="text1"/>
          <w:sz w:val="22"/>
          <w:szCs w:val="22"/>
          <w:shd w:val="clear" w:color="auto" w:fill="FFFFFF"/>
        </w:rPr>
        <w:t xml:space="preserve">(1), 2047-217X. </w:t>
      </w:r>
    </w:p>
    <w:p w14:paraId="3610321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Sestras, A. F., Pamfil, D., Dan, C., Bolboaca, S. D., Jantschi, L., &amp; Sestras, R. E. (2011). Possibilities to Improve Apple Scab (</w:t>
      </w:r>
      <w:r w:rsidRPr="001B1244">
        <w:rPr>
          <w:rFonts w:ascii="Arial" w:hAnsi="Arial" w:cs="Arial"/>
          <w:i/>
          <w:iCs/>
          <w:color w:val="000000" w:themeColor="text1"/>
          <w:sz w:val="22"/>
          <w:szCs w:val="22"/>
          <w:shd w:val="clear" w:color="auto" w:fill="FFFFFF"/>
        </w:rPr>
        <w:t>'Venturia inaequalis</w:t>
      </w:r>
      <w:r w:rsidRPr="001B1244">
        <w:rPr>
          <w:rFonts w:ascii="Arial" w:hAnsi="Arial" w:cs="Arial"/>
          <w:color w:val="000000" w:themeColor="text1"/>
          <w:sz w:val="22"/>
          <w:szCs w:val="22"/>
          <w:shd w:val="clear" w:color="auto" w:fill="FFFFFF"/>
        </w:rPr>
        <w:t xml:space="preserve">'(Cke.) Wint.) </w:t>
      </w:r>
      <w:proofErr w:type="gramStart"/>
      <w:r w:rsidRPr="001B1244">
        <w:rPr>
          <w:rFonts w:ascii="Arial" w:hAnsi="Arial" w:cs="Arial"/>
          <w:color w:val="000000" w:themeColor="text1"/>
          <w:sz w:val="22"/>
          <w:szCs w:val="22"/>
          <w:shd w:val="clear" w:color="auto" w:fill="FFFFFF"/>
        </w:rPr>
        <w:t>and</w:t>
      </w:r>
      <w:proofErr w:type="gramEnd"/>
      <w:r w:rsidRPr="001B1244">
        <w:rPr>
          <w:rFonts w:ascii="Arial" w:hAnsi="Arial" w:cs="Arial"/>
          <w:color w:val="000000" w:themeColor="text1"/>
          <w:sz w:val="22"/>
          <w:szCs w:val="22"/>
          <w:shd w:val="clear" w:color="auto" w:fill="FFFFFF"/>
        </w:rPr>
        <w:t xml:space="preserve"> Powdery Mildew ['</w:t>
      </w:r>
      <w:r w:rsidRPr="001B1244">
        <w:rPr>
          <w:rFonts w:ascii="Arial" w:hAnsi="Arial" w:cs="Arial"/>
          <w:i/>
          <w:iCs/>
          <w:color w:val="000000" w:themeColor="text1"/>
          <w:sz w:val="22"/>
          <w:szCs w:val="22"/>
          <w:shd w:val="clear" w:color="auto" w:fill="FFFFFF"/>
        </w:rPr>
        <w:t xml:space="preserve">Podosphaera </w:t>
      </w:r>
      <w:r w:rsidRPr="001B1244">
        <w:rPr>
          <w:rFonts w:ascii="Arial" w:hAnsi="Arial" w:cs="Arial"/>
          <w:color w:val="000000" w:themeColor="text1"/>
          <w:sz w:val="22"/>
          <w:szCs w:val="22"/>
          <w:shd w:val="clear" w:color="auto" w:fill="FFFFFF"/>
        </w:rPr>
        <w:t xml:space="preserve">leucotricha'(Ell. </w:t>
      </w:r>
      <w:proofErr w:type="gramStart"/>
      <w:r w:rsidRPr="001B1244">
        <w:rPr>
          <w:rFonts w:ascii="Arial" w:hAnsi="Arial" w:cs="Arial"/>
          <w:color w:val="000000" w:themeColor="text1"/>
          <w:sz w:val="22"/>
          <w:szCs w:val="22"/>
          <w:shd w:val="clear" w:color="auto" w:fill="FFFFFF"/>
        </w:rPr>
        <w:t>Et</w:t>
      </w:r>
      <w:proofErr w:type="gramEnd"/>
      <w:r w:rsidRPr="001B1244">
        <w:rPr>
          <w:rFonts w:ascii="Arial" w:hAnsi="Arial" w:cs="Arial"/>
          <w:color w:val="000000" w:themeColor="text1"/>
          <w:sz w:val="22"/>
          <w:szCs w:val="22"/>
          <w:shd w:val="clear" w:color="auto" w:fill="FFFFFF"/>
        </w:rPr>
        <w:t xml:space="preserve"> Everh.) Salm.] Resistance on Apple by Increasing Gene</w:t>
      </w:r>
      <w:r w:rsidRPr="001B1244">
        <w:rPr>
          <w:rFonts w:ascii="Arial" w:hAnsi="Arial" w:cs="Arial"/>
          <w:i/>
          <w:iCs/>
          <w:color w:val="000000" w:themeColor="text1"/>
          <w:sz w:val="22"/>
          <w:szCs w:val="22"/>
          <w:shd w:val="clear" w:color="auto" w:fill="FFFFFF"/>
        </w:rPr>
        <w:t>ti</w:t>
      </w:r>
      <w:r w:rsidRPr="001B1244">
        <w:rPr>
          <w:rFonts w:ascii="Arial" w:hAnsi="Arial" w:cs="Arial"/>
          <w:color w:val="000000" w:themeColor="text1"/>
          <w:sz w:val="22"/>
          <w:szCs w:val="22"/>
          <w:shd w:val="clear" w:color="auto" w:fill="FFFFFF"/>
        </w:rPr>
        <w:t>c Diversity Using Potentials of Wild Species.</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Australian Journal of Crop Science</w:t>
      </w:r>
      <w:r w:rsidRPr="001B1244">
        <w:rPr>
          <w:rFonts w:ascii="Arial" w:hAnsi="Arial" w:cs="Arial"/>
          <w:color w:val="000000" w:themeColor="text1"/>
          <w:sz w:val="22"/>
          <w:szCs w:val="22"/>
          <w:shd w:val="clear" w:color="auto" w:fill="FFFFFF"/>
        </w:rPr>
        <w:t>,</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5</w:t>
      </w:r>
      <w:r w:rsidRPr="001B1244">
        <w:rPr>
          <w:rFonts w:ascii="Arial" w:hAnsi="Arial" w:cs="Arial"/>
          <w:color w:val="000000" w:themeColor="text1"/>
          <w:sz w:val="22"/>
          <w:szCs w:val="22"/>
          <w:shd w:val="clear" w:color="auto" w:fill="FFFFFF"/>
        </w:rPr>
        <w:t>(6), 748-755.</w:t>
      </w:r>
    </w:p>
    <w:p w14:paraId="265EEA1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Shang, Y., Venail, J., Mackay, S., Bailey, P. C., Schwinn, K. E., Jameson, P. E., Martin, C. R., &amp; Davies, K. M. (2011). The molecular basis for venation patterning of pigmentation and its </w:t>
      </w:r>
      <w:r w:rsidRPr="001B1244">
        <w:rPr>
          <w:rFonts w:ascii="Arial" w:hAnsi="Arial" w:cs="Arial"/>
          <w:color w:val="000000" w:themeColor="text1"/>
          <w:sz w:val="22"/>
          <w:szCs w:val="22"/>
        </w:rPr>
        <w:lastRenderedPageBreak/>
        <w:t xml:space="preserve">effect on pollinator attraction in flowers of </w:t>
      </w:r>
      <w:r w:rsidRPr="001B1244">
        <w:rPr>
          <w:rFonts w:ascii="Arial" w:hAnsi="Arial" w:cs="Arial"/>
          <w:i/>
          <w:color w:val="000000" w:themeColor="text1"/>
          <w:sz w:val="22"/>
          <w:szCs w:val="22"/>
        </w:rPr>
        <w:t>Antirrhinum</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New Phytologist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189</w:t>
      </w:r>
      <w:r w:rsidRPr="001B1244">
        <w:rPr>
          <w:rFonts w:ascii="Arial" w:hAnsi="Arial" w:cs="Arial"/>
          <w:color w:val="000000" w:themeColor="text1"/>
          <w:sz w:val="22"/>
          <w:szCs w:val="22"/>
        </w:rPr>
        <w:t xml:space="preserve">(2), 602–615. </w:t>
      </w:r>
      <w:hyperlink r:id="rId178" w:history="1">
        <w:r w:rsidRPr="001B1244">
          <w:rPr>
            <w:rFonts w:ascii="Arial" w:hAnsi="Arial" w:cs="Arial"/>
            <w:color w:val="000000" w:themeColor="text1"/>
            <w:sz w:val="22"/>
            <w:szCs w:val="22"/>
            <w:u w:val="single"/>
          </w:rPr>
          <w:t>https://doi.org/10.1111/j.1469-8137.2010.03498.x</w:t>
        </w:r>
      </w:hyperlink>
    </w:p>
    <w:p w14:paraId="224805C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Shannon, P., Markiel, A., Ozier, O., Baliga, N. S., Wang, J. T., Ramage, D., Amin, N., Schwikowski, B., &amp; Ideker, T. (2003). Cytoscape: A Software Environment for Integrated Models of Biomolecular Interaction Networks. </w:t>
      </w:r>
      <w:r w:rsidRPr="001B1244">
        <w:rPr>
          <w:rFonts w:ascii="Arial" w:hAnsi="Arial" w:cs="Arial"/>
          <w:i/>
          <w:color w:val="000000" w:themeColor="text1"/>
          <w:sz w:val="22"/>
          <w:szCs w:val="22"/>
        </w:rPr>
        <w:t>Genome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w:t>
      </w:r>
      <w:r w:rsidRPr="001B1244">
        <w:rPr>
          <w:rFonts w:ascii="Arial" w:hAnsi="Arial" w:cs="Arial"/>
          <w:color w:val="000000" w:themeColor="text1"/>
          <w:sz w:val="22"/>
          <w:szCs w:val="22"/>
        </w:rPr>
        <w:t xml:space="preserve">(11), 2498–2504. </w:t>
      </w:r>
      <w:hyperlink r:id="rId179" w:history="1">
        <w:r w:rsidRPr="001B1244">
          <w:rPr>
            <w:rFonts w:ascii="Arial" w:hAnsi="Arial" w:cs="Arial"/>
            <w:color w:val="000000" w:themeColor="text1"/>
            <w:sz w:val="22"/>
            <w:szCs w:val="22"/>
            <w:u w:val="single"/>
          </w:rPr>
          <w:t>https://doi.org/10.1101/gr.1239303</w:t>
        </w:r>
      </w:hyperlink>
    </w:p>
    <w:p w14:paraId="401228FD"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Shelton, D., Stranne, M., Mikkelsen, L., Pakseresht, N., Welham, T., Hiraka, H., Tabata, S., Sato, S., Paquette, S., Wang, T. L., Martin, C., &amp; Bailey, P. (2012). Transcription Factors of Lotus: Regulation of Isoflavonoid Biosynthesis Requires Coordinated Changes in Transcription Factor Activity.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159</w:t>
      </w:r>
      <w:r w:rsidRPr="001B1244">
        <w:rPr>
          <w:rFonts w:ascii="Arial" w:hAnsi="Arial" w:cs="Arial"/>
          <w:color w:val="000000" w:themeColor="text1"/>
          <w:sz w:val="22"/>
          <w:szCs w:val="22"/>
        </w:rPr>
        <w:t xml:space="preserve">(2), 531–547. </w:t>
      </w:r>
      <w:hyperlink r:id="rId180" w:history="1">
        <w:r w:rsidRPr="001B1244">
          <w:rPr>
            <w:rFonts w:ascii="Arial" w:hAnsi="Arial" w:cs="Arial"/>
            <w:color w:val="000000" w:themeColor="text1"/>
            <w:sz w:val="22"/>
            <w:szCs w:val="22"/>
            <w:u w:val="single"/>
          </w:rPr>
          <w:t>https://doi.org/10.1104/pp.112.194753</w:t>
        </w:r>
      </w:hyperlink>
    </w:p>
    <w:p w14:paraId="13BB444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Shen, H., He, X., Poovaiah, C. R., Wuddineh, W. A., Ma, J., Mann, D. G. J., Wang, H., Jackson, L., Tang, Y., Neal Stewart, C., Chen, F., &amp; Dixon, R. A. (2012). Functional characterization of the switchgrass (</w:t>
      </w:r>
      <w:r w:rsidRPr="001B1244">
        <w:rPr>
          <w:rFonts w:ascii="Arial" w:hAnsi="Arial" w:cs="Arial"/>
          <w:i/>
          <w:color w:val="000000" w:themeColor="text1"/>
          <w:sz w:val="22"/>
          <w:szCs w:val="22"/>
        </w:rPr>
        <w:t>Panicum virgatum</w:t>
      </w:r>
      <w:r w:rsidRPr="001B1244">
        <w:rPr>
          <w:rFonts w:ascii="Arial" w:hAnsi="Arial" w:cs="Arial"/>
          <w:color w:val="000000" w:themeColor="text1"/>
          <w:sz w:val="22"/>
          <w:szCs w:val="22"/>
        </w:rPr>
        <w:t>) R2R3</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MYB transcription factor </w:t>
      </w:r>
      <w:r w:rsidRPr="001B1244">
        <w:rPr>
          <w:rFonts w:ascii="Arial" w:hAnsi="Arial" w:cs="Arial"/>
          <w:i/>
          <w:color w:val="000000" w:themeColor="text1"/>
          <w:sz w:val="22"/>
          <w:szCs w:val="22"/>
        </w:rPr>
        <w:t>PvMYB4</w:t>
      </w:r>
      <w:r w:rsidRPr="001B1244">
        <w:rPr>
          <w:rFonts w:ascii="Arial" w:hAnsi="Arial" w:cs="Arial"/>
          <w:color w:val="000000" w:themeColor="text1"/>
          <w:sz w:val="22"/>
          <w:szCs w:val="22"/>
        </w:rPr>
        <w:t xml:space="preserve"> for improvement of lignocellulosic feedstocks. </w:t>
      </w:r>
      <w:r w:rsidRPr="001B1244">
        <w:rPr>
          <w:rFonts w:ascii="Arial" w:hAnsi="Arial" w:cs="Arial"/>
          <w:i/>
          <w:color w:val="000000" w:themeColor="text1"/>
          <w:sz w:val="22"/>
          <w:szCs w:val="22"/>
        </w:rPr>
        <w:t>New Phytologist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193</w:t>
      </w:r>
      <w:r w:rsidRPr="001B1244">
        <w:rPr>
          <w:rFonts w:ascii="Arial" w:hAnsi="Arial" w:cs="Arial"/>
          <w:color w:val="000000" w:themeColor="text1"/>
          <w:sz w:val="22"/>
          <w:szCs w:val="22"/>
        </w:rPr>
        <w:t xml:space="preserve">(1), 121–136. </w:t>
      </w:r>
      <w:hyperlink r:id="rId181" w:history="1">
        <w:r w:rsidRPr="001B1244">
          <w:rPr>
            <w:rFonts w:ascii="Arial" w:hAnsi="Arial" w:cs="Arial"/>
            <w:color w:val="000000" w:themeColor="text1"/>
            <w:sz w:val="22"/>
            <w:szCs w:val="22"/>
            <w:u w:val="single"/>
          </w:rPr>
          <w:t>https://doi.org/10.1111/j.1469-8137.2011.03922.x</w:t>
        </w:r>
      </w:hyperlink>
    </w:p>
    <w:p w14:paraId="1236635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Shin, B., Choi, G., Yi, H., Yang, S., Cho, I., Kim, J., Lee, S., Paek, N.-C., Kim, J.-H., Song, P.-S., &amp; Choi, G. (2002). AtMYB21, a gene encoding a flower-specific transcription factor, </w:t>
      </w:r>
      <w:proofErr w:type="gramStart"/>
      <w:r w:rsidRPr="001B1244">
        <w:rPr>
          <w:rFonts w:ascii="Arial" w:hAnsi="Arial" w:cs="Arial"/>
          <w:color w:val="000000" w:themeColor="text1"/>
          <w:sz w:val="22"/>
          <w:szCs w:val="22"/>
        </w:rPr>
        <w:t>is regulated</w:t>
      </w:r>
      <w:proofErr w:type="gramEnd"/>
      <w:r w:rsidRPr="001B1244">
        <w:rPr>
          <w:rFonts w:ascii="Arial" w:hAnsi="Arial" w:cs="Arial"/>
          <w:color w:val="000000" w:themeColor="text1"/>
          <w:sz w:val="22"/>
          <w:szCs w:val="22"/>
        </w:rPr>
        <w:t xml:space="preserve"> by COP1.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30</w:t>
      </w:r>
      <w:r w:rsidRPr="001B1244">
        <w:rPr>
          <w:rFonts w:ascii="Arial" w:hAnsi="Arial" w:cs="Arial"/>
          <w:color w:val="000000" w:themeColor="text1"/>
          <w:sz w:val="22"/>
          <w:szCs w:val="22"/>
        </w:rPr>
        <w:t xml:space="preserve">(1), 23–32. </w:t>
      </w:r>
      <w:hyperlink r:id="rId182" w:history="1">
        <w:r w:rsidRPr="001B1244">
          <w:rPr>
            <w:rFonts w:ascii="Arial" w:hAnsi="Arial" w:cs="Arial"/>
            <w:color w:val="000000" w:themeColor="text1"/>
            <w:sz w:val="22"/>
            <w:szCs w:val="22"/>
            <w:u w:val="single"/>
          </w:rPr>
          <w:t>https://doi.org/10.1046/j.1365-313X.2002.01264.x</w:t>
        </w:r>
      </w:hyperlink>
    </w:p>
    <w:p w14:paraId="4B8E698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Silva-Junior, O. B., Grattapaglia, D., Novaes, E., &amp; Collevatti, R. G. (2018). Genome assembly of the Pink Ipê (</w:t>
      </w:r>
      <w:r w:rsidRPr="001B1244">
        <w:rPr>
          <w:rFonts w:ascii="Arial" w:hAnsi="Arial" w:cs="Arial"/>
          <w:i/>
          <w:iCs/>
          <w:color w:val="000000" w:themeColor="text1"/>
          <w:sz w:val="22"/>
          <w:szCs w:val="22"/>
        </w:rPr>
        <w:t>Handroanthus impetiginosus</w:t>
      </w:r>
      <w:r w:rsidRPr="001B1244">
        <w:rPr>
          <w:rFonts w:ascii="Arial" w:hAnsi="Arial" w:cs="Arial"/>
          <w:color w:val="000000" w:themeColor="text1"/>
          <w:sz w:val="22"/>
          <w:szCs w:val="22"/>
        </w:rPr>
        <w:t xml:space="preserve">, Bignoniaceae), a highly valued, ecologically keystone Neotropical timber forest tree. </w:t>
      </w:r>
      <w:r w:rsidRPr="001B1244">
        <w:rPr>
          <w:rFonts w:ascii="Arial" w:hAnsi="Arial" w:cs="Arial"/>
          <w:i/>
          <w:color w:val="000000" w:themeColor="text1"/>
          <w:sz w:val="22"/>
          <w:szCs w:val="22"/>
        </w:rPr>
        <w:t>GigaScience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w:t>
      </w:r>
      <w:r w:rsidRPr="001B1244">
        <w:rPr>
          <w:rFonts w:ascii="Arial" w:hAnsi="Arial" w:cs="Arial"/>
          <w:color w:val="000000" w:themeColor="text1"/>
          <w:sz w:val="22"/>
          <w:szCs w:val="22"/>
        </w:rPr>
        <w:t xml:space="preserve">(1). </w:t>
      </w:r>
      <w:hyperlink r:id="rId183" w:history="1">
        <w:r w:rsidRPr="001B1244">
          <w:rPr>
            <w:rFonts w:ascii="Arial" w:hAnsi="Arial" w:cs="Arial"/>
            <w:color w:val="000000" w:themeColor="text1"/>
            <w:sz w:val="22"/>
            <w:szCs w:val="22"/>
            <w:u w:val="single"/>
          </w:rPr>
          <w:t>https://doi.org/10.1093/gigascience/gix125</w:t>
        </w:r>
      </w:hyperlink>
    </w:p>
    <w:p w14:paraId="31746213"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Singhal, S., Leffler, E. M., Sannareddy, K., Turner, I., Venn, O., Hooper, D. M</w:t>
      </w:r>
      <w:proofErr w:type="gramStart"/>
      <w:r w:rsidRPr="001B1244">
        <w:rPr>
          <w:rFonts w:ascii="Arial" w:hAnsi="Arial" w:cs="Arial"/>
          <w:color w:val="000000" w:themeColor="text1"/>
          <w:sz w:val="22"/>
          <w:szCs w:val="22"/>
          <w:shd w:val="clear" w:color="auto" w:fill="FFFFFF"/>
        </w:rPr>
        <w:t>., ...</w:t>
      </w:r>
      <w:proofErr w:type="gramEnd"/>
      <w:r w:rsidRPr="001B1244">
        <w:rPr>
          <w:rFonts w:ascii="Arial" w:hAnsi="Arial" w:cs="Arial"/>
          <w:color w:val="000000" w:themeColor="text1"/>
          <w:sz w:val="22"/>
          <w:szCs w:val="22"/>
          <w:shd w:val="clear" w:color="auto" w:fill="FFFFFF"/>
        </w:rPr>
        <w:t xml:space="preserve"> &amp; Przeworski, M. (2015). Stable recombination hotspots in birds.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Science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350</w:t>
      </w:r>
      <w:r w:rsidRPr="001B1244">
        <w:rPr>
          <w:rFonts w:ascii="Arial" w:hAnsi="Arial" w:cs="Arial"/>
          <w:color w:val="000000" w:themeColor="text1"/>
          <w:sz w:val="22"/>
          <w:szCs w:val="22"/>
          <w:shd w:val="clear" w:color="auto" w:fill="FFFFFF"/>
        </w:rPr>
        <w:t>(6263), 928-932.</w:t>
      </w:r>
    </w:p>
    <w:p w14:paraId="58E3458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Skou, J. P. (1982). Callose Formation Responsible for the Powdery Mildew Resistance in Barley with Genes in the ml-o Locus. </w:t>
      </w:r>
      <w:r w:rsidRPr="001B1244">
        <w:rPr>
          <w:rFonts w:ascii="Arial" w:hAnsi="Arial" w:cs="Arial"/>
          <w:i/>
          <w:color w:val="000000" w:themeColor="text1"/>
          <w:sz w:val="22"/>
          <w:szCs w:val="22"/>
        </w:rPr>
        <w:t>Journal of Phytopathology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104</w:t>
      </w:r>
      <w:r w:rsidRPr="001B1244">
        <w:rPr>
          <w:rFonts w:ascii="Arial" w:hAnsi="Arial" w:cs="Arial"/>
          <w:color w:val="000000" w:themeColor="text1"/>
          <w:sz w:val="22"/>
          <w:szCs w:val="22"/>
        </w:rPr>
        <w:t xml:space="preserve">(1), 90–95. </w:t>
      </w:r>
      <w:hyperlink r:id="rId184" w:history="1">
        <w:r w:rsidRPr="001B1244">
          <w:rPr>
            <w:rFonts w:ascii="Arial" w:hAnsi="Arial" w:cs="Arial"/>
            <w:color w:val="000000" w:themeColor="text1"/>
            <w:sz w:val="22"/>
            <w:szCs w:val="22"/>
            <w:u w:val="single"/>
          </w:rPr>
          <w:t>https://doi.org/10.1111/j.1439-0434.1982.tb00009.x</w:t>
        </w:r>
      </w:hyperlink>
    </w:p>
    <w:p w14:paraId="21EFF31D"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Skou, J. P., Jørgensen, J. H., &amp; Lilholt, U. (1984). Comparative Studies on Callose Formation in Powdery Mildew Compatible and Incompatible Barley. </w:t>
      </w:r>
      <w:r w:rsidRPr="001B1244">
        <w:rPr>
          <w:rFonts w:ascii="Arial" w:hAnsi="Arial" w:cs="Arial"/>
          <w:i/>
          <w:color w:val="000000" w:themeColor="text1"/>
          <w:sz w:val="22"/>
          <w:szCs w:val="22"/>
        </w:rPr>
        <w:t>Journal of Phytopathology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109</w:t>
      </w:r>
      <w:r w:rsidRPr="001B1244">
        <w:rPr>
          <w:rFonts w:ascii="Arial" w:hAnsi="Arial" w:cs="Arial"/>
          <w:color w:val="000000" w:themeColor="text1"/>
          <w:sz w:val="22"/>
          <w:szCs w:val="22"/>
        </w:rPr>
        <w:t xml:space="preserve">(2), 147–168. </w:t>
      </w:r>
      <w:hyperlink r:id="rId185" w:history="1">
        <w:r w:rsidRPr="001B1244">
          <w:rPr>
            <w:rFonts w:ascii="Arial" w:hAnsi="Arial" w:cs="Arial"/>
            <w:color w:val="000000" w:themeColor="text1"/>
            <w:sz w:val="22"/>
            <w:szCs w:val="22"/>
            <w:u w:val="single"/>
          </w:rPr>
          <w:t>https://doi.org/10.1111/j.1439-0434.1984.tb00702.x</w:t>
        </w:r>
      </w:hyperlink>
    </w:p>
    <w:p w14:paraId="0D4E5E8E"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shd w:val="clear" w:color="auto" w:fill="FFFFFF"/>
        </w:rPr>
        <w:t>Smeriglio, A., Barreca, D., Bellocco, E., &amp; Trombetta, D. (2016). Chemistry, pharmacology and health benefits of anthocyanins.</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Phytotherapy Research</w:t>
      </w:r>
      <w:r w:rsidRPr="001B1244">
        <w:rPr>
          <w:rFonts w:ascii="Arial" w:hAnsi="Arial" w:cs="Arial"/>
          <w:color w:val="000000" w:themeColor="text1"/>
          <w:sz w:val="22"/>
          <w:szCs w:val="22"/>
          <w:shd w:val="clear" w:color="auto" w:fill="FFFFFF"/>
        </w:rPr>
        <w:t>,</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30</w:t>
      </w:r>
      <w:r w:rsidRPr="001B1244">
        <w:rPr>
          <w:rFonts w:ascii="Arial" w:hAnsi="Arial" w:cs="Arial"/>
          <w:color w:val="000000" w:themeColor="text1"/>
          <w:sz w:val="22"/>
          <w:szCs w:val="22"/>
          <w:shd w:val="clear" w:color="auto" w:fill="FFFFFF"/>
        </w:rPr>
        <w:t>(8), 1265-1286.</w:t>
      </w:r>
    </w:p>
    <w:p w14:paraId="128E17D9"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Song, J., Bradeen, J. M., Naess, S. K., Raasch, J. A., Wielgus, S. M., Haberlach, G. T., Liu, J., Kuang, H., Austin-Phillips, S., Buell, C. R., Helgeson, J. P., &amp; Jiang, J. (2003). Gene </w:t>
      </w:r>
      <w:r w:rsidRPr="001B1244">
        <w:rPr>
          <w:rFonts w:ascii="Arial" w:hAnsi="Arial" w:cs="Arial"/>
          <w:i/>
          <w:color w:val="000000" w:themeColor="text1"/>
          <w:sz w:val="22"/>
          <w:szCs w:val="22"/>
        </w:rPr>
        <w:t>RB</w:t>
      </w:r>
      <w:r w:rsidRPr="001B1244">
        <w:rPr>
          <w:rFonts w:ascii="Arial" w:hAnsi="Arial" w:cs="Arial"/>
          <w:color w:val="000000" w:themeColor="text1"/>
          <w:sz w:val="22"/>
          <w:szCs w:val="22"/>
        </w:rPr>
        <w:t xml:space="preserve"> cloned from </w:t>
      </w:r>
      <w:r w:rsidRPr="001B1244">
        <w:rPr>
          <w:rFonts w:ascii="Arial" w:hAnsi="Arial" w:cs="Arial"/>
          <w:i/>
          <w:color w:val="000000" w:themeColor="text1"/>
          <w:sz w:val="22"/>
          <w:szCs w:val="22"/>
        </w:rPr>
        <w:t>Solanum bulbocastanum</w:t>
      </w:r>
      <w:r w:rsidRPr="001B1244">
        <w:rPr>
          <w:rFonts w:ascii="Arial" w:hAnsi="Arial" w:cs="Arial"/>
          <w:color w:val="000000" w:themeColor="text1"/>
          <w:sz w:val="22"/>
          <w:szCs w:val="22"/>
        </w:rPr>
        <w:t xml:space="preserve"> confers </w:t>
      </w:r>
      <w:proofErr w:type="gramStart"/>
      <w:r w:rsidRPr="001B1244">
        <w:rPr>
          <w:rFonts w:ascii="Arial" w:hAnsi="Arial" w:cs="Arial"/>
          <w:color w:val="000000" w:themeColor="text1"/>
          <w:sz w:val="22"/>
          <w:szCs w:val="22"/>
        </w:rPr>
        <w:t>broad spectrum</w:t>
      </w:r>
      <w:proofErr w:type="gramEnd"/>
      <w:r w:rsidRPr="001B1244">
        <w:rPr>
          <w:rFonts w:ascii="Arial" w:hAnsi="Arial" w:cs="Arial"/>
          <w:color w:val="000000" w:themeColor="text1"/>
          <w:sz w:val="22"/>
          <w:szCs w:val="22"/>
        </w:rPr>
        <w:t xml:space="preserve"> resistance to potato late blight. </w:t>
      </w:r>
      <w:r w:rsidRPr="001B1244">
        <w:rPr>
          <w:rFonts w:ascii="Arial" w:hAnsi="Arial" w:cs="Arial"/>
          <w:i/>
          <w:color w:val="000000" w:themeColor="text1"/>
          <w:sz w:val="22"/>
          <w:szCs w:val="22"/>
        </w:rPr>
        <w:t>Proceedings of the National Academy of Sciences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100</w:t>
      </w:r>
      <w:r w:rsidRPr="001B1244">
        <w:rPr>
          <w:rFonts w:ascii="Arial" w:hAnsi="Arial" w:cs="Arial"/>
          <w:color w:val="000000" w:themeColor="text1"/>
          <w:sz w:val="22"/>
          <w:szCs w:val="22"/>
        </w:rPr>
        <w:t xml:space="preserve">(16), 9128–9133. </w:t>
      </w:r>
      <w:hyperlink r:id="rId186" w:history="1">
        <w:r w:rsidRPr="001B1244">
          <w:rPr>
            <w:rFonts w:ascii="Arial" w:hAnsi="Arial" w:cs="Arial"/>
            <w:color w:val="000000" w:themeColor="text1"/>
            <w:sz w:val="22"/>
            <w:szCs w:val="22"/>
            <w:u w:val="single"/>
          </w:rPr>
          <w:t>https://doi.org/10.1073/pnas.1533501100</w:t>
        </w:r>
      </w:hyperlink>
    </w:p>
    <w:p w14:paraId="7035A464" w14:textId="345381CD"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Song, L., &amp; Florea, L. (2015). Rcorrector: Efficient and accurate error correction for Illumina RNA-seq reads. </w:t>
      </w:r>
      <w:r w:rsidRPr="001B1244">
        <w:rPr>
          <w:rFonts w:ascii="Arial" w:hAnsi="Arial" w:cs="Arial"/>
          <w:i/>
          <w:color w:val="000000" w:themeColor="text1"/>
          <w:sz w:val="22"/>
          <w:szCs w:val="22"/>
        </w:rPr>
        <w:t>GigaScience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w:t>
      </w:r>
      <w:r w:rsidRPr="001B1244">
        <w:rPr>
          <w:rFonts w:ascii="Arial" w:hAnsi="Arial" w:cs="Arial"/>
          <w:color w:val="000000" w:themeColor="text1"/>
          <w:sz w:val="22"/>
          <w:szCs w:val="22"/>
        </w:rPr>
        <w:t xml:space="preserve">(1), 48. </w:t>
      </w:r>
      <w:hyperlink r:id="rId187" w:history="1">
        <w:r w:rsidRPr="001B1244">
          <w:rPr>
            <w:rFonts w:ascii="Arial" w:hAnsi="Arial" w:cs="Arial"/>
            <w:color w:val="000000" w:themeColor="text1"/>
            <w:sz w:val="22"/>
            <w:szCs w:val="22"/>
            <w:u w:val="single"/>
          </w:rPr>
          <w:t>https://doi.org/10.1186/s13742-015-0089-y</w:t>
        </w:r>
      </w:hyperlink>
    </w:p>
    <w:p w14:paraId="02A76B7F" w14:textId="77C2C098" w:rsidR="004F0854" w:rsidRPr="001B1244" w:rsidRDefault="00390F66" w:rsidP="00C312F7">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Souquet, J. M., Cheynier, V., Brossaud, F., &amp; Moutounet, M. (1996). Polymeric proanthocyanidins from grape skins.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Phytochemistry</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43</w:t>
      </w:r>
      <w:r w:rsidRPr="001B1244">
        <w:rPr>
          <w:rFonts w:ascii="Arial" w:hAnsi="Arial" w:cs="Arial"/>
          <w:color w:val="222222"/>
          <w:sz w:val="22"/>
          <w:szCs w:val="22"/>
          <w:shd w:val="clear" w:color="auto" w:fill="FFFFFF"/>
        </w:rPr>
        <w:t>(2), 509-512.</w:t>
      </w:r>
    </w:p>
    <w:p w14:paraId="54F071E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Srivastava, A., Malik, L., Sarkar, H., Zakeri, M., Almodaresi, F., Soneson, C., Love, M. I., Kingsford, C., &amp; Patro, R. (2020). Alignment and mapping methodology influence transcript abundance estimation. </w:t>
      </w:r>
      <w:r w:rsidRPr="001B1244">
        <w:rPr>
          <w:rFonts w:ascii="Arial" w:hAnsi="Arial" w:cs="Arial"/>
          <w:i/>
          <w:color w:val="000000" w:themeColor="text1"/>
          <w:sz w:val="22"/>
          <w:szCs w:val="22"/>
        </w:rPr>
        <w:t>Genome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21</w:t>
      </w:r>
      <w:r w:rsidRPr="001B1244">
        <w:rPr>
          <w:rFonts w:ascii="Arial" w:hAnsi="Arial" w:cs="Arial"/>
          <w:color w:val="000000" w:themeColor="text1"/>
          <w:sz w:val="22"/>
          <w:szCs w:val="22"/>
        </w:rPr>
        <w:t xml:space="preserve">(1), 239. </w:t>
      </w:r>
      <w:hyperlink r:id="rId188" w:history="1">
        <w:r w:rsidRPr="001B1244">
          <w:rPr>
            <w:rFonts w:ascii="Arial" w:hAnsi="Arial" w:cs="Arial"/>
            <w:color w:val="000000" w:themeColor="text1"/>
            <w:sz w:val="22"/>
            <w:szCs w:val="22"/>
            <w:u w:val="single"/>
          </w:rPr>
          <w:t>https://doi.org/10.1186/s13059-020-02151-8</w:t>
        </w:r>
      </w:hyperlink>
    </w:p>
    <w:p w14:paraId="274DD820"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Stai, J. S., Yadav, A., Sinou, C., Bruneau, A., Doyle, J. J., Fernández-Baca, D., &amp; Cannon, S. B. (2019). </w:t>
      </w:r>
      <w:r w:rsidRPr="001B1244">
        <w:rPr>
          <w:rFonts w:ascii="Arial" w:hAnsi="Arial" w:cs="Arial"/>
          <w:i/>
          <w:iCs/>
          <w:color w:val="000000" w:themeColor="text1"/>
          <w:sz w:val="22"/>
          <w:szCs w:val="22"/>
        </w:rPr>
        <w:t>Cercis</w:t>
      </w:r>
      <w:r w:rsidRPr="001B1244">
        <w:rPr>
          <w:rFonts w:ascii="Arial" w:hAnsi="Arial" w:cs="Arial"/>
          <w:color w:val="000000" w:themeColor="text1"/>
          <w:sz w:val="22"/>
          <w:szCs w:val="22"/>
        </w:rPr>
        <w:t xml:space="preserve">: A Non-polyploid Genomic Relic </w:t>
      </w:r>
      <w:proofErr w:type="gramStart"/>
      <w:r w:rsidRPr="001B1244">
        <w:rPr>
          <w:rFonts w:ascii="Arial" w:hAnsi="Arial" w:cs="Arial"/>
          <w:color w:val="000000" w:themeColor="text1"/>
          <w:sz w:val="22"/>
          <w:szCs w:val="22"/>
        </w:rPr>
        <w:t>Within</w:t>
      </w:r>
      <w:proofErr w:type="gramEnd"/>
      <w:r w:rsidRPr="001B1244">
        <w:rPr>
          <w:rFonts w:ascii="Arial" w:hAnsi="Arial" w:cs="Arial"/>
          <w:color w:val="000000" w:themeColor="text1"/>
          <w:sz w:val="22"/>
          <w:szCs w:val="22"/>
        </w:rPr>
        <w:t xml:space="preserve"> the Generally Polyploid Legume Family. </w:t>
      </w:r>
      <w:r w:rsidRPr="001B1244">
        <w:rPr>
          <w:rFonts w:ascii="Arial" w:hAnsi="Arial" w:cs="Arial"/>
          <w:i/>
          <w:color w:val="000000" w:themeColor="text1"/>
          <w:sz w:val="22"/>
          <w:szCs w:val="22"/>
        </w:rPr>
        <w:t>Frontiers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 345. </w:t>
      </w:r>
      <w:hyperlink r:id="rId189" w:history="1">
        <w:r w:rsidRPr="001B1244">
          <w:rPr>
            <w:rFonts w:ascii="Arial" w:hAnsi="Arial" w:cs="Arial"/>
            <w:color w:val="000000" w:themeColor="text1"/>
            <w:sz w:val="22"/>
            <w:szCs w:val="22"/>
            <w:u w:val="single"/>
          </w:rPr>
          <w:t>https://doi.org/10.3389/fpls.2019.00345</w:t>
        </w:r>
      </w:hyperlink>
    </w:p>
    <w:p w14:paraId="7069021D" w14:textId="2BC69AA9"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Stecher, G., Tamura, K., &amp; Kumar, S. (2020). Molecular Evolutionary Genetics Analysis (MEGA) for macOS. </w:t>
      </w:r>
      <w:r w:rsidRPr="001B1244">
        <w:rPr>
          <w:rFonts w:ascii="Arial" w:hAnsi="Arial" w:cs="Arial"/>
          <w:i/>
          <w:color w:val="000000" w:themeColor="text1"/>
          <w:sz w:val="22"/>
          <w:szCs w:val="22"/>
        </w:rPr>
        <w:t>Molecular Biology and Evolution</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37</w:t>
      </w:r>
      <w:r w:rsidRPr="001B1244">
        <w:rPr>
          <w:rFonts w:ascii="Arial" w:hAnsi="Arial" w:cs="Arial"/>
          <w:color w:val="000000" w:themeColor="text1"/>
          <w:sz w:val="22"/>
          <w:szCs w:val="22"/>
        </w:rPr>
        <w:t xml:space="preserve">(4), 1237–1239. </w:t>
      </w:r>
      <w:hyperlink r:id="rId190" w:history="1">
        <w:r w:rsidRPr="001B1244">
          <w:rPr>
            <w:rFonts w:ascii="Arial" w:hAnsi="Arial" w:cs="Arial"/>
            <w:color w:val="000000" w:themeColor="text1"/>
            <w:sz w:val="22"/>
            <w:szCs w:val="22"/>
            <w:u w:val="single"/>
          </w:rPr>
          <w:t>https://doi.org/10.1093/molbev/msz312</w:t>
        </w:r>
      </w:hyperlink>
    </w:p>
    <w:p w14:paraId="7D280AED" w14:textId="13452D7A" w:rsidR="006A2B42" w:rsidRPr="001B1244" w:rsidRDefault="006A2B42" w:rsidP="00C312F7">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Steel, M., &amp; Penny, D. (2000). Parsimony, likelihood, and the role of models in molecular phylogenetics.</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Molecular biology and evolution</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17</w:t>
      </w:r>
      <w:r w:rsidRPr="001B1244">
        <w:rPr>
          <w:rFonts w:ascii="Arial" w:hAnsi="Arial" w:cs="Arial"/>
          <w:color w:val="222222"/>
          <w:sz w:val="22"/>
          <w:szCs w:val="22"/>
          <w:shd w:val="clear" w:color="auto" w:fill="FFFFFF"/>
        </w:rPr>
        <w:t>(6), 839-850.</w:t>
      </w:r>
    </w:p>
    <w:p w14:paraId="0782FF1C"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Stracke, R., Werber, M., &amp; Weisshaar, B. (2001). The R2R3-MYB gene family in </w:t>
      </w:r>
      <w:r w:rsidRPr="001B1244">
        <w:rPr>
          <w:rFonts w:ascii="Arial" w:hAnsi="Arial" w:cs="Arial"/>
          <w:i/>
          <w:iCs/>
          <w:color w:val="000000" w:themeColor="text1"/>
          <w:sz w:val="22"/>
          <w:szCs w:val="22"/>
        </w:rPr>
        <w:t>Arabidopsis thaliana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Current Opinion in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w:t>
      </w:r>
      <w:r w:rsidRPr="001B1244">
        <w:rPr>
          <w:rFonts w:ascii="Arial" w:hAnsi="Arial" w:cs="Arial"/>
          <w:color w:val="000000" w:themeColor="text1"/>
          <w:sz w:val="22"/>
          <w:szCs w:val="22"/>
        </w:rPr>
        <w:t xml:space="preserve">(5), 447–456. </w:t>
      </w:r>
      <w:hyperlink r:id="rId191" w:history="1">
        <w:r w:rsidRPr="001B1244">
          <w:rPr>
            <w:rFonts w:ascii="Arial" w:hAnsi="Arial" w:cs="Arial"/>
            <w:color w:val="000000" w:themeColor="text1"/>
            <w:sz w:val="22"/>
            <w:szCs w:val="22"/>
            <w:u w:val="single"/>
          </w:rPr>
          <w:t>https://doi.org/10.1016/S1369-5266(00)00199-0</w:t>
        </w:r>
      </w:hyperlink>
    </w:p>
    <w:p w14:paraId="4781904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Sun, W., Ma, Z., Chen, H., &amp; Liu, M. (2019). MYB gene family in potato (</w:t>
      </w:r>
      <w:r w:rsidRPr="001B1244">
        <w:rPr>
          <w:rFonts w:ascii="Arial" w:hAnsi="Arial" w:cs="Arial"/>
          <w:i/>
          <w:iCs/>
          <w:color w:val="000000" w:themeColor="text1"/>
          <w:sz w:val="22"/>
          <w:szCs w:val="22"/>
          <w:shd w:val="clear" w:color="auto" w:fill="FFFFFF"/>
        </w:rPr>
        <w:t>Solanum tuberosum</w:t>
      </w:r>
      <w:r w:rsidRPr="001B1244">
        <w:rPr>
          <w:rFonts w:ascii="Arial" w:hAnsi="Arial" w:cs="Arial"/>
          <w:color w:val="000000" w:themeColor="text1"/>
          <w:sz w:val="22"/>
          <w:szCs w:val="22"/>
          <w:shd w:val="clear" w:color="auto" w:fill="FFFFFF"/>
        </w:rPr>
        <w:t xml:space="preserve"> L.): genome-wide identification of hormone-responsive reveals their potential functions in growth and development.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International journal of molecular sciences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20</w:t>
      </w:r>
      <w:r w:rsidRPr="001B1244">
        <w:rPr>
          <w:rFonts w:ascii="Arial" w:hAnsi="Arial" w:cs="Arial"/>
          <w:color w:val="000000" w:themeColor="text1"/>
          <w:sz w:val="22"/>
          <w:szCs w:val="22"/>
          <w:shd w:val="clear" w:color="auto" w:fill="FFFFFF"/>
        </w:rPr>
        <w:t xml:space="preserve">(19), 4847. </w:t>
      </w:r>
    </w:p>
    <w:p w14:paraId="50894CC9"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Supek, F., Bošnjak, M., Škunca, N., &amp; Šmuc, T. (2011). REVIGO Summarizes and Visualizes Long Lists of Gene Ontology Terms. </w:t>
      </w:r>
      <w:r w:rsidRPr="001B1244">
        <w:rPr>
          <w:rFonts w:ascii="Arial" w:hAnsi="Arial" w:cs="Arial"/>
          <w:i/>
          <w:color w:val="000000" w:themeColor="text1"/>
          <w:sz w:val="22"/>
          <w:szCs w:val="22"/>
        </w:rPr>
        <w:t>PLoS ONE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6</w:t>
      </w:r>
      <w:r w:rsidRPr="001B1244">
        <w:rPr>
          <w:rFonts w:ascii="Arial" w:hAnsi="Arial" w:cs="Arial"/>
          <w:color w:val="000000" w:themeColor="text1"/>
          <w:sz w:val="22"/>
          <w:szCs w:val="22"/>
        </w:rPr>
        <w:t xml:space="preserve">(7), e21800. </w:t>
      </w:r>
      <w:hyperlink r:id="rId192" w:history="1">
        <w:r w:rsidRPr="001B1244">
          <w:rPr>
            <w:rFonts w:ascii="Arial" w:hAnsi="Arial" w:cs="Arial"/>
            <w:color w:val="000000" w:themeColor="text1"/>
            <w:sz w:val="22"/>
            <w:szCs w:val="22"/>
            <w:u w:val="single"/>
          </w:rPr>
          <w:t>https://doi.org/10.1371/journal.pone.0021800</w:t>
        </w:r>
      </w:hyperlink>
    </w:p>
    <w:p w14:paraId="3E53960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Takamatsu, S., Matsuda, S., &amp; Grigaliunaite, B. (2013). Comprehensive phylogenetic analysis of the genus </w:t>
      </w:r>
      <w:r w:rsidRPr="001B1244">
        <w:rPr>
          <w:rFonts w:ascii="Arial" w:hAnsi="Arial" w:cs="Arial"/>
          <w:i/>
          <w:color w:val="000000" w:themeColor="text1"/>
          <w:sz w:val="22"/>
          <w:szCs w:val="22"/>
        </w:rPr>
        <w:t>Golovinomyces</w:t>
      </w:r>
      <w:r w:rsidRPr="001B1244">
        <w:rPr>
          <w:rFonts w:ascii="Arial" w:hAnsi="Arial" w:cs="Arial"/>
          <w:color w:val="000000" w:themeColor="text1"/>
          <w:sz w:val="22"/>
          <w:szCs w:val="22"/>
        </w:rPr>
        <w:t xml:space="preserve"> (Ascomycota: Erysiphales) reveals close evolutionary relationships with its host plants. </w:t>
      </w:r>
      <w:r w:rsidRPr="001B1244">
        <w:rPr>
          <w:rFonts w:ascii="Arial" w:hAnsi="Arial" w:cs="Arial"/>
          <w:i/>
          <w:color w:val="000000" w:themeColor="text1"/>
          <w:sz w:val="22"/>
          <w:szCs w:val="22"/>
        </w:rPr>
        <w:t>Mycologia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105</w:t>
      </w:r>
      <w:r w:rsidRPr="001B1244">
        <w:rPr>
          <w:rFonts w:ascii="Arial" w:hAnsi="Arial" w:cs="Arial"/>
          <w:color w:val="000000" w:themeColor="text1"/>
          <w:sz w:val="22"/>
          <w:szCs w:val="22"/>
        </w:rPr>
        <w:t xml:space="preserve">(5), 1135–1152. </w:t>
      </w:r>
      <w:hyperlink r:id="rId193" w:history="1">
        <w:r w:rsidRPr="001B1244">
          <w:rPr>
            <w:rFonts w:ascii="Arial" w:hAnsi="Arial" w:cs="Arial"/>
            <w:color w:val="000000" w:themeColor="text1"/>
            <w:sz w:val="22"/>
            <w:szCs w:val="22"/>
            <w:u w:val="single"/>
          </w:rPr>
          <w:t>https://doi.org/10.3852/13-046</w:t>
        </w:r>
      </w:hyperlink>
    </w:p>
    <w:p w14:paraId="27B08B87"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Takos, A. M., Jaffé, F. W., Jacob, S. R., Bogs, J., Robinson, S. P., &amp; Walker, A. R. (2006). Light-Induced Expression of a </w:t>
      </w:r>
      <w:r w:rsidRPr="001B1244">
        <w:rPr>
          <w:rFonts w:ascii="Arial" w:hAnsi="Arial" w:cs="Arial"/>
          <w:i/>
          <w:color w:val="000000" w:themeColor="text1"/>
          <w:sz w:val="22"/>
          <w:szCs w:val="22"/>
        </w:rPr>
        <w:t>MYB</w:t>
      </w:r>
      <w:r w:rsidRPr="001B1244">
        <w:rPr>
          <w:rFonts w:ascii="Arial" w:hAnsi="Arial" w:cs="Arial"/>
          <w:color w:val="000000" w:themeColor="text1"/>
          <w:sz w:val="22"/>
          <w:szCs w:val="22"/>
        </w:rPr>
        <w:t xml:space="preserve"> Gene Regulates Anthocyanin Biosynthesis in Red Apples.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142</w:t>
      </w:r>
      <w:r w:rsidRPr="001B1244">
        <w:rPr>
          <w:rFonts w:ascii="Arial" w:hAnsi="Arial" w:cs="Arial"/>
          <w:color w:val="000000" w:themeColor="text1"/>
          <w:sz w:val="22"/>
          <w:szCs w:val="22"/>
        </w:rPr>
        <w:t xml:space="preserve">(3), 1216–1232. </w:t>
      </w:r>
      <w:hyperlink r:id="rId194" w:history="1">
        <w:r w:rsidRPr="001B1244">
          <w:rPr>
            <w:rFonts w:ascii="Arial" w:hAnsi="Arial" w:cs="Arial"/>
            <w:color w:val="000000" w:themeColor="text1"/>
            <w:sz w:val="22"/>
            <w:szCs w:val="22"/>
            <w:u w:val="single"/>
          </w:rPr>
          <w:t>https://doi.org/10.1104/pp.106.088104</w:t>
        </w:r>
      </w:hyperlink>
    </w:p>
    <w:p w14:paraId="3AE577DC"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Tamagnone, L., Merida, A., Parr, A., Mackay, S., Culianez-Macia, F. A., Roberts, K., &amp; Martin, C. (1998). The AmMYB308 and AmMYB330 transcription factors from Antirrhinum regulate phenylpropanoid and lignin biosynthesis in transgenic tobacco.</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 Plant Cell</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10</w:t>
      </w:r>
      <w:r w:rsidRPr="001B1244">
        <w:rPr>
          <w:rFonts w:ascii="Arial" w:hAnsi="Arial" w:cs="Arial"/>
          <w:color w:val="000000" w:themeColor="text1"/>
          <w:sz w:val="22"/>
          <w:szCs w:val="22"/>
          <w:shd w:val="clear" w:color="auto" w:fill="FFFFFF"/>
        </w:rPr>
        <w:t>(2), 135-154.</w:t>
      </w:r>
    </w:p>
    <w:p w14:paraId="1034072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Tamura, K., Stecher, G., &amp; Kumar, S. (2021). MEGA11: Molecular Evolutionary Genetics Analysis Version 11. </w:t>
      </w:r>
      <w:r w:rsidRPr="001B1244">
        <w:rPr>
          <w:rFonts w:ascii="Arial" w:hAnsi="Arial" w:cs="Arial"/>
          <w:i/>
          <w:color w:val="000000" w:themeColor="text1"/>
          <w:sz w:val="22"/>
          <w:szCs w:val="22"/>
        </w:rPr>
        <w:t>Molecular Biology and Evolution</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38</w:t>
      </w:r>
      <w:r w:rsidRPr="001B1244">
        <w:rPr>
          <w:rFonts w:ascii="Arial" w:hAnsi="Arial" w:cs="Arial"/>
          <w:color w:val="000000" w:themeColor="text1"/>
          <w:sz w:val="22"/>
          <w:szCs w:val="22"/>
        </w:rPr>
        <w:t xml:space="preserve">(7), 3022–3027. </w:t>
      </w:r>
      <w:hyperlink r:id="rId195" w:history="1">
        <w:r w:rsidRPr="001B1244">
          <w:rPr>
            <w:rFonts w:ascii="Arial" w:hAnsi="Arial" w:cs="Arial"/>
            <w:color w:val="000000" w:themeColor="text1"/>
            <w:sz w:val="22"/>
            <w:szCs w:val="22"/>
            <w:u w:val="single"/>
          </w:rPr>
          <w:t>https://doi.org/10.1093/molbev/msab120</w:t>
        </w:r>
      </w:hyperlink>
    </w:p>
    <w:p w14:paraId="3702D036"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Tan, H., Man, C., Xie, Y., Yan, J., Chu, J., &amp; Huang, J. (2019). A Crucial Role of GA-Regulated Flavonol Biosynthesis in Root Growth of Arabidopsis. </w:t>
      </w:r>
      <w:r w:rsidRPr="001B1244">
        <w:rPr>
          <w:rFonts w:ascii="Arial" w:hAnsi="Arial" w:cs="Arial"/>
          <w:i/>
          <w:color w:val="000000" w:themeColor="text1"/>
          <w:sz w:val="22"/>
          <w:szCs w:val="22"/>
        </w:rPr>
        <w:t>Molecular Plant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w:t>
      </w:r>
      <w:r w:rsidRPr="001B1244">
        <w:rPr>
          <w:rFonts w:ascii="Arial" w:hAnsi="Arial" w:cs="Arial"/>
          <w:color w:val="000000" w:themeColor="text1"/>
          <w:sz w:val="22"/>
          <w:szCs w:val="22"/>
        </w:rPr>
        <w:t xml:space="preserve">(4), 521–537. </w:t>
      </w:r>
      <w:hyperlink r:id="rId196" w:history="1">
        <w:r w:rsidRPr="001B1244">
          <w:rPr>
            <w:rFonts w:ascii="Arial" w:hAnsi="Arial" w:cs="Arial"/>
            <w:color w:val="000000" w:themeColor="text1"/>
            <w:sz w:val="22"/>
            <w:szCs w:val="22"/>
            <w:u w:val="single"/>
          </w:rPr>
          <w:t>https://doi.org/10.1016/j.molp.2018.12.021</w:t>
        </w:r>
      </w:hyperlink>
    </w:p>
    <w:p w14:paraId="01FA832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Tetteh, A. Y., Wehner, T. C., &amp; Davis, A. R. (2013). Inheritance of Resistance to the New Race of Powdery Mildew in Watermelon. </w:t>
      </w:r>
      <w:r w:rsidRPr="001B1244">
        <w:rPr>
          <w:rFonts w:ascii="Arial" w:hAnsi="Arial" w:cs="Arial"/>
          <w:i/>
          <w:iCs/>
          <w:color w:val="000000" w:themeColor="text1"/>
          <w:sz w:val="22"/>
          <w:szCs w:val="22"/>
        </w:rPr>
        <w:t>Crop Science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53</w:t>
      </w:r>
      <w:r w:rsidRPr="001B1244">
        <w:rPr>
          <w:rFonts w:ascii="Arial" w:hAnsi="Arial" w:cs="Arial"/>
          <w:color w:val="000000" w:themeColor="text1"/>
          <w:sz w:val="22"/>
          <w:szCs w:val="22"/>
        </w:rPr>
        <w:t>, 8.</w:t>
      </w:r>
    </w:p>
    <w:p w14:paraId="0287543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Thurn, M., Lamb, E., &amp; Eshenaur, B. (2019). </w:t>
      </w:r>
      <w:r w:rsidRPr="001B1244">
        <w:rPr>
          <w:rFonts w:ascii="Arial" w:hAnsi="Arial" w:cs="Arial"/>
          <w:i/>
          <w:color w:val="000000" w:themeColor="text1"/>
          <w:sz w:val="22"/>
          <w:szCs w:val="22"/>
        </w:rPr>
        <w:t>Disease and Insect Resistant Ornamental Plants</w:t>
      </w:r>
      <w:r w:rsidRPr="001B1244">
        <w:rPr>
          <w:rFonts w:ascii="Arial" w:hAnsi="Arial" w:cs="Arial"/>
          <w:color w:val="000000" w:themeColor="text1"/>
          <w:sz w:val="22"/>
          <w:szCs w:val="22"/>
        </w:rPr>
        <w:t>. 10.</w:t>
      </w:r>
    </w:p>
    <w:p w14:paraId="1CB6163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Tian, J., Zhang, J., Han, Z., Song, T., Li, J., Wang, Y., &amp; Yao, Y. (2017). McMYB12 Transcription Factors Co-regulate Proanthocyanidin and Anthocyanin Biosynthesis in </w:t>
      </w:r>
      <w:r w:rsidRPr="001B1244">
        <w:rPr>
          <w:rFonts w:ascii="Arial" w:hAnsi="Arial" w:cs="Arial"/>
          <w:i/>
          <w:iCs/>
          <w:color w:val="000000" w:themeColor="text1"/>
          <w:sz w:val="22"/>
          <w:szCs w:val="22"/>
        </w:rPr>
        <w:t>Malus</w:t>
      </w:r>
      <w:r w:rsidRPr="001B1244">
        <w:rPr>
          <w:rFonts w:ascii="Arial" w:hAnsi="Arial" w:cs="Arial"/>
          <w:color w:val="000000" w:themeColor="text1"/>
          <w:sz w:val="22"/>
          <w:szCs w:val="22"/>
        </w:rPr>
        <w:t xml:space="preserve"> Crabapple. </w:t>
      </w:r>
      <w:r w:rsidRPr="001B1244">
        <w:rPr>
          <w:rFonts w:ascii="Arial" w:hAnsi="Arial" w:cs="Arial"/>
          <w:i/>
          <w:color w:val="000000" w:themeColor="text1"/>
          <w:sz w:val="22"/>
          <w:szCs w:val="22"/>
        </w:rPr>
        <w:t>Scientific Reports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w:t>
      </w:r>
      <w:r w:rsidRPr="001B1244">
        <w:rPr>
          <w:rFonts w:ascii="Arial" w:hAnsi="Arial" w:cs="Arial"/>
          <w:color w:val="000000" w:themeColor="text1"/>
          <w:sz w:val="22"/>
          <w:szCs w:val="22"/>
        </w:rPr>
        <w:t xml:space="preserve">(1), 43715. </w:t>
      </w:r>
      <w:hyperlink r:id="rId197" w:history="1">
        <w:r w:rsidRPr="001B1244">
          <w:rPr>
            <w:rFonts w:ascii="Arial" w:hAnsi="Arial" w:cs="Arial"/>
            <w:color w:val="000000" w:themeColor="text1"/>
            <w:sz w:val="22"/>
            <w:szCs w:val="22"/>
            <w:u w:val="single"/>
          </w:rPr>
          <w:t>https://doi.org/10.1038/srep43715</w:t>
        </w:r>
      </w:hyperlink>
    </w:p>
    <w:p w14:paraId="107F768D"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Tian, T., Liu, Y., Yan, H., You, Q., Yi, X., Du, Z., Xu, W., &amp; Su, Z. (2017). </w:t>
      </w:r>
      <w:proofErr w:type="gramStart"/>
      <w:r w:rsidRPr="001B1244">
        <w:rPr>
          <w:rFonts w:ascii="Arial" w:hAnsi="Arial" w:cs="Arial"/>
          <w:color w:val="000000" w:themeColor="text1"/>
          <w:sz w:val="22"/>
          <w:szCs w:val="22"/>
        </w:rPr>
        <w:t>agriGO</w:t>
      </w:r>
      <w:proofErr w:type="gramEnd"/>
      <w:r w:rsidRPr="001B1244">
        <w:rPr>
          <w:rFonts w:ascii="Arial" w:hAnsi="Arial" w:cs="Arial"/>
          <w:color w:val="000000" w:themeColor="text1"/>
          <w:sz w:val="22"/>
          <w:szCs w:val="22"/>
        </w:rPr>
        <w:t xml:space="preserve"> v2.0: A GO analysis toolkit for the agricultural community, 2017 update. </w:t>
      </w:r>
      <w:r w:rsidRPr="001B1244">
        <w:rPr>
          <w:rFonts w:ascii="Arial" w:hAnsi="Arial" w:cs="Arial"/>
          <w:i/>
          <w:color w:val="000000" w:themeColor="text1"/>
          <w:sz w:val="22"/>
          <w:szCs w:val="22"/>
        </w:rPr>
        <w:t>Nucleic Acids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45</w:t>
      </w:r>
      <w:r w:rsidRPr="001B1244">
        <w:rPr>
          <w:rFonts w:ascii="Arial" w:hAnsi="Arial" w:cs="Arial"/>
          <w:color w:val="000000" w:themeColor="text1"/>
          <w:sz w:val="22"/>
          <w:szCs w:val="22"/>
        </w:rPr>
        <w:t xml:space="preserve">(W1), W122–W129. </w:t>
      </w:r>
      <w:hyperlink r:id="rId198" w:history="1">
        <w:r w:rsidRPr="001B1244">
          <w:rPr>
            <w:rFonts w:ascii="Arial" w:hAnsi="Arial" w:cs="Arial"/>
            <w:color w:val="000000" w:themeColor="text1"/>
            <w:sz w:val="22"/>
            <w:szCs w:val="22"/>
            <w:u w:val="single"/>
          </w:rPr>
          <w:t>https://doi.org/10.1093/nar/gkx382</w:t>
        </w:r>
      </w:hyperlink>
    </w:p>
    <w:p w14:paraId="04F3B600"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Tiwari, K. R., Penner, G. A., &amp; Warkentin, T. D. (1997). Inheritance of powdery mildew resistance in pea. </w:t>
      </w:r>
      <w:r w:rsidRPr="001B1244">
        <w:rPr>
          <w:rFonts w:ascii="Arial" w:hAnsi="Arial" w:cs="Arial"/>
          <w:i/>
          <w:iCs/>
          <w:color w:val="000000" w:themeColor="text1"/>
          <w:sz w:val="22"/>
          <w:szCs w:val="22"/>
        </w:rPr>
        <w:t>Canadian Journal of Plant Science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77</w:t>
      </w:r>
      <w:r w:rsidRPr="001B1244">
        <w:rPr>
          <w:rFonts w:ascii="Arial" w:hAnsi="Arial" w:cs="Arial"/>
          <w:color w:val="000000" w:themeColor="text1"/>
          <w:sz w:val="22"/>
          <w:szCs w:val="22"/>
        </w:rPr>
        <w:t xml:space="preserve">(3), 307–310. </w:t>
      </w:r>
      <w:hyperlink r:id="rId199" w:history="1">
        <w:r w:rsidRPr="001B1244">
          <w:rPr>
            <w:rFonts w:ascii="Arial" w:hAnsi="Arial" w:cs="Arial"/>
            <w:color w:val="000000" w:themeColor="text1"/>
            <w:sz w:val="22"/>
            <w:szCs w:val="22"/>
            <w:u w:val="single"/>
          </w:rPr>
          <w:t>https://doi.org/10.4141/P96-157</w:t>
        </w:r>
      </w:hyperlink>
    </w:p>
    <w:p w14:paraId="1499C903" w14:textId="676EE845"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Thomas, W. A. (1969). Accumulation and cycling of calcium by dogwood trees.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Ecological Monographs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39</w:t>
      </w:r>
      <w:r w:rsidRPr="001B1244">
        <w:rPr>
          <w:rFonts w:ascii="Arial" w:hAnsi="Arial" w:cs="Arial"/>
          <w:color w:val="000000" w:themeColor="text1"/>
          <w:sz w:val="22"/>
          <w:szCs w:val="22"/>
          <w:shd w:val="clear" w:color="auto" w:fill="FFFFFF"/>
        </w:rPr>
        <w:t>(2), 101-120.</w:t>
      </w:r>
    </w:p>
    <w:p w14:paraId="24D1838C" w14:textId="42209B85" w:rsidR="00E51109" w:rsidRPr="001B1244" w:rsidRDefault="00E5110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222222"/>
          <w:sz w:val="22"/>
          <w:szCs w:val="22"/>
          <w:shd w:val="clear" w:color="auto" w:fill="FFFFFF"/>
        </w:rPr>
        <w:t>Tornqvist, C. E., Taylor, M., Jiang, Y., Evans, J., Buell, C. R., Kaeppler, S. M., &amp; Casler, M. D. (2018). Quantitative trait locus mapping for flowering time in a lowland× upland switchgrass pseudo</w:t>
      </w:r>
      <w:r w:rsidRPr="001B1244">
        <w:rPr>
          <w:rFonts w:ascii="Cambria Math" w:hAnsi="Cambria Math" w:cs="Cambria Math"/>
          <w:color w:val="222222"/>
          <w:sz w:val="22"/>
          <w:szCs w:val="22"/>
          <w:shd w:val="clear" w:color="auto" w:fill="FFFFFF"/>
        </w:rPr>
        <w:t>‐</w:t>
      </w:r>
      <w:r w:rsidRPr="001B1244">
        <w:rPr>
          <w:rFonts w:ascii="Arial" w:hAnsi="Arial" w:cs="Arial"/>
          <w:color w:val="222222"/>
          <w:sz w:val="22"/>
          <w:szCs w:val="22"/>
          <w:shd w:val="clear" w:color="auto" w:fill="FFFFFF"/>
        </w:rPr>
        <w:t>F2 population.</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The Plant Genome</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11</w:t>
      </w:r>
      <w:r w:rsidRPr="001B1244">
        <w:rPr>
          <w:rFonts w:ascii="Arial" w:hAnsi="Arial" w:cs="Arial"/>
          <w:color w:val="222222"/>
          <w:sz w:val="22"/>
          <w:szCs w:val="22"/>
          <w:shd w:val="clear" w:color="auto" w:fill="FFFFFF"/>
        </w:rPr>
        <w:t>(2), 170093.</w:t>
      </w:r>
    </w:p>
    <w:p w14:paraId="6AC1359B"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 xml:space="preserve">Trigiano, R. N., Ament, M. H., Windham, M. T., &amp; Moulton, J. K. (2004). Genetic profiling of red-bracted </w:t>
      </w:r>
      <w:r w:rsidRPr="001B1244">
        <w:rPr>
          <w:rFonts w:ascii="Arial" w:hAnsi="Arial" w:cs="Arial"/>
          <w:i/>
          <w:iCs/>
          <w:color w:val="000000" w:themeColor="text1"/>
          <w:sz w:val="22"/>
          <w:szCs w:val="22"/>
          <w:shd w:val="clear" w:color="auto" w:fill="FFFFFF"/>
        </w:rPr>
        <w:t>Cornus kousa</w:t>
      </w:r>
      <w:r w:rsidRPr="001B1244">
        <w:rPr>
          <w:rFonts w:ascii="Arial" w:hAnsi="Arial" w:cs="Arial"/>
          <w:color w:val="000000" w:themeColor="text1"/>
          <w:sz w:val="22"/>
          <w:szCs w:val="22"/>
          <w:shd w:val="clear" w:color="auto" w:fill="FFFFFF"/>
        </w:rPr>
        <w:t xml:space="preserve"> cultivars indicates significant cultivar synonymy.</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HortScience</w:t>
      </w:r>
      <w:r w:rsidRPr="001B1244">
        <w:rPr>
          <w:rFonts w:ascii="Arial" w:hAnsi="Arial" w:cs="Arial"/>
          <w:color w:val="000000" w:themeColor="text1"/>
          <w:sz w:val="22"/>
          <w:szCs w:val="22"/>
          <w:shd w:val="clear" w:color="auto" w:fill="FFFFFF"/>
        </w:rPr>
        <w:t>,</w:t>
      </w:r>
      <w:r w:rsidRPr="001B1244">
        <w:rPr>
          <w:rStyle w:val="apple-converted-space"/>
          <w:rFonts w:ascii="Arial" w:hAnsi="Arial" w:cs="Arial"/>
          <w:color w:val="000000" w:themeColor="text1"/>
          <w:sz w:val="22"/>
          <w:szCs w:val="22"/>
          <w:shd w:val="clear" w:color="auto" w:fill="FFFFFF"/>
        </w:rPr>
        <w:t> </w:t>
      </w:r>
      <w:r w:rsidRPr="001B1244">
        <w:rPr>
          <w:rFonts w:ascii="Arial" w:hAnsi="Arial" w:cs="Arial"/>
          <w:i/>
          <w:iCs/>
          <w:color w:val="000000" w:themeColor="text1"/>
          <w:sz w:val="22"/>
          <w:szCs w:val="22"/>
        </w:rPr>
        <w:t>39</w:t>
      </w:r>
      <w:r w:rsidRPr="001B1244">
        <w:rPr>
          <w:rFonts w:ascii="Arial" w:hAnsi="Arial" w:cs="Arial"/>
          <w:color w:val="000000" w:themeColor="text1"/>
          <w:sz w:val="22"/>
          <w:szCs w:val="22"/>
          <w:shd w:val="clear" w:color="auto" w:fill="FFFFFF"/>
        </w:rPr>
        <w:t xml:space="preserve">(3), 489-492. </w:t>
      </w:r>
    </w:p>
    <w:p w14:paraId="11325A05"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lastRenderedPageBreak/>
        <w:t xml:space="preserve">United States Department of Agriculture (2019). </w:t>
      </w:r>
      <w:r w:rsidRPr="001B1244">
        <w:rPr>
          <w:rFonts w:ascii="Arial" w:hAnsi="Arial" w:cs="Arial"/>
          <w:i/>
          <w:iCs/>
          <w:color w:val="000000" w:themeColor="text1"/>
          <w:sz w:val="22"/>
          <w:szCs w:val="22"/>
          <w:shd w:val="clear" w:color="auto" w:fill="FFFFFF"/>
        </w:rPr>
        <w:t>Census of Horticulture Specialities</w:t>
      </w:r>
      <w:r w:rsidRPr="001B1244">
        <w:rPr>
          <w:rFonts w:ascii="Arial" w:hAnsi="Arial" w:cs="Arial"/>
          <w:color w:val="000000" w:themeColor="text1"/>
          <w:sz w:val="22"/>
          <w:szCs w:val="22"/>
          <w:shd w:val="clear" w:color="auto" w:fill="FFFFFF"/>
        </w:rPr>
        <w:t>; National Agricultural Statistics Service: Washington, DC, USA.</w:t>
      </w:r>
    </w:p>
    <w:p w14:paraId="53B43C12" w14:textId="77777777" w:rsidR="00B51BF9" w:rsidRPr="001B1244" w:rsidRDefault="00B51BF9" w:rsidP="00C312F7">
      <w:pPr>
        <w:spacing w:line="360" w:lineRule="auto"/>
        <w:ind w:left="480" w:hanging="480"/>
        <w:rPr>
          <w:rFonts w:ascii="Arial" w:hAnsi="Arial" w:cs="Arial"/>
          <w:color w:val="000000" w:themeColor="text1"/>
          <w:sz w:val="22"/>
          <w:szCs w:val="22"/>
        </w:rPr>
      </w:pPr>
      <w:proofErr w:type="gramStart"/>
      <w:r w:rsidRPr="001B1244">
        <w:rPr>
          <w:rFonts w:ascii="Arial" w:hAnsi="Arial" w:cs="Arial"/>
          <w:color w:val="000000" w:themeColor="text1"/>
          <w:sz w:val="22"/>
          <w:szCs w:val="22"/>
        </w:rPr>
        <w:t>van</w:t>
      </w:r>
      <w:proofErr w:type="gramEnd"/>
      <w:r w:rsidRPr="001B1244">
        <w:rPr>
          <w:rFonts w:ascii="Arial" w:hAnsi="Arial" w:cs="Arial"/>
          <w:color w:val="000000" w:themeColor="text1"/>
          <w:sz w:val="22"/>
          <w:szCs w:val="22"/>
        </w:rPr>
        <w:t xml:space="preserve"> der Voort, J. N. A. M. R., van Eck, H. J., van Zandvoort, P. M., Overmars, H., Helder, J., &amp; Bakker, J. (1999). Linkage analysis by genotyping of sibling populations: A genetic map for the potato cyst nematode constructed using a “pseudo-F2” mapping strategy. </w:t>
      </w:r>
      <w:r w:rsidRPr="001B1244">
        <w:rPr>
          <w:rFonts w:ascii="Arial" w:hAnsi="Arial" w:cs="Arial"/>
          <w:i/>
          <w:iCs/>
          <w:color w:val="000000" w:themeColor="text1"/>
          <w:sz w:val="22"/>
          <w:szCs w:val="22"/>
        </w:rPr>
        <w:t>Molecular and General Genetics MGG</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261</w:t>
      </w:r>
      <w:r w:rsidRPr="001B1244">
        <w:rPr>
          <w:rFonts w:ascii="Arial" w:hAnsi="Arial" w:cs="Arial"/>
          <w:color w:val="000000" w:themeColor="text1"/>
          <w:sz w:val="22"/>
          <w:szCs w:val="22"/>
        </w:rPr>
        <w:t xml:space="preserve">(6), 1021–1031. </w:t>
      </w:r>
      <w:hyperlink r:id="rId200" w:history="1">
        <w:r w:rsidRPr="001B1244">
          <w:rPr>
            <w:rFonts w:ascii="Arial" w:hAnsi="Arial" w:cs="Arial"/>
            <w:color w:val="000000" w:themeColor="text1"/>
            <w:sz w:val="22"/>
            <w:szCs w:val="22"/>
            <w:u w:val="single"/>
          </w:rPr>
          <w:t>https://doi.org/10.1007/s004380051051</w:t>
        </w:r>
      </w:hyperlink>
    </w:p>
    <w:p w14:paraId="4471589A"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Vareed, S. K., Reddy, M. K., Schutzki, R. E., &amp; Nair, M. G. (2006). Anthocyanins in </w:t>
      </w:r>
      <w:r w:rsidRPr="001B1244">
        <w:rPr>
          <w:rFonts w:ascii="Arial" w:hAnsi="Arial" w:cs="Arial"/>
          <w:i/>
          <w:iCs/>
          <w:color w:val="000000" w:themeColor="text1"/>
          <w:sz w:val="22"/>
          <w:szCs w:val="22"/>
        </w:rPr>
        <w:t>Cornus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alternifolia</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Cornus controversa</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Cornus kousa</w:t>
      </w:r>
      <w:r w:rsidRPr="001B1244">
        <w:rPr>
          <w:rFonts w:ascii="Arial" w:hAnsi="Arial" w:cs="Arial"/>
          <w:color w:val="000000" w:themeColor="text1"/>
          <w:sz w:val="22"/>
          <w:szCs w:val="22"/>
        </w:rPr>
        <w:t xml:space="preserve"> and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fruits with health benefits. </w:t>
      </w:r>
      <w:r w:rsidRPr="001B1244">
        <w:rPr>
          <w:rFonts w:ascii="Arial" w:hAnsi="Arial" w:cs="Arial"/>
          <w:i/>
          <w:color w:val="000000" w:themeColor="text1"/>
          <w:sz w:val="22"/>
          <w:szCs w:val="22"/>
        </w:rPr>
        <w:t>Life Sciences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78</w:t>
      </w:r>
      <w:r w:rsidRPr="001B1244">
        <w:rPr>
          <w:rFonts w:ascii="Arial" w:hAnsi="Arial" w:cs="Arial"/>
          <w:color w:val="000000" w:themeColor="text1"/>
          <w:sz w:val="22"/>
          <w:szCs w:val="22"/>
        </w:rPr>
        <w:t xml:space="preserve">(7), 777–784. </w:t>
      </w:r>
      <w:hyperlink r:id="rId201" w:history="1">
        <w:r w:rsidRPr="001B1244">
          <w:rPr>
            <w:rFonts w:ascii="Arial" w:hAnsi="Arial" w:cs="Arial"/>
            <w:color w:val="000000" w:themeColor="text1"/>
            <w:sz w:val="22"/>
            <w:szCs w:val="22"/>
            <w:u w:val="single"/>
          </w:rPr>
          <w:t>https://doi.org/10.1016/j.lfs.2005.05.094</w:t>
        </w:r>
      </w:hyperlink>
    </w:p>
    <w:p w14:paraId="4B60F286"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Veazie, P. P., Ma, G., &amp; Werner, D. (2017). Anthocyanin Pigments in Redbud (</w:t>
      </w:r>
      <w:r w:rsidRPr="001B1244">
        <w:rPr>
          <w:rFonts w:ascii="Arial" w:hAnsi="Arial" w:cs="Arial"/>
          <w:i/>
          <w:iCs/>
          <w:color w:val="000000" w:themeColor="text1"/>
          <w:sz w:val="22"/>
          <w:szCs w:val="22"/>
          <w:shd w:val="clear" w:color="auto" w:fill="FFFFFF"/>
        </w:rPr>
        <w:t>Cercis</w:t>
      </w:r>
      <w:r w:rsidRPr="001B1244">
        <w:rPr>
          <w:rFonts w:ascii="Arial" w:hAnsi="Arial" w:cs="Arial"/>
          <w:color w:val="000000" w:themeColor="text1"/>
          <w:sz w:val="22"/>
          <w:szCs w:val="22"/>
          <w:shd w:val="clear" w:color="auto" w:fill="FFFFFF"/>
        </w:rPr>
        <w:t xml:space="preserve"> spp) Flowers.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J Hortic Sci Res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w:t>
      </w:r>
      <w:r w:rsidRPr="001B1244">
        <w:rPr>
          <w:rFonts w:ascii="Arial" w:hAnsi="Arial" w:cs="Arial"/>
          <w:color w:val="000000" w:themeColor="text1"/>
          <w:sz w:val="22"/>
          <w:szCs w:val="22"/>
          <w:shd w:val="clear" w:color="auto" w:fill="FFFFFF"/>
        </w:rPr>
        <w:t>(1), 13-18.</w:t>
      </w:r>
    </w:p>
    <w:p w14:paraId="6144CBB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Verde, I., Lauria, M., Dettori, M. T., Vendramin, E., Balconi, C., Micali, S., Wang, Y., Marrazzo, M. T., Cipriani, G., Hartings, H., Testolin, R., Abbott, A. G., Motto, M., &amp; Quarta, R. (2005). Microsatellite and AFLP markers in the </w:t>
      </w:r>
      <w:r w:rsidRPr="001B1244">
        <w:rPr>
          <w:rFonts w:ascii="Arial" w:hAnsi="Arial" w:cs="Arial"/>
          <w:i/>
          <w:iCs/>
          <w:color w:val="000000" w:themeColor="text1"/>
          <w:sz w:val="22"/>
          <w:szCs w:val="22"/>
        </w:rPr>
        <w:t>Prunus persica</w:t>
      </w:r>
      <w:r w:rsidRPr="001B1244">
        <w:rPr>
          <w:rFonts w:ascii="Arial" w:hAnsi="Arial" w:cs="Arial"/>
          <w:color w:val="000000" w:themeColor="text1"/>
          <w:sz w:val="22"/>
          <w:szCs w:val="22"/>
        </w:rPr>
        <w:t xml:space="preserve"> [L. (Batsch)</w:t>
      </w:r>
      <w:proofErr w:type="gramStart"/>
      <w:r w:rsidRPr="001B1244">
        <w:rPr>
          <w:rFonts w:ascii="Arial" w:hAnsi="Arial" w:cs="Arial"/>
          <w:color w:val="000000" w:themeColor="text1"/>
          <w:sz w:val="22"/>
          <w:szCs w:val="22"/>
        </w:rPr>
        <w:t>]×</w:t>
      </w:r>
      <w:proofErr w:type="gramEnd"/>
      <w:r w:rsidRPr="001B1244">
        <w:rPr>
          <w:rFonts w:ascii="Arial" w:hAnsi="Arial" w:cs="Arial"/>
          <w:color w:val="000000" w:themeColor="text1"/>
          <w:sz w:val="22"/>
          <w:szCs w:val="22"/>
        </w:rPr>
        <w:t xml:space="preserve">P. ferganensis BC1 linkage map: Saturation and coverage improvement. </w:t>
      </w:r>
      <w:r w:rsidRPr="001B1244">
        <w:rPr>
          <w:rFonts w:ascii="Arial" w:hAnsi="Arial" w:cs="Arial"/>
          <w:i/>
          <w:iCs/>
          <w:color w:val="000000" w:themeColor="text1"/>
          <w:sz w:val="22"/>
          <w:szCs w:val="22"/>
        </w:rPr>
        <w:t>Theoretical and Applied Genetics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111</w:t>
      </w:r>
      <w:r w:rsidRPr="001B1244">
        <w:rPr>
          <w:rFonts w:ascii="Arial" w:hAnsi="Arial" w:cs="Arial"/>
          <w:color w:val="000000" w:themeColor="text1"/>
          <w:sz w:val="22"/>
          <w:szCs w:val="22"/>
        </w:rPr>
        <w:t xml:space="preserve">(6), 1013–1021. </w:t>
      </w:r>
      <w:hyperlink r:id="rId202" w:history="1">
        <w:r w:rsidRPr="001B1244">
          <w:rPr>
            <w:rFonts w:ascii="Arial" w:hAnsi="Arial" w:cs="Arial"/>
            <w:color w:val="000000" w:themeColor="text1"/>
            <w:sz w:val="22"/>
            <w:szCs w:val="22"/>
            <w:u w:val="single"/>
          </w:rPr>
          <w:t>https://doi.org/10.1007/s00122-005-0006-3</w:t>
        </w:r>
      </w:hyperlink>
    </w:p>
    <w:p w14:paraId="2747AE1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Vimolmangkang, S., Han, Y., Wei, G., &amp; Korban, S. S. (2013). An apple MYB transcription factor, MdMYB3, is involved in regulation of anthocyanin biosynthesis and flower development. </w:t>
      </w:r>
      <w:r w:rsidRPr="001B1244">
        <w:rPr>
          <w:rFonts w:ascii="Arial" w:hAnsi="Arial" w:cs="Arial"/>
          <w:i/>
          <w:color w:val="000000" w:themeColor="text1"/>
          <w:sz w:val="22"/>
          <w:szCs w:val="22"/>
        </w:rPr>
        <w:t>BMC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w:t>
      </w:r>
      <w:r w:rsidRPr="001B1244">
        <w:rPr>
          <w:rFonts w:ascii="Arial" w:hAnsi="Arial" w:cs="Arial"/>
          <w:color w:val="000000" w:themeColor="text1"/>
          <w:sz w:val="22"/>
          <w:szCs w:val="22"/>
        </w:rPr>
        <w:t xml:space="preserve">(1), 176. </w:t>
      </w:r>
      <w:hyperlink r:id="rId203" w:history="1">
        <w:r w:rsidRPr="001B1244">
          <w:rPr>
            <w:rFonts w:ascii="Arial" w:hAnsi="Arial" w:cs="Arial"/>
            <w:color w:val="000000" w:themeColor="text1"/>
            <w:sz w:val="22"/>
            <w:szCs w:val="22"/>
            <w:u w:val="single"/>
          </w:rPr>
          <w:t>https://doi.org/10.1186/1471-2229-13-176</w:t>
        </w:r>
      </w:hyperlink>
    </w:p>
    <w:p w14:paraId="03EF0300"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Wadl, P. A., Mack, B. M., Beltz, S. B., Moore, G. G., Baird, R. E., Rinehart, T. A., Molnar, T. J., Staton, M. E., Hadziabdic, D., &amp; Trigiano, R. N. (2019). Development of Genomic Resources for the Powdery Mildew, </w:t>
      </w:r>
      <w:r w:rsidRPr="001B1244">
        <w:rPr>
          <w:rFonts w:ascii="Arial" w:hAnsi="Arial" w:cs="Arial"/>
          <w:i/>
          <w:color w:val="000000" w:themeColor="text1"/>
          <w:sz w:val="22"/>
          <w:szCs w:val="22"/>
        </w:rPr>
        <w:t>Erysiphe pulchra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Plant Disease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103</w:t>
      </w:r>
      <w:r w:rsidRPr="001B1244">
        <w:rPr>
          <w:rFonts w:ascii="Arial" w:hAnsi="Arial" w:cs="Arial"/>
          <w:color w:val="000000" w:themeColor="text1"/>
          <w:sz w:val="22"/>
          <w:szCs w:val="22"/>
        </w:rPr>
        <w:t xml:space="preserve">(5), 804–807. </w:t>
      </w:r>
      <w:hyperlink r:id="rId204" w:history="1">
        <w:r w:rsidRPr="001B1244">
          <w:rPr>
            <w:rFonts w:ascii="Arial" w:hAnsi="Arial" w:cs="Arial"/>
            <w:color w:val="000000" w:themeColor="text1"/>
            <w:sz w:val="22"/>
            <w:szCs w:val="22"/>
            <w:u w:val="single"/>
          </w:rPr>
          <w:t>https://doi.org/10.1094/PDIS-05-18-0719-A</w:t>
        </w:r>
      </w:hyperlink>
    </w:p>
    <w:p w14:paraId="0352CB87"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Wadl, P. A., Saxton, A. M., Wang, X., Pantalone, V. R., Rinehart, T. A., &amp; Trigiano, R. N. (2011). Quantitative trait loci associated with red foliage in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L. </w:t>
      </w:r>
      <w:r w:rsidRPr="001B1244">
        <w:rPr>
          <w:rFonts w:ascii="Arial" w:hAnsi="Arial" w:cs="Arial"/>
          <w:i/>
          <w:color w:val="000000" w:themeColor="text1"/>
          <w:sz w:val="22"/>
          <w:szCs w:val="22"/>
        </w:rPr>
        <w:t>Molecular Breeding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27</w:t>
      </w:r>
      <w:r w:rsidRPr="001B1244">
        <w:rPr>
          <w:rFonts w:ascii="Arial" w:hAnsi="Arial" w:cs="Arial"/>
          <w:color w:val="000000" w:themeColor="text1"/>
          <w:sz w:val="22"/>
          <w:szCs w:val="22"/>
        </w:rPr>
        <w:t xml:space="preserve">(3). </w:t>
      </w:r>
    </w:p>
    <w:p w14:paraId="1A56BA2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Wadl, P. A., Trigiano, R. N., Rinehart, T. A., &amp; Scheffler, B. E. (2012). Transcriptome sequencing of flowering dogwood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for development of EST-SSRs. In II International Symposium on Woody Ornamentals of the Temperate Zone 990 (pp. 265-270).409–416. 409–416. </w:t>
      </w:r>
      <w:hyperlink r:id="rId205" w:history="1">
        <w:r w:rsidRPr="001B1244">
          <w:rPr>
            <w:rFonts w:ascii="Arial" w:hAnsi="Arial" w:cs="Arial"/>
            <w:color w:val="000000" w:themeColor="text1"/>
            <w:sz w:val="22"/>
            <w:szCs w:val="22"/>
            <w:u w:val="single"/>
          </w:rPr>
          <w:t>https://doi.org/10.1007/s11032-011-9551-4</w:t>
        </w:r>
      </w:hyperlink>
    </w:p>
    <w:p w14:paraId="0C31632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Wadl, P. A., Wang, X., Pantalone, V. R., &amp; Trigiano, R. N. (2010). Inheritance of red foliage in flowering dogwood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L.). </w:t>
      </w:r>
      <w:r w:rsidRPr="001B1244">
        <w:rPr>
          <w:rFonts w:ascii="Arial" w:hAnsi="Arial" w:cs="Arial"/>
          <w:i/>
          <w:color w:val="000000" w:themeColor="text1"/>
          <w:sz w:val="22"/>
          <w:szCs w:val="22"/>
        </w:rPr>
        <w:t>Euphytica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176</w:t>
      </w:r>
      <w:r w:rsidRPr="001B1244">
        <w:rPr>
          <w:rFonts w:ascii="Arial" w:hAnsi="Arial" w:cs="Arial"/>
          <w:color w:val="000000" w:themeColor="text1"/>
          <w:sz w:val="22"/>
          <w:szCs w:val="22"/>
        </w:rPr>
        <w:t xml:space="preserve">(1), 99–104. </w:t>
      </w:r>
      <w:hyperlink r:id="rId206" w:history="1">
        <w:r w:rsidRPr="001B1244">
          <w:rPr>
            <w:rFonts w:ascii="Arial" w:hAnsi="Arial" w:cs="Arial"/>
            <w:color w:val="000000" w:themeColor="text1"/>
            <w:sz w:val="22"/>
            <w:szCs w:val="22"/>
            <w:u w:val="single"/>
          </w:rPr>
          <w:t>https://doi.org/10.1007/s10681-010-0219-7</w:t>
        </w:r>
      </w:hyperlink>
    </w:p>
    <w:p w14:paraId="5DB4F9D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Wadl, P. A., Windham, M. T., Evans, R., &amp; Trigiano, R. N. (2014). Three New Cultivars of Cornus kousa: Empire, Pam’s Mountain Bouquet, and Red Steeple. </w:t>
      </w:r>
      <w:r w:rsidRPr="001B1244">
        <w:rPr>
          <w:rFonts w:ascii="Arial" w:hAnsi="Arial" w:cs="Arial"/>
          <w:i/>
          <w:color w:val="000000" w:themeColor="text1"/>
          <w:sz w:val="22"/>
          <w:szCs w:val="22"/>
        </w:rPr>
        <w:t>HortScience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49</w:t>
      </w:r>
      <w:r w:rsidRPr="001B1244">
        <w:rPr>
          <w:rFonts w:ascii="Arial" w:hAnsi="Arial" w:cs="Arial"/>
          <w:color w:val="000000" w:themeColor="text1"/>
          <w:sz w:val="22"/>
          <w:szCs w:val="22"/>
        </w:rPr>
        <w:t xml:space="preserve">(9), 1230–1233. </w:t>
      </w:r>
      <w:hyperlink r:id="rId207" w:history="1">
        <w:r w:rsidRPr="001B1244">
          <w:rPr>
            <w:rFonts w:ascii="Arial" w:hAnsi="Arial" w:cs="Arial"/>
            <w:color w:val="000000" w:themeColor="text1"/>
            <w:sz w:val="22"/>
            <w:szCs w:val="22"/>
            <w:u w:val="single"/>
          </w:rPr>
          <w:t>https://doi.org/10.21273/HORTSCI.49.9.1230</w:t>
        </w:r>
      </w:hyperlink>
    </w:p>
    <w:p w14:paraId="02E0F1C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Wan, S., Li, C., Ma, X., &amp; Luo, K. (2017). PtrMYB57 contributes to the negative regulation of anthocyanin and proanthocyanidin biosynthesis in poplar. </w:t>
      </w:r>
      <w:r w:rsidRPr="001B1244">
        <w:rPr>
          <w:rFonts w:ascii="Arial" w:hAnsi="Arial" w:cs="Arial"/>
          <w:i/>
          <w:iCs/>
          <w:color w:val="000000" w:themeColor="text1"/>
          <w:sz w:val="22"/>
          <w:szCs w:val="22"/>
        </w:rPr>
        <w:t>Plant Cell Reports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36</w:t>
      </w:r>
      <w:r w:rsidRPr="001B1244">
        <w:rPr>
          <w:rFonts w:ascii="Arial" w:hAnsi="Arial" w:cs="Arial"/>
          <w:color w:val="000000" w:themeColor="text1"/>
          <w:sz w:val="22"/>
          <w:szCs w:val="22"/>
        </w:rPr>
        <w:t xml:space="preserve">(8), 1263–1276. </w:t>
      </w:r>
      <w:hyperlink r:id="rId208" w:history="1">
        <w:r w:rsidRPr="001B1244">
          <w:rPr>
            <w:rFonts w:ascii="Arial" w:hAnsi="Arial" w:cs="Arial"/>
            <w:color w:val="000000" w:themeColor="text1"/>
            <w:sz w:val="22"/>
            <w:szCs w:val="22"/>
            <w:u w:val="single"/>
          </w:rPr>
          <w:t>https://doi.org/10.1007/s00299-017-2151-y</w:t>
        </w:r>
      </w:hyperlink>
    </w:p>
    <w:p w14:paraId="0AA7A51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Wang, D., Song, Y., Chen, Y., Yao, W., Li, Z., Liu, W., Yue, S., &amp; Wang, Z. (2013). Metabolic pools of phenolic acids in </w:t>
      </w:r>
      <w:r w:rsidRPr="001B1244">
        <w:rPr>
          <w:rFonts w:ascii="Arial" w:hAnsi="Arial" w:cs="Arial"/>
          <w:i/>
          <w:iCs/>
          <w:color w:val="000000" w:themeColor="text1"/>
          <w:sz w:val="22"/>
          <w:szCs w:val="22"/>
        </w:rPr>
        <w:t>Salvia miltiorrhiza</w:t>
      </w:r>
      <w:r w:rsidRPr="001B1244">
        <w:rPr>
          <w:rFonts w:ascii="Arial" w:hAnsi="Arial" w:cs="Arial"/>
          <w:color w:val="000000" w:themeColor="text1"/>
          <w:sz w:val="22"/>
          <w:szCs w:val="22"/>
        </w:rPr>
        <w:t xml:space="preserve"> </w:t>
      </w:r>
      <w:proofErr w:type="gramStart"/>
      <w:r w:rsidRPr="001B1244">
        <w:rPr>
          <w:rFonts w:ascii="Arial" w:hAnsi="Arial" w:cs="Arial"/>
          <w:color w:val="000000" w:themeColor="text1"/>
          <w:sz w:val="22"/>
          <w:szCs w:val="22"/>
        </w:rPr>
        <w:t>are enhanced</w:t>
      </w:r>
      <w:proofErr w:type="gramEnd"/>
      <w:r w:rsidRPr="001B1244">
        <w:rPr>
          <w:rFonts w:ascii="Arial" w:hAnsi="Arial" w:cs="Arial"/>
          <w:color w:val="000000" w:themeColor="text1"/>
          <w:sz w:val="22"/>
          <w:szCs w:val="22"/>
        </w:rPr>
        <w:t xml:space="preserve"> by co-expression of </w:t>
      </w:r>
      <w:r w:rsidRPr="001B1244">
        <w:rPr>
          <w:rFonts w:ascii="Arial" w:hAnsi="Arial" w:cs="Arial"/>
          <w:i/>
          <w:iCs/>
          <w:color w:val="000000" w:themeColor="text1"/>
          <w:sz w:val="22"/>
          <w:szCs w:val="22"/>
        </w:rPr>
        <w:t>Antirrhinum majus</w:t>
      </w:r>
      <w:r w:rsidRPr="001B1244">
        <w:rPr>
          <w:rFonts w:ascii="Arial" w:hAnsi="Arial" w:cs="Arial"/>
          <w:color w:val="000000" w:themeColor="text1"/>
          <w:sz w:val="22"/>
          <w:szCs w:val="22"/>
        </w:rPr>
        <w:t xml:space="preserve"> Delila and Rosea1 transcription factors. </w:t>
      </w:r>
      <w:r w:rsidRPr="001B1244">
        <w:rPr>
          <w:rFonts w:ascii="Arial" w:hAnsi="Arial" w:cs="Arial"/>
          <w:i/>
          <w:color w:val="000000" w:themeColor="text1"/>
          <w:sz w:val="22"/>
          <w:szCs w:val="22"/>
        </w:rPr>
        <w:t>Biochemical Engineering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74</w:t>
      </w:r>
      <w:r w:rsidRPr="001B1244">
        <w:rPr>
          <w:rFonts w:ascii="Arial" w:hAnsi="Arial" w:cs="Arial"/>
          <w:color w:val="000000" w:themeColor="text1"/>
          <w:sz w:val="22"/>
          <w:szCs w:val="22"/>
        </w:rPr>
        <w:t xml:space="preserve">, 115–120. </w:t>
      </w:r>
      <w:hyperlink r:id="rId209" w:history="1">
        <w:r w:rsidRPr="001B1244">
          <w:rPr>
            <w:rFonts w:ascii="Arial" w:hAnsi="Arial" w:cs="Arial"/>
            <w:color w:val="000000" w:themeColor="text1"/>
            <w:sz w:val="22"/>
            <w:szCs w:val="22"/>
            <w:u w:val="single"/>
          </w:rPr>
          <w:t>https://doi.org/10.1016/j.bej.2013.02.014</w:t>
        </w:r>
      </w:hyperlink>
    </w:p>
    <w:p w14:paraId="5C749E9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Wang, L., Tang, W., Hu, Y., Zhang, Y., Sun, J., Guo, X., Lu, H., Yang, Y., Fang, C., Niu, X., Yue, J., Fei, Z., &amp; Liu, Y. (2019). A </w:t>
      </w:r>
      <w:r w:rsidRPr="001B1244">
        <w:rPr>
          <w:rFonts w:ascii="Arial" w:hAnsi="Arial" w:cs="Arial"/>
          <w:smallCaps/>
          <w:color w:val="000000" w:themeColor="text1"/>
          <w:sz w:val="22"/>
          <w:szCs w:val="22"/>
        </w:rPr>
        <w:t>MYB</w:t>
      </w:r>
      <w:r w:rsidRPr="001B1244">
        <w:rPr>
          <w:rFonts w:ascii="Arial" w:hAnsi="Arial" w:cs="Arial"/>
          <w:color w:val="000000" w:themeColor="text1"/>
          <w:sz w:val="22"/>
          <w:szCs w:val="22"/>
        </w:rPr>
        <w:t xml:space="preserve"> / </w:t>
      </w:r>
      <w:r w:rsidRPr="001B1244">
        <w:rPr>
          <w:rFonts w:ascii="Arial" w:hAnsi="Arial" w:cs="Arial"/>
          <w:smallCaps/>
          <w:color w:val="000000" w:themeColor="text1"/>
          <w:sz w:val="22"/>
          <w:szCs w:val="22"/>
        </w:rPr>
        <w:t>bHLH</w:t>
      </w:r>
      <w:r w:rsidRPr="001B1244">
        <w:rPr>
          <w:rFonts w:ascii="Arial" w:hAnsi="Arial" w:cs="Arial"/>
          <w:color w:val="000000" w:themeColor="text1"/>
          <w:sz w:val="22"/>
          <w:szCs w:val="22"/>
        </w:rPr>
        <w:t xml:space="preserve"> complex regulates tissue</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specific anthocyanin biosynthesis in the inner pericarp of red</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centered kiwifruit </w:t>
      </w:r>
      <w:r w:rsidRPr="001B1244">
        <w:rPr>
          <w:rFonts w:ascii="Arial" w:hAnsi="Arial" w:cs="Arial"/>
          <w:i/>
          <w:color w:val="000000" w:themeColor="text1"/>
          <w:sz w:val="22"/>
          <w:szCs w:val="22"/>
        </w:rPr>
        <w:t>Actinidia chinensis</w:t>
      </w:r>
      <w:r w:rsidRPr="001B1244">
        <w:rPr>
          <w:rFonts w:ascii="Arial" w:hAnsi="Arial" w:cs="Arial"/>
          <w:color w:val="000000" w:themeColor="text1"/>
          <w:sz w:val="22"/>
          <w:szCs w:val="22"/>
        </w:rPr>
        <w:t xml:space="preserve"> cv. Hongyang.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99</w:t>
      </w:r>
      <w:r w:rsidRPr="001B1244">
        <w:rPr>
          <w:rFonts w:ascii="Arial" w:hAnsi="Arial" w:cs="Arial"/>
          <w:color w:val="000000" w:themeColor="text1"/>
          <w:sz w:val="22"/>
          <w:szCs w:val="22"/>
        </w:rPr>
        <w:t xml:space="preserve">(2), 359–378. </w:t>
      </w:r>
      <w:hyperlink r:id="rId210" w:history="1">
        <w:r w:rsidRPr="001B1244">
          <w:rPr>
            <w:rFonts w:ascii="Arial" w:hAnsi="Arial" w:cs="Arial"/>
            <w:color w:val="000000" w:themeColor="text1"/>
            <w:sz w:val="22"/>
            <w:szCs w:val="22"/>
            <w:u w:val="single"/>
          </w:rPr>
          <w:t>https://doi.org/10.1111/tpj.14330</w:t>
        </w:r>
      </w:hyperlink>
    </w:p>
    <w:p w14:paraId="00F4419E"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Wang, N., Ma, Q., Ma, J., Pei, W., Liu, G., Cui, Y., Wu, M., Zang, X., Zhang, J., Yu, S., Ma, L., &amp; Yu, J. (2019). A Comparative Genome-Wide Analysis of the R2R3-MYB Gene Family Among Four </w:t>
      </w:r>
      <w:r w:rsidRPr="001B1244">
        <w:rPr>
          <w:rFonts w:ascii="Arial" w:hAnsi="Arial" w:cs="Arial"/>
          <w:i/>
          <w:iCs/>
          <w:color w:val="000000" w:themeColor="text1"/>
          <w:sz w:val="22"/>
          <w:szCs w:val="22"/>
        </w:rPr>
        <w:t>Gossypium</w:t>
      </w:r>
      <w:r w:rsidRPr="001B1244">
        <w:rPr>
          <w:rFonts w:ascii="Arial" w:hAnsi="Arial" w:cs="Arial"/>
          <w:color w:val="000000" w:themeColor="text1"/>
          <w:sz w:val="22"/>
          <w:szCs w:val="22"/>
        </w:rPr>
        <w:t xml:space="preserve"> Species and Their Sequence Variation and Association With Fiber Quality Traits in an Interspecific </w:t>
      </w:r>
      <w:r w:rsidRPr="001B1244">
        <w:rPr>
          <w:rFonts w:ascii="Arial" w:hAnsi="Arial" w:cs="Arial"/>
          <w:i/>
          <w:iCs/>
          <w:color w:val="000000" w:themeColor="text1"/>
          <w:sz w:val="22"/>
          <w:szCs w:val="22"/>
        </w:rPr>
        <w:t>G</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hirsutum</w:t>
      </w:r>
      <w:r w:rsidRPr="001B1244">
        <w:rPr>
          <w:rFonts w:ascii="Arial" w:hAnsi="Arial" w:cs="Arial"/>
          <w:color w:val="000000" w:themeColor="text1"/>
          <w:sz w:val="22"/>
          <w:szCs w:val="22"/>
        </w:rPr>
        <w:t xml:space="preserve"> × </w:t>
      </w:r>
      <w:r w:rsidRPr="001B1244">
        <w:rPr>
          <w:rFonts w:ascii="Arial" w:hAnsi="Arial" w:cs="Arial"/>
          <w:i/>
          <w:iCs/>
          <w:color w:val="000000" w:themeColor="text1"/>
          <w:sz w:val="22"/>
          <w:szCs w:val="22"/>
        </w:rPr>
        <w:t>G</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barbadense</w:t>
      </w:r>
      <w:r w:rsidRPr="001B1244">
        <w:rPr>
          <w:rFonts w:ascii="Arial" w:hAnsi="Arial" w:cs="Arial"/>
          <w:color w:val="000000" w:themeColor="text1"/>
          <w:sz w:val="22"/>
          <w:szCs w:val="22"/>
        </w:rPr>
        <w:t xml:space="preserve"> Population. </w:t>
      </w:r>
      <w:r w:rsidRPr="001B1244">
        <w:rPr>
          <w:rFonts w:ascii="Arial" w:hAnsi="Arial" w:cs="Arial"/>
          <w:i/>
          <w:color w:val="000000" w:themeColor="text1"/>
          <w:sz w:val="22"/>
          <w:szCs w:val="22"/>
        </w:rPr>
        <w:t>Frontiers in Genetics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 741. </w:t>
      </w:r>
      <w:hyperlink r:id="rId211" w:history="1">
        <w:r w:rsidRPr="001B1244">
          <w:rPr>
            <w:rFonts w:ascii="Arial" w:hAnsi="Arial" w:cs="Arial"/>
            <w:color w:val="000000" w:themeColor="text1"/>
            <w:sz w:val="22"/>
            <w:szCs w:val="22"/>
            <w:u w:val="single"/>
          </w:rPr>
          <w:t>https://doi.org/10.3389/fgene.2019.00741</w:t>
        </w:r>
      </w:hyperlink>
    </w:p>
    <w:p w14:paraId="3585F4E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Wang, X., Trigiano, R., Windham, M., Scheffler, B., Rinehart, T., &amp; Spiers, J. (2008). Development and characterization of simple sequence repeats for flowering dogwood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L.). </w:t>
      </w:r>
      <w:r w:rsidRPr="001B1244">
        <w:rPr>
          <w:rFonts w:ascii="Arial" w:hAnsi="Arial" w:cs="Arial"/>
          <w:i/>
          <w:iCs/>
          <w:color w:val="000000" w:themeColor="text1"/>
          <w:sz w:val="22"/>
          <w:szCs w:val="22"/>
        </w:rPr>
        <w:t>Tree Genetics &amp; Genomes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4</w:t>
      </w:r>
      <w:r w:rsidRPr="001B1244">
        <w:rPr>
          <w:rFonts w:ascii="Arial" w:hAnsi="Arial" w:cs="Arial"/>
          <w:color w:val="000000" w:themeColor="text1"/>
          <w:sz w:val="22"/>
          <w:szCs w:val="22"/>
        </w:rPr>
        <w:t xml:space="preserve">(3), 461–468. </w:t>
      </w:r>
      <w:hyperlink r:id="rId212" w:history="1">
        <w:r w:rsidRPr="001B1244">
          <w:rPr>
            <w:rFonts w:ascii="Arial" w:hAnsi="Arial" w:cs="Arial"/>
            <w:color w:val="000000" w:themeColor="text1"/>
            <w:sz w:val="22"/>
            <w:szCs w:val="22"/>
            <w:u w:val="single"/>
          </w:rPr>
          <w:t>https://doi.org/10.1007/s11295-007-0123-z</w:t>
        </w:r>
      </w:hyperlink>
    </w:p>
    <w:p w14:paraId="6F105B91"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Wang, X., Wadl, P. A., Rinehart, T. A., Scheffler, B. E., Windham, M. T., Spiers, J. M., Johnson, D. H., &amp; Trigiano, R. N. (2009). A linkage map for flowering dogwood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L.) based on microsatellite markers. </w:t>
      </w:r>
      <w:r w:rsidRPr="001B1244">
        <w:rPr>
          <w:rFonts w:ascii="Arial" w:hAnsi="Arial" w:cs="Arial"/>
          <w:i/>
          <w:color w:val="000000" w:themeColor="text1"/>
          <w:sz w:val="22"/>
          <w:szCs w:val="22"/>
        </w:rPr>
        <w:t>Euphytica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165</w:t>
      </w:r>
      <w:r w:rsidRPr="001B1244">
        <w:rPr>
          <w:rFonts w:ascii="Arial" w:hAnsi="Arial" w:cs="Arial"/>
          <w:color w:val="000000" w:themeColor="text1"/>
          <w:sz w:val="22"/>
          <w:szCs w:val="22"/>
        </w:rPr>
        <w:t xml:space="preserve">(1), 165–175. </w:t>
      </w:r>
      <w:hyperlink r:id="rId213" w:history="1">
        <w:r w:rsidRPr="001B1244">
          <w:rPr>
            <w:rFonts w:ascii="Arial" w:hAnsi="Arial" w:cs="Arial"/>
            <w:color w:val="000000" w:themeColor="text1"/>
            <w:sz w:val="22"/>
            <w:szCs w:val="22"/>
            <w:u w:val="single"/>
          </w:rPr>
          <w:t>https://doi.org/10.1007/s10681-008-9802-6</w:t>
        </w:r>
      </w:hyperlink>
    </w:p>
    <w:p w14:paraId="6195AA5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Wang, Y., Cheng, X., Shan, Q., Zhang, Y., Liu, J., </w:t>
      </w:r>
      <w:proofErr w:type="gramStart"/>
      <w:r w:rsidRPr="001B1244">
        <w:rPr>
          <w:rFonts w:ascii="Arial" w:hAnsi="Arial" w:cs="Arial"/>
          <w:color w:val="000000" w:themeColor="text1"/>
          <w:sz w:val="22"/>
          <w:szCs w:val="22"/>
        </w:rPr>
        <w:t>Gao</w:t>
      </w:r>
      <w:proofErr w:type="gramEnd"/>
      <w:r w:rsidRPr="001B1244">
        <w:rPr>
          <w:rFonts w:ascii="Arial" w:hAnsi="Arial" w:cs="Arial"/>
          <w:color w:val="000000" w:themeColor="text1"/>
          <w:sz w:val="22"/>
          <w:szCs w:val="22"/>
        </w:rPr>
        <w:t xml:space="preserve">, C., &amp; Qiu, J.-L. (2014). Simultaneous editing of three homoeoalleles in hexaploid bread wheat confers heritable resistance to powdery mildew. </w:t>
      </w:r>
      <w:r w:rsidRPr="001B1244">
        <w:rPr>
          <w:rFonts w:ascii="Arial" w:hAnsi="Arial" w:cs="Arial"/>
          <w:i/>
          <w:color w:val="000000" w:themeColor="text1"/>
          <w:sz w:val="22"/>
          <w:szCs w:val="22"/>
        </w:rPr>
        <w:t>Nature Biotechnology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32</w:t>
      </w:r>
      <w:r w:rsidRPr="001B1244">
        <w:rPr>
          <w:rFonts w:ascii="Arial" w:hAnsi="Arial" w:cs="Arial"/>
          <w:color w:val="000000" w:themeColor="text1"/>
          <w:sz w:val="22"/>
          <w:szCs w:val="22"/>
        </w:rPr>
        <w:t xml:space="preserve">(9), 947–951. </w:t>
      </w:r>
      <w:hyperlink r:id="rId214" w:history="1">
        <w:r w:rsidRPr="001B1244">
          <w:rPr>
            <w:rFonts w:ascii="Arial" w:hAnsi="Arial" w:cs="Arial"/>
            <w:color w:val="000000" w:themeColor="text1"/>
            <w:sz w:val="22"/>
            <w:szCs w:val="22"/>
            <w:u w:val="single"/>
          </w:rPr>
          <w:t>https://doi.org/10.1038/nbt.2969</w:t>
        </w:r>
      </w:hyperlink>
    </w:p>
    <w:p w14:paraId="45B4650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Weßling, R., Schmidt, S. M., Micali, C. O., Knaust, F., Reinhardt, R., Neumann, U., Ver Loren van Themaat, E., &amp; Panstruga, R. (2012). Transcriptome analysis of enriched </w:t>
      </w:r>
      <w:r w:rsidRPr="001B1244">
        <w:rPr>
          <w:rFonts w:ascii="Arial" w:hAnsi="Arial" w:cs="Arial"/>
          <w:i/>
          <w:iCs/>
          <w:color w:val="000000" w:themeColor="text1"/>
          <w:sz w:val="22"/>
          <w:szCs w:val="22"/>
        </w:rPr>
        <w:t>Golovinomyces orontii</w:t>
      </w:r>
      <w:r w:rsidRPr="001B1244">
        <w:rPr>
          <w:rFonts w:ascii="Arial" w:hAnsi="Arial" w:cs="Arial"/>
          <w:color w:val="000000" w:themeColor="text1"/>
          <w:sz w:val="22"/>
          <w:szCs w:val="22"/>
        </w:rPr>
        <w:t xml:space="preserve"> haustoria by deep 454 pyrosequencing. </w:t>
      </w:r>
      <w:r w:rsidRPr="001B1244">
        <w:rPr>
          <w:rFonts w:ascii="Arial" w:hAnsi="Arial" w:cs="Arial"/>
          <w:i/>
          <w:color w:val="000000" w:themeColor="text1"/>
          <w:sz w:val="22"/>
          <w:szCs w:val="22"/>
        </w:rPr>
        <w:t>Fungal Genetics and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49</w:t>
      </w:r>
      <w:r w:rsidRPr="001B1244">
        <w:rPr>
          <w:rFonts w:ascii="Arial" w:hAnsi="Arial" w:cs="Arial"/>
          <w:color w:val="000000" w:themeColor="text1"/>
          <w:sz w:val="22"/>
          <w:szCs w:val="22"/>
        </w:rPr>
        <w:t xml:space="preserve">(6), 470–482. </w:t>
      </w:r>
      <w:hyperlink r:id="rId215" w:history="1">
        <w:r w:rsidRPr="001B1244">
          <w:rPr>
            <w:rFonts w:ascii="Arial" w:hAnsi="Arial" w:cs="Arial"/>
            <w:color w:val="000000" w:themeColor="text1"/>
            <w:sz w:val="22"/>
            <w:szCs w:val="22"/>
            <w:u w:val="single"/>
          </w:rPr>
          <w:t>https://doi.org/10.1016/j.fgb.2012.04.001</w:t>
        </w:r>
      </w:hyperlink>
    </w:p>
    <w:p w14:paraId="3493C74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Wilkins, O., Nahal, H., Foong, J., Provart, N. J., &amp; Campbell, M. M. (2009). Expansion and Diversification of the </w:t>
      </w:r>
      <w:r w:rsidRPr="001B1244">
        <w:rPr>
          <w:rFonts w:ascii="Arial" w:hAnsi="Arial" w:cs="Arial"/>
          <w:i/>
          <w:color w:val="000000" w:themeColor="text1"/>
          <w:sz w:val="22"/>
          <w:szCs w:val="22"/>
        </w:rPr>
        <w:t>Populus</w:t>
      </w:r>
      <w:r w:rsidRPr="001B1244">
        <w:rPr>
          <w:rFonts w:ascii="Arial" w:hAnsi="Arial" w:cs="Arial"/>
          <w:color w:val="000000" w:themeColor="text1"/>
          <w:sz w:val="22"/>
          <w:szCs w:val="22"/>
        </w:rPr>
        <w:t xml:space="preserve"> R2R3-MYB Family of Transcription Factors.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149</w:t>
      </w:r>
      <w:r w:rsidRPr="001B1244">
        <w:rPr>
          <w:rFonts w:ascii="Arial" w:hAnsi="Arial" w:cs="Arial"/>
          <w:color w:val="000000" w:themeColor="text1"/>
          <w:sz w:val="22"/>
          <w:szCs w:val="22"/>
        </w:rPr>
        <w:t xml:space="preserve">(2), 981–993. </w:t>
      </w:r>
      <w:hyperlink r:id="rId216" w:history="1">
        <w:r w:rsidRPr="001B1244">
          <w:rPr>
            <w:rFonts w:ascii="Arial" w:hAnsi="Arial" w:cs="Arial"/>
            <w:color w:val="000000" w:themeColor="text1"/>
            <w:sz w:val="22"/>
            <w:szCs w:val="22"/>
            <w:u w:val="single"/>
          </w:rPr>
          <w:t>https://doi.org/10.1104/pp.108.132795</w:t>
        </w:r>
      </w:hyperlink>
    </w:p>
    <w:p w14:paraId="2451E36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Windham, M. T., Trigiano, R. N., &amp; Windham, A. S. (2005). Susceptibility of Cornus Species to Two Genera of Powdery Mildew. </w:t>
      </w:r>
      <w:r w:rsidRPr="001B1244">
        <w:rPr>
          <w:rFonts w:ascii="Arial" w:hAnsi="Arial" w:cs="Arial"/>
          <w:i/>
          <w:color w:val="000000" w:themeColor="text1"/>
          <w:sz w:val="22"/>
          <w:szCs w:val="22"/>
        </w:rPr>
        <w:t>Journal of Environmental Horticulture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23</w:t>
      </w:r>
      <w:r w:rsidRPr="001B1244">
        <w:rPr>
          <w:rFonts w:ascii="Arial" w:hAnsi="Arial" w:cs="Arial"/>
          <w:color w:val="000000" w:themeColor="text1"/>
          <w:sz w:val="22"/>
          <w:szCs w:val="22"/>
        </w:rPr>
        <w:t xml:space="preserve">(4), 190–192. </w:t>
      </w:r>
      <w:hyperlink r:id="rId217" w:history="1">
        <w:r w:rsidRPr="001B1244">
          <w:rPr>
            <w:rFonts w:ascii="Arial" w:hAnsi="Arial" w:cs="Arial"/>
            <w:color w:val="000000" w:themeColor="text1"/>
            <w:sz w:val="22"/>
            <w:szCs w:val="22"/>
            <w:u w:val="single"/>
          </w:rPr>
          <w:t>https://doi.org/10.24266/0738-2898-23.4.190</w:t>
        </w:r>
      </w:hyperlink>
    </w:p>
    <w:p w14:paraId="748E1872"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 xml:space="preserve">Windham, M. T., Witte, W. T., &amp; Trigiano, R. N. (2003). Three white-bracted cultivars of Cornus </w:t>
      </w:r>
      <w:proofErr w:type="gramStart"/>
      <w:r w:rsidRPr="001B1244">
        <w:rPr>
          <w:rFonts w:ascii="Arial" w:hAnsi="Arial" w:cs="Arial"/>
          <w:color w:val="000000" w:themeColor="text1"/>
          <w:sz w:val="22"/>
          <w:szCs w:val="22"/>
          <w:shd w:val="clear" w:color="auto" w:fill="FFFFFF"/>
        </w:rPr>
        <w:t>florida</w:t>
      </w:r>
      <w:proofErr w:type="gramEnd"/>
      <w:r w:rsidRPr="001B1244">
        <w:rPr>
          <w:rFonts w:ascii="Arial" w:hAnsi="Arial" w:cs="Arial"/>
          <w:color w:val="000000" w:themeColor="text1"/>
          <w:sz w:val="22"/>
          <w:szCs w:val="22"/>
          <w:shd w:val="clear" w:color="auto" w:fill="FFFFFF"/>
        </w:rPr>
        <w:t xml:space="preserve"> resistant to powdery mildew.</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HortScience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38</w:t>
      </w:r>
      <w:r w:rsidRPr="001B1244">
        <w:rPr>
          <w:rFonts w:ascii="Arial" w:hAnsi="Arial" w:cs="Arial"/>
          <w:color w:val="000000" w:themeColor="text1"/>
          <w:sz w:val="22"/>
          <w:szCs w:val="22"/>
          <w:shd w:val="clear" w:color="auto" w:fill="FFFFFF"/>
        </w:rPr>
        <w:t>(6), 1253-1255.</w:t>
      </w:r>
    </w:p>
    <w:p w14:paraId="0A4CBD6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Windham, M. T., &amp; Witte, W. T. (1998). Naturally Occurring Resistance to Powdery Mildew in Seedlings of </w:t>
      </w:r>
      <w:r w:rsidRPr="001B1244">
        <w:rPr>
          <w:rFonts w:ascii="Arial" w:hAnsi="Arial" w:cs="Arial"/>
          <w:i/>
          <w:iCs/>
          <w:color w:val="000000" w:themeColor="text1"/>
          <w:sz w:val="22"/>
          <w:szCs w:val="22"/>
        </w:rPr>
        <w:t xml:space="preserve">Cornus </w:t>
      </w:r>
      <w:proofErr w:type="gramStart"/>
      <w:r w:rsidRPr="001B1244">
        <w:rPr>
          <w:rFonts w:ascii="Arial" w:hAnsi="Arial" w:cs="Arial"/>
          <w:i/>
          <w:iCs/>
          <w:color w:val="000000" w:themeColor="text1"/>
          <w:sz w:val="22"/>
          <w:szCs w:val="22"/>
        </w:rPr>
        <w:t>florida</w:t>
      </w:r>
      <w:proofErr w:type="gramEnd"/>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Journal of Environmental Horticulture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w:t>
      </w:r>
      <w:r w:rsidRPr="001B1244">
        <w:rPr>
          <w:rFonts w:ascii="Arial" w:hAnsi="Arial" w:cs="Arial"/>
          <w:color w:val="000000" w:themeColor="text1"/>
          <w:sz w:val="22"/>
          <w:szCs w:val="22"/>
        </w:rPr>
        <w:t xml:space="preserve">(3), 173–177. </w:t>
      </w:r>
      <w:hyperlink r:id="rId218" w:history="1">
        <w:r w:rsidRPr="001B1244">
          <w:rPr>
            <w:rFonts w:ascii="Arial" w:hAnsi="Arial" w:cs="Arial"/>
            <w:color w:val="000000" w:themeColor="text1"/>
            <w:sz w:val="22"/>
            <w:szCs w:val="22"/>
            <w:u w:val="single"/>
          </w:rPr>
          <w:t>https://doi.org/10.24266/0738-2898-16.3.173</w:t>
        </w:r>
      </w:hyperlink>
    </w:p>
    <w:p w14:paraId="3D0C1415"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Windham, M. T., Witte, W. T., Trigiano, R. N., Schlarbaum, S., &amp; Windham, A. S. (1997). Reactions of Cornus species to powdery mildew. In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Proc. SNA Res. Conf</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color w:val="000000" w:themeColor="text1"/>
          <w:sz w:val="22"/>
          <w:szCs w:val="22"/>
          <w:shd w:val="clear" w:color="auto" w:fill="FFFFFF"/>
        </w:rPr>
        <w:t>(Vol. 42, pp. 227-231).</w:t>
      </w:r>
    </w:p>
    <w:p w14:paraId="136B2B6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Windham, M. T., Witte, W. T., &amp; Trigiano, R. N. (2003). </w:t>
      </w:r>
      <w:r w:rsidRPr="001B1244">
        <w:rPr>
          <w:rFonts w:ascii="Arial" w:hAnsi="Arial" w:cs="Arial"/>
          <w:i/>
          <w:color w:val="000000" w:themeColor="text1"/>
          <w:sz w:val="22"/>
          <w:szCs w:val="22"/>
        </w:rPr>
        <w:t>Cornus ﬂorida Resistant to Powdery</w:t>
      </w:r>
      <w:r w:rsidRPr="001B1244">
        <w:rPr>
          <w:rFonts w:ascii="Arial" w:hAnsi="Arial" w:cs="Arial"/>
          <w:color w:val="000000" w:themeColor="text1"/>
          <w:sz w:val="22"/>
          <w:szCs w:val="22"/>
        </w:rPr>
        <w:t xml:space="preserve">. </w:t>
      </w:r>
      <w:proofErr w:type="gramStart"/>
      <w:r w:rsidRPr="001B1244">
        <w:rPr>
          <w:rFonts w:ascii="Arial" w:hAnsi="Arial" w:cs="Arial"/>
          <w:i/>
          <w:color w:val="000000" w:themeColor="text1"/>
          <w:sz w:val="22"/>
          <w:szCs w:val="22"/>
        </w:rPr>
        <w:t>38</w:t>
      </w:r>
      <w:proofErr w:type="gramEnd"/>
      <w:r w:rsidRPr="001B1244">
        <w:rPr>
          <w:rFonts w:ascii="Arial" w:hAnsi="Arial" w:cs="Arial"/>
          <w:color w:val="000000" w:themeColor="text1"/>
          <w:sz w:val="22"/>
          <w:szCs w:val="22"/>
        </w:rPr>
        <w:t>, 3.</w:t>
      </w:r>
    </w:p>
    <w:p w14:paraId="116D6DC8"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Winterhagen, P., Howard, S. F., Qiu, W., &amp; Kovács, L. G. (2008). Transcriptional up-regulation of grapevine MLO genes in response to powdery mildew infection.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American journal of enology and viticulture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59</w:t>
      </w:r>
      <w:r w:rsidRPr="001B1244">
        <w:rPr>
          <w:rFonts w:ascii="Arial" w:hAnsi="Arial" w:cs="Arial"/>
          <w:color w:val="000000" w:themeColor="text1"/>
          <w:sz w:val="22"/>
          <w:szCs w:val="22"/>
          <w:shd w:val="clear" w:color="auto" w:fill="FFFFFF"/>
        </w:rPr>
        <w:t>(2), 159-168.</w:t>
      </w:r>
    </w:p>
    <w:p w14:paraId="2E195731"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Wisser, R. J., Sun, Q., Hulbert, S. H., Kresovich, S., &amp; Nelson, R. J. (2005). Identification and Characterization of Regions of the Rice Genome Associated with Broad-Spectrum, Quantitative Disease Resistance. </w:t>
      </w:r>
      <w:r w:rsidRPr="001B1244">
        <w:rPr>
          <w:rFonts w:ascii="Arial" w:hAnsi="Arial" w:cs="Arial"/>
          <w:i/>
          <w:iCs/>
          <w:color w:val="000000" w:themeColor="text1"/>
          <w:sz w:val="22"/>
          <w:szCs w:val="22"/>
        </w:rPr>
        <w:t>Genetics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169</w:t>
      </w:r>
      <w:r w:rsidRPr="001B1244">
        <w:rPr>
          <w:rFonts w:ascii="Arial" w:hAnsi="Arial" w:cs="Arial"/>
          <w:color w:val="000000" w:themeColor="text1"/>
          <w:sz w:val="22"/>
          <w:szCs w:val="22"/>
        </w:rPr>
        <w:t xml:space="preserve">(4), 2277–2293. </w:t>
      </w:r>
      <w:hyperlink r:id="rId219" w:history="1">
        <w:r w:rsidRPr="001B1244">
          <w:rPr>
            <w:rFonts w:ascii="Arial" w:hAnsi="Arial" w:cs="Arial"/>
            <w:color w:val="000000" w:themeColor="text1"/>
            <w:sz w:val="22"/>
            <w:szCs w:val="22"/>
            <w:u w:val="single"/>
          </w:rPr>
          <w:t>https://doi.org/10.1534/genetics.104.036327</w:t>
        </w:r>
      </w:hyperlink>
    </w:p>
    <w:p w14:paraId="1D32BBD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Witte, W., Windham, M., Windham, A., Hale, F., Fare, D., &amp; Clatterbuck, W. (2000). </w:t>
      </w:r>
      <w:r w:rsidRPr="001B1244">
        <w:rPr>
          <w:rFonts w:ascii="Arial" w:hAnsi="Arial" w:cs="Arial"/>
          <w:i/>
          <w:color w:val="000000" w:themeColor="text1"/>
          <w:sz w:val="22"/>
          <w:szCs w:val="22"/>
        </w:rPr>
        <w:t>Dogwoods for American Gardens</w:t>
      </w:r>
      <w:r w:rsidRPr="001B1244">
        <w:rPr>
          <w:rFonts w:ascii="Arial" w:hAnsi="Arial" w:cs="Arial"/>
          <w:color w:val="000000" w:themeColor="text1"/>
          <w:sz w:val="22"/>
          <w:szCs w:val="22"/>
        </w:rPr>
        <w:t>. 32.</w:t>
      </w:r>
    </w:p>
    <w:p w14:paraId="3E5D9E38" w14:textId="3EA4A6EA"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Wright, S. (1930). The genetical theory of natural selection: a review.</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Journal of Heredity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21</w:t>
      </w:r>
      <w:r w:rsidRPr="001B1244">
        <w:rPr>
          <w:rFonts w:ascii="Arial" w:hAnsi="Arial" w:cs="Arial"/>
          <w:color w:val="000000" w:themeColor="text1"/>
          <w:sz w:val="22"/>
          <w:szCs w:val="22"/>
          <w:shd w:val="clear" w:color="auto" w:fill="FFFFFF"/>
        </w:rPr>
        <w:t>(8), 349-356.</w:t>
      </w:r>
    </w:p>
    <w:p w14:paraId="4DA43CD1" w14:textId="1DB29B22" w:rsidR="007809E3" w:rsidRPr="001B1244" w:rsidRDefault="007809E3" w:rsidP="00C312F7">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Wu, S., Yang, J., Huang, Y., Li, Y., Yin, T., Wullschleger, S. D</w:t>
      </w:r>
      <w:proofErr w:type="gramStart"/>
      <w:r w:rsidRPr="001B1244">
        <w:rPr>
          <w:rFonts w:ascii="Arial" w:hAnsi="Arial" w:cs="Arial"/>
          <w:color w:val="222222"/>
          <w:sz w:val="22"/>
          <w:szCs w:val="22"/>
          <w:shd w:val="clear" w:color="auto" w:fill="FFFFFF"/>
        </w:rPr>
        <w:t>., ...</w:t>
      </w:r>
      <w:proofErr w:type="gramEnd"/>
      <w:r w:rsidRPr="001B1244">
        <w:rPr>
          <w:rFonts w:ascii="Arial" w:hAnsi="Arial" w:cs="Arial"/>
          <w:color w:val="222222"/>
          <w:sz w:val="22"/>
          <w:szCs w:val="22"/>
          <w:shd w:val="clear" w:color="auto" w:fill="FFFFFF"/>
        </w:rPr>
        <w:t xml:space="preserve"> &amp; Wu, R. (2010). An improved approach for mapping quantitative trait loci in a pseudo-testcross: revisiting a poplar mapping study.</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Bioinformatics and biology insights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4</w:t>
      </w:r>
      <w:r w:rsidRPr="001B1244">
        <w:rPr>
          <w:rFonts w:ascii="Arial" w:hAnsi="Arial" w:cs="Arial"/>
          <w:color w:val="222222"/>
          <w:sz w:val="22"/>
          <w:szCs w:val="22"/>
          <w:shd w:val="clear" w:color="auto" w:fill="FFFFFF"/>
        </w:rPr>
        <w:t>, BBI-S4153.</w:t>
      </w:r>
    </w:p>
    <w:p w14:paraId="288BA62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Wu, T. D., Reeder, J., Lawrence, M., Becker, G., &amp; Brauer, M. J. (2016). GMAP and GSNAP for genomic sequence alignment: enhancements to speed, accuracy, and functionality. In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Statistical genomics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color w:val="000000" w:themeColor="text1"/>
          <w:sz w:val="22"/>
          <w:szCs w:val="22"/>
          <w:shd w:val="clear" w:color="auto" w:fill="FFFFFF"/>
        </w:rPr>
        <w:t>(pp. 283-334). Humana Press, New York, NY.</w:t>
      </w:r>
    </w:p>
    <w:p w14:paraId="10712D6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Wu, X., Hulse-Kemp, A., Wadl, P., Smith, Z., Mockaitis, K., Staton, M., Rinehart, T., &amp; Alexander, L. (2021). Genomic Resource Development for Hydrangea (</w:t>
      </w:r>
      <w:r w:rsidRPr="001B1244">
        <w:rPr>
          <w:rFonts w:ascii="Arial" w:hAnsi="Arial" w:cs="Arial"/>
          <w:i/>
          <w:iCs/>
          <w:color w:val="000000" w:themeColor="text1"/>
          <w:sz w:val="22"/>
          <w:szCs w:val="22"/>
        </w:rPr>
        <w:t>Hydrangea macrophylla</w:t>
      </w:r>
      <w:r w:rsidRPr="001B1244">
        <w:rPr>
          <w:rFonts w:ascii="Arial" w:hAnsi="Arial" w:cs="Arial"/>
          <w:color w:val="000000" w:themeColor="text1"/>
          <w:sz w:val="22"/>
          <w:szCs w:val="22"/>
        </w:rPr>
        <w:t xml:space="preserve"> (Thunb.) Ser.)—A Transcriptome Assembly and a High-Density Genetic Linkage Map. </w:t>
      </w:r>
      <w:r w:rsidRPr="001B1244">
        <w:rPr>
          <w:rFonts w:ascii="Arial" w:hAnsi="Arial" w:cs="Arial"/>
          <w:i/>
          <w:iCs/>
          <w:color w:val="000000" w:themeColor="text1"/>
          <w:sz w:val="22"/>
          <w:szCs w:val="22"/>
        </w:rPr>
        <w:t>Horticulturae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7</w:t>
      </w:r>
      <w:r w:rsidRPr="001B1244">
        <w:rPr>
          <w:rFonts w:ascii="Arial" w:hAnsi="Arial" w:cs="Arial"/>
          <w:color w:val="000000" w:themeColor="text1"/>
          <w:sz w:val="22"/>
          <w:szCs w:val="22"/>
        </w:rPr>
        <w:t xml:space="preserve">(2), 25. </w:t>
      </w:r>
      <w:hyperlink r:id="rId220" w:history="1">
        <w:r w:rsidRPr="001B1244">
          <w:rPr>
            <w:rFonts w:ascii="Arial" w:hAnsi="Arial" w:cs="Arial"/>
            <w:color w:val="000000" w:themeColor="text1"/>
            <w:sz w:val="22"/>
            <w:szCs w:val="22"/>
            <w:u w:val="single"/>
          </w:rPr>
          <w:t>https://doi.org/10.3390/horticulturae7020025</w:t>
        </w:r>
      </w:hyperlink>
    </w:p>
    <w:p w14:paraId="60E6E9EF"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Wu, Y., Wen, J., Xia, Y., Zhang, L., &amp; Du, H. (2022). Evolution and functional diversification of R2R3-MYB transcription factors in plants.</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Horticulture research</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9</w:t>
      </w:r>
      <w:r w:rsidRPr="001B1244">
        <w:rPr>
          <w:rFonts w:ascii="Arial" w:hAnsi="Arial" w:cs="Arial"/>
          <w:color w:val="000000" w:themeColor="text1"/>
          <w:sz w:val="22"/>
          <w:szCs w:val="22"/>
          <w:shd w:val="clear" w:color="auto" w:fill="FFFFFF"/>
        </w:rPr>
        <w:t>.</w:t>
      </w:r>
    </w:p>
    <w:p w14:paraId="15A94DCB"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Wyman, C. R., Hadziabdic, D., Boggess, S. L., Rinehart, T. A., Windham, A. S., Wadl, P. A., &amp; Trigiano, R. N. (2019). Low Genetic Diversity Suggests the Recent Introduction of Dogwood Powdery Mildew to North America. </w:t>
      </w:r>
      <w:r w:rsidRPr="001B1244">
        <w:rPr>
          <w:rFonts w:ascii="Arial" w:hAnsi="Arial" w:cs="Arial"/>
          <w:i/>
          <w:color w:val="000000" w:themeColor="text1"/>
          <w:sz w:val="22"/>
          <w:szCs w:val="22"/>
        </w:rPr>
        <w:t>Plant Disease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103</w:t>
      </w:r>
      <w:r w:rsidRPr="001B1244">
        <w:rPr>
          <w:rFonts w:ascii="Arial" w:hAnsi="Arial" w:cs="Arial"/>
          <w:color w:val="000000" w:themeColor="text1"/>
          <w:sz w:val="22"/>
          <w:szCs w:val="22"/>
        </w:rPr>
        <w:t xml:space="preserve">(11), 2903–2912. </w:t>
      </w:r>
      <w:hyperlink r:id="rId221" w:history="1">
        <w:r w:rsidRPr="001B1244">
          <w:rPr>
            <w:rFonts w:ascii="Arial" w:hAnsi="Arial" w:cs="Arial"/>
            <w:color w:val="000000" w:themeColor="text1"/>
            <w:sz w:val="22"/>
            <w:szCs w:val="22"/>
            <w:u w:val="single"/>
          </w:rPr>
          <w:t>https://doi.org/10.1094/PDIS-01-19-0051-RE</w:t>
        </w:r>
      </w:hyperlink>
    </w:p>
    <w:p w14:paraId="1B1A21A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Xiang, Q. Y., Thomas, D. T., Zhang, W., Manchester, S. R., &amp; Murrell, Z. (2006). Species level phylogeny of the genus </w:t>
      </w:r>
      <w:r w:rsidRPr="001B1244">
        <w:rPr>
          <w:rFonts w:ascii="Arial" w:hAnsi="Arial" w:cs="Arial"/>
          <w:i/>
          <w:iCs/>
          <w:color w:val="000000" w:themeColor="text1"/>
          <w:sz w:val="22"/>
          <w:szCs w:val="22"/>
          <w:shd w:val="clear" w:color="auto" w:fill="FFFFFF"/>
        </w:rPr>
        <w:t>Cornus</w:t>
      </w:r>
      <w:r w:rsidRPr="001B1244">
        <w:rPr>
          <w:rFonts w:ascii="Arial" w:hAnsi="Arial" w:cs="Arial"/>
          <w:color w:val="000000" w:themeColor="text1"/>
          <w:sz w:val="22"/>
          <w:szCs w:val="22"/>
          <w:shd w:val="clear" w:color="auto" w:fill="FFFFFF"/>
        </w:rPr>
        <w:t xml:space="preserve"> (Cornaceae) based on molecular and morphological evidence—implications for taxonomy and Tertiary intercontinental migration.</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Taxon</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55</w:t>
      </w:r>
      <w:r w:rsidRPr="001B1244">
        <w:rPr>
          <w:rFonts w:ascii="Arial" w:hAnsi="Arial" w:cs="Arial"/>
          <w:color w:val="000000" w:themeColor="text1"/>
          <w:sz w:val="22"/>
          <w:szCs w:val="22"/>
          <w:shd w:val="clear" w:color="auto" w:fill="FFFFFF"/>
        </w:rPr>
        <w:t>(1), 9-30.</w:t>
      </w:r>
    </w:p>
    <w:p w14:paraId="548A441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Xu, Y., &amp; Crouch, J. H. (2008). Marker</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Assisted Selection in Plant Breeding: From Publications to Practice. </w:t>
      </w:r>
      <w:r w:rsidRPr="001B1244">
        <w:rPr>
          <w:rFonts w:ascii="Arial" w:hAnsi="Arial" w:cs="Arial"/>
          <w:i/>
          <w:iCs/>
          <w:color w:val="000000" w:themeColor="text1"/>
          <w:sz w:val="22"/>
          <w:szCs w:val="22"/>
        </w:rPr>
        <w:t>CROP SCIENCE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48</w:t>
      </w:r>
      <w:r w:rsidRPr="001B1244">
        <w:rPr>
          <w:rFonts w:ascii="Arial" w:hAnsi="Arial" w:cs="Arial"/>
          <w:color w:val="000000" w:themeColor="text1"/>
          <w:sz w:val="22"/>
          <w:szCs w:val="22"/>
        </w:rPr>
        <w:t>, 17.</w:t>
      </w:r>
    </w:p>
    <w:p w14:paraId="5762C4DA"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Yamagishi, M. (2011). Oriental hybrid lily Sorbonne homologue of LhMYB12 regulates anthocyanin biosyntheses in flower tepals and tepal spots. </w:t>
      </w:r>
      <w:r w:rsidRPr="001B1244">
        <w:rPr>
          <w:rFonts w:ascii="Arial" w:hAnsi="Arial" w:cs="Arial"/>
          <w:i/>
          <w:color w:val="000000" w:themeColor="text1"/>
          <w:sz w:val="22"/>
          <w:szCs w:val="22"/>
        </w:rPr>
        <w:t>Molecular Breeding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28</w:t>
      </w:r>
      <w:r w:rsidRPr="001B1244">
        <w:rPr>
          <w:rFonts w:ascii="Arial" w:hAnsi="Arial" w:cs="Arial"/>
          <w:color w:val="000000" w:themeColor="text1"/>
          <w:sz w:val="22"/>
          <w:szCs w:val="22"/>
        </w:rPr>
        <w:t xml:space="preserve">(3), 381–389. </w:t>
      </w:r>
      <w:hyperlink r:id="rId222" w:history="1">
        <w:r w:rsidRPr="001B1244">
          <w:rPr>
            <w:rFonts w:ascii="Arial" w:hAnsi="Arial" w:cs="Arial"/>
            <w:color w:val="000000" w:themeColor="text1"/>
            <w:sz w:val="22"/>
            <w:szCs w:val="22"/>
            <w:u w:val="single"/>
          </w:rPr>
          <w:t>https://doi.org/10.1007/s11032-010-9490-5</w:t>
        </w:r>
      </w:hyperlink>
    </w:p>
    <w:p w14:paraId="0326B64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Yamagishi, M. (2016). A novel R2R3-MYB transcription factor regulates light-mediated floral and vegetative anthocyanin pigmentation patterns in </w:t>
      </w:r>
      <w:r w:rsidRPr="001B1244">
        <w:rPr>
          <w:rFonts w:ascii="Arial" w:hAnsi="Arial" w:cs="Arial"/>
          <w:i/>
          <w:iCs/>
          <w:color w:val="000000" w:themeColor="text1"/>
          <w:sz w:val="22"/>
          <w:szCs w:val="22"/>
        </w:rPr>
        <w:t>Lilium regale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Molecular Breeding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36</w:t>
      </w:r>
      <w:r w:rsidRPr="001B1244">
        <w:rPr>
          <w:rFonts w:ascii="Arial" w:hAnsi="Arial" w:cs="Arial"/>
          <w:color w:val="000000" w:themeColor="text1"/>
          <w:sz w:val="22"/>
          <w:szCs w:val="22"/>
        </w:rPr>
        <w:t xml:space="preserve">(1), 3. </w:t>
      </w:r>
      <w:hyperlink r:id="rId223" w:history="1">
        <w:r w:rsidRPr="001B1244">
          <w:rPr>
            <w:rFonts w:ascii="Arial" w:hAnsi="Arial" w:cs="Arial"/>
            <w:color w:val="000000" w:themeColor="text1"/>
            <w:sz w:val="22"/>
            <w:szCs w:val="22"/>
            <w:u w:val="single"/>
          </w:rPr>
          <w:t>https://doi.org/10.1007/s11032-015-0426-y</w:t>
        </w:r>
      </w:hyperlink>
    </w:p>
    <w:p w14:paraId="7F2B04B9"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Yamagishi, M., Shimoyamada, Y., Nakatsuka, T., &amp; Masuda, K. (2010). Two R2R3-MYB Genes, Homologs of Petunia AN2, Regulate Anthocyanin Biosyntheses in Flower Tepals, Tepal Spots and Leaves of Asiatic Hybrid Lily. </w:t>
      </w:r>
      <w:r w:rsidRPr="001B1244">
        <w:rPr>
          <w:rFonts w:ascii="Arial" w:hAnsi="Arial" w:cs="Arial"/>
          <w:i/>
          <w:color w:val="000000" w:themeColor="text1"/>
          <w:sz w:val="22"/>
          <w:szCs w:val="22"/>
        </w:rPr>
        <w:t>Plant and Cell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51</w:t>
      </w:r>
      <w:r w:rsidRPr="001B1244">
        <w:rPr>
          <w:rFonts w:ascii="Arial" w:hAnsi="Arial" w:cs="Arial"/>
          <w:color w:val="000000" w:themeColor="text1"/>
          <w:sz w:val="22"/>
          <w:szCs w:val="22"/>
        </w:rPr>
        <w:t xml:space="preserve">(3), 463–474. </w:t>
      </w:r>
      <w:hyperlink r:id="rId224" w:history="1">
        <w:r w:rsidRPr="001B1244">
          <w:rPr>
            <w:rFonts w:ascii="Arial" w:hAnsi="Arial" w:cs="Arial"/>
            <w:color w:val="000000" w:themeColor="text1"/>
            <w:sz w:val="22"/>
            <w:szCs w:val="22"/>
            <w:u w:val="single"/>
          </w:rPr>
          <w:t>https://doi.org/10.1093/pcp/pcq011</w:t>
        </w:r>
      </w:hyperlink>
    </w:p>
    <w:p w14:paraId="30612BFD"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Yamagishi, M., Yoshida, Y., &amp; Nakayama, M. (2012). The transcription factor LhMYB12 determines anthocyanin pigmentation in the tepals of Asiatic hybrid lilies (</w:t>
      </w:r>
      <w:r w:rsidRPr="001B1244">
        <w:rPr>
          <w:rFonts w:ascii="Arial" w:hAnsi="Arial" w:cs="Arial"/>
          <w:i/>
          <w:iCs/>
          <w:color w:val="000000" w:themeColor="text1"/>
          <w:sz w:val="22"/>
          <w:szCs w:val="22"/>
        </w:rPr>
        <w:t>Lilium</w:t>
      </w:r>
      <w:r w:rsidRPr="001B1244">
        <w:rPr>
          <w:rFonts w:ascii="Arial" w:hAnsi="Arial" w:cs="Arial"/>
          <w:color w:val="000000" w:themeColor="text1"/>
          <w:sz w:val="22"/>
          <w:szCs w:val="22"/>
        </w:rPr>
        <w:t xml:space="preserve"> spp.) and regulates pigment quantity. </w:t>
      </w:r>
      <w:r w:rsidRPr="001B1244">
        <w:rPr>
          <w:rFonts w:ascii="Arial" w:hAnsi="Arial" w:cs="Arial"/>
          <w:i/>
          <w:color w:val="000000" w:themeColor="text1"/>
          <w:sz w:val="22"/>
          <w:szCs w:val="22"/>
        </w:rPr>
        <w:t>Molecular Breeding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30</w:t>
      </w:r>
      <w:r w:rsidRPr="001B1244">
        <w:rPr>
          <w:rFonts w:ascii="Arial" w:hAnsi="Arial" w:cs="Arial"/>
          <w:color w:val="000000" w:themeColor="text1"/>
          <w:sz w:val="22"/>
          <w:szCs w:val="22"/>
        </w:rPr>
        <w:t xml:space="preserve">(2), 913–925. </w:t>
      </w:r>
      <w:hyperlink r:id="rId225" w:history="1">
        <w:r w:rsidRPr="001B1244">
          <w:rPr>
            <w:rFonts w:ascii="Arial" w:hAnsi="Arial" w:cs="Arial"/>
            <w:color w:val="000000" w:themeColor="text1"/>
            <w:sz w:val="22"/>
            <w:szCs w:val="22"/>
            <w:u w:val="single"/>
          </w:rPr>
          <w:t>https://doi.org/10.1007/s11032-011-9675-6</w:t>
        </w:r>
      </w:hyperlink>
    </w:p>
    <w:p w14:paraId="1AE1605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Yan, J., Wang, B., Zhong, Y., Yao, L., Cheng, L., &amp; Wu, T. (2015). The soybean R2R3 MYB transcription factor GmMYB100 negatively regulates plant flavonoid biosynthesis. </w:t>
      </w:r>
      <w:r w:rsidRPr="001B1244">
        <w:rPr>
          <w:rFonts w:ascii="Arial" w:hAnsi="Arial" w:cs="Arial"/>
          <w:i/>
          <w:color w:val="000000" w:themeColor="text1"/>
          <w:sz w:val="22"/>
          <w:szCs w:val="22"/>
        </w:rPr>
        <w:t>Plant Molecular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89</w:t>
      </w:r>
      <w:r w:rsidRPr="001B1244">
        <w:rPr>
          <w:rFonts w:ascii="Arial" w:hAnsi="Arial" w:cs="Arial"/>
          <w:color w:val="000000" w:themeColor="text1"/>
          <w:sz w:val="22"/>
          <w:szCs w:val="22"/>
        </w:rPr>
        <w:t xml:space="preserve">(1–2), 35–48. </w:t>
      </w:r>
      <w:hyperlink r:id="rId226" w:history="1">
        <w:r w:rsidRPr="001B1244">
          <w:rPr>
            <w:rFonts w:ascii="Arial" w:hAnsi="Arial" w:cs="Arial"/>
            <w:color w:val="000000" w:themeColor="text1"/>
            <w:sz w:val="22"/>
            <w:szCs w:val="22"/>
            <w:u w:val="single"/>
          </w:rPr>
          <w:t>https://doi.org/10.1007/s11103-015-0349-3</w:t>
        </w:r>
      </w:hyperlink>
    </w:p>
    <w:p w14:paraId="533A358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Yan, S., Chen, N., Huang, Z., Li, D., Zhi, J., Yu, B., Liu, X., Cao, B., &amp; Qiu, Z. (2020). </w:t>
      </w:r>
      <w:r w:rsidRPr="001B1244">
        <w:rPr>
          <w:rFonts w:ascii="Arial" w:hAnsi="Arial" w:cs="Arial"/>
          <w:i/>
          <w:color w:val="000000" w:themeColor="text1"/>
          <w:sz w:val="22"/>
          <w:szCs w:val="22"/>
        </w:rPr>
        <w:t>Anthocyanin Fruit</w:t>
      </w:r>
      <w:r w:rsidRPr="001B1244">
        <w:rPr>
          <w:rFonts w:ascii="Arial" w:hAnsi="Arial" w:cs="Arial"/>
          <w:color w:val="000000" w:themeColor="text1"/>
          <w:sz w:val="22"/>
          <w:szCs w:val="22"/>
        </w:rPr>
        <w:t xml:space="preserve"> encodes an R2R3</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MYB transcription factor, SlAN2</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like, activating the transcription of </w:t>
      </w:r>
      <w:r w:rsidRPr="001B1244">
        <w:rPr>
          <w:rFonts w:ascii="Arial" w:hAnsi="Arial" w:cs="Arial"/>
          <w:i/>
          <w:color w:val="000000" w:themeColor="text1"/>
          <w:sz w:val="22"/>
          <w:szCs w:val="22"/>
        </w:rPr>
        <w:t>SlMYBATV</w:t>
      </w:r>
      <w:r w:rsidRPr="001B1244">
        <w:rPr>
          <w:rFonts w:ascii="Arial" w:hAnsi="Arial" w:cs="Arial"/>
          <w:color w:val="000000" w:themeColor="text1"/>
          <w:sz w:val="22"/>
          <w:szCs w:val="22"/>
        </w:rPr>
        <w:t xml:space="preserve"> to fine</w:t>
      </w:r>
      <w:r w:rsidRPr="001B1244">
        <w:rPr>
          <w:rFonts w:ascii="Cambria Math" w:hAnsi="Cambria Math" w:cs="Cambria Math"/>
          <w:color w:val="000000" w:themeColor="text1"/>
          <w:sz w:val="22"/>
          <w:szCs w:val="22"/>
        </w:rPr>
        <w:t>‐</w:t>
      </w:r>
      <w:r w:rsidRPr="001B1244">
        <w:rPr>
          <w:rFonts w:ascii="Arial" w:hAnsi="Arial" w:cs="Arial"/>
          <w:color w:val="000000" w:themeColor="text1"/>
          <w:sz w:val="22"/>
          <w:szCs w:val="22"/>
        </w:rPr>
        <w:t xml:space="preserve">tune anthocyanin content in tomato fruit. </w:t>
      </w:r>
      <w:r w:rsidRPr="001B1244">
        <w:rPr>
          <w:rFonts w:ascii="Arial" w:hAnsi="Arial" w:cs="Arial"/>
          <w:i/>
          <w:color w:val="000000" w:themeColor="text1"/>
          <w:sz w:val="22"/>
          <w:szCs w:val="22"/>
        </w:rPr>
        <w:t>New Phytologist</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225</w:t>
      </w:r>
      <w:r w:rsidRPr="001B1244">
        <w:rPr>
          <w:rFonts w:ascii="Arial" w:hAnsi="Arial" w:cs="Arial"/>
          <w:color w:val="000000" w:themeColor="text1"/>
          <w:sz w:val="22"/>
          <w:szCs w:val="22"/>
        </w:rPr>
        <w:t xml:space="preserve">(5), 2048–2063. </w:t>
      </w:r>
      <w:hyperlink r:id="rId227" w:history="1">
        <w:r w:rsidRPr="001B1244">
          <w:rPr>
            <w:rFonts w:ascii="Arial" w:hAnsi="Arial" w:cs="Arial"/>
            <w:color w:val="000000" w:themeColor="text1"/>
            <w:sz w:val="22"/>
            <w:szCs w:val="22"/>
            <w:u w:val="single"/>
          </w:rPr>
          <w:t>https://doi.org/10.1111/nph.16272</w:t>
        </w:r>
      </w:hyperlink>
    </w:p>
    <w:p w14:paraId="7B25991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Yan, Y., Li, C., Dong, X., Li, H., Zhang, D., Zhou, Y., Jiang, B., Peng, J., Qin, X., Cheng, J., Wang, X., Song, P., Qi, L., Zheng, Y., Li, B., Terzaghi, W., Yang, S., Guo, Y., &amp; Li, J. (2020). MYB30 Is a Key Negative Regulator of Arabidopsis Photomorphogenic Development That Promotes PIF4 and PIF5 Protein Accumulation in the Light. </w:t>
      </w:r>
      <w:r w:rsidRPr="001B1244">
        <w:rPr>
          <w:rFonts w:ascii="Arial" w:hAnsi="Arial" w:cs="Arial"/>
          <w:i/>
          <w:color w:val="000000" w:themeColor="text1"/>
          <w:sz w:val="22"/>
          <w:szCs w:val="22"/>
        </w:rPr>
        <w:t>The Plant Cell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32</w:t>
      </w:r>
      <w:r w:rsidRPr="001B1244">
        <w:rPr>
          <w:rFonts w:ascii="Arial" w:hAnsi="Arial" w:cs="Arial"/>
          <w:color w:val="000000" w:themeColor="text1"/>
          <w:sz w:val="22"/>
          <w:szCs w:val="22"/>
        </w:rPr>
        <w:t xml:space="preserve">(7), 2196–2215. </w:t>
      </w:r>
      <w:hyperlink r:id="rId228" w:history="1">
        <w:r w:rsidRPr="001B1244">
          <w:rPr>
            <w:rFonts w:ascii="Arial" w:hAnsi="Arial" w:cs="Arial"/>
            <w:color w:val="000000" w:themeColor="text1"/>
            <w:sz w:val="22"/>
            <w:szCs w:val="22"/>
            <w:u w:val="single"/>
          </w:rPr>
          <w:t>https://doi.org/10.1105/tpc.19.00645</w:t>
        </w:r>
      </w:hyperlink>
    </w:p>
    <w:p w14:paraId="6C7022D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Yang, J., Zhang, J., Han, R., Zhang, F., Mao, A., Luo, J., Dong, B., Liu, H., Tang, H., Zhang, J., &amp; Wen, C. (2019). Target SSR-Seq: A Novel SSR Genotyping Technology Associate with Perfect SSRs in Genetic Analysis of Cucumber Varieties. </w:t>
      </w:r>
      <w:r w:rsidRPr="001B1244">
        <w:rPr>
          <w:rFonts w:ascii="Arial" w:hAnsi="Arial" w:cs="Arial"/>
          <w:i/>
          <w:color w:val="000000" w:themeColor="text1"/>
          <w:sz w:val="22"/>
          <w:szCs w:val="22"/>
        </w:rPr>
        <w:t>Frontiers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10</w:t>
      </w:r>
      <w:r w:rsidRPr="001B1244">
        <w:rPr>
          <w:rFonts w:ascii="Arial" w:hAnsi="Arial" w:cs="Arial"/>
          <w:color w:val="000000" w:themeColor="text1"/>
          <w:sz w:val="22"/>
          <w:szCs w:val="22"/>
        </w:rPr>
        <w:t xml:space="preserve">, 531. </w:t>
      </w:r>
      <w:hyperlink r:id="rId229" w:history="1">
        <w:r w:rsidRPr="001B1244">
          <w:rPr>
            <w:rFonts w:ascii="Arial" w:hAnsi="Arial" w:cs="Arial"/>
            <w:color w:val="000000" w:themeColor="text1"/>
            <w:sz w:val="22"/>
            <w:szCs w:val="22"/>
            <w:u w:val="single"/>
          </w:rPr>
          <w:t>https://doi.org/10.3389/fpls.2019.00531</w:t>
        </w:r>
      </w:hyperlink>
    </w:p>
    <w:p w14:paraId="24F641A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Yang, S., Fresnedo-Ramírez, J., Wang, M., Cote, L., Schweitzer, P., Barba, P., Takacs, E. M., Clark, M., Luby, J., Manns, D. C., Sacks, G., Mansfield, A. K., Londo, J., Fennell, A., Gadoury, D., Reisch, B., Cadle-Davidson, L., &amp; Sun, Q. (2016). A next-generation marker genotyping platform (AmpSeq) in heterozygous crops: A case study for marker-assisted selection in grapevine. </w:t>
      </w:r>
      <w:r w:rsidRPr="001B1244">
        <w:rPr>
          <w:rFonts w:ascii="Arial" w:hAnsi="Arial" w:cs="Arial"/>
          <w:i/>
          <w:iCs/>
          <w:color w:val="000000" w:themeColor="text1"/>
          <w:sz w:val="22"/>
          <w:szCs w:val="22"/>
        </w:rPr>
        <w:t>Horticulture Research</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3</w:t>
      </w:r>
      <w:r w:rsidRPr="001B1244">
        <w:rPr>
          <w:rFonts w:ascii="Arial" w:hAnsi="Arial" w:cs="Arial"/>
          <w:color w:val="000000" w:themeColor="text1"/>
          <w:sz w:val="22"/>
          <w:szCs w:val="22"/>
        </w:rPr>
        <w:t xml:space="preserve">(1), 16002. </w:t>
      </w:r>
      <w:hyperlink r:id="rId230" w:history="1">
        <w:r w:rsidRPr="001B1244">
          <w:rPr>
            <w:rFonts w:ascii="Arial" w:hAnsi="Arial" w:cs="Arial"/>
            <w:color w:val="000000" w:themeColor="text1"/>
            <w:sz w:val="22"/>
            <w:szCs w:val="22"/>
            <w:u w:val="single"/>
          </w:rPr>
          <w:t>https://doi.org/10.1038/hortres.2016.2</w:t>
        </w:r>
      </w:hyperlink>
    </w:p>
    <w:p w14:paraId="164103D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Yang, X., Xu, Y., Shah, T., Li, H., Han, Z., Li, J., &amp; Yan, J. (2011). Comparison of SSRs and SNPs in assessment of genetic relatedness in maize. </w:t>
      </w:r>
      <w:r w:rsidRPr="001B1244">
        <w:rPr>
          <w:rFonts w:ascii="Arial" w:hAnsi="Arial" w:cs="Arial"/>
          <w:i/>
          <w:color w:val="000000" w:themeColor="text1"/>
          <w:sz w:val="22"/>
          <w:szCs w:val="22"/>
        </w:rPr>
        <w:t>Genetica</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139</w:t>
      </w:r>
      <w:r w:rsidRPr="001B1244">
        <w:rPr>
          <w:rFonts w:ascii="Arial" w:hAnsi="Arial" w:cs="Arial"/>
          <w:color w:val="000000" w:themeColor="text1"/>
          <w:sz w:val="22"/>
          <w:szCs w:val="22"/>
        </w:rPr>
        <w:t xml:space="preserve">(8), 1045–1054. </w:t>
      </w:r>
      <w:hyperlink r:id="rId231" w:history="1">
        <w:r w:rsidRPr="001B1244">
          <w:rPr>
            <w:rFonts w:ascii="Arial" w:hAnsi="Arial" w:cs="Arial"/>
            <w:color w:val="000000" w:themeColor="text1"/>
            <w:sz w:val="22"/>
            <w:szCs w:val="22"/>
            <w:u w:val="single"/>
          </w:rPr>
          <w:t>https://doi.org/10.1007/s10709-011-9606-9</w:t>
        </w:r>
      </w:hyperlink>
    </w:p>
    <w:p w14:paraId="573C87EC"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Yang, X., Yue, Y., Li, H., Ding, W., Chen, G., Shi, T., Chen, J., Park, M. S., Chen, F., &amp; Wang, L. (2018). The chromosome-level quality genome provides insights into the evolution of the biosynthesis genes for aroma compounds of </w:t>
      </w:r>
      <w:r w:rsidRPr="001B1244">
        <w:rPr>
          <w:rFonts w:ascii="Arial" w:hAnsi="Arial" w:cs="Arial"/>
          <w:i/>
          <w:iCs/>
          <w:color w:val="000000" w:themeColor="text1"/>
          <w:sz w:val="22"/>
          <w:szCs w:val="22"/>
        </w:rPr>
        <w:t>Osmanthus fragrans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Horticulture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5</w:t>
      </w:r>
      <w:r w:rsidRPr="001B1244">
        <w:rPr>
          <w:rFonts w:ascii="Arial" w:hAnsi="Arial" w:cs="Arial"/>
          <w:color w:val="000000" w:themeColor="text1"/>
          <w:sz w:val="22"/>
          <w:szCs w:val="22"/>
        </w:rPr>
        <w:t xml:space="preserve">(1), 72. </w:t>
      </w:r>
      <w:hyperlink r:id="rId232" w:history="1">
        <w:r w:rsidRPr="001B1244">
          <w:rPr>
            <w:rFonts w:ascii="Arial" w:hAnsi="Arial" w:cs="Arial"/>
            <w:color w:val="000000" w:themeColor="text1"/>
            <w:sz w:val="22"/>
            <w:szCs w:val="22"/>
            <w:u w:val="single"/>
          </w:rPr>
          <w:t>https://doi.org/10.1038/s41438-018-0108-0</w:t>
        </w:r>
      </w:hyperlink>
    </w:p>
    <w:p w14:paraId="48375382"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Yang, Y., Amo, A., Wei, D., Chai, Y., Zheng, J., Qiao, P., Cui, C., Lu, S., Chen, L., &amp; Hu, Y.-G. (2021). Large-scale integration of meta-QTL and genome-wide association study discovers the genomic regions and candidate genes for yield and yield-related traits in bread wheat </w:t>
      </w:r>
      <w:r w:rsidRPr="001B1244">
        <w:rPr>
          <w:rFonts w:ascii="Arial" w:hAnsi="Arial" w:cs="Arial"/>
          <w:i/>
          <w:color w:val="000000" w:themeColor="text1"/>
          <w:sz w:val="22"/>
          <w:szCs w:val="22"/>
        </w:rPr>
        <w:t>Theoretical and Applied Genetics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134</w:t>
      </w:r>
      <w:r w:rsidRPr="001B1244">
        <w:rPr>
          <w:rFonts w:ascii="Arial" w:hAnsi="Arial" w:cs="Arial"/>
          <w:color w:val="000000" w:themeColor="text1"/>
          <w:sz w:val="22"/>
          <w:szCs w:val="22"/>
        </w:rPr>
        <w:t xml:space="preserve">(9), 3083–3109. </w:t>
      </w:r>
      <w:hyperlink r:id="rId233" w:history="1">
        <w:r w:rsidRPr="001B1244">
          <w:rPr>
            <w:rFonts w:ascii="Arial" w:hAnsi="Arial" w:cs="Arial"/>
            <w:color w:val="000000" w:themeColor="text1"/>
            <w:sz w:val="22"/>
            <w:szCs w:val="22"/>
            <w:u w:val="single"/>
          </w:rPr>
          <w:t>https://doi.org/10.1007/s00122-021-03881-4</w:t>
        </w:r>
      </w:hyperlink>
    </w:p>
    <w:p w14:paraId="0D8B75DA" w14:textId="2145E124"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Yi, X.-G., Yu, X.-Q., Chen, J., Zhang, M., Liu, S.-W., Zhu, H., Li, M., Duan, Y.-F., Chen, L., Wu, L., Zhu, S., Sun, Z.-S., Liu, X.-H., &amp; Wang, X.-R. (2020). </w:t>
      </w:r>
      <w:proofErr w:type="gramStart"/>
      <w:r w:rsidRPr="001B1244">
        <w:rPr>
          <w:rFonts w:ascii="Arial" w:hAnsi="Arial" w:cs="Arial"/>
          <w:color w:val="000000" w:themeColor="text1"/>
          <w:sz w:val="22"/>
          <w:szCs w:val="22"/>
        </w:rPr>
        <w:t>The</w:t>
      </w:r>
      <w:proofErr w:type="gramEnd"/>
      <w:r w:rsidRPr="001B1244">
        <w:rPr>
          <w:rFonts w:ascii="Arial" w:hAnsi="Arial" w:cs="Arial"/>
          <w:color w:val="000000" w:themeColor="text1"/>
          <w:sz w:val="22"/>
          <w:szCs w:val="22"/>
        </w:rPr>
        <w:t xml:space="preserve"> genome of Chinese flowering </w:t>
      </w:r>
      <w:r w:rsidRPr="001B1244">
        <w:rPr>
          <w:rFonts w:ascii="Arial" w:hAnsi="Arial" w:cs="Arial"/>
          <w:color w:val="000000" w:themeColor="text1"/>
          <w:sz w:val="22"/>
          <w:szCs w:val="22"/>
        </w:rPr>
        <w:lastRenderedPageBreak/>
        <w:t>cherry (</w:t>
      </w:r>
      <w:r w:rsidRPr="001B1244">
        <w:rPr>
          <w:rFonts w:ascii="Arial" w:hAnsi="Arial" w:cs="Arial"/>
          <w:i/>
          <w:iCs/>
          <w:color w:val="000000" w:themeColor="text1"/>
          <w:sz w:val="22"/>
          <w:szCs w:val="22"/>
        </w:rPr>
        <w:t>Cerasus serrulata</w:t>
      </w:r>
      <w:r w:rsidRPr="001B1244">
        <w:rPr>
          <w:rFonts w:ascii="Arial" w:hAnsi="Arial" w:cs="Arial"/>
          <w:color w:val="000000" w:themeColor="text1"/>
          <w:sz w:val="22"/>
          <w:szCs w:val="22"/>
        </w:rPr>
        <w:t xml:space="preserve">) provides new insights into </w:t>
      </w:r>
      <w:r w:rsidRPr="001B1244">
        <w:rPr>
          <w:rFonts w:ascii="Arial" w:hAnsi="Arial" w:cs="Arial"/>
          <w:i/>
          <w:iCs/>
          <w:color w:val="000000" w:themeColor="text1"/>
          <w:sz w:val="22"/>
          <w:szCs w:val="22"/>
        </w:rPr>
        <w:t>Cerasus</w:t>
      </w:r>
      <w:r w:rsidRPr="001B1244">
        <w:rPr>
          <w:rFonts w:ascii="Arial" w:hAnsi="Arial" w:cs="Arial"/>
          <w:color w:val="000000" w:themeColor="text1"/>
          <w:sz w:val="22"/>
          <w:szCs w:val="22"/>
        </w:rPr>
        <w:t xml:space="preserve"> species. </w:t>
      </w:r>
      <w:r w:rsidRPr="001B1244">
        <w:rPr>
          <w:rFonts w:ascii="Arial" w:hAnsi="Arial" w:cs="Arial"/>
          <w:i/>
          <w:color w:val="000000" w:themeColor="text1"/>
          <w:sz w:val="22"/>
          <w:szCs w:val="22"/>
        </w:rPr>
        <w:t>Horticulture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7</w:t>
      </w:r>
      <w:r w:rsidRPr="001B1244">
        <w:rPr>
          <w:rFonts w:ascii="Arial" w:hAnsi="Arial" w:cs="Arial"/>
          <w:color w:val="000000" w:themeColor="text1"/>
          <w:sz w:val="22"/>
          <w:szCs w:val="22"/>
        </w:rPr>
        <w:t xml:space="preserve">(1), 165. </w:t>
      </w:r>
      <w:hyperlink r:id="rId234" w:history="1">
        <w:r w:rsidRPr="001B1244">
          <w:rPr>
            <w:rFonts w:ascii="Arial" w:hAnsi="Arial" w:cs="Arial"/>
            <w:color w:val="000000" w:themeColor="text1"/>
            <w:sz w:val="22"/>
            <w:szCs w:val="22"/>
            <w:u w:val="single"/>
          </w:rPr>
          <w:t>https://doi.org/10.1038/s41438-020-00382-1</w:t>
        </w:r>
      </w:hyperlink>
    </w:p>
    <w:p w14:paraId="10DADAF4" w14:textId="65332684" w:rsidR="00EE7729" w:rsidRPr="001B1244" w:rsidRDefault="00EE772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222222"/>
          <w:sz w:val="22"/>
          <w:szCs w:val="22"/>
          <w:shd w:val="clear" w:color="auto" w:fill="FFFFFF"/>
        </w:rPr>
        <w:t>Yin, T. M., DiFazio, S. P., Gunter, L. E., Riemenschneider, D., &amp; Tuskan, G. A. (2004). Large-scale heterospecific segregation distortion in Populus revealed by a dense genetic map.</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Theoretical and applied genetics</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109</w:t>
      </w:r>
      <w:r w:rsidRPr="001B1244">
        <w:rPr>
          <w:rFonts w:ascii="Arial" w:hAnsi="Arial" w:cs="Arial"/>
          <w:color w:val="222222"/>
          <w:sz w:val="22"/>
          <w:szCs w:val="22"/>
          <w:shd w:val="clear" w:color="auto" w:fill="FFFFFF"/>
        </w:rPr>
        <w:t>(3), 451-463</w:t>
      </w:r>
    </w:p>
    <w:p w14:paraId="3A34D49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Yang, X., Xu, Y., Shah, T., Li, H., Han, Z., Li, J., &amp; Yan, J. (2011). Comparison of SSRs and SNPs in assessment of genetic relatedness in maize.</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Genetica</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139</w:t>
      </w:r>
      <w:r w:rsidRPr="001B1244">
        <w:rPr>
          <w:rFonts w:ascii="Arial" w:hAnsi="Arial" w:cs="Arial"/>
          <w:color w:val="000000" w:themeColor="text1"/>
          <w:sz w:val="22"/>
          <w:szCs w:val="22"/>
          <w:shd w:val="clear" w:color="auto" w:fill="FFFFFF"/>
        </w:rPr>
        <w:t>(8), 1045-1054</w:t>
      </w:r>
    </w:p>
    <w:p w14:paraId="17CC2E4D"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Yoshida, K., Iwasaka, R., Kaneko, T., Sato, S., Tabata, S., &amp; Sakuta, M. (2008). Functional Differentiation of Lotus japonicus TT2s, R2R3-MYB Transcription Factors Comprising a Multigene Family. </w:t>
      </w:r>
      <w:r w:rsidRPr="001B1244">
        <w:rPr>
          <w:rFonts w:ascii="Arial" w:hAnsi="Arial" w:cs="Arial"/>
          <w:i/>
          <w:color w:val="000000" w:themeColor="text1"/>
          <w:sz w:val="22"/>
          <w:szCs w:val="22"/>
        </w:rPr>
        <w:t>Plant and Cell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49</w:t>
      </w:r>
      <w:r w:rsidRPr="001B1244">
        <w:rPr>
          <w:rFonts w:ascii="Arial" w:hAnsi="Arial" w:cs="Arial"/>
          <w:color w:val="000000" w:themeColor="text1"/>
          <w:sz w:val="22"/>
          <w:szCs w:val="22"/>
        </w:rPr>
        <w:t xml:space="preserve">(2), 157–169. </w:t>
      </w:r>
      <w:hyperlink r:id="rId235" w:history="1">
        <w:r w:rsidRPr="001B1244">
          <w:rPr>
            <w:rFonts w:ascii="Arial" w:hAnsi="Arial" w:cs="Arial"/>
            <w:color w:val="000000" w:themeColor="text1"/>
            <w:sz w:val="22"/>
            <w:szCs w:val="22"/>
            <w:u w:val="single"/>
          </w:rPr>
          <w:t>https://doi.org/10.1093/pcp/pcn009</w:t>
        </w:r>
      </w:hyperlink>
    </w:p>
    <w:p w14:paraId="0F18EF1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Yoshida, K., Ma, D., &amp; Constabel, C. P. (2015). The MYB182 Protein Down-Regulates Proanthocyanidin and Anthocyanin Biosynthesis in Poplar by Repressing </w:t>
      </w:r>
      <w:proofErr w:type="gramStart"/>
      <w:r w:rsidRPr="001B1244">
        <w:rPr>
          <w:rFonts w:ascii="Arial" w:hAnsi="Arial" w:cs="Arial"/>
          <w:color w:val="000000" w:themeColor="text1"/>
          <w:sz w:val="22"/>
          <w:szCs w:val="22"/>
        </w:rPr>
        <w:t>Both</w:t>
      </w:r>
      <w:proofErr w:type="gramEnd"/>
      <w:r w:rsidRPr="001B1244">
        <w:rPr>
          <w:rFonts w:ascii="Arial" w:hAnsi="Arial" w:cs="Arial"/>
          <w:color w:val="000000" w:themeColor="text1"/>
          <w:sz w:val="22"/>
          <w:szCs w:val="22"/>
        </w:rPr>
        <w:t xml:space="preserve"> Structural and Regulatory Flavonoid Genes.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167</w:t>
      </w:r>
      <w:r w:rsidRPr="001B1244">
        <w:rPr>
          <w:rFonts w:ascii="Arial" w:hAnsi="Arial" w:cs="Arial"/>
          <w:color w:val="000000" w:themeColor="text1"/>
          <w:sz w:val="22"/>
          <w:szCs w:val="22"/>
        </w:rPr>
        <w:t xml:space="preserve">(3), 693–710. </w:t>
      </w:r>
      <w:hyperlink r:id="rId236" w:history="1">
        <w:r w:rsidRPr="001B1244">
          <w:rPr>
            <w:rFonts w:ascii="Arial" w:hAnsi="Arial" w:cs="Arial"/>
            <w:color w:val="000000" w:themeColor="text1"/>
            <w:sz w:val="22"/>
            <w:szCs w:val="22"/>
            <w:u w:val="single"/>
          </w:rPr>
          <w:t>https://doi.org/10.1104/pp.114.253674</w:t>
        </w:r>
      </w:hyperlink>
    </w:p>
    <w:p w14:paraId="4A999BF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Young, N. D. (1996). QTL MAPPING AND QUANTITATIVE DISEASE RESISTANCE IN PLANTS. </w:t>
      </w:r>
      <w:r w:rsidRPr="001B1244">
        <w:rPr>
          <w:rFonts w:ascii="Arial" w:hAnsi="Arial" w:cs="Arial"/>
          <w:i/>
          <w:color w:val="000000" w:themeColor="text1"/>
          <w:sz w:val="22"/>
          <w:szCs w:val="22"/>
        </w:rPr>
        <w:t>Annual Review of Phytopathology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34</w:t>
      </w:r>
      <w:r w:rsidRPr="001B1244">
        <w:rPr>
          <w:rFonts w:ascii="Arial" w:hAnsi="Arial" w:cs="Arial"/>
          <w:color w:val="000000" w:themeColor="text1"/>
          <w:sz w:val="22"/>
          <w:szCs w:val="22"/>
        </w:rPr>
        <w:t xml:space="preserve">(1), 479–501. </w:t>
      </w:r>
      <w:hyperlink r:id="rId237" w:history="1">
        <w:r w:rsidRPr="001B1244">
          <w:rPr>
            <w:rFonts w:ascii="Arial" w:hAnsi="Arial" w:cs="Arial"/>
            <w:color w:val="000000" w:themeColor="text1"/>
            <w:sz w:val="22"/>
            <w:szCs w:val="22"/>
            <w:u w:val="single"/>
          </w:rPr>
          <w:t>https://doi.org/10.1146/annurev.phyto.34.1.479</w:t>
        </w:r>
      </w:hyperlink>
    </w:p>
    <w:p w14:paraId="02009B8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Yu, Y., Xiang, Q., Manos, P. S., Soltis, D. E., Soltis, P. S., Song, B.-H., Cheng, S., Liu, X., &amp; Wong, G. (2017). Whole-genome duplication and molecular evolution in </w:t>
      </w:r>
      <w:r w:rsidRPr="001B1244">
        <w:rPr>
          <w:rFonts w:ascii="Arial" w:hAnsi="Arial" w:cs="Arial"/>
          <w:i/>
          <w:iCs/>
          <w:color w:val="000000" w:themeColor="text1"/>
          <w:sz w:val="22"/>
          <w:szCs w:val="22"/>
        </w:rPr>
        <w:t>Cornus</w:t>
      </w:r>
      <w:r w:rsidRPr="001B1244">
        <w:rPr>
          <w:rFonts w:ascii="Arial" w:hAnsi="Arial" w:cs="Arial"/>
          <w:color w:val="000000" w:themeColor="text1"/>
          <w:sz w:val="22"/>
          <w:szCs w:val="22"/>
        </w:rPr>
        <w:t xml:space="preserve"> L. (Cornaceae) – Insights from transcriptome sequences. </w:t>
      </w:r>
      <w:r w:rsidRPr="001B1244">
        <w:rPr>
          <w:rFonts w:ascii="Arial" w:hAnsi="Arial" w:cs="Arial"/>
          <w:i/>
          <w:color w:val="000000" w:themeColor="text1"/>
          <w:sz w:val="22"/>
          <w:szCs w:val="22"/>
        </w:rPr>
        <w:t>PLOS ONE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12</w:t>
      </w:r>
      <w:r w:rsidRPr="001B1244">
        <w:rPr>
          <w:rFonts w:ascii="Arial" w:hAnsi="Arial" w:cs="Arial"/>
          <w:color w:val="000000" w:themeColor="text1"/>
          <w:sz w:val="22"/>
          <w:szCs w:val="22"/>
        </w:rPr>
        <w:t xml:space="preserve">(2), e0171361. </w:t>
      </w:r>
      <w:hyperlink r:id="rId238" w:history="1">
        <w:r w:rsidRPr="001B1244">
          <w:rPr>
            <w:rFonts w:ascii="Arial" w:hAnsi="Arial" w:cs="Arial"/>
            <w:color w:val="000000" w:themeColor="text1"/>
            <w:sz w:val="22"/>
            <w:szCs w:val="22"/>
            <w:u w:val="single"/>
          </w:rPr>
          <w:t>https://doi.org/10.1371/journal.pone.0171361</w:t>
        </w:r>
      </w:hyperlink>
    </w:p>
    <w:p w14:paraId="6C5AA915"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Yuste-Lisbona, F. J., Capel, C., Sarria, E., Torreblanca, R., Gómez-Guillamón, M. L., Capel, J., Lozano, R., &amp; López-Sesé, A. I. (2011). Genetic linkage map of melon (</w:t>
      </w:r>
      <w:r w:rsidRPr="001B1244">
        <w:rPr>
          <w:rFonts w:ascii="Arial" w:hAnsi="Arial" w:cs="Arial"/>
          <w:i/>
          <w:iCs/>
          <w:color w:val="000000" w:themeColor="text1"/>
          <w:sz w:val="22"/>
          <w:szCs w:val="22"/>
        </w:rPr>
        <w:t>Cucumis melo</w:t>
      </w:r>
      <w:r w:rsidRPr="001B1244">
        <w:rPr>
          <w:rFonts w:ascii="Arial" w:hAnsi="Arial" w:cs="Arial"/>
          <w:color w:val="000000" w:themeColor="text1"/>
          <w:sz w:val="22"/>
          <w:szCs w:val="22"/>
        </w:rPr>
        <w:t xml:space="preserve"> L.) and localization of a major QTL for powdery mildew resistance. </w:t>
      </w:r>
      <w:r w:rsidRPr="001B1244">
        <w:rPr>
          <w:rFonts w:ascii="Arial" w:hAnsi="Arial" w:cs="Arial"/>
          <w:i/>
          <w:color w:val="000000" w:themeColor="text1"/>
          <w:sz w:val="22"/>
          <w:szCs w:val="22"/>
        </w:rPr>
        <w:t>Molecular Breeding</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27</w:t>
      </w:r>
      <w:r w:rsidRPr="001B1244">
        <w:rPr>
          <w:rFonts w:ascii="Arial" w:hAnsi="Arial" w:cs="Arial"/>
          <w:color w:val="000000" w:themeColor="text1"/>
          <w:sz w:val="22"/>
          <w:szCs w:val="22"/>
        </w:rPr>
        <w:t xml:space="preserve">(2), 181–192. </w:t>
      </w:r>
      <w:hyperlink r:id="rId239" w:history="1">
        <w:r w:rsidRPr="001B1244">
          <w:rPr>
            <w:rFonts w:ascii="Arial" w:hAnsi="Arial" w:cs="Arial"/>
            <w:color w:val="000000" w:themeColor="text1"/>
            <w:sz w:val="22"/>
            <w:szCs w:val="22"/>
            <w:u w:val="single"/>
          </w:rPr>
          <w:t>https://doi.org/10.1007/s11032-010-9421-5</w:t>
        </w:r>
      </w:hyperlink>
    </w:p>
    <w:p w14:paraId="6D15892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Zeng, Y., &amp; Yang, T. (2002). RNA isolation from highly viscous samples rich in polyphenols and polysaccharides. </w:t>
      </w:r>
      <w:r w:rsidRPr="001B1244">
        <w:rPr>
          <w:rFonts w:ascii="Arial" w:hAnsi="Arial" w:cs="Arial"/>
          <w:i/>
          <w:color w:val="000000" w:themeColor="text1"/>
          <w:sz w:val="22"/>
          <w:szCs w:val="22"/>
        </w:rPr>
        <w:t>Plant Molecular Biology Reporter</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20</w:t>
      </w:r>
      <w:r w:rsidRPr="001B1244">
        <w:rPr>
          <w:rFonts w:ascii="Arial" w:hAnsi="Arial" w:cs="Arial"/>
          <w:color w:val="000000" w:themeColor="text1"/>
          <w:sz w:val="22"/>
          <w:szCs w:val="22"/>
        </w:rPr>
        <w:t xml:space="preserve">(4), </w:t>
      </w:r>
      <w:proofErr w:type="gramStart"/>
      <w:r w:rsidRPr="001B1244">
        <w:rPr>
          <w:rFonts w:ascii="Arial" w:hAnsi="Arial" w:cs="Arial"/>
          <w:color w:val="000000" w:themeColor="text1"/>
          <w:sz w:val="22"/>
          <w:szCs w:val="22"/>
        </w:rPr>
        <w:t>417</w:t>
      </w:r>
      <w:proofErr w:type="gramEnd"/>
      <w:r w:rsidRPr="001B1244">
        <w:rPr>
          <w:rFonts w:ascii="Arial" w:hAnsi="Arial" w:cs="Arial"/>
          <w:color w:val="000000" w:themeColor="text1"/>
          <w:sz w:val="22"/>
          <w:szCs w:val="22"/>
        </w:rPr>
        <w:t xml:space="preserve">–417. </w:t>
      </w:r>
      <w:hyperlink r:id="rId240" w:history="1">
        <w:r w:rsidRPr="001B1244">
          <w:rPr>
            <w:rFonts w:ascii="Arial" w:hAnsi="Arial" w:cs="Arial"/>
            <w:color w:val="000000" w:themeColor="text1"/>
            <w:sz w:val="22"/>
            <w:szCs w:val="22"/>
            <w:u w:val="single"/>
          </w:rPr>
          <w:t>https://doi.org/10.1007/BF02772130</w:t>
        </w:r>
      </w:hyperlink>
    </w:p>
    <w:p w14:paraId="6E3CB8E5" w14:textId="77777777" w:rsidR="00B51BF9" w:rsidRPr="001B1244" w:rsidRDefault="00B51BF9" w:rsidP="00C312F7">
      <w:pPr>
        <w:spacing w:line="360" w:lineRule="auto"/>
        <w:ind w:left="480" w:hanging="480"/>
        <w:rPr>
          <w:rFonts w:ascii="Arial" w:hAnsi="Arial" w:cs="Arial"/>
          <w:color w:val="000000" w:themeColor="text1"/>
          <w:sz w:val="22"/>
          <w:szCs w:val="22"/>
          <w:shd w:val="clear" w:color="auto" w:fill="FFFFFF"/>
        </w:rPr>
      </w:pPr>
      <w:r w:rsidRPr="001B1244">
        <w:rPr>
          <w:rFonts w:ascii="Arial" w:hAnsi="Arial" w:cs="Arial"/>
          <w:color w:val="000000" w:themeColor="text1"/>
          <w:sz w:val="22"/>
          <w:szCs w:val="22"/>
          <w:shd w:val="clear" w:color="auto" w:fill="FFFFFF"/>
        </w:rPr>
        <w:t>Zeyen, R. J., Carver, T. L. W., &amp; Lyngkjær, M. F. (2002). Epidermal cell papillae.</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The powdery mildews: a comprehensive treatise</w:t>
      </w:r>
      <w:r w:rsidRPr="001B1244">
        <w:rPr>
          <w:rFonts w:ascii="Arial" w:hAnsi="Arial" w:cs="Arial"/>
          <w:color w:val="000000" w:themeColor="text1"/>
          <w:sz w:val="22"/>
          <w:szCs w:val="22"/>
          <w:shd w:val="clear" w:color="auto" w:fill="FFFFFF"/>
        </w:rPr>
        <w:t>, 107-125.</w:t>
      </w:r>
    </w:p>
    <w:p w14:paraId="2A8E2DE4"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Zhang, B., &amp; Horvath, S. (2005). A general framework for weighted </w:t>
      </w:r>
      <w:proofErr w:type="gramStart"/>
      <w:r w:rsidRPr="001B1244">
        <w:rPr>
          <w:rFonts w:ascii="Arial" w:hAnsi="Arial" w:cs="Arial"/>
          <w:color w:val="000000" w:themeColor="text1"/>
          <w:sz w:val="22"/>
          <w:szCs w:val="22"/>
          <w:shd w:val="clear" w:color="auto" w:fill="FFFFFF"/>
        </w:rPr>
        <w:t>gene co-expression network analysis</w:t>
      </w:r>
      <w:proofErr w:type="gramEnd"/>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Statistical applications in genetics and molecular biology</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4</w:t>
      </w:r>
      <w:r w:rsidRPr="001B1244">
        <w:rPr>
          <w:rFonts w:ascii="Arial" w:hAnsi="Arial" w:cs="Arial"/>
          <w:color w:val="000000" w:themeColor="text1"/>
          <w:sz w:val="22"/>
          <w:szCs w:val="22"/>
          <w:shd w:val="clear" w:color="auto" w:fill="FFFFFF"/>
        </w:rPr>
        <w:t>(1).</w:t>
      </w:r>
    </w:p>
    <w:p w14:paraId="2B8351AE"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lastRenderedPageBreak/>
        <w:t xml:space="preserve">Zhang, J., Yang, J., Zhang, L., Luo, J., Zhao, H., Zhang, J., &amp; Wen, C. (2020). A new SNP genotyping technology Target SNP-seq and its application in genetic analysis of cucumber varieties. </w:t>
      </w:r>
      <w:r w:rsidRPr="001B1244">
        <w:rPr>
          <w:rFonts w:ascii="Arial" w:hAnsi="Arial" w:cs="Arial"/>
          <w:i/>
          <w:iCs/>
          <w:color w:val="000000" w:themeColor="text1"/>
          <w:sz w:val="22"/>
          <w:szCs w:val="22"/>
        </w:rPr>
        <w:t>Scientific Reports</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10</w:t>
      </w:r>
      <w:r w:rsidRPr="001B1244">
        <w:rPr>
          <w:rFonts w:ascii="Arial" w:hAnsi="Arial" w:cs="Arial"/>
          <w:color w:val="000000" w:themeColor="text1"/>
          <w:sz w:val="22"/>
          <w:szCs w:val="22"/>
        </w:rPr>
        <w:t xml:space="preserve">(1), 5623. </w:t>
      </w:r>
      <w:hyperlink r:id="rId241" w:history="1">
        <w:r w:rsidRPr="001B1244">
          <w:rPr>
            <w:rFonts w:ascii="Arial" w:hAnsi="Arial" w:cs="Arial"/>
            <w:color w:val="000000" w:themeColor="text1"/>
            <w:sz w:val="22"/>
            <w:szCs w:val="22"/>
            <w:u w:val="single"/>
          </w:rPr>
          <w:t>https://doi.org/10.1038/s41598-020-62518-6</w:t>
        </w:r>
      </w:hyperlink>
    </w:p>
    <w:p w14:paraId="67E14F7C"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Zhang, P., Wang, R., Ju, Q., Li, W., Tran, L.-S. P., &amp; Xu, J. (2019). The R2R3-MYB Transcription Factor MYB49 Regulates Cadmium Accumulation.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180</w:t>
      </w:r>
      <w:r w:rsidRPr="001B1244">
        <w:rPr>
          <w:rFonts w:ascii="Arial" w:hAnsi="Arial" w:cs="Arial"/>
          <w:color w:val="000000" w:themeColor="text1"/>
          <w:sz w:val="22"/>
          <w:szCs w:val="22"/>
        </w:rPr>
        <w:t xml:space="preserve">(1), 529–542. </w:t>
      </w:r>
      <w:hyperlink r:id="rId242" w:history="1">
        <w:r w:rsidRPr="001B1244">
          <w:rPr>
            <w:rFonts w:ascii="Arial" w:hAnsi="Arial" w:cs="Arial"/>
            <w:color w:val="000000" w:themeColor="text1"/>
            <w:sz w:val="22"/>
            <w:szCs w:val="22"/>
            <w:u w:val="single"/>
          </w:rPr>
          <w:t>https://doi.org/10.1104/pp.18.01380</w:t>
        </w:r>
      </w:hyperlink>
    </w:p>
    <w:p w14:paraId="49B328A1"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 xml:space="preserve">Zhang, S., Bian, Y., Chen, A., Zheng, H., </w:t>
      </w:r>
      <w:proofErr w:type="gramStart"/>
      <w:r w:rsidRPr="001B1244">
        <w:rPr>
          <w:rFonts w:ascii="Arial" w:hAnsi="Arial" w:cs="Arial"/>
          <w:color w:val="000000" w:themeColor="text1"/>
          <w:sz w:val="22"/>
          <w:szCs w:val="22"/>
          <w:shd w:val="clear" w:color="auto" w:fill="FFFFFF"/>
        </w:rPr>
        <w:t>Gao</w:t>
      </w:r>
      <w:proofErr w:type="gramEnd"/>
      <w:r w:rsidRPr="001B1244">
        <w:rPr>
          <w:rFonts w:ascii="Arial" w:hAnsi="Arial" w:cs="Arial"/>
          <w:color w:val="000000" w:themeColor="text1"/>
          <w:sz w:val="22"/>
          <w:szCs w:val="22"/>
          <w:shd w:val="clear" w:color="auto" w:fill="FFFFFF"/>
        </w:rPr>
        <w:t>, Y., Hou, Y., &amp; Li, C. (2017). Developmental validation of a custom panel including 273 SNPs for forensic application using Ion Torrent PGM.</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Forensic Science International: Genetics</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27</w:t>
      </w:r>
      <w:r w:rsidRPr="001B1244">
        <w:rPr>
          <w:rFonts w:ascii="Arial" w:hAnsi="Arial" w:cs="Arial"/>
          <w:color w:val="000000" w:themeColor="text1"/>
          <w:sz w:val="22"/>
          <w:szCs w:val="22"/>
          <w:shd w:val="clear" w:color="auto" w:fill="FFFFFF"/>
        </w:rPr>
        <w:t>, 50-57.</w:t>
      </w:r>
    </w:p>
    <w:p w14:paraId="792A877F"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Zhang, Q., Chen, W., Sun, L., Zhao, F., Huang, B., Yang, W., Tao, Y., Wang, J., Yuan, Z., Fan, G., Xing, Z., Han, C., Pan, H., Zhong, X., Shi, W., Liang, X., Du, D., Sun, F., Xu, Z., … Wang, J. (2012). The genome of </w:t>
      </w:r>
      <w:r w:rsidRPr="001B1244">
        <w:rPr>
          <w:rFonts w:ascii="Arial" w:hAnsi="Arial" w:cs="Arial"/>
          <w:i/>
          <w:iCs/>
          <w:color w:val="000000" w:themeColor="text1"/>
          <w:sz w:val="22"/>
          <w:szCs w:val="22"/>
        </w:rPr>
        <w:t>Prunus mume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Nature Communications</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3</w:t>
      </w:r>
      <w:r w:rsidRPr="001B1244">
        <w:rPr>
          <w:rFonts w:ascii="Arial" w:hAnsi="Arial" w:cs="Arial"/>
          <w:color w:val="000000" w:themeColor="text1"/>
          <w:sz w:val="22"/>
          <w:szCs w:val="22"/>
        </w:rPr>
        <w:t xml:space="preserve">(1), 1318. </w:t>
      </w:r>
      <w:hyperlink r:id="rId243" w:history="1">
        <w:r w:rsidRPr="001B1244">
          <w:rPr>
            <w:rFonts w:ascii="Arial" w:hAnsi="Arial" w:cs="Arial"/>
            <w:color w:val="000000" w:themeColor="text1"/>
            <w:sz w:val="22"/>
            <w:szCs w:val="22"/>
            <w:u w:val="single"/>
          </w:rPr>
          <w:t>https://doi.org/10.1038/ncomms2290</w:t>
        </w:r>
      </w:hyperlink>
    </w:p>
    <w:p w14:paraId="6F9CF94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Zhang, Q., Hao, R., Xu, Z., Yang, W., Wang, J., Cheng, T., Pan, H., &amp; Zhang, Q. (2017). Isolation and functional characterization of a R2R3-MYB regulator of </w:t>
      </w:r>
      <w:r w:rsidRPr="001B1244">
        <w:rPr>
          <w:rFonts w:ascii="Arial" w:hAnsi="Arial" w:cs="Arial"/>
          <w:i/>
          <w:iCs/>
          <w:color w:val="000000" w:themeColor="text1"/>
          <w:sz w:val="22"/>
          <w:szCs w:val="22"/>
        </w:rPr>
        <w:t>Prunus mume</w:t>
      </w:r>
      <w:r w:rsidRPr="001B1244">
        <w:rPr>
          <w:rFonts w:ascii="Arial" w:hAnsi="Arial" w:cs="Arial"/>
          <w:color w:val="000000" w:themeColor="text1"/>
          <w:sz w:val="22"/>
          <w:szCs w:val="22"/>
        </w:rPr>
        <w:t xml:space="preserve"> anthocyanin biosynthetic pathway. </w:t>
      </w:r>
      <w:r w:rsidRPr="001B1244">
        <w:rPr>
          <w:rFonts w:ascii="Arial" w:hAnsi="Arial" w:cs="Arial"/>
          <w:i/>
          <w:color w:val="000000" w:themeColor="text1"/>
          <w:sz w:val="22"/>
          <w:szCs w:val="22"/>
        </w:rPr>
        <w:t>Plant Cell, Tissue and Organ Culture (PCTOC)</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131</w:t>
      </w:r>
      <w:r w:rsidRPr="001B1244">
        <w:rPr>
          <w:rFonts w:ascii="Arial" w:hAnsi="Arial" w:cs="Arial"/>
          <w:color w:val="000000" w:themeColor="text1"/>
          <w:sz w:val="22"/>
          <w:szCs w:val="22"/>
        </w:rPr>
        <w:t xml:space="preserve">(3), 417–429. </w:t>
      </w:r>
      <w:hyperlink r:id="rId244" w:history="1">
        <w:r w:rsidRPr="001B1244">
          <w:rPr>
            <w:rFonts w:ascii="Arial" w:hAnsi="Arial" w:cs="Arial"/>
            <w:color w:val="000000" w:themeColor="text1"/>
            <w:sz w:val="22"/>
            <w:szCs w:val="22"/>
            <w:u w:val="single"/>
          </w:rPr>
          <w:t>https://doi.org/10.1007/s11240-017-1294-4</w:t>
        </w:r>
      </w:hyperlink>
    </w:p>
    <w:p w14:paraId="74136F5B"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Zhang, Y., Butelli, E., &amp; Martin, C. (2014). Engineering anthocyanin biosynthesis in plants. </w:t>
      </w:r>
      <w:r w:rsidRPr="001B1244">
        <w:rPr>
          <w:rFonts w:ascii="Arial" w:hAnsi="Arial" w:cs="Arial"/>
          <w:i/>
          <w:color w:val="000000" w:themeColor="text1"/>
          <w:sz w:val="22"/>
          <w:szCs w:val="22"/>
        </w:rPr>
        <w:t>Current Opinion in Plant Biology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19</w:t>
      </w:r>
      <w:r w:rsidRPr="001B1244">
        <w:rPr>
          <w:rFonts w:ascii="Arial" w:hAnsi="Arial" w:cs="Arial"/>
          <w:color w:val="000000" w:themeColor="text1"/>
          <w:sz w:val="22"/>
          <w:szCs w:val="22"/>
        </w:rPr>
        <w:t xml:space="preserve">, 81–90. </w:t>
      </w:r>
      <w:hyperlink r:id="rId245" w:history="1">
        <w:r w:rsidRPr="001B1244">
          <w:rPr>
            <w:rFonts w:ascii="Arial" w:hAnsi="Arial" w:cs="Arial"/>
            <w:color w:val="000000" w:themeColor="text1"/>
            <w:sz w:val="22"/>
            <w:szCs w:val="22"/>
            <w:u w:val="single"/>
          </w:rPr>
          <w:t>https://doi.org/10.1016/j.pbi.2014.05.011</w:t>
        </w:r>
      </w:hyperlink>
    </w:p>
    <w:p w14:paraId="28A3E52E" w14:textId="2870CDFE"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Zhang, Y., Hu, Z., Chu, G., Huang, C., Tian, S., Zhao, Z., &amp; Chen, G. (2014). Anthocyanin Accumulation and Molecular Analysis of Anthocyanin Biosynthesis-Associated Genes in Eggplant (</w:t>
      </w:r>
      <w:r w:rsidRPr="001B1244">
        <w:rPr>
          <w:rFonts w:ascii="Arial" w:hAnsi="Arial" w:cs="Arial"/>
          <w:i/>
          <w:color w:val="000000" w:themeColor="text1"/>
          <w:sz w:val="22"/>
          <w:szCs w:val="22"/>
        </w:rPr>
        <w:t>Solanum melongena</w:t>
      </w:r>
      <w:r w:rsidRPr="001B1244">
        <w:rPr>
          <w:rFonts w:ascii="Arial" w:hAnsi="Arial" w:cs="Arial"/>
          <w:color w:val="000000" w:themeColor="text1"/>
          <w:sz w:val="22"/>
          <w:szCs w:val="22"/>
        </w:rPr>
        <w:t xml:space="preserve"> L.). </w:t>
      </w:r>
      <w:r w:rsidRPr="001B1244">
        <w:rPr>
          <w:rFonts w:ascii="Arial" w:hAnsi="Arial" w:cs="Arial"/>
          <w:i/>
          <w:color w:val="000000" w:themeColor="text1"/>
          <w:sz w:val="22"/>
          <w:szCs w:val="22"/>
        </w:rPr>
        <w:t>Journal of Agricultural and Food Chemistry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62</w:t>
      </w:r>
      <w:r w:rsidRPr="001B1244">
        <w:rPr>
          <w:rFonts w:ascii="Arial" w:hAnsi="Arial" w:cs="Arial"/>
          <w:color w:val="000000" w:themeColor="text1"/>
          <w:sz w:val="22"/>
          <w:szCs w:val="22"/>
        </w:rPr>
        <w:t xml:space="preserve">(13), 2906–2912. </w:t>
      </w:r>
      <w:hyperlink r:id="rId246" w:history="1">
        <w:r w:rsidRPr="001B1244">
          <w:rPr>
            <w:rFonts w:ascii="Arial" w:hAnsi="Arial" w:cs="Arial"/>
            <w:color w:val="000000" w:themeColor="text1"/>
            <w:sz w:val="22"/>
            <w:szCs w:val="22"/>
            <w:u w:val="single"/>
          </w:rPr>
          <w:t>https://doi.org/10.1021/jf404574c</w:t>
        </w:r>
      </w:hyperlink>
    </w:p>
    <w:p w14:paraId="0A9B46B8" w14:textId="34146E2E" w:rsidR="00D23F78" w:rsidRPr="001B1244" w:rsidRDefault="00D23F78" w:rsidP="00C312F7">
      <w:pPr>
        <w:spacing w:line="360" w:lineRule="auto"/>
        <w:ind w:left="480" w:hanging="480"/>
        <w:rPr>
          <w:rFonts w:ascii="Arial" w:hAnsi="Arial" w:cs="Arial"/>
          <w:color w:val="000000" w:themeColor="text1"/>
          <w:sz w:val="22"/>
          <w:szCs w:val="22"/>
        </w:rPr>
      </w:pPr>
      <w:r w:rsidRPr="001B1244">
        <w:rPr>
          <w:rFonts w:ascii="Arial" w:hAnsi="Arial" w:cs="Arial"/>
          <w:color w:val="222222"/>
          <w:sz w:val="22"/>
          <w:szCs w:val="22"/>
          <w:shd w:val="clear" w:color="auto" w:fill="FFFFFF"/>
        </w:rPr>
        <w:t>Zhao, J., Pang, Y., &amp; Dixon, R. A. (2010). The mysteries of proanthocyanidin transport and polymerization.</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Plant physiology</w:t>
      </w:r>
      <w:r w:rsidRPr="001B1244">
        <w:rPr>
          <w:rFonts w:ascii="Arial" w:hAnsi="Arial" w:cs="Arial"/>
          <w:color w:val="222222"/>
          <w:sz w:val="22"/>
          <w:szCs w:val="22"/>
          <w:shd w:val="clear" w:color="auto" w:fill="FFFFFF"/>
        </w:rPr>
        <w:t>,</w:t>
      </w:r>
      <w:r w:rsidRPr="001B1244">
        <w:rPr>
          <w:rStyle w:val="apple-converted-space"/>
          <w:rFonts w:ascii="Arial" w:eastAsiaTheme="majorEastAsia" w:hAnsi="Arial" w:cs="Arial"/>
          <w:color w:val="222222"/>
          <w:sz w:val="22"/>
          <w:szCs w:val="22"/>
          <w:shd w:val="clear" w:color="auto" w:fill="FFFFFF"/>
        </w:rPr>
        <w:t> </w:t>
      </w:r>
      <w:r w:rsidRPr="001B1244">
        <w:rPr>
          <w:rFonts w:ascii="Arial" w:hAnsi="Arial" w:cs="Arial"/>
          <w:i/>
          <w:iCs/>
          <w:color w:val="222222"/>
          <w:sz w:val="22"/>
          <w:szCs w:val="22"/>
        </w:rPr>
        <w:t>153</w:t>
      </w:r>
      <w:r w:rsidRPr="001B1244">
        <w:rPr>
          <w:rFonts w:ascii="Arial" w:hAnsi="Arial" w:cs="Arial"/>
          <w:color w:val="222222"/>
          <w:sz w:val="22"/>
          <w:szCs w:val="22"/>
          <w:shd w:val="clear" w:color="auto" w:fill="FFFFFF"/>
        </w:rPr>
        <w:t>(2), 437-443.</w:t>
      </w:r>
    </w:p>
    <w:p w14:paraId="329BD793"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Zhao, Y., Cheng, X., Liu, X., Wu, H., Bi, H., &amp; Xu, H. (2018). The Wheat MYB Transcription Factor TaMYB31 Is Involved in Drought Stress Responses in Arabidopsis. </w:t>
      </w:r>
      <w:r w:rsidRPr="001B1244">
        <w:rPr>
          <w:rFonts w:ascii="Arial" w:hAnsi="Arial" w:cs="Arial"/>
          <w:i/>
          <w:color w:val="000000" w:themeColor="text1"/>
          <w:sz w:val="22"/>
          <w:szCs w:val="22"/>
        </w:rPr>
        <w:t>Frontiers in Plant Science</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9</w:t>
      </w:r>
      <w:r w:rsidRPr="001B1244">
        <w:rPr>
          <w:rFonts w:ascii="Arial" w:hAnsi="Arial" w:cs="Arial"/>
          <w:color w:val="000000" w:themeColor="text1"/>
          <w:sz w:val="22"/>
          <w:szCs w:val="22"/>
        </w:rPr>
        <w:t xml:space="preserve">, 1426. </w:t>
      </w:r>
      <w:hyperlink r:id="rId247" w:history="1">
        <w:r w:rsidRPr="001B1244">
          <w:rPr>
            <w:rFonts w:ascii="Arial" w:hAnsi="Arial" w:cs="Arial"/>
            <w:color w:val="000000" w:themeColor="text1"/>
            <w:sz w:val="22"/>
            <w:szCs w:val="22"/>
            <w:u w:val="single"/>
          </w:rPr>
          <w:t>https://doi.org/10.3389/fpls.2018.01426</w:t>
        </w:r>
      </w:hyperlink>
    </w:p>
    <w:p w14:paraId="1FA9EF48"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Zheng, T., Li, P., Li, L., &amp; Zhang, Q. (2021). Research advances in and prospects of ornamental plant genomics. </w:t>
      </w:r>
      <w:r w:rsidRPr="001B1244">
        <w:rPr>
          <w:rFonts w:ascii="Arial" w:hAnsi="Arial" w:cs="Arial"/>
          <w:i/>
          <w:color w:val="000000" w:themeColor="text1"/>
          <w:sz w:val="22"/>
          <w:szCs w:val="22"/>
        </w:rPr>
        <w:t>Horticulture Research</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8</w:t>
      </w:r>
      <w:r w:rsidRPr="001B1244">
        <w:rPr>
          <w:rFonts w:ascii="Arial" w:hAnsi="Arial" w:cs="Arial"/>
          <w:color w:val="000000" w:themeColor="text1"/>
          <w:sz w:val="22"/>
          <w:szCs w:val="22"/>
        </w:rPr>
        <w:t xml:space="preserve">(1), 65. </w:t>
      </w:r>
      <w:hyperlink r:id="rId248" w:history="1">
        <w:r w:rsidRPr="001B1244">
          <w:rPr>
            <w:rFonts w:ascii="Arial" w:hAnsi="Arial" w:cs="Arial"/>
            <w:color w:val="000000" w:themeColor="text1"/>
            <w:sz w:val="22"/>
            <w:szCs w:val="22"/>
            <w:u w:val="single"/>
          </w:rPr>
          <w:t>https://doi.org/10.1038/s41438-021-00499-x</w:t>
        </w:r>
      </w:hyperlink>
    </w:p>
    <w:p w14:paraId="554D5E91" w14:textId="77777777" w:rsidR="00B51BF9" w:rsidRPr="001B1244" w:rsidRDefault="00B51BF9" w:rsidP="00C312F7">
      <w:pPr>
        <w:spacing w:line="360" w:lineRule="auto"/>
        <w:ind w:left="480" w:hanging="480"/>
        <w:rPr>
          <w:rFonts w:ascii="Arial" w:hAnsi="Arial" w:cs="Arial"/>
          <w:color w:val="000000" w:themeColor="text1"/>
          <w:sz w:val="22"/>
          <w:szCs w:val="22"/>
          <w:u w:val="single"/>
        </w:rPr>
      </w:pPr>
      <w:r w:rsidRPr="001B1244">
        <w:rPr>
          <w:rFonts w:ascii="Arial" w:hAnsi="Arial" w:cs="Arial"/>
          <w:color w:val="000000" w:themeColor="text1"/>
          <w:sz w:val="22"/>
          <w:szCs w:val="22"/>
        </w:rPr>
        <w:t xml:space="preserve">Zheng, Z., Nonomura, T., Appiano, M., Pavan, S., Matsuda, Y., Toyoda, H., Wolters, A.-M. A., Visser, R. G. F., &amp; Bai, Y. (2013). Loss of Function in Mlo Orthologs Reduces Susceptibility </w:t>
      </w:r>
      <w:r w:rsidRPr="001B1244">
        <w:rPr>
          <w:rFonts w:ascii="Arial" w:hAnsi="Arial" w:cs="Arial"/>
          <w:color w:val="000000" w:themeColor="text1"/>
          <w:sz w:val="22"/>
          <w:szCs w:val="22"/>
        </w:rPr>
        <w:lastRenderedPageBreak/>
        <w:t xml:space="preserve">of Pepper and Tomato to Powdery Mildew Disease Caused by </w:t>
      </w:r>
      <w:r w:rsidRPr="001B1244">
        <w:rPr>
          <w:rFonts w:ascii="Arial" w:hAnsi="Arial" w:cs="Arial"/>
          <w:i/>
          <w:iCs/>
          <w:color w:val="000000" w:themeColor="text1"/>
          <w:sz w:val="22"/>
          <w:szCs w:val="22"/>
        </w:rPr>
        <w:t>Leveillula taurica</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PLoS ONE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8</w:t>
      </w:r>
      <w:r w:rsidRPr="001B1244">
        <w:rPr>
          <w:rFonts w:ascii="Arial" w:hAnsi="Arial" w:cs="Arial"/>
          <w:color w:val="000000" w:themeColor="text1"/>
          <w:sz w:val="22"/>
          <w:szCs w:val="22"/>
        </w:rPr>
        <w:t xml:space="preserve">(7), e70723. </w:t>
      </w:r>
      <w:hyperlink r:id="rId249" w:history="1">
        <w:r w:rsidRPr="001B1244">
          <w:rPr>
            <w:rFonts w:ascii="Arial" w:hAnsi="Arial" w:cs="Arial"/>
            <w:color w:val="000000" w:themeColor="text1"/>
            <w:sz w:val="22"/>
            <w:szCs w:val="22"/>
            <w:u w:val="single"/>
          </w:rPr>
          <w:t>https://doi.org/10.1371/journal.pone.0070723</w:t>
        </w:r>
      </w:hyperlink>
    </w:p>
    <w:p w14:paraId="1431D079"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shd w:val="clear" w:color="auto" w:fill="FFFFFF"/>
        </w:rPr>
        <w:t>Zhou, H., Peng, Q., Zhao, J., Owiti, A., Ren, F., Liao, L</w:t>
      </w:r>
      <w:proofErr w:type="gramStart"/>
      <w:r w:rsidRPr="001B1244">
        <w:rPr>
          <w:rFonts w:ascii="Arial" w:hAnsi="Arial" w:cs="Arial"/>
          <w:color w:val="000000" w:themeColor="text1"/>
          <w:sz w:val="22"/>
          <w:szCs w:val="22"/>
          <w:shd w:val="clear" w:color="auto" w:fill="FFFFFF"/>
        </w:rPr>
        <w:t>., ...</w:t>
      </w:r>
      <w:proofErr w:type="gramEnd"/>
      <w:r w:rsidRPr="001B1244">
        <w:rPr>
          <w:rFonts w:ascii="Arial" w:hAnsi="Arial" w:cs="Arial"/>
          <w:color w:val="000000" w:themeColor="text1"/>
          <w:sz w:val="22"/>
          <w:szCs w:val="22"/>
          <w:shd w:val="clear" w:color="auto" w:fill="FFFFFF"/>
        </w:rPr>
        <w:t xml:space="preserve"> &amp; Han, Y. (2016). Multiple R2R3-MYB transcription factors involved in the regulation of anthocyanin accumulation in peach flower.</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Frontiers in plant science</w:t>
      </w:r>
      <w:r w:rsidRPr="001B1244">
        <w:rPr>
          <w:rFonts w:ascii="Arial" w:hAnsi="Arial" w:cs="Arial"/>
          <w:color w:val="000000" w:themeColor="text1"/>
          <w:sz w:val="22"/>
          <w:szCs w:val="22"/>
          <w:shd w:val="clear" w:color="auto" w:fill="FFFFFF"/>
        </w:rPr>
        <w:t>,</w:t>
      </w:r>
      <w:r w:rsidRPr="001B1244">
        <w:rPr>
          <w:rStyle w:val="apple-converted-space"/>
          <w:rFonts w:ascii="Arial" w:eastAsiaTheme="majorEastAsia" w:hAnsi="Arial" w:cs="Arial"/>
          <w:color w:val="000000" w:themeColor="text1"/>
          <w:sz w:val="22"/>
          <w:szCs w:val="22"/>
          <w:shd w:val="clear" w:color="auto" w:fill="FFFFFF"/>
        </w:rPr>
        <w:t> </w:t>
      </w:r>
      <w:r w:rsidRPr="001B1244">
        <w:rPr>
          <w:rFonts w:ascii="Arial" w:hAnsi="Arial" w:cs="Arial"/>
          <w:i/>
          <w:iCs/>
          <w:color w:val="000000" w:themeColor="text1"/>
          <w:sz w:val="22"/>
          <w:szCs w:val="22"/>
        </w:rPr>
        <w:t>7</w:t>
      </w:r>
      <w:r w:rsidRPr="001B1244">
        <w:rPr>
          <w:rFonts w:ascii="Arial" w:hAnsi="Arial" w:cs="Arial"/>
          <w:color w:val="000000" w:themeColor="text1"/>
          <w:sz w:val="22"/>
          <w:szCs w:val="22"/>
          <w:shd w:val="clear" w:color="auto" w:fill="FFFFFF"/>
        </w:rPr>
        <w:t>, 1557</w:t>
      </w:r>
    </w:p>
    <w:p w14:paraId="561765BB" w14:textId="77777777"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Zhou, M., Zhang, K., Sun, Z., Yan, M., Chen, C., Zhang, X., Tang, Y., &amp; Wu, Y. (2017). LNK1 and LNK2 Corepressors Interact with the MYB3 Transcription Factor in Phenylpropanoid Biosynthesis. </w:t>
      </w:r>
      <w:r w:rsidRPr="001B1244">
        <w:rPr>
          <w:rFonts w:ascii="Arial" w:hAnsi="Arial" w:cs="Arial"/>
          <w:i/>
          <w:color w:val="000000" w:themeColor="text1"/>
          <w:sz w:val="22"/>
          <w:szCs w:val="22"/>
        </w:rPr>
        <w:t>Plant Physiology</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174</w:t>
      </w:r>
      <w:r w:rsidRPr="001B1244">
        <w:rPr>
          <w:rFonts w:ascii="Arial" w:hAnsi="Arial" w:cs="Arial"/>
          <w:color w:val="000000" w:themeColor="text1"/>
          <w:sz w:val="22"/>
          <w:szCs w:val="22"/>
        </w:rPr>
        <w:t xml:space="preserve">(3), 1348–1358. </w:t>
      </w:r>
      <w:hyperlink r:id="rId250" w:history="1">
        <w:r w:rsidRPr="001B1244">
          <w:rPr>
            <w:rFonts w:ascii="Arial" w:hAnsi="Arial" w:cs="Arial"/>
            <w:color w:val="000000" w:themeColor="text1"/>
            <w:sz w:val="22"/>
            <w:szCs w:val="22"/>
            <w:u w:val="single"/>
          </w:rPr>
          <w:t>https://doi.org/10.1104/pp.17.00160</w:t>
        </w:r>
      </w:hyperlink>
    </w:p>
    <w:p w14:paraId="5AA6A47A" w14:textId="10A96F80" w:rsidR="00B51BF9" w:rsidRPr="001B1244" w:rsidRDefault="00B51BF9" w:rsidP="00C312F7">
      <w:pPr>
        <w:spacing w:line="360" w:lineRule="auto"/>
        <w:ind w:left="480" w:hanging="480"/>
        <w:rPr>
          <w:rFonts w:ascii="Arial" w:hAnsi="Arial" w:cs="Arial"/>
          <w:color w:val="000000" w:themeColor="text1"/>
          <w:sz w:val="22"/>
          <w:szCs w:val="22"/>
        </w:rPr>
      </w:pPr>
      <w:r w:rsidRPr="001B1244">
        <w:rPr>
          <w:rFonts w:ascii="Arial" w:hAnsi="Arial" w:cs="Arial"/>
          <w:color w:val="000000" w:themeColor="text1"/>
          <w:sz w:val="22"/>
          <w:szCs w:val="22"/>
        </w:rPr>
        <w:t xml:space="preserve">Song, A., &amp; Chen, F. (2013). The Heterologous Expression of the Chrysanthemum R2R3-MYB Transcription Factor CmMYB1 Alters Lignin Composition and Represses Flavonoid Synthesis in Arabidopsis thaliana. </w:t>
      </w:r>
      <w:r w:rsidRPr="001B1244">
        <w:rPr>
          <w:rFonts w:ascii="Arial" w:hAnsi="Arial" w:cs="Arial"/>
          <w:i/>
          <w:iCs/>
          <w:color w:val="000000" w:themeColor="text1"/>
          <w:sz w:val="22"/>
          <w:szCs w:val="22"/>
        </w:rPr>
        <w:t>PLoS ONE</w:t>
      </w:r>
      <w:r w:rsidRPr="001B1244">
        <w:rPr>
          <w:rFonts w:ascii="Arial" w:hAnsi="Arial" w:cs="Arial"/>
          <w:color w:val="000000" w:themeColor="text1"/>
          <w:sz w:val="22"/>
          <w:szCs w:val="22"/>
        </w:rPr>
        <w:t xml:space="preserve">, </w:t>
      </w:r>
      <w:r w:rsidRPr="001B1244">
        <w:rPr>
          <w:rFonts w:ascii="Arial" w:hAnsi="Arial" w:cs="Arial"/>
          <w:i/>
          <w:iCs/>
          <w:color w:val="000000" w:themeColor="text1"/>
          <w:sz w:val="22"/>
          <w:szCs w:val="22"/>
        </w:rPr>
        <w:t>8</w:t>
      </w:r>
      <w:r w:rsidRPr="001B1244">
        <w:rPr>
          <w:rFonts w:ascii="Arial" w:hAnsi="Arial" w:cs="Arial"/>
          <w:color w:val="000000" w:themeColor="text1"/>
          <w:sz w:val="22"/>
          <w:szCs w:val="22"/>
        </w:rPr>
        <w:t>(6),</w:t>
      </w:r>
      <w:r w:rsidR="00794BA6" w:rsidRPr="001B1244">
        <w:rPr>
          <w:rFonts w:ascii="Arial" w:hAnsi="Arial" w:cs="Arial"/>
          <w:color w:val="000000" w:themeColor="text1"/>
          <w:sz w:val="22"/>
          <w:szCs w:val="22"/>
        </w:rPr>
        <w:t xml:space="preserve"> </w:t>
      </w:r>
      <w:r w:rsidRPr="001B1244">
        <w:rPr>
          <w:rFonts w:ascii="Arial" w:hAnsi="Arial" w:cs="Arial"/>
          <w:color w:val="000000" w:themeColor="text1"/>
          <w:sz w:val="22"/>
          <w:szCs w:val="22"/>
        </w:rPr>
        <w:t>e65680</w:t>
      </w:r>
      <w:hyperlink r:id="rId251" w:history="1">
        <w:r w:rsidRPr="001B1244">
          <w:rPr>
            <w:rStyle w:val="Hyperlink"/>
            <w:rFonts w:ascii="Arial" w:eastAsiaTheme="majorEastAsia" w:hAnsi="Arial" w:cs="Arial"/>
            <w:color w:val="000000" w:themeColor="text1"/>
            <w:sz w:val="22"/>
            <w:szCs w:val="22"/>
          </w:rPr>
          <w:t>https://doi.org/10.1371/journal.pone.0065680</w:t>
        </w:r>
      </w:hyperlink>
    </w:p>
    <w:p w14:paraId="2EE28E99" w14:textId="77777777" w:rsidR="00B50764" w:rsidRPr="001B1244" w:rsidRDefault="00B51BF9" w:rsidP="001B1244">
      <w:pPr>
        <w:spacing w:line="360" w:lineRule="auto"/>
        <w:rPr>
          <w:rFonts w:ascii="Arial" w:hAnsi="Arial" w:cs="Arial"/>
          <w:color w:val="000000" w:themeColor="text1"/>
          <w:sz w:val="22"/>
          <w:szCs w:val="22"/>
        </w:rPr>
      </w:pPr>
      <w:r w:rsidRPr="001B1244">
        <w:rPr>
          <w:rFonts w:ascii="Arial" w:hAnsi="Arial" w:cs="Arial"/>
          <w:color w:val="000000" w:themeColor="text1"/>
          <w:sz w:val="22"/>
          <w:szCs w:val="22"/>
        </w:rPr>
        <w:t>Zimmermann, I. M., Heim, M. A., Weisshaar, B., &amp; Uhrig, J. F. (2004). Comprehensive</w:t>
      </w:r>
    </w:p>
    <w:p w14:paraId="381202B9" w14:textId="77777777" w:rsidR="00794BA6" w:rsidRPr="001B1244" w:rsidRDefault="00B51BF9" w:rsidP="001B1244">
      <w:pPr>
        <w:spacing w:line="360" w:lineRule="auto"/>
        <w:ind w:firstLine="480"/>
        <w:rPr>
          <w:rFonts w:ascii="Arial" w:hAnsi="Arial" w:cs="Arial"/>
          <w:color w:val="000000" w:themeColor="text1"/>
          <w:sz w:val="22"/>
          <w:szCs w:val="22"/>
        </w:rPr>
      </w:pPr>
      <w:proofErr w:type="gramStart"/>
      <w:r w:rsidRPr="001B1244">
        <w:rPr>
          <w:rFonts w:ascii="Arial" w:hAnsi="Arial" w:cs="Arial"/>
          <w:color w:val="000000" w:themeColor="text1"/>
          <w:sz w:val="22"/>
          <w:szCs w:val="22"/>
        </w:rPr>
        <w:t>identification</w:t>
      </w:r>
      <w:proofErr w:type="gramEnd"/>
      <w:r w:rsidRPr="001B1244">
        <w:rPr>
          <w:rFonts w:ascii="Arial" w:hAnsi="Arial" w:cs="Arial"/>
          <w:color w:val="000000" w:themeColor="text1"/>
          <w:sz w:val="22"/>
          <w:szCs w:val="22"/>
        </w:rPr>
        <w:t xml:space="preserve"> of </w:t>
      </w:r>
      <w:r w:rsidRPr="001B1244">
        <w:rPr>
          <w:rFonts w:ascii="Arial" w:hAnsi="Arial" w:cs="Arial"/>
          <w:i/>
          <w:iCs/>
          <w:color w:val="000000" w:themeColor="text1"/>
          <w:sz w:val="22"/>
          <w:szCs w:val="22"/>
        </w:rPr>
        <w:t>Arabidopsis thaliana</w:t>
      </w:r>
      <w:r w:rsidRPr="001B1244">
        <w:rPr>
          <w:rFonts w:ascii="Arial" w:hAnsi="Arial" w:cs="Arial"/>
          <w:color w:val="000000" w:themeColor="text1"/>
          <w:sz w:val="22"/>
          <w:szCs w:val="22"/>
        </w:rPr>
        <w:t xml:space="preserve"> MYB transcription factors interacting with R/B-lik</w:t>
      </w:r>
    </w:p>
    <w:p w14:paraId="2BA50B87" w14:textId="77777777" w:rsidR="00794BA6" w:rsidRPr="001B1244" w:rsidRDefault="00B51BF9" w:rsidP="001B1244">
      <w:pPr>
        <w:spacing w:line="360" w:lineRule="auto"/>
        <w:ind w:firstLine="480"/>
        <w:rPr>
          <w:rFonts w:ascii="Arial" w:hAnsi="Arial" w:cs="Arial"/>
          <w:color w:val="000000" w:themeColor="text1"/>
          <w:sz w:val="22"/>
          <w:szCs w:val="22"/>
        </w:rPr>
      </w:pPr>
      <w:r w:rsidRPr="001B1244">
        <w:rPr>
          <w:rFonts w:ascii="Arial" w:hAnsi="Arial" w:cs="Arial"/>
          <w:color w:val="000000" w:themeColor="text1"/>
          <w:sz w:val="22"/>
          <w:szCs w:val="22"/>
        </w:rPr>
        <w:t>BHLH</w:t>
      </w:r>
      <w:r w:rsidR="00794BA6" w:rsidRPr="001B1244">
        <w:rPr>
          <w:rFonts w:ascii="Arial" w:hAnsi="Arial" w:cs="Arial"/>
          <w:color w:val="000000" w:themeColor="text1"/>
          <w:sz w:val="22"/>
          <w:szCs w:val="22"/>
        </w:rPr>
        <w:t xml:space="preserve"> </w:t>
      </w:r>
      <w:r w:rsidRPr="001B1244">
        <w:rPr>
          <w:rFonts w:ascii="Arial" w:hAnsi="Arial" w:cs="Arial"/>
          <w:color w:val="000000" w:themeColor="text1"/>
          <w:sz w:val="22"/>
          <w:szCs w:val="22"/>
        </w:rPr>
        <w:t xml:space="preserve">proteins: Systematic analysis of MYB/BHLH-interactions. </w:t>
      </w:r>
      <w:r w:rsidRPr="001B1244">
        <w:rPr>
          <w:rFonts w:ascii="Arial" w:hAnsi="Arial" w:cs="Arial"/>
          <w:i/>
          <w:color w:val="000000" w:themeColor="text1"/>
          <w:sz w:val="22"/>
          <w:szCs w:val="22"/>
        </w:rPr>
        <w:t>The Plant Journal</w:t>
      </w:r>
      <w:r w:rsidRPr="001B1244">
        <w:rPr>
          <w:rFonts w:ascii="Arial" w:hAnsi="Arial" w:cs="Arial"/>
          <w:color w:val="000000" w:themeColor="text1"/>
          <w:sz w:val="22"/>
          <w:szCs w:val="22"/>
        </w:rPr>
        <w:t xml:space="preserve">, </w:t>
      </w:r>
      <w:r w:rsidRPr="001B1244">
        <w:rPr>
          <w:rFonts w:ascii="Arial" w:hAnsi="Arial" w:cs="Arial"/>
          <w:i/>
          <w:color w:val="000000" w:themeColor="text1"/>
          <w:sz w:val="22"/>
          <w:szCs w:val="22"/>
        </w:rPr>
        <w:t>40</w:t>
      </w:r>
      <w:r w:rsidRPr="001B1244">
        <w:rPr>
          <w:rFonts w:ascii="Arial" w:hAnsi="Arial" w:cs="Arial"/>
          <w:color w:val="000000" w:themeColor="text1"/>
          <w:sz w:val="22"/>
          <w:szCs w:val="22"/>
        </w:rPr>
        <w:t>(1),</w:t>
      </w:r>
    </w:p>
    <w:p w14:paraId="2DBB3DF6" w14:textId="77777777" w:rsidR="0095264D" w:rsidRPr="001B1244" w:rsidRDefault="00B51BF9" w:rsidP="001B1244">
      <w:pPr>
        <w:spacing w:line="360" w:lineRule="auto"/>
        <w:ind w:firstLine="480"/>
        <w:rPr>
          <w:rFonts w:ascii="Arial" w:eastAsiaTheme="majorEastAsia" w:hAnsi="Arial" w:cs="Arial"/>
          <w:sz w:val="22"/>
          <w:szCs w:val="22"/>
        </w:rPr>
      </w:pPr>
      <w:r w:rsidRPr="001B1244">
        <w:rPr>
          <w:rFonts w:ascii="Arial" w:hAnsi="Arial" w:cs="Arial"/>
          <w:color w:val="000000" w:themeColor="text1"/>
          <w:sz w:val="22"/>
          <w:szCs w:val="22"/>
        </w:rPr>
        <w:t>22–34</w:t>
      </w:r>
      <w:r w:rsidR="00794BA6" w:rsidRPr="001B1244">
        <w:rPr>
          <w:rFonts w:ascii="Arial" w:hAnsi="Arial" w:cs="Arial"/>
          <w:color w:val="000000" w:themeColor="text1"/>
          <w:sz w:val="22"/>
          <w:szCs w:val="22"/>
        </w:rPr>
        <w:t xml:space="preserve"> </w:t>
      </w:r>
      <w:hyperlink r:id="rId252" w:history="1">
        <w:r w:rsidR="00794BA6" w:rsidRPr="001B1244">
          <w:rPr>
            <w:rStyle w:val="Hyperlink"/>
            <w:rFonts w:ascii="Arial" w:eastAsiaTheme="majorEastAsia" w:hAnsi="Arial" w:cs="Arial"/>
            <w:sz w:val="22"/>
            <w:szCs w:val="22"/>
          </w:rPr>
          <w:t>https://doi.org/10.1111/j.1365-313X.2004.02183.x</w:t>
        </w:r>
      </w:hyperlink>
      <w:bookmarkStart w:id="236" w:name="_Toc117166880"/>
    </w:p>
    <w:bookmarkEnd w:id="236"/>
    <w:p w14:paraId="2595DD79" w14:textId="015E2BED" w:rsidR="00794BA6" w:rsidRPr="001B1244" w:rsidRDefault="00794BA6" w:rsidP="001B1244">
      <w:pPr>
        <w:pStyle w:val="Heading3"/>
        <w:spacing w:before="0" w:beforeAutospacing="0" w:after="0" w:afterAutospacing="0" w:line="360" w:lineRule="auto"/>
        <w:jc w:val="center"/>
        <w:rPr>
          <w:rFonts w:ascii="Arial" w:hAnsi="Arial" w:cs="Arial"/>
          <w:color w:val="000000" w:themeColor="text1"/>
          <w:sz w:val="22"/>
          <w:szCs w:val="22"/>
        </w:rPr>
      </w:pPr>
    </w:p>
    <w:p w14:paraId="14C7C2B8" w14:textId="4E85D959" w:rsidR="00794BA6" w:rsidRPr="001B1244" w:rsidRDefault="00794BA6" w:rsidP="001B1244">
      <w:pPr>
        <w:pStyle w:val="Heading3"/>
        <w:spacing w:before="0" w:beforeAutospacing="0" w:after="0" w:afterAutospacing="0" w:line="360" w:lineRule="auto"/>
        <w:jc w:val="center"/>
        <w:rPr>
          <w:rFonts w:ascii="Arial" w:hAnsi="Arial" w:cs="Arial"/>
          <w:color w:val="000000" w:themeColor="text1"/>
          <w:sz w:val="22"/>
          <w:szCs w:val="22"/>
        </w:rPr>
      </w:pPr>
    </w:p>
    <w:p w14:paraId="7FEFFBC4" w14:textId="349A7ADA" w:rsidR="00794BA6" w:rsidRPr="001B1244" w:rsidRDefault="00794BA6" w:rsidP="001B1244">
      <w:pPr>
        <w:pStyle w:val="Heading3"/>
        <w:spacing w:before="0" w:beforeAutospacing="0" w:after="0" w:afterAutospacing="0" w:line="360" w:lineRule="auto"/>
        <w:jc w:val="center"/>
        <w:rPr>
          <w:rFonts w:ascii="Arial" w:hAnsi="Arial" w:cs="Arial"/>
          <w:color w:val="000000" w:themeColor="text1"/>
          <w:sz w:val="22"/>
          <w:szCs w:val="22"/>
        </w:rPr>
      </w:pPr>
    </w:p>
    <w:p w14:paraId="2567BF5C" w14:textId="1824EED0" w:rsidR="00794BA6" w:rsidRPr="001B1244" w:rsidRDefault="00794BA6" w:rsidP="001B1244">
      <w:pPr>
        <w:pStyle w:val="Heading3"/>
        <w:spacing w:before="0" w:beforeAutospacing="0" w:after="0" w:afterAutospacing="0" w:line="360" w:lineRule="auto"/>
        <w:jc w:val="center"/>
        <w:rPr>
          <w:rFonts w:ascii="Arial" w:hAnsi="Arial" w:cs="Arial"/>
          <w:color w:val="000000" w:themeColor="text1"/>
          <w:sz w:val="22"/>
          <w:szCs w:val="22"/>
        </w:rPr>
      </w:pPr>
    </w:p>
    <w:p w14:paraId="5BEA527D" w14:textId="476B76B4" w:rsidR="00794BA6" w:rsidRPr="001B1244" w:rsidRDefault="00794BA6" w:rsidP="001B1244">
      <w:pPr>
        <w:pStyle w:val="Heading3"/>
        <w:spacing w:before="0" w:beforeAutospacing="0" w:after="0" w:afterAutospacing="0" w:line="360" w:lineRule="auto"/>
        <w:jc w:val="center"/>
        <w:rPr>
          <w:rFonts w:ascii="Arial" w:hAnsi="Arial" w:cs="Arial"/>
          <w:color w:val="000000" w:themeColor="text1"/>
          <w:sz w:val="22"/>
          <w:szCs w:val="22"/>
        </w:rPr>
      </w:pPr>
    </w:p>
    <w:p w14:paraId="00B5A372" w14:textId="534C0DE7" w:rsidR="00794BA6" w:rsidRPr="001B1244" w:rsidRDefault="00794BA6" w:rsidP="001B1244">
      <w:pPr>
        <w:pStyle w:val="Heading3"/>
        <w:spacing w:before="0" w:beforeAutospacing="0" w:after="0" w:afterAutospacing="0" w:line="360" w:lineRule="auto"/>
        <w:jc w:val="center"/>
        <w:rPr>
          <w:rFonts w:ascii="Arial" w:hAnsi="Arial" w:cs="Arial"/>
          <w:color w:val="000000" w:themeColor="text1"/>
          <w:sz w:val="22"/>
          <w:szCs w:val="22"/>
        </w:rPr>
      </w:pPr>
    </w:p>
    <w:p w14:paraId="65731B77" w14:textId="77777777" w:rsidR="001B1244" w:rsidRDefault="001B1244" w:rsidP="001B1244">
      <w:pPr>
        <w:pStyle w:val="Heading3"/>
        <w:spacing w:before="0" w:beforeAutospacing="0" w:after="0" w:afterAutospacing="0"/>
        <w:rPr>
          <w:rFonts w:ascii="Arial" w:hAnsi="Arial" w:cs="Arial"/>
          <w:color w:val="000000" w:themeColor="text1"/>
          <w:sz w:val="22"/>
          <w:szCs w:val="22"/>
        </w:rPr>
        <w:sectPr w:rsidR="001B1244" w:rsidSect="001B1244">
          <w:type w:val="continuous"/>
          <w:pgSz w:w="12240" w:h="15840"/>
          <w:pgMar w:top="1440" w:right="1440" w:bottom="1440" w:left="1440" w:header="720" w:footer="720" w:gutter="0"/>
          <w:cols w:space="720"/>
          <w:titlePg/>
          <w:docGrid w:linePitch="360"/>
        </w:sectPr>
      </w:pPr>
    </w:p>
    <w:p w14:paraId="7EBE0C83" w14:textId="64A5FB11" w:rsidR="0095264D" w:rsidRPr="003E7C59" w:rsidRDefault="0095264D" w:rsidP="001B1244">
      <w:pPr>
        <w:pStyle w:val="Heading1"/>
        <w:spacing w:before="0" w:after="0"/>
        <w:jc w:val="center"/>
        <w:rPr>
          <w:rFonts w:ascii="Arial" w:hAnsi="Arial" w:cs="Arial"/>
          <w:color w:val="000000" w:themeColor="text1"/>
          <w:sz w:val="22"/>
          <w:szCs w:val="22"/>
        </w:rPr>
      </w:pPr>
      <w:bookmarkStart w:id="237" w:name="_Toc121821966"/>
      <w:r>
        <w:rPr>
          <w:rFonts w:ascii="Arial" w:hAnsi="Arial" w:cs="Arial"/>
          <w:color w:val="000000" w:themeColor="text1"/>
          <w:sz w:val="22"/>
          <w:szCs w:val="22"/>
        </w:rPr>
        <w:lastRenderedPageBreak/>
        <w:t>Vita</w:t>
      </w:r>
      <w:bookmarkEnd w:id="237"/>
    </w:p>
    <w:p w14:paraId="2B91DA34" w14:textId="77777777" w:rsidR="0095264D" w:rsidRDefault="0095264D" w:rsidP="006622F2">
      <w:pPr>
        <w:jc w:val="center"/>
        <w:rPr>
          <w:rFonts w:ascii="Arial" w:hAnsi="Arial" w:cs="Arial"/>
          <w:color w:val="000000" w:themeColor="text1"/>
          <w:sz w:val="22"/>
          <w:szCs w:val="22"/>
        </w:rPr>
      </w:pPr>
      <w:r>
        <w:rPr>
          <w:rFonts w:ascii="Arial" w:hAnsi="Arial" w:cs="Arial"/>
          <w:color w:val="000000" w:themeColor="text1"/>
          <w:sz w:val="22"/>
          <w:szCs w:val="22"/>
        </w:rPr>
        <w:br w:type="page"/>
      </w:r>
    </w:p>
    <w:p w14:paraId="3F5152DE" w14:textId="50D90B5C" w:rsidR="00E21F9F" w:rsidRPr="00DB1EC4" w:rsidRDefault="00B51BF9" w:rsidP="00DB1EC4">
      <w:pPr>
        <w:tabs>
          <w:tab w:val="left" w:pos="2034"/>
        </w:tabs>
        <w:spacing w:line="360" w:lineRule="auto"/>
        <w:rPr>
          <w:rFonts w:ascii="Arial" w:hAnsi="Arial" w:cs="Arial"/>
          <w:color w:val="000000" w:themeColor="text1"/>
          <w:sz w:val="22"/>
          <w:szCs w:val="22"/>
          <w:shd w:val="clear" w:color="auto" w:fill="FFFFFF"/>
        </w:rPr>
      </w:pPr>
      <w:r w:rsidRPr="003E7C59">
        <w:rPr>
          <w:rFonts w:ascii="Arial" w:hAnsi="Arial" w:cs="Arial"/>
          <w:color w:val="000000" w:themeColor="text1"/>
          <w:sz w:val="22"/>
          <w:szCs w:val="22"/>
        </w:rPr>
        <w:lastRenderedPageBreak/>
        <w:t xml:space="preserve">Zaklina Pavlovic was born in Belgrade, Serbia, on March 27, 1991. She attended Milos Crnjanski Elementary School and </w:t>
      </w:r>
      <w:r w:rsidRPr="003E7C59">
        <w:rPr>
          <w:rFonts w:ascii="Arial" w:hAnsi="Arial" w:cs="Arial"/>
          <w:color w:val="000000" w:themeColor="text1"/>
          <w:sz w:val="22"/>
          <w:szCs w:val="22"/>
          <w:shd w:val="clear" w:color="auto" w:fill="FFFFFF"/>
        </w:rPr>
        <w:t xml:space="preserve">Thirteen Belgrade </w:t>
      </w:r>
      <w:r w:rsidR="000B7D95" w:rsidRPr="003E7C59">
        <w:rPr>
          <w:rFonts w:ascii="Arial" w:hAnsi="Arial" w:cs="Arial"/>
          <w:color w:val="000000" w:themeColor="text1"/>
          <w:sz w:val="22"/>
          <w:szCs w:val="22"/>
          <w:shd w:val="clear" w:color="auto" w:fill="FFFFFF"/>
        </w:rPr>
        <w:t>High School</w:t>
      </w:r>
      <w:r w:rsidRPr="003E7C59">
        <w:rPr>
          <w:rFonts w:ascii="Arial" w:hAnsi="Arial" w:cs="Arial"/>
          <w:color w:val="000000" w:themeColor="text1"/>
          <w:sz w:val="22"/>
          <w:szCs w:val="22"/>
          <w:shd w:val="clear" w:color="auto" w:fill="FFFFFF"/>
        </w:rPr>
        <w:t>. During primary school, she played tennis and was involved in various officer positions. After graduating high school, as one of the best students of her generation, she obtained a Bachler of Science degree in Phytomedicine, with a concentration in Plant Pathology from the Faculty of Agriculture, Belgrade, Serbia. During her bachelor’s studies, she worked for an international company specializing in plant protection and biological product development. She also obtained her Master of Science Degree in Phytomedicine, with a concentration in Plant Pathology, from the Faculty of Agriculture</w:t>
      </w:r>
      <w:r w:rsidR="000B7D95" w:rsidRPr="003E7C59">
        <w:rPr>
          <w:rFonts w:ascii="Arial" w:hAnsi="Arial" w:cs="Arial"/>
          <w:color w:val="000000" w:themeColor="text1"/>
          <w:sz w:val="22"/>
          <w:szCs w:val="22"/>
          <w:shd w:val="clear" w:color="auto" w:fill="FFFFFF"/>
        </w:rPr>
        <w:t>, University of Belgrade</w:t>
      </w:r>
      <w:r w:rsidRPr="003E7C59">
        <w:rPr>
          <w:rFonts w:ascii="Arial" w:hAnsi="Arial" w:cs="Arial"/>
          <w:color w:val="000000" w:themeColor="text1"/>
          <w:sz w:val="22"/>
          <w:szCs w:val="22"/>
          <w:shd w:val="clear" w:color="auto" w:fill="FFFFFF"/>
        </w:rPr>
        <w:t xml:space="preserve">. During her master’s studies </w:t>
      </w:r>
      <w:proofErr w:type="gramStart"/>
      <w:r w:rsidRPr="003E7C59">
        <w:rPr>
          <w:rFonts w:ascii="Arial" w:hAnsi="Arial" w:cs="Arial"/>
          <w:color w:val="000000" w:themeColor="text1"/>
          <w:sz w:val="22"/>
          <w:szCs w:val="22"/>
          <w:shd w:val="clear" w:color="auto" w:fill="FFFFFF"/>
        </w:rPr>
        <w:t>was offered</w:t>
      </w:r>
      <w:proofErr w:type="gramEnd"/>
      <w:r w:rsidRPr="003E7C59">
        <w:rPr>
          <w:rFonts w:ascii="Arial" w:hAnsi="Arial" w:cs="Arial"/>
          <w:color w:val="000000" w:themeColor="text1"/>
          <w:sz w:val="22"/>
          <w:szCs w:val="22"/>
          <w:shd w:val="clear" w:color="auto" w:fill="FFFFFF"/>
        </w:rPr>
        <w:t xml:space="preserve"> </w:t>
      </w:r>
      <w:r w:rsidRPr="003E7C59">
        <w:rPr>
          <w:rFonts w:ascii="Arial" w:hAnsi="Arial" w:cs="Arial"/>
          <w:color w:val="000000" w:themeColor="text1"/>
          <w:sz w:val="22"/>
          <w:szCs w:val="22"/>
        </w:rPr>
        <w:t xml:space="preserve">a graduate research assistantship in the laboratory of Dr. B. Krstic in the </w:t>
      </w:r>
      <w:r w:rsidRPr="003E7C59">
        <w:rPr>
          <w:rFonts w:ascii="Arial" w:hAnsi="Arial" w:cs="Arial"/>
          <w:color w:val="000000" w:themeColor="text1"/>
          <w:sz w:val="22"/>
          <w:szCs w:val="22"/>
          <w:shd w:val="clear" w:color="auto" w:fill="FFFFFF"/>
        </w:rPr>
        <w:t xml:space="preserve">Plant Pathology department and was actively involved in the ongoing laboratory work in the lab. In </w:t>
      </w:r>
      <w:proofErr w:type="gramStart"/>
      <w:r w:rsidRPr="003E7C59">
        <w:rPr>
          <w:rFonts w:ascii="Arial" w:hAnsi="Arial" w:cs="Arial"/>
          <w:color w:val="000000" w:themeColor="text1"/>
          <w:sz w:val="22"/>
          <w:szCs w:val="22"/>
          <w:shd w:val="clear" w:color="auto" w:fill="FFFFFF"/>
        </w:rPr>
        <w:t>2017</w:t>
      </w:r>
      <w:proofErr w:type="gramEnd"/>
      <w:r w:rsidRPr="003E7C59">
        <w:rPr>
          <w:rFonts w:ascii="Arial" w:hAnsi="Arial" w:cs="Arial"/>
          <w:color w:val="000000" w:themeColor="text1"/>
          <w:sz w:val="22"/>
          <w:szCs w:val="22"/>
          <w:shd w:val="clear" w:color="auto" w:fill="FFFFFF"/>
        </w:rPr>
        <w:t xml:space="preserve"> she accepted a visiting scholar position in the laboratory of Dr. S. Acimovic at Cornell Cooperative Extension Station, where she worked on several projects. In </w:t>
      </w:r>
      <w:proofErr w:type="gramStart"/>
      <w:r w:rsidRPr="003E7C59">
        <w:rPr>
          <w:rFonts w:ascii="Arial" w:hAnsi="Arial" w:cs="Arial"/>
          <w:color w:val="000000" w:themeColor="text1"/>
          <w:sz w:val="22"/>
          <w:szCs w:val="22"/>
          <w:shd w:val="clear" w:color="auto" w:fill="FFFFFF"/>
        </w:rPr>
        <w:t>2019</w:t>
      </w:r>
      <w:proofErr w:type="gramEnd"/>
      <w:r w:rsidRPr="003E7C59">
        <w:rPr>
          <w:rFonts w:ascii="Arial" w:hAnsi="Arial" w:cs="Arial"/>
          <w:color w:val="000000" w:themeColor="text1"/>
          <w:sz w:val="22"/>
          <w:szCs w:val="22"/>
          <w:shd w:val="clear" w:color="auto" w:fill="FFFFFF"/>
        </w:rPr>
        <w:t xml:space="preserve"> she received a graduate research assistantship in the laboratory of Dr. R. N. Trigiano in the Department of Entomology and Plant Pathology to pursue her Doctor of </w:t>
      </w:r>
      <w:r w:rsidR="00825189" w:rsidRPr="003E7C59">
        <w:rPr>
          <w:rFonts w:ascii="Arial" w:hAnsi="Arial" w:cs="Arial"/>
          <w:color w:val="000000" w:themeColor="text1"/>
          <w:sz w:val="22"/>
          <w:szCs w:val="22"/>
          <w:shd w:val="clear" w:color="auto" w:fill="FFFFFF"/>
        </w:rPr>
        <w:t xml:space="preserve">Philosophy </w:t>
      </w:r>
      <w:r w:rsidRPr="003E7C59">
        <w:rPr>
          <w:rFonts w:ascii="Arial" w:hAnsi="Arial" w:cs="Arial"/>
          <w:color w:val="000000" w:themeColor="text1"/>
          <w:sz w:val="22"/>
          <w:szCs w:val="22"/>
          <w:shd w:val="clear" w:color="auto" w:fill="FFFFFF"/>
        </w:rPr>
        <w:t>in Bioinformatics and Genomics.</w:t>
      </w:r>
    </w:p>
    <w:sectPr w:rsidR="00E21F9F" w:rsidRPr="00DB1EC4" w:rsidSect="001B124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50E6F" w14:textId="77777777" w:rsidR="00E817AE" w:rsidRDefault="00E817AE" w:rsidP="00EE698D">
      <w:r>
        <w:separator/>
      </w:r>
    </w:p>
  </w:endnote>
  <w:endnote w:type="continuationSeparator" w:id="0">
    <w:p w14:paraId="3C5BE163" w14:textId="77777777" w:rsidR="00E817AE" w:rsidRDefault="00E817AE" w:rsidP="00EE698D">
      <w:r>
        <w:continuationSeparator/>
      </w:r>
    </w:p>
  </w:endnote>
  <w:endnote w:type="continuationNotice" w:id="1">
    <w:p w14:paraId="25DA0A83" w14:textId="77777777" w:rsidR="00E817AE" w:rsidRDefault="00E817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dvGulliv-R">
    <w:altName w:val="Yu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98559021"/>
      <w:docPartObj>
        <w:docPartGallery w:val="Page Numbers (Bottom of Page)"/>
        <w:docPartUnique/>
      </w:docPartObj>
    </w:sdtPr>
    <w:sdtEndPr>
      <w:rPr>
        <w:rStyle w:val="PageNumber"/>
      </w:rPr>
    </w:sdtEndPr>
    <w:sdtContent>
      <w:p w14:paraId="2125EEF5" w14:textId="654121D4" w:rsidR="00A10AF1" w:rsidRDefault="00A10AF1" w:rsidP="00A10AF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1FE225C5" w14:textId="43777A86" w:rsidR="00FE0D41" w:rsidRDefault="007D33EC" w:rsidP="007D33EC">
    <w:pPr>
      <w:pStyle w:val="Footer"/>
      <w:jc w:val="center"/>
    </w:pPr>
    <w:r>
      <w:rPr>
        <w:rStyle w:val="PageNumber"/>
        <w:rFonts w:ascii="Arial" w:hAnsi="Arial" w:cs="Arial"/>
        <w:sz w:val="22"/>
        <w:szCs w:val="22"/>
      </w:rPr>
      <w:t>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Arial" w:hAnsi="Arial" w:cs="Arial"/>
        <w:sz w:val="22"/>
        <w:szCs w:val="22"/>
      </w:rPr>
      <w:id w:val="-636409500"/>
      <w:docPartObj>
        <w:docPartGallery w:val="Page Numbers (Bottom of Page)"/>
        <w:docPartUnique/>
      </w:docPartObj>
    </w:sdtPr>
    <w:sdtEndPr>
      <w:rPr>
        <w:rStyle w:val="PageNumber"/>
      </w:rPr>
    </w:sdtEndPr>
    <w:sdtContent>
      <w:p w14:paraId="73B05AC7" w14:textId="344379F4" w:rsidR="00FE0D41" w:rsidRPr="00F0459D" w:rsidRDefault="00FE0D41" w:rsidP="00A10AF1">
        <w:pPr>
          <w:pStyle w:val="Footer"/>
          <w:framePr w:wrap="none" w:vAnchor="text" w:hAnchor="margin" w:xAlign="center" w:y="1"/>
          <w:rPr>
            <w:rStyle w:val="PageNumber"/>
            <w:rFonts w:ascii="Arial" w:hAnsi="Arial" w:cs="Arial"/>
            <w:sz w:val="22"/>
            <w:szCs w:val="22"/>
          </w:rPr>
        </w:pPr>
        <w:r w:rsidRPr="00F0459D">
          <w:rPr>
            <w:rStyle w:val="PageNumber"/>
            <w:rFonts w:ascii="Arial" w:hAnsi="Arial" w:cs="Arial"/>
            <w:sz w:val="22"/>
            <w:szCs w:val="22"/>
          </w:rPr>
          <w:fldChar w:fldCharType="begin"/>
        </w:r>
        <w:r w:rsidRPr="00F0459D">
          <w:rPr>
            <w:rStyle w:val="PageNumber"/>
            <w:rFonts w:ascii="Arial" w:hAnsi="Arial" w:cs="Arial"/>
            <w:sz w:val="22"/>
            <w:szCs w:val="22"/>
          </w:rPr>
          <w:instrText xml:space="preserve"> PAGE </w:instrText>
        </w:r>
        <w:r w:rsidRPr="00F0459D">
          <w:rPr>
            <w:rStyle w:val="PageNumber"/>
            <w:rFonts w:ascii="Arial" w:hAnsi="Arial" w:cs="Arial"/>
            <w:sz w:val="22"/>
            <w:szCs w:val="22"/>
          </w:rPr>
          <w:fldChar w:fldCharType="separate"/>
        </w:r>
        <w:r w:rsidR="00654748">
          <w:rPr>
            <w:rStyle w:val="PageNumber"/>
            <w:rFonts w:ascii="Arial" w:hAnsi="Arial" w:cs="Arial"/>
            <w:noProof/>
            <w:sz w:val="22"/>
            <w:szCs w:val="22"/>
          </w:rPr>
          <w:t>ix</w:t>
        </w:r>
        <w:r w:rsidRPr="00F0459D">
          <w:rPr>
            <w:rStyle w:val="PageNumber"/>
            <w:rFonts w:ascii="Arial" w:hAnsi="Arial" w:cs="Arial"/>
            <w:sz w:val="22"/>
            <w:szCs w:val="22"/>
          </w:rPr>
          <w:fldChar w:fldCharType="end"/>
        </w:r>
      </w:p>
    </w:sdtContent>
  </w:sdt>
  <w:p w14:paraId="674334B3" w14:textId="77777777" w:rsidR="00FE0D41" w:rsidRDefault="00FE0D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Arial" w:hAnsi="Arial" w:cs="Arial"/>
        <w:sz w:val="22"/>
        <w:szCs w:val="22"/>
      </w:rPr>
      <w:id w:val="1812199129"/>
      <w:docPartObj>
        <w:docPartGallery w:val="Page Numbers (Bottom of Page)"/>
        <w:docPartUnique/>
      </w:docPartObj>
    </w:sdtPr>
    <w:sdtEndPr>
      <w:rPr>
        <w:rStyle w:val="PageNumber"/>
      </w:rPr>
    </w:sdtEndPr>
    <w:sdtContent>
      <w:p w14:paraId="2FECC4AA" w14:textId="5797E25B" w:rsidR="00A10AF1" w:rsidRPr="00F0459D" w:rsidRDefault="00A10AF1" w:rsidP="00A10AF1">
        <w:pPr>
          <w:pStyle w:val="Footer"/>
          <w:framePr w:wrap="none" w:vAnchor="text" w:hAnchor="margin" w:xAlign="center" w:y="1"/>
          <w:rPr>
            <w:rStyle w:val="PageNumber"/>
            <w:rFonts w:ascii="Arial" w:hAnsi="Arial" w:cs="Arial"/>
            <w:sz w:val="22"/>
            <w:szCs w:val="22"/>
          </w:rPr>
        </w:pPr>
        <w:r w:rsidRPr="00F0459D">
          <w:rPr>
            <w:rStyle w:val="PageNumber"/>
            <w:rFonts w:ascii="Arial" w:hAnsi="Arial" w:cs="Arial"/>
            <w:sz w:val="22"/>
            <w:szCs w:val="22"/>
          </w:rPr>
          <w:fldChar w:fldCharType="begin"/>
        </w:r>
        <w:r w:rsidRPr="00F0459D">
          <w:rPr>
            <w:rStyle w:val="PageNumber"/>
            <w:rFonts w:ascii="Arial" w:hAnsi="Arial" w:cs="Arial"/>
            <w:sz w:val="22"/>
            <w:szCs w:val="22"/>
          </w:rPr>
          <w:instrText xml:space="preserve"> PAGE </w:instrText>
        </w:r>
        <w:r w:rsidRPr="00F0459D">
          <w:rPr>
            <w:rStyle w:val="PageNumber"/>
            <w:rFonts w:ascii="Arial" w:hAnsi="Arial" w:cs="Arial"/>
            <w:sz w:val="22"/>
            <w:szCs w:val="22"/>
          </w:rPr>
          <w:fldChar w:fldCharType="separate"/>
        </w:r>
        <w:r w:rsidR="00654748">
          <w:rPr>
            <w:rStyle w:val="PageNumber"/>
            <w:rFonts w:ascii="Arial" w:hAnsi="Arial" w:cs="Arial"/>
            <w:noProof/>
            <w:sz w:val="22"/>
            <w:szCs w:val="22"/>
          </w:rPr>
          <w:t>57</w:t>
        </w:r>
        <w:r w:rsidRPr="00F0459D">
          <w:rPr>
            <w:rStyle w:val="PageNumber"/>
            <w:rFonts w:ascii="Arial" w:hAnsi="Arial" w:cs="Arial"/>
            <w:sz w:val="22"/>
            <w:szCs w:val="22"/>
          </w:rPr>
          <w:fldChar w:fldCharType="end"/>
        </w:r>
      </w:p>
    </w:sdtContent>
  </w:sdt>
  <w:p w14:paraId="29416A87" w14:textId="77777777" w:rsidR="00A10AF1" w:rsidRDefault="00A10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7C01D" w14:textId="77777777" w:rsidR="00E817AE" w:rsidRDefault="00E817AE" w:rsidP="00EE698D">
      <w:r>
        <w:separator/>
      </w:r>
    </w:p>
  </w:footnote>
  <w:footnote w:type="continuationSeparator" w:id="0">
    <w:p w14:paraId="661AF0D3" w14:textId="77777777" w:rsidR="00E817AE" w:rsidRDefault="00E817AE" w:rsidP="00EE698D">
      <w:r>
        <w:continuationSeparator/>
      </w:r>
    </w:p>
  </w:footnote>
  <w:footnote w:type="continuationNotice" w:id="1">
    <w:p w14:paraId="358CD77E" w14:textId="77777777" w:rsidR="00E817AE" w:rsidRDefault="00E817A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8A80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F7283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AD676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066A7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62C7E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2289E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F6632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5AA8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9EAB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9AF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2737561"/>
    <w:multiLevelType w:val="multilevel"/>
    <w:tmpl w:val="BFD2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C16A16"/>
    <w:multiLevelType w:val="multilevel"/>
    <w:tmpl w:val="309C4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2"/>
  </w:num>
  <w:num w:numId="2">
    <w:abstractNumId w:val="10"/>
  </w:num>
  <w:num w:numId="3">
    <w:abstractNumId w:val="11"/>
  </w:num>
  <w:num w:numId="4">
    <w:abstractNumId w:val="0"/>
  </w:num>
  <w:num w:numId="5">
    <w:abstractNumId w:val="1"/>
  </w:num>
  <w:num w:numId="6">
    <w:abstractNumId w:val="2"/>
  </w:num>
  <w:num w:numId="7">
    <w:abstractNumId w:val="3"/>
  </w:num>
  <w:num w:numId="8">
    <w:abstractNumId w:val="8"/>
  </w:num>
  <w:num w:numId="9">
    <w:abstractNumId w:val="4"/>
  </w:num>
  <w:num w:numId="10">
    <w:abstractNumId w:val="5"/>
  </w:num>
  <w:num w:numId="11">
    <w:abstractNumId w:val="6"/>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4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F9F"/>
    <w:rsid w:val="00001F68"/>
    <w:rsid w:val="00002BF4"/>
    <w:rsid w:val="00002C5F"/>
    <w:rsid w:val="00003D2C"/>
    <w:rsid w:val="000044AA"/>
    <w:rsid w:val="00006514"/>
    <w:rsid w:val="00007F04"/>
    <w:rsid w:val="00010234"/>
    <w:rsid w:val="00013833"/>
    <w:rsid w:val="00016183"/>
    <w:rsid w:val="000169EC"/>
    <w:rsid w:val="00017CAE"/>
    <w:rsid w:val="00022EBB"/>
    <w:rsid w:val="00024386"/>
    <w:rsid w:val="00024EDA"/>
    <w:rsid w:val="0002544D"/>
    <w:rsid w:val="00026E3A"/>
    <w:rsid w:val="00027166"/>
    <w:rsid w:val="00032542"/>
    <w:rsid w:val="00034D94"/>
    <w:rsid w:val="00041EBE"/>
    <w:rsid w:val="00042905"/>
    <w:rsid w:val="00043609"/>
    <w:rsid w:val="00045AEA"/>
    <w:rsid w:val="00045F38"/>
    <w:rsid w:val="00050453"/>
    <w:rsid w:val="00050768"/>
    <w:rsid w:val="00051C98"/>
    <w:rsid w:val="00061521"/>
    <w:rsid w:val="000615FE"/>
    <w:rsid w:val="00066431"/>
    <w:rsid w:val="000703AC"/>
    <w:rsid w:val="00073F6D"/>
    <w:rsid w:val="00077662"/>
    <w:rsid w:val="00082C1F"/>
    <w:rsid w:val="00086566"/>
    <w:rsid w:val="00095DC1"/>
    <w:rsid w:val="00096620"/>
    <w:rsid w:val="000A090B"/>
    <w:rsid w:val="000A3EBE"/>
    <w:rsid w:val="000A5DF4"/>
    <w:rsid w:val="000A5FEC"/>
    <w:rsid w:val="000A7DE7"/>
    <w:rsid w:val="000B07F5"/>
    <w:rsid w:val="000B1B29"/>
    <w:rsid w:val="000B4FF9"/>
    <w:rsid w:val="000B5977"/>
    <w:rsid w:val="000B7D95"/>
    <w:rsid w:val="000C0EBF"/>
    <w:rsid w:val="000C4238"/>
    <w:rsid w:val="000C4248"/>
    <w:rsid w:val="000C4433"/>
    <w:rsid w:val="000C45B8"/>
    <w:rsid w:val="000C662D"/>
    <w:rsid w:val="000D029A"/>
    <w:rsid w:val="000D1331"/>
    <w:rsid w:val="000D14A7"/>
    <w:rsid w:val="000D3098"/>
    <w:rsid w:val="000D3204"/>
    <w:rsid w:val="000D32B1"/>
    <w:rsid w:val="000D60C2"/>
    <w:rsid w:val="000D6F92"/>
    <w:rsid w:val="000D7584"/>
    <w:rsid w:val="000D7761"/>
    <w:rsid w:val="000E01C4"/>
    <w:rsid w:val="000E1A3E"/>
    <w:rsid w:val="000E25B4"/>
    <w:rsid w:val="000E3E16"/>
    <w:rsid w:val="000F635C"/>
    <w:rsid w:val="000F6747"/>
    <w:rsid w:val="000F7FB2"/>
    <w:rsid w:val="00101822"/>
    <w:rsid w:val="00102BAF"/>
    <w:rsid w:val="00104E8D"/>
    <w:rsid w:val="00105AA1"/>
    <w:rsid w:val="00105C0E"/>
    <w:rsid w:val="00106916"/>
    <w:rsid w:val="00106B84"/>
    <w:rsid w:val="00106FB3"/>
    <w:rsid w:val="0012279A"/>
    <w:rsid w:val="00123E2E"/>
    <w:rsid w:val="00134735"/>
    <w:rsid w:val="001348AF"/>
    <w:rsid w:val="00134C35"/>
    <w:rsid w:val="001400C2"/>
    <w:rsid w:val="00140469"/>
    <w:rsid w:val="00142348"/>
    <w:rsid w:val="001431CF"/>
    <w:rsid w:val="00147D57"/>
    <w:rsid w:val="0015389D"/>
    <w:rsid w:val="001560D6"/>
    <w:rsid w:val="00156A12"/>
    <w:rsid w:val="00157257"/>
    <w:rsid w:val="00160674"/>
    <w:rsid w:val="00161724"/>
    <w:rsid w:val="00164F40"/>
    <w:rsid w:val="001655F5"/>
    <w:rsid w:val="00167C4B"/>
    <w:rsid w:val="00170ED0"/>
    <w:rsid w:val="00172425"/>
    <w:rsid w:val="0017275C"/>
    <w:rsid w:val="001734AF"/>
    <w:rsid w:val="0017521B"/>
    <w:rsid w:val="00175A7C"/>
    <w:rsid w:val="00177801"/>
    <w:rsid w:val="00187140"/>
    <w:rsid w:val="00195ADF"/>
    <w:rsid w:val="001A1028"/>
    <w:rsid w:val="001A14B2"/>
    <w:rsid w:val="001A1D6B"/>
    <w:rsid w:val="001A2523"/>
    <w:rsid w:val="001A5B43"/>
    <w:rsid w:val="001A5BA0"/>
    <w:rsid w:val="001A5C12"/>
    <w:rsid w:val="001A7E93"/>
    <w:rsid w:val="001B1244"/>
    <w:rsid w:val="001B1DF1"/>
    <w:rsid w:val="001B243E"/>
    <w:rsid w:val="001B2440"/>
    <w:rsid w:val="001B34EA"/>
    <w:rsid w:val="001B3F54"/>
    <w:rsid w:val="001B3FC9"/>
    <w:rsid w:val="001B4FD8"/>
    <w:rsid w:val="001B5593"/>
    <w:rsid w:val="001B670D"/>
    <w:rsid w:val="001C004C"/>
    <w:rsid w:val="001C1EC3"/>
    <w:rsid w:val="001C7F21"/>
    <w:rsid w:val="001D2957"/>
    <w:rsid w:val="001D3E51"/>
    <w:rsid w:val="001D4E27"/>
    <w:rsid w:val="001D5B24"/>
    <w:rsid w:val="001E2774"/>
    <w:rsid w:val="001E5C51"/>
    <w:rsid w:val="001E7A8D"/>
    <w:rsid w:val="001F2331"/>
    <w:rsid w:val="001F375E"/>
    <w:rsid w:val="001F70D9"/>
    <w:rsid w:val="001F774B"/>
    <w:rsid w:val="00200E09"/>
    <w:rsid w:val="002035C3"/>
    <w:rsid w:val="00205886"/>
    <w:rsid w:val="00207CCE"/>
    <w:rsid w:val="002107A5"/>
    <w:rsid w:val="00211893"/>
    <w:rsid w:val="00212171"/>
    <w:rsid w:val="00215401"/>
    <w:rsid w:val="00221C89"/>
    <w:rsid w:val="00223A6F"/>
    <w:rsid w:val="00223BD7"/>
    <w:rsid w:val="00230436"/>
    <w:rsid w:val="00231621"/>
    <w:rsid w:val="00233AF8"/>
    <w:rsid w:val="00233EA5"/>
    <w:rsid w:val="0023754D"/>
    <w:rsid w:val="00240C57"/>
    <w:rsid w:val="002421B1"/>
    <w:rsid w:val="00250534"/>
    <w:rsid w:val="00253D14"/>
    <w:rsid w:val="002551C3"/>
    <w:rsid w:val="00255EAA"/>
    <w:rsid w:val="00255EDC"/>
    <w:rsid w:val="0025686B"/>
    <w:rsid w:val="0026034C"/>
    <w:rsid w:val="002645FD"/>
    <w:rsid w:val="00272021"/>
    <w:rsid w:val="00274C36"/>
    <w:rsid w:val="002755E0"/>
    <w:rsid w:val="00276A3D"/>
    <w:rsid w:val="002837D4"/>
    <w:rsid w:val="002857B4"/>
    <w:rsid w:val="00286F94"/>
    <w:rsid w:val="0028761A"/>
    <w:rsid w:val="00287893"/>
    <w:rsid w:val="002969D0"/>
    <w:rsid w:val="00297072"/>
    <w:rsid w:val="002979D0"/>
    <w:rsid w:val="00297ED1"/>
    <w:rsid w:val="002A06AF"/>
    <w:rsid w:val="002A34B1"/>
    <w:rsid w:val="002A4C71"/>
    <w:rsid w:val="002B1773"/>
    <w:rsid w:val="002B205C"/>
    <w:rsid w:val="002B3CB5"/>
    <w:rsid w:val="002B3D13"/>
    <w:rsid w:val="002B582C"/>
    <w:rsid w:val="002B5981"/>
    <w:rsid w:val="002B7476"/>
    <w:rsid w:val="002B7C7F"/>
    <w:rsid w:val="002B7E80"/>
    <w:rsid w:val="002C2B3A"/>
    <w:rsid w:val="002C404C"/>
    <w:rsid w:val="002C47C6"/>
    <w:rsid w:val="002C6A4A"/>
    <w:rsid w:val="002C76AD"/>
    <w:rsid w:val="002D066E"/>
    <w:rsid w:val="002D0BC0"/>
    <w:rsid w:val="002D1F44"/>
    <w:rsid w:val="002D3BE3"/>
    <w:rsid w:val="002D4597"/>
    <w:rsid w:val="002E0369"/>
    <w:rsid w:val="002E1573"/>
    <w:rsid w:val="002E4D54"/>
    <w:rsid w:val="002E4E3A"/>
    <w:rsid w:val="002E6C15"/>
    <w:rsid w:val="002E7636"/>
    <w:rsid w:val="002F0451"/>
    <w:rsid w:val="002F0686"/>
    <w:rsid w:val="002F0C66"/>
    <w:rsid w:val="002F5E76"/>
    <w:rsid w:val="002F6E3C"/>
    <w:rsid w:val="002F7383"/>
    <w:rsid w:val="00300CDD"/>
    <w:rsid w:val="0030215D"/>
    <w:rsid w:val="00302F4B"/>
    <w:rsid w:val="0030429F"/>
    <w:rsid w:val="003063E0"/>
    <w:rsid w:val="00307084"/>
    <w:rsid w:val="00312FF1"/>
    <w:rsid w:val="00313A58"/>
    <w:rsid w:val="003142B3"/>
    <w:rsid w:val="003158FF"/>
    <w:rsid w:val="003176BE"/>
    <w:rsid w:val="003176FC"/>
    <w:rsid w:val="00320438"/>
    <w:rsid w:val="00331D84"/>
    <w:rsid w:val="003333BD"/>
    <w:rsid w:val="00334B72"/>
    <w:rsid w:val="00340968"/>
    <w:rsid w:val="0034257F"/>
    <w:rsid w:val="003460A2"/>
    <w:rsid w:val="003463AE"/>
    <w:rsid w:val="00351EAB"/>
    <w:rsid w:val="00352F9F"/>
    <w:rsid w:val="003604E7"/>
    <w:rsid w:val="00362094"/>
    <w:rsid w:val="00367FC0"/>
    <w:rsid w:val="00374271"/>
    <w:rsid w:val="00376670"/>
    <w:rsid w:val="00380BF8"/>
    <w:rsid w:val="0038148F"/>
    <w:rsid w:val="003815A6"/>
    <w:rsid w:val="00383011"/>
    <w:rsid w:val="00383FC3"/>
    <w:rsid w:val="00384FDF"/>
    <w:rsid w:val="00386211"/>
    <w:rsid w:val="00390F66"/>
    <w:rsid w:val="003911D8"/>
    <w:rsid w:val="0039134E"/>
    <w:rsid w:val="00392148"/>
    <w:rsid w:val="003937FA"/>
    <w:rsid w:val="00394C16"/>
    <w:rsid w:val="00397BF1"/>
    <w:rsid w:val="003A06D0"/>
    <w:rsid w:val="003A0901"/>
    <w:rsid w:val="003A5453"/>
    <w:rsid w:val="003A639F"/>
    <w:rsid w:val="003A6FC2"/>
    <w:rsid w:val="003B0F64"/>
    <w:rsid w:val="003B722F"/>
    <w:rsid w:val="003C0984"/>
    <w:rsid w:val="003C23BF"/>
    <w:rsid w:val="003C3C68"/>
    <w:rsid w:val="003C4A05"/>
    <w:rsid w:val="003C4F85"/>
    <w:rsid w:val="003C5FCA"/>
    <w:rsid w:val="003C62C7"/>
    <w:rsid w:val="003C657B"/>
    <w:rsid w:val="003C7B6B"/>
    <w:rsid w:val="003D09A0"/>
    <w:rsid w:val="003D1C12"/>
    <w:rsid w:val="003D24B4"/>
    <w:rsid w:val="003D61E5"/>
    <w:rsid w:val="003D6236"/>
    <w:rsid w:val="003D7812"/>
    <w:rsid w:val="003E5C79"/>
    <w:rsid w:val="003E7C59"/>
    <w:rsid w:val="003F367F"/>
    <w:rsid w:val="003F5E1F"/>
    <w:rsid w:val="003F70D0"/>
    <w:rsid w:val="003F7E7B"/>
    <w:rsid w:val="003F7F4F"/>
    <w:rsid w:val="00401CD9"/>
    <w:rsid w:val="00401FC7"/>
    <w:rsid w:val="00402678"/>
    <w:rsid w:val="00402724"/>
    <w:rsid w:val="00402F4A"/>
    <w:rsid w:val="0040449A"/>
    <w:rsid w:val="004056AC"/>
    <w:rsid w:val="004058A9"/>
    <w:rsid w:val="00405A7B"/>
    <w:rsid w:val="004076D9"/>
    <w:rsid w:val="00410CDC"/>
    <w:rsid w:val="004122EC"/>
    <w:rsid w:val="004128C6"/>
    <w:rsid w:val="00412BAB"/>
    <w:rsid w:val="00412F81"/>
    <w:rsid w:val="0041660C"/>
    <w:rsid w:val="00417802"/>
    <w:rsid w:val="004204E6"/>
    <w:rsid w:val="00420A2B"/>
    <w:rsid w:val="00420C87"/>
    <w:rsid w:val="00420F90"/>
    <w:rsid w:val="004218A1"/>
    <w:rsid w:val="0042240A"/>
    <w:rsid w:val="00424AA7"/>
    <w:rsid w:val="0042546A"/>
    <w:rsid w:val="0043188B"/>
    <w:rsid w:val="00432ECA"/>
    <w:rsid w:val="004337FA"/>
    <w:rsid w:val="00441B47"/>
    <w:rsid w:val="00452390"/>
    <w:rsid w:val="00452B0D"/>
    <w:rsid w:val="00454C1C"/>
    <w:rsid w:val="004576BE"/>
    <w:rsid w:val="0045799D"/>
    <w:rsid w:val="00460253"/>
    <w:rsid w:val="0046483D"/>
    <w:rsid w:val="004654A2"/>
    <w:rsid w:val="00466F43"/>
    <w:rsid w:val="00470FD4"/>
    <w:rsid w:val="0047317E"/>
    <w:rsid w:val="00473451"/>
    <w:rsid w:val="00475DE9"/>
    <w:rsid w:val="0047682D"/>
    <w:rsid w:val="00477C37"/>
    <w:rsid w:val="00480312"/>
    <w:rsid w:val="00480844"/>
    <w:rsid w:val="00480A7E"/>
    <w:rsid w:val="004822E9"/>
    <w:rsid w:val="00482743"/>
    <w:rsid w:val="0048314B"/>
    <w:rsid w:val="004858E5"/>
    <w:rsid w:val="0049087F"/>
    <w:rsid w:val="00491C51"/>
    <w:rsid w:val="00492CC7"/>
    <w:rsid w:val="00493E25"/>
    <w:rsid w:val="0049773E"/>
    <w:rsid w:val="00497B53"/>
    <w:rsid w:val="004A144C"/>
    <w:rsid w:val="004A61E4"/>
    <w:rsid w:val="004A6E2A"/>
    <w:rsid w:val="004B0CBC"/>
    <w:rsid w:val="004B2A7F"/>
    <w:rsid w:val="004B2F24"/>
    <w:rsid w:val="004B3161"/>
    <w:rsid w:val="004B3AC9"/>
    <w:rsid w:val="004B3E91"/>
    <w:rsid w:val="004B469F"/>
    <w:rsid w:val="004C471A"/>
    <w:rsid w:val="004C4748"/>
    <w:rsid w:val="004C7108"/>
    <w:rsid w:val="004C71C2"/>
    <w:rsid w:val="004D0A79"/>
    <w:rsid w:val="004D1CFD"/>
    <w:rsid w:val="004D29C8"/>
    <w:rsid w:val="004D3F14"/>
    <w:rsid w:val="004E01C3"/>
    <w:rsid w:val="004E1044"/>
    <w:rsid w:val="004E1B7D"/>
    <w:rsid w:val="004E1BC2"/>
    <w:rsid w:val="004E2DDA"/>
    <w:rsid w:val="004E3747"/>
    <w:rsid w:val="004E4299"/>
    <w:rsid w:val="004F013B"/>
    <w:rsid w:val="004F0854"/>
    <w:rsid w:val="004F151B"/>
    <w:rsid w:val="004F3007"/>
    <w:rsid w:val="004F3181"/>
    <w:rsid w:val="004F3EC4"/>
    <w:rsid w:val="004F4528"/>
    <w:rsid w:val="004F6E27"/>
    <w:rsid w:val="00504525"/>
    <w:rsid w:val="00504F51"/>
    <w:rsid w:val="005064B4"/>
    <w:rsid w:val="00514326"/>
    <w:rsid w:val="005145AF"/>
    <w:rsid w:val="00516B11"/>
    <w:rsid w:val="00517A09"/>
    <w:rsid w:val="00520F69"/>
    <w:rsid w:val="00524875"/>
    <w:rsid w:val="00525268"/>
    <w:rsid w:val="00526074"/>
    <w:rsid w:val="005271F8"/>
    <w:rsid w:val="00530772"/>
    <w:rsid w:val="0053084D"/>
    <w:rsid w:val="00533434"/>
    <w:rsid w:val="005355AC"/>
    <w:rsid w:val="005364FF"/>
    <w:rsid w:val="00541BD0"/>
    <w:rsid w:val="00544E16"/>
    <w:rsid w:val="005450F6"/>
    <w:rsid w:val="00545F8F"/>
    <w:rsid w:val="0054729C"/>
    <w:rsid w:val="00551508"/>
    <w:rsid w:val="00551EB3"/>
    <w:rsid w:val="00554DAD"/>
    <w:rsid w:val="0055536D"/>
    <w:rsid w:val="0055551C"/>
    <w:rsid w:val="00561205"/>
    <w:rsid w:val="00561E1D"/>
    <w:rsid w:val="005627AF"/>
    <w:rsid w:val="005645DE"/>
    <w:rsid w:val="00564F7D"/>
    <w:rsid w:val="00566CF1"/>
    <w:rsid w:val="00572F5B"/>
    <w:rsid w:val="00576359"/>
    <w:rsid w:val="005765BB"/>
    <w:rsid w:val="005775DA"/>
    <w:rsid w:val="005810E1"/>
    <w:rsid w:val="005811E7"/>
    <w:rsid w:val="0058242F"/>
    <w:rsid w:val="005825C5"/>
    <w:rsid w:val="005826A3"/>
    <w:rsid w:val="00583426"/>
    <w:rsid w:val="0058665E"/>
    <w:rsid w:val="00590CB5"/>
    <w:rsid w:val="00590CB9"/>
    <w:rsid w:val="00591497"/>
    <w:rsid w:val="00591943"/>
    <w:rsid w:val="00593A40"/>
    <w:rsid w:val="00596973"/>
    <w:rsid w:val="00597747"/>
    <w:rsid w:val="005A2080"/>
    <w:rsid w:val="005A2A5C"/>
    <w:rsid w:val="005A4242"/>
    <w:rsid w:val="005A54E2"/>
    <w:rsid w:val="005A5EE4"/>
    <w:rsid w:val="005A692D"/>
    <w:rsid w:val="005B0074"/>
    <w:rsid w:val="005B065F"/>
    <w:rsid w:val="005B25BA"/>
    <w:rsid w:val="005B4FDC"/>
    <w:rsid w:val="005C0BD9"/>
    <w:rsid w:val="005C63D4"/>
    <w:rsid w:val="005C666F"/>
    <w:rsid w:val="005C72D2"/>
    <w:rsid w:val="005D00EE"/>
    <w:rsid w:val="005D1460"/>
    <w:rsid w:val="005D3C5B"/>
    <w:rsid w:val="005D4860"/>
    <w:rsid w:val="005D48C4"/>
    <w:rsid w:val="005D55BA"/>
    <w:rsid w:val="005D6654"/>
    <w:rsid w:val="005D6BAF"/>
    <w:rsid w:val="005E056A"/>
    <w:rsid w:val="005E1CEE"/>
    <w:rsid w:val="005E3A13"/>
    <w:rsid w:val="005E516C"/>
    <w:rsid w:val="005E7DCF"/>
    <w:rsid w:val="005F09BF"/>
    <w:rsid w:val="005F0A36"/>
    <w:rsid w:val="005F6071"/>
    <w:rsid w:val="005F7B99"/>
    <w:rsid w:val="005F7ED7"/>
    <w:rsid w:val="00600239"/>
    <w:rsid w:val="00601F78"/>
    <w:rsid w:val="0060215C"/>
    <w:rsid w:val="00602562"/>
    <w:rsid w:val="006031F3"/>
    <w:rsid w:val="006112CF"/>
    <w:rsid w:val="006112FD"/>
    <w:rsid w:val="00614BB6"/>
    <w:rsid w:val="00614C79"/>
    <w:rsid w:val="0061512F"/>
    <w:rsid w:val="00615834"/>
    <w:rsid w:val="0061660E"/>
    <w:rsid w:val="00621DF8"/>
    <w:rsid w:val="00632732"/>
    <w:rsid w:val="006361B8"/>
    <w:rsid w:val="00636574"/>
    <w:rsid w:val="006404FA"/>
    <w:rsid w:val="00641619"/>
    <w:rsid w:val="00641AB6"/>
    <w:rsid w:val="00641D3C"/>
    <w:rsid w:val="00642F7F"/>
    <w:rsid w:val="00644FF5"/>
    <w:rsid w:val="00647642"/>
    <w:rsid w:val="006518FC"/>
    <w:rsid w:val="00651BDF"/>
    <w:rsid w:val="006522C5"/>
    <w:rsid w:val="00653D06"/>
    <w:rsid w:val="00654748"/>
    <w:rsid w:val="00654C85"/>
    <w:rsid w:val="0065609C"/>
    <w:rsid w:val="006622F2"/>
    <w:rsid w:val="00662845"/>
    <w:rsid w:val="006653BB"/>
    <w:rsid w:val="006672F9"/>
    <w:rsid w:val="00670495"/>
    <w:rsid w:val="00674181"/>
    <w:rsid w:val="006762A9"/>
    <w:rsid w:val="00676DE2"/>
    <w:rsid w:val="006825CA"/>
    <w:rsid w:val="0068317B"/>
    <w:rsid w:val="0068364D"/>
    <w:rsid w:val="00684DEF"/>
    <w:rsid w:val="00685C20"/>
    <w:rsid w:val="006872D3"/>
    <w:rsid w:val="006941DB"/>
    <w:rsid w:val="006949EA"/>
    <w:rsid w:val="00695378"/>
    <w:rsid w:val="006A12EF"/>
    <w:rsid w:val="006A2501"/>
    <w:rsid w:val="006A2B42"/>
    <w:rsid w:val="006A4A3F"/>
    <w:rsid w:val="006A4BD2"/>
    <w:rsid w:val="006A7762"/>
    <w:rsid w:val="006A795C"/>
    <w:rsid w:val="006B0273"/>
    <w:rsid w:val="006B32F6"/>
    <w:rsid w:val="006B3D6A"/>
    <w:rsid w:val="006B4417"/>
    <w:rsid w:val="006B4D3B"/>
    <w:rsid w:val="006B764E"/>
    <w:rsid w:val="006C1E6B"/>
    <w:rsid w:val="006C2E9C"/>
    <w:rsid w:val="006C4034"/>
    <w:rsid w:val="006C43D7"/>
    <w:rsid w:val="006C6A3B"/>
    <w:rsid w:val="006C76E7"/>
    <w:rsid w:val="006C79E0"/>
    <w:rsid w:val="006C7AB2"/>
    <w:rsid w:val="006D1023"/>
    <w:rsid w:val="006D131F"/>
    <w:rsid w:val="006D1E9D"/>
    <w:rsid w:val="006D32DC"/>
    <w:rsid w:val="006D41A1"/>
    <w:rsid w:val="006D55C7"/>
    <w:rsid w:val="006D5733"/>
    <w:rsid w:val="006D5AF0"/>
    <w:rsid w:val="006D64ED"/>
    <w:rsid w:val="006D6E08"/>
    <w:rsid w:val="006D7CB9"/>
    <w:rsid w:val="006D7D5E"/>
    <w:rsid w:val="006E05D1"/>
    <w:rsid w:val="006E4481"/>
    <w:rsid w:val="006E459E"/>
    <w:rsid w:val="006E4A45"/>
    <w:rsid w:val="006E524D"/>
    <w:rsid w:val="006E59A8"/>
    <w:rsid w:val="006E5B5C"/>
    <w:rsid w:val="006E67B6"/>
    <w:rsid w:val="006E71A4"/>
    <w:rsid w:val="006F0B62"/>
    <w:rsid w:val="006F3DA2"/>
    <w:rsid w:val="006F586B"/>
    <w:rsid w:val="006F59CC"/>
    <w:rsid w:val="007002DE"/>
    <w:rsid w:val="00700BF6"/>
    <w:rsid w:val="00701C23"/>
    <w:rsid w:val="00701C71"/>
    <w:rsid w:val="00702EB2"/>
    <w:rsid w:val="007036C3"/>
    <w:rsid w:val="00710B65"/>
    <w:rsid w:val="00711E7A"/>
    <w:rsid w:val="00713A23"/>
    <w:rsid w:val="00714EA9"/>
    <w:rsid w:val="0071578B"/>
    <w:rsid w:val="00715952"/>
    <w:rsid w:val="0071689A"/>
    <w:rsid w:val="007178FE"/>
    <w:rsid w:val="00720060"/>
    <w:rsid w:val="00725772"/>
    <w:rsid w:val="00726EC5"/>
    <w:rsid w:val="0072703A"/>
    <w:rsid w:val="00727C89"/>
    <w:rsid w:val="00736212"/>
    <w:rsid w:val="00736562"/>
    <w:rsid w:val="00737BE1"/>
    <w:rsid w:val="0074165C"/>
    <w:rsid w:val="00745762"/>
    <w:rsid w:val="00746B6E"/>
    <w:rsid w:val="007478BA"/>
    <w:rsid w:val="00750693"/>
    <w:rsid w:val="007528AB"/>
    <w:rsid w:val="00752944"/>
    <w:rsid w:val="00755C37"/>
    <w:rsid w:val="0075634C"/>
    <w:rsid w:val="00760170"/>
    <w:rsid w:val="00760707"/>
    <w:rsid w:val="00762A86"/>
    <w:rsid w:val="00763DCA"/>
    <w:rsid w:val="007654CB"/>
    <w:rsid w:val="007675FB"/>
    <w:rsid w:val="00773101"/>
    <w:rsid w:val="00774299"/>
    <w:rsid w:val="0077446B"/>
    <w:rsid w:val="00776D9C"/>
    <w:rsid w:val="007775EA"/>
    <w:rsid w:val="007807F0"/>
    <w:rsid w:val="007809E3"/>
    <w:rsid w:val="00783015"/>
    <w:rsid w:val="0078310C"/>
    <w:rsid w:val="007839C7"/>
    <w:rsid w:val="00783EB6"/>
    <w:rsid w:val="00785982"/>
    <w:rsid w:val="007863FC"/>
    <w:rsid w:val="00786F0D"/>
    <w:rsid w:val="007911D7"/>
    <w:rsid w:val="0079308A"/>
    <w:rsid w:val="00793B18"/>
    <w:rsid w:val="00794BA6"/>
    <w:rsid w:val="0079514C"/>
    <w:rsid w:val="00796C30"/>
    <w:rsid w:val="007976EB"/>
    <w:rsid w:val="007A2BAF"/>
    <w:rsid w:val="007A5C6B"/>
    <w:rsid w:val="007A7D9F"/>
    <w:rsid w:val="007B08F8"/>
    <w:rsid w:val="007B2894"/>
    <w:rsid w:val="007B30C0"/>
    <w:rsid w:val="007B31B1"/>
    <w:rsid w:val="007B338E"/>
    <w:rsid w:val="007B3784"/>
    <w:rsid w:val="007B62DE"/>
    <w:rsid w:val="007B70A0"/>
    <w:rsid w:val="007C4584"/>
    <w:rsid w:val="007C5868"/>
    <w:rsid w:val="007C7832"/>
    <w:rsid w:val="007D05D8"/>
    <w:rsid w:val="007D1182"/>
    <w:rsid w:val="007D33EC"/>
    <w:rsid w:val="007D78AF"/>
    <w:rsid w:val="007D7E78"/>
    <w:rsid w:val="007E0362"/>
    <w:rsid w:val="007E26C7"/>
    <w:rsid w:val="007E2FF7"/>
    <w:rsid w:val="007E4377"/>
    <w:rsid w:val="007E5306"/>
    <w:rsid w:val="007F0DBF"/>
    <w:rsid w:val="007F37C1"/>
    <w:rsid w:val="007F3E7A"/>
    <w:rsid w:val="007F4AB6"/>
    <w:rsid w:val="007F64EB"/>
    <w:rsid w:val="00802D8A"/>
    <w:rsid w:val="00805C53"/>
    <w:rsid w:val="00806788"/>
    <w:rsid w:val="00810714"/>
    <w:rsid w:val="00814A48"/>
    <w:rsid w:val="008154AB"/>
    <w:rsid w:val="00815CC2"/>
    <w:rsid w:val="00821572"/>
    <w:rsid w:val="00825189"/>
    <w:rsid w:val="00825C74"/>
    <w:rsid w:val="00827808"/>
    <w:rsid w:val="00827F7C"/>
    <w:rsid w:val="00830964"/>
    <w:rsid w:val="00831F28"/>
    <w:rsid w:val="00832370"/>
    <w:rsid w:val="00835103"/>
    <w:rsid w:val="00836B02"/>
    <w:rsid w:val="00836D15"/>
    <w:rsid w:val="008439F5"/>
    <w:rsid w:val="00845C82"/>
    <w:rsid w:val="00847375"/>
    <w:rsid w:val="0085028A"/>
    <w:rsid w:val="0085512E"/>
    <w:rsid w:val="00860B92"/>
    <w:rsid w:val="008611CB"/>
    <w:rsid w:val="00863BED"/>
    <w:rsid w:val="00863C2F"/>
    <w:rsid w:val="0086493F"/>
    <w:rsid w:val="00865161"/>
    <w:rsid w:val="00866AF8"/>
    <w:rsid w:val="00867F0D"/>
    <w:rsid w:val="00867F8E"/>
    <w:rsid w:val="00867FE9"/>
    <w:rsid w:val="00871B43"/>
    <w:rsid w:val="00872A0C"/>
    <w:rsid w:val="00873B81"/>
    <w:rsid w:val="00873D17"/>
    <w:rsid w:val="00875665"/>
    <w:rsid w:val="00875DF0"/>
    <w:rsid w:val="008773BF"/>
    <w:rsid w:val="00877E0C"/>
    <w:rsid w:val="00877E4C"/>
    <w:rsid w:val="0088001A"/>
    <w:rsid w:val="0088010C"/>
    <w:rsid w:val="00880110"/>
    <w:rsid w:val="008806EA"/>
    <w:rsid w:val="008810A2"/>
    <w:rsid w:val="00884629"/>
    <w:rsid w:val="00885FDA"/>
    <w:rsid w:val="00886304"/>
    <w:rsid w:val="00886BD7"/>
    <w:rsid w:val="00886D07"/>
    <w:rsid w:val="00887D99"/>
    <w:rsid w:val="00891242"/>
    <w:rsid w:val="008913C6"/>
    <w:rsid w:val="00892C6A"/>
    <w:rsid w:val="0089672D"/>
    <w:rsid w:val="00896D6B"/>
    <w:rsid w:val="008A663C"/>
    <w:rsid w:val="008A68CE"/>
    <w:rsid w:val="008B0961"/>
    <w:rsid w:val="008B22B8"/>
    <w:rsid w:val="008B3386"/>
    <w:rsid w:val="008B3937"/>
    <w:rsid w:val="008B450D"/>
    <w:rsid w:val="008B5DA8"/>
    <w:rsid w:val="008C053F"/>
    <w:rsid w:val="008C22E8"/>
    <w:rsid w:val="008C3A85"/>
    <w:rsid w:val="008C464B"/>
    <w:rsid w:val="008C6904"/>
    <w:rsid w:val="008C724B"/>
    <w:rsid w:val="008D0457"/>
    <w:rsid w:val="008D047C"/>
    <w:rsid w:val="008D2D04"/>
    <w:rsid w:val="008D3126"/>
    <w:rsid w:val="008D40F6"/>
    <w:rsid w:val="008D7B66"/>
    <w:rsid w:val="008D7CEA"/>
    <w:rsid w:val="008E0407"/>
    <w:rsid w:val="008E0A8E"/>
    <w:rsid w:val="008E39C2"/>
    <w:rsid w:val="008E4476"/>
    <w:rsid w:val="008E7090"/>
    <w:rsid w:val="008F0942"/>
    <w:rsid w:val="008F1A01"/>
    <w:rsid w:val="008F3B8B"/>
    <w:rsid w:val="008F3FF7"/>
    <w:rsid w:val="008F6C5D"/>
    <w:rsid w:val="008F7FF6"/>
    <w:rsid w:val="009022B4"/>
    <w:rsid w:val="009034BA"/>
    <w:rsid w:val="00905333"/>
    <w:rsid w:val="009071C8"/>
    <w:rsid w:val="00907CCE"/>
    <w:rsid w:val="00911F1A"/>
    <w:rsid w:val="00911FC4"/>
    <w:rsid w:val="0091236E"/>
    <w:rsid w:val="009153F9"/>
    <w:rsid w:val="00917519"/>
    <w:rsid w:val="009178E9"/>
    <w:rsid w:val="00917913"/>
    <w:rsid w:val="00917DD2"/>
    <w:rsid w:val="00920BE9"/>
    <w:rsid w:val="00921BEB"/>
    <w:rsid w:val="009228CE"/>
    <w:rsid w:val="00925422"/>
    <w:rsid w:val="00925CD3"/>
    <w:rsid w:val="00926C66"/>
    <w:rsid w:val="00927668"/>
    <w:rsid w:val="00930455"/>
    <w:rsid w:val="0093049F"/>
    <w:rsid w:val="00932E2B"/>
    <w:rsid w:val="00935260"/>
    <w:rsid w:val="009378C9"/>
    <w:rsid w:val="00937E0B"/>
    <w:rsid w:val="00940966"/>
    <w:rsid w:val="009419B1"/>
    <w:rsid w:val="009424CE"/>
    <w:rsid w:val="009441FA"/>
    <w:rsid w:val="00944586"/>
    <w:rsid w:val="009449D3"/>
    <w:rsid w:val="00946478"/>
    <w:rsid w:val="00950DC7"/>
    <w:rsid w:val="0095264D"/>
    <w:rsid w:val="00954A48"/>
    <w:rsid w:val="009568BD"/>
    <w:rsid w:val="00962F24"/>
    <w:rsid w:val="00962F66"/>
    <w:rsid w:val="00963F24"/>
    <w:rsid w:val="00966E1E"/>
    <w:rsid w:val="00967EC0"/>
    <w:rsid w:val="00970FE7"/>
    <w:rsid w:val="00972512"/>
    <w:rsid w:val="00972A9A"/>
    <w:rsid w:val="009739E4"/>
    <w:rsid w:val="00974051"/>
    <w:rsid w:val="00974F10"/>
    <w:rsid w:val="009756A6"/>
    <w:rsid w:val="00980DE3"/>
    <w:rsid w:val="009842FF"/>
    <w:rsid w:val="00984DA2"/>
    <w:rsid w:val="009850E4"/>
    <w:rsid w:val="009858FA"/>
    <w:rsid w:val="009862BE"/>
    <w:rsid w:val="009865A0"/>
    <w:rsid w:val="00995EA8"/>
    <w:rsid w:val="009A2A4F"/>
    <w:rsid w:val="009A54D9"/>
    <w:rsid w:val="009B0F06"/>
    <w:rsid w:val="009B32E9"/>
    <w:rsid w:val="009B38D6"/>
    <w:rsid w:val="009B4B1A"/>
    <w:rsid w:val="009C0354"/>
    <w:rsid w:val="009C1785"/>
    <w:rsid w:val="009C2595"/>
    <w:rsid w:val="009C3185"/>
    <w:rsid w:val="009C4273"/>
    <w:rsid w:val="009C465F"/>
    <w:rsid w:val="009C551E"/>
    <w:rsid w:val="009C5803"/>
    <w:rsid w:val="009C5AA6"/>
    <w:rsid w:val="009D05F2"/>
    <w:rsid w:val="009D1772"/>
    <w:rsid w:val="009D1F2D"/>
    <w:rsid w:val="009D41AB"/>
    <w:rsid w:val="009D6A2E"/>
    <w:rsid w:val="009D6C94"/>
    <w:rsid w:val="009D6E28"/>
    <w:rsid w:val="009E0294"/>
    <w:rsid w:val="009E0C3C"/>
    <w:rsid w:val="009E0F43"/>
    <w:rsid w:val="009E379D"/>
    <w:rsid w:val="009E4F70"/>
    <w:rsid w:val="009E6148"/>
    <w:rsid w:val="009F1AF8"/>
    <w:rsid w:val="009F2F4E"/>
    <w:rsid w:val="009F343E"/>
    <w:rsid w:val="009F3F87"/>
    <w:rsid w:val="009F4DDF"/>
    <w:rsid w:val="009F578A"/>
    <w:rsid w:val="009F5AEA"/>
    <w:rsid w:val="00A01394"/>
    <w:rsid w:val="00A04599"/>
    <w:rsid w:val="00A1091A"/>
    <w:rsid w:val="00A10AF1"/>
    <w:rsid w:val="00A10DE1"/>
    <w:rsid w:val="00A11405"/>
    <w:rsid w:val="00A11F43"/>
    <w:rsid w:val="00A1623E"/>
    <w:rsid w:val="00A1675A"/>
    <w:rsid w:val="00A16B15"/>
    <w:rsid w:val="00A17343"/>
    <w:rsid w:val="00A17AA3"/>
    <w:rsid w:val="00A20421"/>
    <w:rsid w:val="00A22023"/>
    <w:rsid w:val="00A221B1"/>
    <w:rsid w:val="00A22E17"/>
    <w:rsid w:val="00A27413"/>
    <w:rsid w:val="00A30169"/>
    <w:rsid w:val="00A36401"/>
    <w:rsid w:val="00A42EA0"/>
    <w:rsid w:val="00A432D6"/>
    <w:rsid w:val="00A43BA1"/>
    <w:rsid w:val="00A43D5F"/>
    <w:rsid w:val="00A462F5"/>
    <w:rsid w:val="00A47E5F"/>
    <w:rsid w:val="00A527BC"/>
    <w:rsid w:val="00A53D18"/>
    <w:rsid w:val="00A54492"/>
    <w:rsid w:val="00A544A9"/>
    <w:rsid w:val="00A5514F"/>
    <w:rsid w:val="00A56559"/>
    <w:rsid w:val="00A60999"/>
    <w:rsid w:val="00A639A2"/>
    <w:rsid w:val="00A63EEF"/>
    <w:rsid w:val="00A6483C"/>
    <w:rsid w:val="00A64908"/>
    <w:rsid w:val="00A67E21"/>
    <w:rsid w:val="00A72D83"/>
    <w:rsid w:val="00A72E9B"/>
    <w:rsid w:val="00A73A7D"/>
    <w:rsid w:val="00A7432D"/>
    <w:rsid w:val="00A744A7"/>
    <w:rsid w:val="00A75E8B"/>
    <w:rsid w:val="00A778AD"/>
    <w:rsid w:val="00A8144F"/>
    <w:rsid w:val="00A820C3"/>
    <w:rsid w:val="00A834A0"/>
    <w:rsid w:val="00A8446F"/>
    <w:rsid w:val="00A86363"/>
    <w:rsid w:val="00A932B3"/>
    <w:rsid w:val="00A9397D"/>
    <w:rsid w:val="00A93AB6"/>
    <w:rsid w:val="00A94DEE"/>
    <w:rsid w:val="00A962E1"/>
    <w:rsid w:val="00A97166"/>
    <w:rsid w:val="00AA01EB"/>
    <w:rsid w:val="00AA2C5A"/>
    <w:rsid w:val="00AA5587"/>
    <w:rsid w:val="00AA5BC8"/>
    <w:rsid w:val="00AA5E48"/>
    <w:rsid w:val="00AA6282"/>
    <w:rsid w:val="00AB1FF3"/>
    <w:rsid w:val="00AB2FF9"/>
    <w:rsid w:val="00AB3394"/>
    <w:rsid w:val="00AB35F5"/>
    <w:rsid w:val="00AB369F"/>
    <w:rsid w:val="00AB5BFD"/>
    <w:rsid w:val="00AB6E5C"/>
    <w:rsid w:val="00AB760F"/>
    <w:rsid w:val="00AC159E"/>
    <w:rsid w:val="00AC1D2D"/>
    <w:rsid w:val="00AD1042"/>
    <w:rsid w:val="00AD141D"/>
    <w:rsid w:val="00AD7C42"/>
    <w:rsid w:val="00AE1384"/>
    <w:rsid w:val="00AE178A"/>
    <w:rsid w:val="00AE6EB2"/>
    <w:rsid w:val="00AE7563"/>
    <w:rsid w:val="00AE7F5E"/>
    <w:rsid w:val="00AF072D"/>
    <w:rsid w:val="00AF0C66"/>
    <w:rsid w:val="00AF52CC"/>
    <w:rsid w:val="00B00C2C"/>
    <w:rsid w:val="00B01895"/>
    <w:rsid w:val="00B03C0E"/>
    <w:rsid w:val="00B03EBE"/>
    <w:rsid w:val="00B04DD5"/>
    <w:rsid w:val="00B060DE"/>
    <w:rsid w:val="00B06750"/>
    <w:rsid w:val="00B11393"/>
    <w:rsid w:val="00B114E8"/>
    <w:rsid w:val="00B11858"/>
    <w:rsid w:val="00B12931"/>
    <w:rsid w:val="00B129D2"/>
    <w:rsid w:val="00B2076A"/>
    <w:rsid w:val="00B2089D"/>
    <w:rsid w:val="00B22C9A"/>
    <w:rsid w:val="00B23E38"/>
    <w:rsid w:val="00B2425C"/>
    <w:rsid w:val="00B27FE0"/>
    <w:rsid w:val="00B346F3"/>
    <w:rsid w:val="00B3587D"/>
    <w:rsid w:val="00B35BF3"/>
    <w:rsid w:val="00B407D8"/>
    <w:rsid w:val="00B40D14"/>
    <w:rsid w:val="00B41E5B"/>
    <w:rsid w:val="00B45273"/>
    <w:rsid w:val="00B46D0A"/>
    <w:rsid w:val="00B50764"/>
    <w:rsid w:val="00B50809"/>
    <w:rsid w:val="00B50E1D"/>
    <w:rsid w:val="00B51BF9"/>
    <w:rsid w:val="00B5407E"/>
    <w:rsid w:val="00B554D2"/>
    <w:rsid w:val="00B576E4"/>
    <w:rsid w:val="00B57D6C"/>
    <w:rsid w:val="00B620FE"/>
    <w:rsid w:val="00B6513C"/>
    <w:rsid w:val="00B66D61"/>
    <w:rsid w:val="00B71EB4"/>
    <w:rsid w:val="00B73210"/>
    <w:rsid w:val="00B7479E"/>
    <w:rsid w:val="00B74B22"/>
    <w:rsid w:val="00B7544A"/>
    <w:rsid w:val="00B7669B"/>
    <w:rsid w:val="00B77350"/>
    <w:rsid w:val="00B80E11"/>
    <w:rsid w:val="00B815EF"/>
    <w:rsid w:val="00B825D0"/>
    <w:rsid w:val="00B833F7"/>
    <w:rsid w:val="00B83893"/>
    <w:rsid w:val="00B84B20"/>
    <w:rsid w:val="00B85706"/>
    <w:rsid w:val="00B86F0F"/>
    <w:rsid w:val="00B90984"/>
    <w:rsid w:val="00B94C3E"/>
    <w:rsid w:val="00B96DD9"/>
    <w:rsid w:val="00BA0B0C"/>
    <w:rsid w:val="00BB0318"/>
    <w:rsid w:val="00BB0A17"/>
    <w:rsid w:val="00BB1809"/>
    <w:rsid w:val="00BB2AF1"/>
    <w:rsid w:val="00BB30E8"/>
    <w:rsid w:val="00BB3277"/>
    <w:rsid w:val="00BC1961"/>
    <w:rsid w:val="00BC1F89"/>
    <w:rsid w:val="00BC6CE7"/>
    <w:rsid w:val="00BC73F1"/>
    <w:rsid w:val="00BD0C4C"/>
    <w:rsid w:val="00BD205D"/>
    <w:rsid w:val="00BD2B44"/>
    <w:rsid w:val="00BD6209"/>
    <w:rsid w:val="00BD6819"/>
    <w:rsid w:val="00BE1903"/>
    <w:rsid w:val="00BE2560"/>
    <w:rsid w:val="00BE501B"/>
    <w:rsid w:val="00BF06AD"/>
    <w:rsid w:val="00BF5534"/>
    <w:rsid w:val="00BF682B"/>
    <w:rsid w:val="00C001CC"/>
    <w:rsid w:val="00C05441"/>
    <w:rsid w:val="00C06177"/>
    <w:rsid w:val="00C061C1"/>
    <w:rsid w:val="00C0645F"/>
    <w:rsid w:val="00C100EA"/>
    <w:rsid w:val="00C15184"/>
    <w:rsid w:val="00C203F6"/>
    <w:rsid w:val="00C25CC6"/>
    <w:rsid w:val="00C26CF3"/>
    <w:rsid w:val="00C2795C"/>
    <w:rsid w:val="00C30065"/>
    <w:rsid w:val="00C303DB"/>
    <w:rsid w:val="00C30923"/>
    <w:rsid w:val="00C312F7"/>
    <w:rsid w:val="00C32170"/>
    <w:rsid w:val="00C37DE3"/>
    <w:rsid w:val="00C43AE8"/>
    <w:rsid w:val="00C505AF"/>
    <w:rsid w:val="00C50D2A"/>
    <w:rsid w:val="00C50F4A"/>
    <w:rsid w:val="00C5171F"/>
    <w:rsid w:val="00C549F0"/>
    <w:rsid w:val="00C55E97"/>
    <w:rsid w:val="00C56239"/>
    <w:rsid w:val="00C56330"/>
    <w:rsid w:val="00C609A2"/>
    <w:rsid w:val="00C61607"/>
    <w:rsid w:val="00C62413"/>
    <w:rsid w:val="00C63979"/>
    <w:rsid w:val="00C6406F"/>
    <w:rsid w:val="00C679DE"/>
    <w:rsid w:val="00C71993"/>
    <w:rsid w:val="00C72B69"/>
    <w:rsid w:val="00C736C8"/>
    <w:rsid w:val="00C752C0"/>
    <w:rsid w:val="00C7592F"/>
    <w:rsid w:val="00C8383F"/>
    <w:rsid w:val="00C84BE7"/>
    <w:rsid w:val="00C85E61"/>
    <w:rsid w:val="00C94072"/>
    <w:rsid w:val="00C96CEB"/>
    <w:rsid w:val="00CA01FD"/>
    <w:rsid w:val="00CA0DCF"/>
    <w:rsid w:val="00CA35C1"/>
    <w:rsid w:val="00CA3F77"/>
    <w:rsid w:val="00CA4E88"/>
    <w:rsid w:val="00CA6788"/>
    <w:rsid w:val="00CA78B7"/>
    <w:rsid w:val="00CB0C0C"/>
    <w:rsid w:val="00CB1FF8"/>
    <w:rsid w:val="00CB29DF"/>
    <w:rsid w:val="00CB4991"/>
    <w:rsid w:val="00CB4BAA"/>
    <w:rsid w:val="00CB669C"/>
    <w:rsid w:val="00CB6CFE"/>
    <w:rsid w:val="00CB7A26"/>
    <w:rsid w:val="00CC4183"/>
    <w:rsid w:val="00CC6007"/>
    <w:rsid w:val="00CC6C70"/>
    <w:rsid w:val="00CD08F0"/>
    <w:rsid w:val="00CD0D6C"/>
    <w:rsid w:val="00CD0F30"/>
    <w:rsid w:val="00CD1ECC"/>
    <w:rsid w:val="00CD2680"/>
    <w:rsid w:val="00CD50D0"/>
    <w:rsid w:val="00CD6B94"/>
    <w:rsid w:val="00CD6CDB"/>
    <w:rsid w:val="00CD7CB7"/>
    <w:rsid w:val="00CE0C77"/>
    <w:rsid w:val="00CE50B7"/>
    <w:rsid w:val="00CE5F66"/>
    <w:rsid w:val="00CE607D"/>
    <w:rsid w:val="00CE644B"/>
    <w:rsid w:val="00CE738C"/>
    <w:rsid w:val="00CE7EF5"/>
    <w:rsid w:val="00CF01AA"/>
    <w:rsid w:val="00CF33D9"/>
    <w:rsid w:val="00CF343F"/>
    <w:rsid w:val="00CF5F9E"/>
    <w:rsid w:val="00CF6DD2"/>
    <w:rsid w:val="00CF7903"/>
    <w:rsid w:val="00D00A1E"/>
    <w:rsid w:val="00D06CFD"/>
    <w:rsid w:val="00D12EBC"/>
    <w:rsid w:val="00D13C2F"/>
    <w:rsid w:val="00D16993"/>
    <w:rsid w:val="00D16C3D"/>
    <w:rsid w:val="00D17825"/>
    <w:rsid w:val="00D203A0"/>
    <w:rsid w:val="00D204F3"/>
    <w:rsid w:val="00D20637"/>
    <w:rsid w:val="00D2302A"/>
    <w:rsid w:val="00D23829"/>
    <w:rsid w:val="00D23F78"/>
    <w:rsid w:val="00D24A90"/>
    <w:rsid w:val="00D252D5"/>
    <w:rsid w:val="00D26879"/>
    <w:rsid w:val="00D30328"/>
    <w:rsid w:val="00D3172E"/>
    <w:rsid w:val="00D32311"/>
    <w:rsid w:val="00D347B1"/>
    <w:rsid w:val="00D34906"/>
    <w:rsid w:val="00D406AB"/>
    <w:rsid w:val="00D41797"/>
    <w:rsid w:val="00D42293"/>
    <w:rsid w:val="00D43D6D"/>
    <w:rsid w:val="00D44C99"/>
    <w:rsid w:val="00D47685"/>
    <w:rsid w:val="00D51668"/>
    <w:rsid w:val="00D51EDD"/>
    <w:rsid w:val="00D52C51"/>
    <w:rsid w:val="00D52E17"/>
    <w:rsid w:val="00D55019"/>
    <w:rsid w:val="00D57124"/>
    <w:rsid w:val="00D576D7"/>
    <w:rsid w:val="00D600FC"/>
    <w:rsid w:val="00D60D49"/>
    <w:rsid w:val="00D6142C"/>
    <w:rsid w:val="00D6359D"/>
    <w:rsid w:val="00D63720"/>
    <w:rsid w:val="00D63CAF"/>
    <w:rsid w:val="00D65BA3"/>
    <w:rsid w:val="00D65EE4"/>
    <w:rsid w:val="00D67C75"/>
    <w:rsid w:val="00D71923"/>
    <w:rsid w:val="00D71BB0"/>
    <w:rsid w:val="00D72648"/>
    <w:rsid w:val="00D72AC3"/>
    <w:rsid w:val="00D72E8A"/>
    <w:rsid w:val="00D76477"/>
    <w:rsid w:val="00D77120"/>
    <w:rsid w:val="00D80840"/>
    <w:rsid w:val="00D81314"/>
    <w:rsid w:val="00D8313E"/>
    <w:rsid w:val="00D83F15"/>
    <w:rsid w:val="00D866AA"/>
    <w:rsid w:val="00D86CE7"/>
    <w:rsid w:val="00D90564"/>
    <w:rsid w:val="00D931D6"/>
    <w:rsid w:val="00D9399F"/>
    <w:rsid w:val="00D962A5"/>
    <w:rsid w:val="00D96982"/>
    <w:rsid w:val="00D969F3"/>
    <w:rsid w:val="00D97E05"/>
    <w:rsid w:val="00DA6404"/>
    <w:rsid w:val="00DB1EC4"/>
    <w:rsid w:val="00DB32BC"/>
    <w:rsid w:val="00DB3479"/>
    <w:rsid w:val="00DB4E40"/>
    <w:rsid w:val="00DC61AA"/>
    <w:rsid w:val="00DD146A"/>
    <w:rsid w:val="00DD17A3"/>
    <w:rsid w:val="00DD1B89"/>
    <w:rsid w:val="00DD77BA"/>
    <w:rsid w:val="00DE06A0"/>
    <w:rsid w:val="00DE530F"/>
    <w:rsid w:val="00DE620D"/>
    <w:rsid w:val="00DE6A43"/>
    <w:rsid w:val="00DE6FEC"/>
    <w:rsid w:val="00DF1D30"/>
    <w:rsid w:val="00DF2633"/>
    <w:rsid w:val="00DF2CBC"/>
    <w:rsid w:val="00DF2E71"/>
    <w:rsid w:val="00DF4FF5"/>
    <w:rsid w:val="00DF602E"/>
    <w:rsid w:val="00E01A36"/>
    <w:rsid w:val="00E01D15"/>
    <w:rsid w:val="00E02A87"/>
    <w:rsid w:val="00E041AF"/>
    <w:rsid w:val="00E05BB1"/>
    <w:rsid w:val="00E06012"/>
    <w:rsid w:val="00E10484"/>
    <w:rsid w:val="00E117D3"/>
    <w:rsid w:val="00E1220E"/>
    <w:rsid w:val="00E122A5"/>
    <w:rsid w:val="00E152A1"/>
    <w:rsid w:val="00E153CB"/>
    <w:rsid w:val="00E17460"/>
    <w:rsid w:val="00E21F9F"/>
    <w:rsid w:val="00E241DF"/>
    <w:rsid w:val="00E24420"/>
    <w:rsid w:val="00E24494"/>
    <w:rsid w:val="00E24988"/>
    <w:rsid w:val="00E25EB4"/>
    <w:rsid w:val="00E26510"/>
    <w:rsid w:val="00E26DB1"/>
    <w:rsid w:val="00E3113C"/>
    <w:rsid w:val="00E31DD8"/>
    <w:rsid w:val="00E3254D"/>
    <w:rsid w:val="00E338BD"/>
    <w:rsid w:val="00E34B6C"/>
    <w:rsid w:val="00E34EA6"/>
    <w:rsid w:val="00E350D6"/>
    <w:rsid w:val="00E359A1"/>
    <w:rsid w:val="00E36C76"/>
    <w:rsid w:val="00E36DB1"/>
    <w:rsid w:val="00E3731F"/>
    <w:rsid w:val="00E40BE4"/>
    <w:rsid w:val="00E44260"/>
    <w:rsid w:val="00E4529E"/>
    <w:rsid w:val="00E45796"/>
    <w:rsid w:val="00E47AB8"/>
    <w:rsid w:val="00E50A17"/>
    <w:rsid w:val="00E5108E"/>
    <w:rsid w:val="00E51109"/>
    <w:rsid w:val="00E512EE"/>
    <w:rsid w:val="00E51857"/>
    <w:rsid w:val="00E51E64"/>
    <w:rsid w:val="00E52E6F"/>
    <w:rsid w:val="00E54CB6"/>
    <w:rsid w:val="00E5764D"/>
    <w:rsid w:val="00E62011"/>
    <w:rsid w:val="00E6281C"/>
    <w:rsid w:val="00E6453C"/>
    <w:rsid w:val="00E6464B"/>
    <w:rsid w:val="00E67497"/>
    <w:rsid w:val="00E743E2"/>
    <w:rsid w:val="00E74977"/>
    <w:rsid w:val="00E7589A"/>
    <w:rsid w:val="00E7596B"/>
    <w:rsid w:val="00E767A3"/>
    <w:rsid w:val="00E817AE"/>
    <w:rsid w:val="00E82A87"/>
    <w:rsid w:val="00E87CC1"/>
    <w:rsid w:val="00E911FD"/>
    <w:rsid w:val="00E913C2"/>
    <w:rsid w:val="00E9178F"/>
    <w:rsid w:val="00E92044"/>
    <w:rsid w:val="00E95BFD"/>
    <w:rsid w:val="00E962D0"/>
    <w:rsid w:val="00EA1742"/>
    <w:rsid w:val="00EA3439"/>
    <w:rsid w:val="00EA3C04"/>
    <w:rsid w:val="00EA3F1A"/>
    <w:rsid w:val="00EA4D72"/>
    <w:rsid w:val="00EA5262"/>
    <w:rsid w:val="00EA57BF"/>
    <w:rsid w:val="00EA6455"/>
    <w:rsid w:val="00EB3CE7"/>
    <w:rsid w:val="00EB42B6"/>
    <w:rsid w:val="00EB7CBF"/>
    <w:rsid w:val="00EC0A17"/>
    <w:rsid w:val="00EC16C3"/>
    <w:rsid w:val="00EC288E"/>
    <w:rsid w:val="00EC3F2B"/>
    <w:rsid w:val="00EC4A0B"/>
    <w:rsid w:val="00EC5E62"/>
    <w:rsid w:val="00ED16D1"/>
    <w:rsid w:val="00ED46AD"/>
    <w:rsid w:val="00ED4CDF"/>
    <w:rsid w:val="00ED5035"/>
    <w:rsid w:val="00ED51D2"/>
    <w:rsid w:val="00ED68B3"/>
    <w:rsid w:val="00ED78E8"/>
    <w:rsid w:val="00ED7EEC"/>
    <w:rsid w:val="00EE1691"/>
    <w:rsid w:val="00EE64C2"/>
    <w:rsid w:val="00EE6660"/>
    <w:rsid w:val="00EE698D"/>
    <w:rsid w:val="00EE7729"/>
    <w:rsid w:val="00EF261F"/>
    <w:rsid w:val="00F01463"/>
    <w:rsid w:val="00F01884"/>
    <w:rsid w:val="00F0459D"/>
    <w:rsid w:val="00F10E6D"/>
    <w:rsid w:val="00F1169B"/>
    <w:rsid w:val="00F148AE"/>
    <w:rsid w:val="00F14A27"/>
    <w:rsid w:val="00F15B04"/>
    <w:rsid w:val="00F20444"/>
    <w:rsid w:val="00F20D03"/>
    <w:rsid w:val="00F23F57"/>
    <w:rsid w:val="00F25AE9"/>
    <w:rsid w:val="00F267FA"/>
    <w:rsid w:val="00F27373"/>
    <w:rsid w:val="00F27678"/>
    <w:rsid w:val="00F30AB0"/>
    <w:rsid w:val="00F3100E"/>
    <w:rsid w:val="00F3246A"/>
    <w:rsid w:val="00F3255B"/>
    <w:rsid w:val="00F3609C"/>
    <w:rsid w:val="00F4048D"/>
    <w:rsid w:val="00F408C3"/>
    <w:rsid w:val="00F43CC8"/>
    <w:rsid w:val="00F45BDE"/>
    <w:rsid w:val="00F475CF"/>
    <w:rsid w:val="00F537C8"/>
    <w:rsid w:val="00F54A5A"/>
    <w:rsid w:val="00F569A0"/>
    <w:rsid w:val="00F6315A"/>
    <w:rsid w:val="00F65891"/>
    <w:rsid w:val="00F65D5F"/>
    <w:rsid w:val="00F66449"/>
    <w:rsid w:val="00F731D7"/>
    <w:rsid w:val="00F74896"/>
    <w:rsid w:val="00F7578C"/>
    <w:rsid w:val="00F75D44"/>
    <w:rsid w:val="00F823FD"/>
    <w:rsid w:val="00F8447B"/>
    <w:rsid w:val="00F86759"/>
    <w:rsid w:val="00F877DA"/>
    <w:rsid w:val="00F8790B"/>
    <w:rsid w:val="00F90AA1"/>
    <w:rsid w:val="00F9692D"/>
    <w:rsid w:val="00F96EF4"/>
    <w:rsid w:val="00F97CAE"/>
    <w:rsid w:val="00FA2989"/>
    <w:rsid w:val="00FA4037"/>
    <w:rsid w:val="00FB32D4"/>
    <w:rsid w:val="00FB33CC"/>
    <w:rsid w:val="00FB6492"/>
    <w:rsid w:val="00FB755C"/>
    <w:rsid w:val="00FC5BAB"/>
    <w:rsid w:val="00FD26E4"/>
    <w:rsid w:val="00FD26EB"/>
    <w:rsid w:val="00FE0D41"/>
    <w:rsid w:val="00FE0FC4"/>
    <w:rsid w:val="00FE1E97"/>
    <w:rsid w:val="00FE381B"/>
    <w:rsid w:val="00FE3995"/>
    <w:rsid w:val="00FE3AF4"/>
    <w:rsid w:val="00FE3F8F"/>
    <w:rsid w:val="00FE43C4"/>
    <w:rsid w:val="00FE43F4"/>
    <w:rsid w:val="00FE55EB"/>
    <w:rsid w:val="00FE5E23"/>
    <w:rsid w:val="00FF1DA8"/>
    <w:rsid w:val="00FF3748"/>
    <w:rsid w:val="00FF395A"/>
    <w:rsid w:val="00FF6CF1"/>
    <w:rsid w:val="4452B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38D7F"/>
  <w15:chartTrackingRefBased/>
  <w15:docId w15:val="{D576FEEB-04AB-CF4D-9D9E-406383962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F9F"/>
    <w:rPr>
      <w:rFonts w:ascii="Times New Roman" w:eastAsia="Times New Roman" w:hAnsi="Times New Roman" w:cs="Times New Roman"/>
    </w:rPr>
  </w:style>
  <w:style w:type="paragraph" w:styleId="Heading1">
    <w:name w:val="heading 1"/>
    <w:basedOn w:val="Normal"/>
    <w:next w:val="Normal"/>
    <w:link w:val="Heading1Char"/>
    <w:uiPriority w:val="9"/>
    <w:qFormat/>
    <w:rsid w:val="00E21F9F"/>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E21F9F"/>
    <w:pPr>
      <w:keepNext/>
      <w:keepLines/>
      <w:spacing w:before="280" w:after="240"/>
      <w:outlineLvl w:val="1"/>
    </w:pPr>
    <w:rPr>
      <w:rFonts w:ascii="Arial" w:eastAsiaTheme="majorEastAsia" w:hAnsi="Arial" w:cstheme="majorBidi"/>
      <w:b/>
      <w:sz w:val="22"/>
      <w:szCs w:val="32"/>
    </w:rPr>
  </w:style>
  <w:style w:type="paragraph" w:styleId="Heading3">
    <w:name w:val="heading 3"/>
    <w:basedOn w:val="Normal"/>
    <w:link w:val="Heading3Char"/>
    <w:uiPriority w:val="9"/>
    <w:unhideWhenUsed/>
    <w:qFormat/>
    <w:rsid w:val="00E21F9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E21F9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21F9F"/>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21F9F"/>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755E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F9F"/>
    <w:rPr>
      <w:rFonts w:ascii="Times New Roman" w:eastAsia="Times New Roman" w:hAnsi="Times New Roman" w:cs="Times New Roman"/>
      <w:b/>
      <w:sz w:val="48"/>
      <w:szCs w:val="48"/>
    </w:rPr>
  </w:style>
  <w:style w:type="character" w:customStyle="1" w:styleId="Heading2Char">
    <w:name w:val="Heading 2 Char"/>
    <w:basedOn w:val="DefaultParagraphFont"/>
    <w:link w:val="Heading2"/>
    <w:uiPriority w:val="9"/>
    <w:rsid w:val="00E21F9F"/>
    <w:rPr>
      <w:rFonts w:ascii="Arial" w:eastAsiaTheme="majorEastAsia" w:hAnsi="Arial" w:cstheme="majorBidi"/>
      <w:b/>
      <w:sz w:val="22"/>
      <w:szCs w:val="32"/>
    </w:rPr>
  </w:style>
  <w:style w:type="character" w:customStyle="1" w:styleId="Heading3Char">
    <w:name w:val="Heading 3 Char"/>
    <w:basedOn w:val="DefaultParagraphFont"/>
    <w:link w:val="Heading3"/>
    <w:uiPriority w:val="9"/>
    <w:rsid w:val="00E21F9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21F9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21F9F"/>
    <w:rPr>
      <w:rFonts w:ascii="Times New Roman" w:eastAsia="Times New Roman" w:hAnsi="Times New Roman" w:cs="Times New Roman"/>
      <w:b/>
      <w:sz w:val="22"/>
      <w:szCs w:val="22"/>
    </w:rPr>
  </w:style>
  <w:style w:type="character" w:customStyle="1" w:styleId="Heading6Char">
    <w:name w:val="Heading 6 Char"/>
    <w:basedOn w:val="DefaultParagraphFont"/>
    <w:link w:val="Heading6"/>
    <w:uiPriority w:val="9"/>
    <w:semiHidden/>
    <w:rsid w:val="00E21F9F"/>
    <w:rPr>
      <w:rFonts w:ascii="Times New Roman" w:eastAsia="Times New Roman" w:hAnsi="Times New Roman" w:cs="Times New Roman"/>
      <w:b/>
      <w:sz w:val="20"/>
      <w:szCs w:val="20"/>
    </w:rPr>
  </w:style>
  <w:style w:type="character" w:customStyle="1" w:styleId="apple-converted-space">
    <w:name w:val="apple-converted-space"/>
    <w:basedOn w:val="DefaultParagraphFont"/>
    <w:rsid w:val="00E21F9F"/>
  </w:style>
  <w:style w:type="paragraph" w:styleId="Title">
    <w:name w:val="Title"/>
    <w:basedOn w:val="Normal"/>
    <w:next w:val="Normal"/>
    <w:link w:val="TitleChar"/>
    <w:uiPriority w:val="10"/>
    <w:qFormat/>
    <w:rsid w:val="00E21F9F"/>
    <w:pPr>
      <w:keepNext/>
      <w:keepLines/>
      <w:spacing w:before="480" w:after="120"/>
    </w:pPr>
    <w:rPr>
      <w:b/>
      <w:sz w:val="72"/>
      <w:szCs w:val="72"/>
    </w:rPr>
  </w:style>
  <w:style w:type="character" w:customStyle="1" w:styleId="TitleChar">
    <w:name w:val="Title Char"/>
    <w:basedOn w:val="DefaultParagraphFont"/>
    <w:link w:val="Title"/>
    <w:uiPriority w:val="10"/>
    <w:rsid w:val="00E21F9F"/>
    <w:rPr>
      <w:rFonts w:ascii="Times New Roman" w:eastAsia="Times New Roman" w:hAnsi="Times New Roman" w:cs="Times New Roman"/>
      <w:b/>
      <w:sz w:val="72"/>
      <w:szCs w:val="72"/>
    </w:rPr>
  </w:style>
  <w:style w:type="character" w:styleId="Hyperlink">
    <w:name w:val="Hyperlink"/>
    <w:basedOn w:val="DefaultParagraphFont"/>
    <w:uiPriority w:val="99"/>
    <w:unhideWhenUsed/>
    <w:rsid w:val="00E21F9F"/>
    <w:rPr>
      <w:color w:val="0000FF"/>
      <w:u w:val="single"/>
    </w:rPr>
  </w:style>
  <w:style w:type="paragraph" w:customStyle="1" w:styleId="Default">
    <w:name w:val="Default"/>
    <w:rsid w:val="00E21F9F"/>
    <w:pPr>
      <w:autoSpaceDE w:val="0"/>
      <w:autoSpaceDN w:val="0"/>
      <w:adjustRightInd w:val="0"/>
    </w:pPr>
    <w:rPr>
      <w:rFonts w:ascii="Times New Roman" w:eastAsia="Times New Roman" w:hAnsi="Times New Roman" w:cs="Times New Roman"/>
      <w:color w:val="000000"/>
    </w:rPr>
  </w:style>
  <w:style w:type="paragraph" w:styleId="NormalWeb">
    <w:name w:val="Normal (Web)"/>
    <w:basedOn w:val="Normal"/>
    <w:uiPriority w:val="99"/>
    <w:semiHidden/>
    <w:unhideWhenUsed/>
    <w:rsid w:val="00E21F9F"/>
    <w:pPr>
      <w:spacing w:before="100" w:beforeAutospacing="1" w:after="100" w:afterAutospacing="1"/>
    </w:pPr>
  </w:style>
  <w:style w:type="character" w:customStyle="1" w:styleId="text-node">
    <w:name w:val="text-node"/>
    <w:basedOn w:val="DefaultParagraphFont"/>
    <w:rsid w:val="00E21F9F"/>
  </w:style>
  <w:style w:type="character" w:styleId="Emphasis">
    <w:name w:val="Emphasis"/>
    <w:basedOn w:val="DefaultParagraphFont"/>
    <w:uiPriority w:val="20"/>
    <w:qFormat/>
    <w:rsid w:val="00E21F9F"/>
    <w:rPr>
      <w:i/>
      <w:iCs/>
    </w:rPr>
  </w:style>
  <w:style w:type="character" w:styleId="FollowedHyperlink">
    <w:name w:val="FollowedHyperlink"/>
    <w:basedOn w:val="DefaultParagraphFont"/>
    <w:uiPriority w:val="99"/>
    <w:semiHidden/>
    <w:unhideWhenUsed/>
    <w:rsid w:val="00E21F9F"/>
    <w:rPr>
      <w:color w:val="954F72" w:themeColor="followedHyperlink"/>
      <w:u w:val="single"/>
    </w:rPr>
  </w:style>
  <w:style w:type="character" w:customStyle="1" w:styleId="UnresolvedMention1">
    <w:name w:val="Unresolved Mention1"/>
    <w:basedOn w:val="DefaultParagraphFont"/>
    <w:uiPriority w:val="99"/>
    <w:semiHidden/>
    <w:unhideWhenUsed/>
    <w:rsid w:val="00E21F9F"/>
    <w:rPr>
      <w:color w:val="605E5C"/>
      <w:shd w:val="clear" w:color="auto" w:fill="E1DFDD"/>
    </w:rPr>
  </w:style>
  <w:style w:type="character" w:styleId="Strong">
    <w:name w:val="Strong"/>
    <w:basedOn w:val="DefaultParagraphFont"/>
    <w:uiPriority w:val="22"/>
    <w:qFormat/>
    <w:rsid w:val="00E21F9F"/>
    <w:rPr>
      <w:b/>
      <w:bCs/>
    </w:rPr>
  </w:style>
  <w:style w:type="character" w:customStyle="1" w:styleId="html-italic">
    <w:name w:val="html-italic"/>
    <w:basedOn w:val="DefaultParagraphFont"/>
    <w:rsid w:val="00E21F9F"/>
  </w:style>
  <w:style w:type="paragraph" w:styleId="ListParagraph">
    <w:name w:val="List Paragraph"/>
    <w:basedOn w:val="Normal"/>
    <w:uiPriority w:val="34"/>
    <w:qFormat/>
    <w:rsid w:val="00E21F9F"/>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E21F9F"/>
    <w:rPr>
      <w:sz w:val="16"/>
      <w:szCs w:val="16"/>
    </w:rPr>
  </w:style>
  <w:style w:type="paragraph" w:styleId="CommentText">
    <w:name w:val="annotation text"/>
    <w:basedOn w:val="Normal"/>
    <w:link w:val="CommentTextChar"/>
    <w:uiPriority w:val="99"/>
    <w:unhideWhenUsed/>
    <w:rsid w:val="00E21F9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21F9F"/>
    <w:rPr>
      <w:sz w:val="20"/>
      <w:szCs w:val="20"/>
    </w:rPr>
  </w:style>
  <w:style w:type="paragraph" w:styleId="CommentSubject">
    <w:name w:val="annotation subject"/>
    <w:basedOn w:val="CommentText"/>
    <w:next w:val="CommentText"/>
    <w:link w:val="CommentSubjectChar"/>
    <w:uiPriority w:val="99"/>
    <w:semiHidden/>
    <w:unhideWhenUsed/>
    <w:rsid w:val="00E21F9F"/>
    <w:rPr>
      <w:b/>
      <w:bCs/>
    </w:rPr>
  </w:style>
  <w:style w:type="character" w:customStyle="1" w:styleId="CommentSubjectChar">
    <w:name w:val="Comment Subject Char"/>
    <w:basedOn w:val="CommentTextChar"/>
    <w:link w:val="CommentSubject"/>
    <w:uiPriority w:val="99"/>
    <w:semiHidden/>
    <w:rsid w:val="00E21F9F"/>
    <w:rPr>
      <w:b/>
      <w:bCs/>
      <w:sz w:val="20"/>
      <w:szCs w:val="20"/>
    </w:rPr>
  </w:style>
  <w:style w:type="character" w:customStyle="1" w:styleId="s2">
    <w:name w:val="s2"/>
    <w:basedOn w:val="DefaultParagraphFont"/>
    <w:rsid w:val="00E21F9F"/>
  </w:style>
  <w:style w:type="character" w:styleId="LineNumber">
    <w:name w:val="line number"/>
    <w:basedOn w:val="DefaultParagraphFont"/>
    <w:uiPriority w:val="99"/>
    <w:semiHidden/>
    <w:unhideWhenUsed/>
    <w:rsid w:val="00E21F9F"/>
  </w:style>
  <w:style w:type="paragraph" w:styleId="Header">
    <w:name w:val="header"/>
    <w:basedOn w:val="Normal"/>
    <w:link w:val="HeaderChar"/>
    <w:uiPriority w:val="99"/>
    <w:unhideWhenUsed/>
    <w:rsid w:val="00E21F9F"/>
    <w:pPr>
      <w:tabs>
        <w:tab w:val="center" w:pos="4680"/>
        <w:tab w:val="right" w:pos="9360"/>
      </w:tabs>
    </w:pPr>
  </w:style>
  <w:style w:type="character" w:customStyle="1" w:styleId="HeaderChar">
    <w:name w:val="Header Char"/>
    <w:basedOn w:val="DefaultParagraphFont"/>
    <w:link w:val="Header"/>
    <w:uiPriority w:val="99"/>
    <w:rsid w:val="00E21F9F"/>
    <w:rPr>
      <w:rFonts w:ascii="Times New Roman" w:eastAsia="Times New Roman" w:hAnsi="Times New Roman" w:cs="Times New Roman"/>
    </w:rPr>
  </w:style>
  <w:style w:type="paragraph" w:styleId="Footer">
    <w:name w:val="footer"/>
    <w:basedOn w:val="Normal"/>
    <w:link w:val="FooterChar"/>
    <w:uiPriority w:val="99"/>
    <w:unhideWhenUsed/>
    <w:rsid w:val="00E21F9F"/>
    <w:pPr>
      <w:tabs>
        <w:tab w:val="center" w:pos="4680"/>
        <w:tab w:val="right" w:pos="9360"/>
      </w:tabs>
    </w:pPr>
  </w:style>
  <w:style w:type="character" w:customStyle="1" w:styleId="FooterChar">
    <w:name w:val="Footer Char"/>
    <w:basedOn w:val="DefaultParagraphFont"/>
    <w:link w:val="Footer"/>
    <w:uiPriority w:val="99"/>
    <w:rsid w:val="00E21F9F"/>
    <w:rPr>
      <w:rFonts w:ascii="Times New Roman" w:eastAsia="Times New Roman" w:hAnsi="Times New Roman" w:cs="Times New Roman"/>
    </w:rPr>
  </w:style>
  <w:style w:type="paragraph" w:styleId="Subtitle">
    <w:name w:val="Subtitle"/>
    <w:basedOn w:val="Normal"/>
    <w:next w:val="Normal"/>
    <w:link w:val="SubtitleChar"/>
    <w:uiPriority w:val="11"/>
    <w:qFormat/>
    <w:rsid w:val="00E21F9F"/>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E21F9F"/>
    <w:rPr>
      <w:rFonts w:ascii="Georgia" w:eastAsia="Georgia" w:hAnsi="Georgia" w:cs="Georgia"/>
      <w:i/>
      <w:color w:val="666666"/>
      <w:sz w:val="48"/>
      <w:szCs w:val="48"/>
    </w:rPr>
  </w:style>
  <w:style w:type="paragraph" w:styleId="Revision">
    <w:name w:val="Revision"/>
    <w:hidden/>
    <w:uiPriority w:val="99"/>
    <w:semiHidden/>
    <w:rsid w:val="00E21F9F"/>
    <w:rPr>
      <w:rFonts w:ascii="Times New Roman" w:eastAsia="Times New Roman" w:hAnsi="Times New Roman" w:cs="Times New Roman"/>
    </w:rPr>
  </w:style>
  <w:style w:type="character" w:customStyle="1" w:styleId="Title1">
    <w:name w:val="Title1"/>
    <w:basedOn w:val="DefaultParagraphFont"/>
    <w:rsid w:val="00E21F9F"/>
  </w:style>
  <w:style w:type="character" w:customStyle="1" w:styleId="authors">
    <w:name w:val="authors"/>
    <w:basedOn w:val="DefaultParagraphFont"/>
    <w:rsid w:val="00E21F9F"/>
  </w:style>
  <w:style w:type="character" w:customStyle="1" w:styleId="figuretitle">
    <w:name w:val="figuretitle"/>
    <w:basedOn w:val="DefaultParagraphFont"/>
    <w:rsid w:val="00E21F9F"/>
  </w:style>
  <w:style w:type="paragraph" w:customStyle="1" w:styleId="reference">
    <w:name w:val="reference"/>
    <w:basedOn w:val="Normal"/>
    <w:rsid w:val="00E21F9F"/>
    <w:pPr>
      <w:spacing w:before="100" w:beforeAutospacing="1" w:after="100" w:afterAutospacing="1"/>
    </w:pPr>
  </w:style>
  <w:style w:type="character" w:styleId="PlaceholderText">
    <w:name w:val="Placeholder Text"/>
    <w:basedOn w:val="DefaultParagraphFont"/>
    <w:uiPriority w:val="99"/>
    <w:semiHidden/>
    <w:rsid w:val="00E21F9F"/>
    <w:rPr>
      <w:color w:val="808080"/>
    </w:rPr>
  </w:style>
  <w:style w:type="paragraph" w:styleId="FootnoteText">
    <w:name w:val="footnote text"/>
    <w:basedOn w:val="Normal"/>
    <w:link w:val="FootnoteTextChar"/>
    <w:uiPriority w:val="99"/>
    <w:semiHidden/>
    <w:unhideWhenUsed/>
    <w:rsid w:val="00E21F9F"/>
    <w:rPr>
      <w:sz w:val="20"/>
      <w:szCs w:val="20"/>
    </w:rPr>
  </w:style>
  <w:style w:type="character" w:customStyle="1" w:styleId="FootnoteTextChar">
    <w:name w:val="Footnote Text Char"/>
    <w:basedOn w:val="DefaultParagraphFont"/>
    <w:link w:val="FootnoteText"/>
    <w:uiPriority w:val="99"/>
    <w:semiHidden/>
    <w:rsid w:val="00E21F9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21F9F"/>
    <w:rPr>
      <w:vertAlign w:val="superscript"/>
    </w:rPr>
  </w:style>
  <w:style w:type="paragraph" w:styleId="NoSpacing">
    <w:name w:val="No Spacing"/>
    <w:link w:val="NoSpacingChar"/>
    <w:uiPriority w:val="1"/>
    <w:qFormat/>
    <w:rsid w:val="00E21F9F"/>
  </w:style>
  <w:style w:type="paragraph" w:customStyle="1" w:styleId="html-xx">
    <w:name w:val="html-xx"/>
    <w:basedOn w:val="Normal"/>
    <w:rsid w:val="00E21F9F"/>
    <w:pPr>
      <w:spacing w:before="100" w:beforeAutospacing="1" w:after="100" w:afterAutospacing="1"/>
    </w:pPr>
  </w:style>
  <w:style w:type="table" w:styleId="TableGrid">
    <w:name w:val="Table Grid"/>
    <w:basedOn w:val="TableNormal"/>
    <w:uiPriority w:val="39"/>
    <w:rsid w:val="00E21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selection">
    <w:name w:val="current-selection"/>
    <w:basedOn w:val="DefaultParagraphFont"/>
    <w:rsid w:val="00E21F9F"/>
  </w:style>
  <w:style w:type="character" w:customStyle="1" w:styleId="gmail-apple-converted-space">
    <w:name w:val="gmail-apple-converted-space"/>
    <w:basedOn w:val="DefaultParagraphFont"/>
    <w:rsid w:val="00E21F9F"/>
  </w:style>
  <w:style w:type="paragraph" w:customStyle="1" w:styleId="paragraph">
    <w:name w:val="paragraph"/>
    <w:basedOn w:val="Normal"/>
    <w:rsid w:val="00E21F9F"/>
    <w:pPr>
      <w:spacing w:before="100" w:beforeAutospacing="1" w:after="100" w:afterAutospacing="1"/>
    </w:pPr>
  </w:style>
  <w:style w:type="character" w:customStyle="1" w:styleId="normaltextrun">
    <w:name w:val="normaltextrun"/>
    <w:basedOn w:val="DefaultParagraphFont"/>
    <w:rsid w:val="00E21F9F"/>
  </w:style>
  <w:style w:type="character" w:customStyle="1" w:styleId="eop">
    <w:name w:val="eop"/>
    <w:basedOn w:val="DefaultParagraphFont"/>
    <w:rsid w:val="00E21F9F"/>
  </w:style>
  <w:style w:type="paragraph" w:customStyle="1" w:styleId="msonormal0">
    <w:name w:val="msonormal"/>
    <w:basedOn w:val="Normal"/>
    <w:rsid w:val="00E21F9F"/>
    <w:pPr>
      <w:spacing w:before="100" w:beforeAutospacing="1" w:after="100" w:afterAutospacing="1"/>
    </w:pPr>
  </w:style>
  <w:style w:type="character" w:customStyle="1" w:styleId="z3988">
    <w:name w:val="z3988"/>
    <w:basedOn w:val="DefaultParagraphFont"/>
    <w:rsid w:val="00E21F9F"/>
  </w:style>
  <w:style w:type="character" w:styleId="PageNumber">
    <w:name w:val="page number"/>
    <w:basedOn w:val="DefaultParagraphFont"/>
    <w:uiPriority w:val="99"/>
    <w:semiHidden/>
    <w:unhideWhenUsed/>
    <w:rsid w:val="00E21F9F"/>
  </w:style>
  <w:style w:type="paragraph" w:styleId="TOCHeading">
    <w:name w:val="TOC Heading"/>
    <w:basedOn w:val="Heading1"/>
    <w:next w:val="Normal"/>
    <w:uiPriority w:val="39"/>
    <w:unhideWhenUsed/>
    <w:qFormat/>
    <w:rsid w:val="00E21F9F"/>
    <w:pPr>
      <w:spacing w:after="0" w:line="276" w:lineRule="auto"/>
      <w:outlineLvl w:val="9"/>
    </w:pPr>
    <w:rPr>
      <w:rFonts w:asciiTheme="majorHAnsi" w:eastAsiaTheme="majorEastAsia" w:hAnsiTheme="majorHAnsi" w:cstheme="majorBidi"/>
      <w:bCs/>
      <w:color w:val="2F5496" w:themeColor="accent1" w:themeShade="BF"/>
      <w:sz w:val="28"/>
      <w:szCs w:val="28"/>
    </w:rPr>
  </w:style>
  <w:style w:type="paragraph" w:styleId="TOC2">
    <w:name w:val="toc 2"/>
    <w:basedOn w:val="Normal"/>
    <w:next w:val="Normal"/>
    <w:autoRedefine/>
    <w:uiPriority w:val="39"/>
    <w:unhideWhenUsed/>
    <w:rsid w:val="00E21F9F"/>
    <w:pPr>
      <w:spacing w:before="120"/>
      <w:ind w:left="240"/>
    </w:pPr>
    <w:rPr>
      <w:rFonts w:asciiTheme="minorHAnsi" w:hAnsiTheme="minorHAnsi" w:cstheme="minorHAnsi"/>
      <w:b/>
      <w:bCs/>
      <w:sz w:val="22"/>
      <w:szCs w:val="22"/>
    </w:rPr>
  </w:style>
  <w:style w:type="paragraph" w:styleId="TOC1">
    <w:name w:val="toc 1"/>
    <w:basedOn w:val="Heading1"/>
    <w:next w:val="Normal"/>
    <w:autoRedefine/>
    <w:uiPriority w:val="39"/>
    <w:unhideWhenUsed/>
    <w:rsid w:val="007976EB"/>
    <w:pPr>
      <w:keepNext w:val="0"/>
      <w:keepLines w:val="0"/>
      <w:tabs>
        <w:tab w:val="right" w:leader="dot" w:pos="9350"/>
      </w:tabs>
      <w:spacing w:before="120" w:after="0" w:line="360" w:lineRule="auto"/>
      <w:outlineLvl w:val="9"/>
    </w:pPr>
    <w:rPr>
      <w:rFonts w:ascii="Arial" w:hAnsi="Arial" w:cs="Arial"/>
      <w:b w:val="0"/>
      <w:bCs/>
      <w:noProof/>
      <w:sz w:val="22"/>
      <w:szCs w:val="22"/>
    </w:rPr>
  </w:style>
  <w:style w:type="paragraph" w:styleId="TOC3">
    <w:name w:val="toc 3"/>
    <w:basedOn w:val="Normal"/>
    <w:next w:val="Normal"/>
    <w:autoRedefine/>
    <w:uiPriority w:val="39"/>
    <w:unhideWhenUsed/>
    <w:rsid w:val="0085028A"/>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E21F9F"/>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E21F9F"/>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E21F9F"/>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E21F9F"/>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E21F9F"/>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E21F9F"/>
    <w:pPr>
      <w:ind w:left="1920"/>
    </w:pPr>
    <w:rPr>
      <w:rFonts w:asciiTheme="minorHAnsi" w:hAnsiTheme="minorHAnsi" w:cstheme="minorHAnsi"/>
      <w:sz w:val="20"/>
      <w:szCs w:val="20"/>
    </w:rPr>
  </w:style>
  <w:style w:type="character" w:styleId="SubtleEmphasis">
    <w:name w:val="Subtle Emphasis"/>
    <w:basedOn w:val="DefaultParagraphFont"/>
    <w:uiPriority w:val="19"/>
    <w:qFormat/>
    <w:rsid w:val="00F267FA"/>
    <w:rPr>
      <w:i/>
      <w:iCs/>
      <w:color w:val="404040" w:themeColor="text1" w:themeTint="BF"/>
    </w:rPr>
  </w:style>
  <w:style w:type="character" w:customStyle="1" w:styleId="UnresolvedMention10">
    <w:name w:val="Unresolved Mention1"/>
    <w:basedOn w:val="DefaultParagraphFont"/>
    <w:uiPriority w:val="99"/>
    <w:semiHidden/>
    <w:unhideWhenUsed/>
    <w:rsid w:val="00B51BF9"/>
    <w:rPr>
      <w:color w:val="605E5C"/>
      <w:shd w:val="clear" w:color="auto" w:fill="E1DFDD"/>
    </w:rPr>
  </w:style>
  <w:style w:type="paragraph" w:styleId="BalloonText">
    <w:name w:val="Balloon Text"/>
    <w:basedOn w:val="Normal"/>
    <w:link w:val="BalloonTextChar"/>
    <w:uiPriority w:val="99"/>
    <w:semiHidden/>
    <w:unhideWhenUsed/>
    <w:rsid w:val="00B51B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BF9"/>
    <w:rPr>
      <w:rFonts w:ascii="Segoe UI" w:eastAsia="Times New Roman" w:hAnsi="Segoe UI" w:cs="Segoe UI"/>
      <w:sz w:val="18"/>
      <w:szCs w:val="18"/>
    </w:rPr>
  </w:style>
  <w:style w:type="character" w:customStyle="1" w:styleId="NoSpacingChar">
    <w:name w:val="No Spacing Char"/>
    <w:basedOn w:val="DefaultParagraphFont"/>
    <w:link w:val="NoSpacing"/>
    <w:uiPriority w:val="1"/>
    <w:rsid w:val="00CE0C77"/>
  </w:style>
  <w:style w:type="character" w:customStyle="1" w:styleId="UnresolvedMention">
    <w:name w:val="Unresolved Mention"/>
    <w:basedOn w:val="DefaultParagraphFont"/>
    <w:uiPriority w:val="99"/>
    <w:semiHidden/>
    <w:unhideWhenUsed/>
    <w:rsid w:val="00B50764"/>
    <w:rPr>
      <w:color w:val="605E5C"/>
      <w:shd w:val="clear" w:color="auto" w:fill="E1DFDD"/>
    </w:rPr>
  </w:style>
  <w:style w:type="paragraph" w:styleId="TableofAuthorities">
    <w:name w:val="table of authorities"/>
    <w:basedOn w:val="Normal"/>
    <w:next w:val="Normal"/>
    <w:uiPriority w:val="99"/>
    <w:unhideWhenUsed/>
    <w:rsid w:val="003E7C59"/>
    <w:pPr>
      <w:ind w:left="240" w:hanging="240"/>
    </w:pPr>
  </w:style>
  <w:style w:type="paragraph" w:styleId="TableofFigures">
    <w:name w:val="table of figures"/>
    <w:basedOn w:val="Normal"/>
    <w:next w:val="Normal"/>
    <w:uiPriority w:val="99"/>
    <w:unhideWhenUsed/>
    <w:rsid w:val="00D86CE7"/>
    <w:pPr>
      <w:spacing w:line="360" w:lineRule="auto"/>
      <w:ind w:left="480" w:hanging="480"/>
    </w:pPr>
    <w:rPr>
      <w:rFonts w:ascii="Arial" w:hAnsi="Arial" w:cstheme="minorHAnsi"/>
      <w:bCs/>
      <w:sz w:val="22"/>
      <w:szCs w:val="20"/>
    </w:rPr>
  </w:style>
  <w:style w:type="character" w:customStyle="1" w:styleId="Heading7Char">
    <w:name w:val="Heading 7 Char"/>
    <w:basedOn w:val="DefaultParagraphFont"/>
    <w:link w:val="Heading7"/>
    <w:uiPriority w:val="9"/>
    <w:semiHidden/>
    <w:rsid w:val="002755E0"/>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866404">
      <w:bodyDiv w:val="1"/>
      <w:marLeft w:val="0"/>
      <w:marRight w:val="0"/>
      <w:marTop w:val="0"/>
      <w:marBottom w:val="0"/>
      <w:divBdr>
        <w:top w:val="none" w:sz="0" w:space="0" w:color="auto"/>
        <w:left w:val="none" w:sz="0" w:space="0" w:color="auto"/>
        <w:bottom w:val="none" w:sz="0" w:space="0" w:color="auto"/>
        <w:right w:val="none" w:sz="0" w:space="0" w:color="auto"/>
      </w:divBdr>
      <w:divsChild>
        <w:div w:id="1529758692">
          <w:marLeft w:val="0"/>
          <w:marRight w:val="0"/>
          <w:marTop w:val="0"/>
          <w:marBottom w:val="0"/>
          <w:divBdr>
            <w:top w:val="none" w:sz="0" w:space="0" w:color="auto"/>
            <w:left w:val="none" w:sz="0" w:space="0" w:color="auto"/>
            <w:bottom w:val="none" w:sz="0" w:space="0" w:color="auto"/>
            <w:right w:val="none" w:sz="0" w:space="0" w:color="auto"/>
          </w:divBdr>
        </w:div>
      </w:divsChild>
    </w:div>
    <w:div w:id="1796093060">
      <w:bodyDiv w:val="1"/>
      <w:marLeft w:val="0"/>
      <w:marRight w:val="0"/>
      <w:marTop w:val="0"/>
      <w:marBottom w:val="0"/>
      <w:divBdr>
        <w:top w:val="none" w:sz="0" w:space="0" w:color="auto"/>
        <w:left w:val="none" w:sz="0" w:space="0" w:color="auto"/>
        <w:bottom w:val="none" w:sz="0" w:space="0" w:color="auto"/>
        <w:right w:val="none" w:sz="0" w:space="0" w:color="auto"/>
      </w:divBdr>
      <w:divsChild>
        <w:div w:id="778719287">
          <w:marLeft w:val="533"/>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21273/HORTSCI.40.5.1246" TargetMode="External"/><Relationship Id="rId21" Type="http://schemas.openxmlformats.org/officeDocument/2006/relationships/image" Target="media/image11.png"/><Relationship Id="rId42" Type="http://schemas.openxmlformats.org/officeDocument/2006/relationships/hyperlink" Target="https://doi.org/10.1094/MPMI-21-1-0030" TargetMode="External"/><Relationship Id="rId63" Type="http://schemas.openxmlformats.org/officeDocument/2006/relationships/hyperlink" Target="https://doi.org/10.1534/genetics.115.180968" TargetMode="External"/><Relationship Id="rId84" Type="http://schemas.openxmlformats.org/officeDocument/2006/relationships/hyperlink" Target="https://doi.org/10.1093/gigascience/giy051" TargetMode="External"/><Relationship Id="rId138" Type="http://schemas.openxmlformats.org/officeDocument/2006/relationships/hyperlink" Target="https://doi.org/10.1016/j.biochi.2011.04.012" TargetMode="External"/><Relationship Id="rId159" Type="http://schemas.openxmlformats.org/officeDocument/2006/relationships/hyperlink" Target="https://doi.org/10.1007/s11103-004-0621-4" TargetMode="External"/><Relationship Id="rId170" Type="http://schemas.openxmlformats.org/officeDocument/2006/relationships/hyperlink" Target="https://doi.org/10.1007/s00122-010-1511-6" TargetMode="External"/><Relationship Id="rId191" Type="http://schemas.openxmlformats.org/officeDocument/2006/relationships/hyperlink" Target="https://doi.org/10.1016/S1369-5266(00)00199-0" TargetMode="External"/><Relationship Id="rId205" Type="http://schemas.openxmlformats.org/officeDocument/2006/relationships/hyperlink" Target="https://doi.org/10.1007/s11032-011-9551-4" TargetMode="External"/><Relationship Id="rId226" Type="http://schemas.openxmlformats.org/officeDocument/2006/relationships/hyperlink" Target="https://doi.org/10.1007/s11103-015-0349-3" TargetMode="External"/><Relationship Id="rId247" Type="http://schemas.openxmlformats.org/officeDocument/2006/relationships/hyperlink" Target="https://doi.org/10.3389/fpls.2018.01426" TargetMode="External"/><Relationship Id="rId107" Type="http://schemas.openxmlformats.org/officeDocument/2006/relationships/hyperlink" Target="https://doi.org/10.1016/j.scienta.2016.02.007" TargetMode="External"/><Relationship Id="rId11" Type="http://schemas.openxmlformats.org/officeDocument/2006/relationships/image" Target="media/image1.png"/><Relationship Id="rId32" Type="http://schemas.openxmlformats.org/officeDocument/2006/relationships/hyperlink" Target="https://doi.org/10.1105/tpc.113.122069" TargetMode="External"/><Relationship Id="rId53" Type="http://schemas.openxmlformats.org/officeDocument/2006/relationships/hyperlink" Target="https://doi.org/10.1080/07352689.2019.1632542" TargetMode="External"/><Relationship Id="rId74" Type="http://schemas.openxmlformats.org/officeDocument/2006/relationships/hyperlink" Target="https://doi.org/10.1016/S1369-5266(00)00080-7" TargetMode="External"/><Relationship Id="rId128" Type="http://schemas.openxmlformats.org/officeDocument/2006/relationships/hyperlink" Target="https://doi.org/10.3390/biom10060875" TargetMode="External"/><Relationship Id="rId149" Type="http://schemas.openxmlformats.org/officeDocument/2006/relationships/hyperlink" Target="https://doi.org/10.1007/s11103-018-0771-4" TargetMode="External"/><Relationship Id="rId5" Type="http://schemas.openxmlformats.org/officeDocument/2006/relationships/webSettings" Target="webSettings.xml"/><Relationship Id="rId95" Type="http://schemas.openxmlformats.org/officeDocument/2006/relationships/hyperlink" Target="https://doi.org/10.24266/0738-2898-29.4.169" TargetMode="External"/><Relationship Id="rId160" Type="http://schemas.openxmlformats.org/officeDocument/2006/relationships/hyperlink" Target="https://doi.org/10.1007/s00122-011-1677-6" TargetMode="External"/><Relationship Id="rId181" Type="http://schemas.openxmlformats.org/officeDocument/2006/relationships/hyperlink" Target="https://doi.org/10.1111/j.1469-8137.2011.03922.x" TargetMode="External"/><Relationship Id="rId216" Type="http://schemas.openxmlformats.org/officeDocument/2006/relationships/hyperlink" Target="https://doi.org/10.1104/pp.108.132795" TargetMode="External"/><Relationship Id="rId237" Type="http://schemas.openxmlformats.org/officeDocument/2006/relationships/hyperlink" Target="https://doi.org/10.1146/annurev.phyto.34.1.479" TargetMode="External"/><Relationship Id="rId22" Type="http://schemas.openxmlformats.org/officeDocument/2006/relationships/image" Target="media/image12.png"/><Relationship Id="rId43" Type="http://schemas.openxmlformats.org/officeDocument/2006/relationships/hyperlink" Target="https://doi.org/10.1186/s12864-019-5749-3" TargetMode="External"/><Relationship Id="rId64" Type="http://schemas.openxmlformats.org/officeDocument/2006/relationships/hyperlink" Target="https://doi.org/10.1146/annurev-arplant-050213-040012" TargetMode="External"/><Relationship Id="rId118" Type="http://schemas.openxmlformats.org/officeDocument/2006/relationships/hyperlink" Target="https://doi.org/10.1186/s12864-018-5135-6" TargetMode="External"/><Relationship Id="rId139" Type="http://schemas.openxmlformats.org/officeDocument/2006/relationships/hyperlink" Target="https://doi.org/10.1038/nrg3627" TargetMode="External"/><Relationship Id="rId85" Type="http://schemas.openxmlformats.org/officeDocument/2006/relationships/hyperlink" Target="https://doi.org/10.1007/s11295-018-1301-x" TargetMode="External"/><Relationship Id="rId150" Type="http://schemas.openxmlformats.org/officeDocument/2006/relationships/hyperlink" Target="https://doi.org/10.1093/pcp/pcn163" TargetMode="External"/><Relationship Id="rId171" Type="http://schemas.openxmlformats.org/officeDocument/2006/relationships/hyperlink" Target="https://doi.org/10.1016/j.jplph.2008.04.020" TargetMode="External"/><Relationship Id="rId192" Type="http://schemas.openxmlformats.org/officeDocument/2006/relationships/hyperlink" Target="https://doi.org/10.1371/journal.pone.0021800" TargetMode="External"/><Relationship Id="rId206" Type="http://schemas.openxmlformats.org/officeDocument/2006/relationships/hyperlink" Target="https://doi.org/10.1007/s10681-010-0219-7" TargetMode="External"/><Relationship Id="rId227" Type="http://schemas.openxmlformats.org/officeDocument/2006/relationships/hyperlink" Target="https://doi.org/10.1111/nph.16272" TargetMode="External"/><Relationship Id="rId248" Type="http://schemas.openxmlformats.org/officeDocument/2006/relationships/hyperlink" Target="https://doi.org/10.1038/s41438-021-00499-x" TargetMode="External"/><Relationship Id="rId12" Type="http://schemas.openxmlformats.org/officeDocument/2006/relationships/image" Target="media/image2.png"/><Relationship Id="rId33" Type="http://schemas.openxmlformats.org/officeDocument/2006/relationships/hyperlink" Target="https://doi.org/10.1093/jxb/erp097" TargetMode="External"/><Relationship Id="rId108" Type="http://schemas.openxmlformats.org/officeDocument/2006/relationships/hyperlink" Target="https://doi.org/10.1093/emboj/19.22.6150" TargetMode="External"/><Relationship Id="rId129" Type="http://schemas.openxmlformats.org/officeDocument/2006/relationships/hyperlink" Target="https://doi.org/10.1094/PD-89-1301" TargetMode="External"/><Relationship Id="rId54" Type="http://schemas.openxmlformats.org/officeDocument/2006/relationships/hyperlink" Target="https://doi.org/10.1007/s00216-016-9536-6" TargetMode="External"/><Relationship Id="rId70" Type="http://schemas.openxmlformats.org/officeDocument/2006/relationships/hyperlink" Target="https://doi.org/10.1038/srep11037" TargetMode="External"/><Relationship Id="rId75" Type="http://schemas.openxmlformats.org/officeDocument/2006/relationships/hyperlink" Target="https://doi.org/10.1104/pp.103.026039" TargetMode="External"/><Relationship Id="rId91" Type="http://schemas.openxmlformats.org/officeDocument/2006/relationships/hyperlink" Target="https://doi.org/10.1073/pnas.250379897" TargetMode="External"/><Relationship Id="rId96" Type="http://schemas.openxmlformats.org/officeDocument/2006/relationships/hyperlink" Target="https://doi.org/10.24266/0738-2898-16.3.147" TargetMode="External"/><Relationship Id="rId140" Type="http://schemas.openxmlformats.org/officeDocument/2006/relationships/hyperlink" Target="https://doi.org/10.1093/bioinformatics/bti551" TargetMode="External"/><Relationship Id="rId145" Type="http://schemas.openxmlformats.org/officeDocument/2006/relationships/hyperlink" Target="https://doi.org/10.21273/HORTSCI12242-17" TargetMode="External"/><Relationship Id="rId161" Type="http://schemas.openxmlformats.org/officeDocument/2006/relationships/hyperlink" Target="https://doi.org/10.36959/745/393" TargetMode="External"/><Relationship Id="rId166" Type="http://schemas.openxmlformats.org/officeDocument/2006/relationships/hyperlink" Target="https://doi.org/10.1104/pp.010954" TargetMode="External"/><Relationship Id="rId182" Type="http://schemas.openxmlformats.org/officeDocument/2006/relationships/hyperlink" Target="https://doi.org/10.1046/j.1365-313X.2002.01264.x" TargetMode="External"/><Relationship Id="rId187" Type="http://schemas.openxmlformats.org/officeDocument/2006/relationships/hyperlink" Target="https://doi.org/10.1186/s13742-015-0089-y" TargetMode="External"/><Relationship Id="rId217" Type="http://schemas.openxmlformats.org/officeDocument/2006/relationships/hyperlink" Target="https://doi.org/10.24266/0738-2898-23.4.190"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i.org/10.1007/s11295-007-0123-z" TargetMode="External"/><Relationship Id="rId233" Type="http://schemas.openxmlformats.org/officeDocument/2006/relationships/hyperlink" Target="https://doi.org/10.1007/s00122-021-03881-4" TargetMode="External"/><Relationship Id="rId238" Type="http://schemas.openxmlformats.org/officeDocument/2006/relationships/hyperlink" Target="https://doi.org/10.1371/journal.pone.0171361" TargetMode="External"/><Relationship Id="rId254" Type="http://schemas.openxmlformats.org/officeDocument/2006/relationships/glossaryDocument" Target="glossary/document.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hyperlink" Target="https://doi.org/10.3390/biology9030061" TargetMode="External"/><Relationship Id="rId114" Type="http://schemas.openxmlformats.org/officeDocument/2006/relationships/hyperlink" Target="https://doi.org/10.1007/s10681-010-0286-9" TargetMode="External"/><Relationship Id="rId119" Type="http://schemas.openxmlformats.org/officeDocument/2006/relationships/hyperlink" Target="https://doi.org/10.1016/j.pbi.2009.12.010" TargetMode="External"/><Relationship Id="rId44" Type="http://schemas.openxmlformats.org/officeDocument/2006/relationships/hyperlink" Target="https://doi.org/10.1007/s12272-017-0924-z" TargetMode="External"/><Relationship Id="rId60" Type="http://schemas.openxmlformats.org/officeDocument/2006/relationships/hyperlink" Target="https://doi.org/10.1098/rstb.2007.2170" TargetMode="External"/><Relationship Id="rId65" Type="http://schemas.openxmlformats.org/officeDocument/2006/relationships/hyperlink" Target="https://doi.org/10.1105/tpc.113.118810" TargetMode="External"/><Relationship Id="rId81" Type="http://schemas.openxmlformats.org/officeDocument/2006/relationships/hyperlink" Target="https://doi.org/10.1093/nar/gkv1344" TargetMode="External"/><Relationship Id="rId86" Type="http://schemas.openxmlformats.org/officeDocument/2006/relationships/hyperlink" Target="https://doi.org/10.1073/pnas.97.21.11383" TargetMode="External"/><Relationship Id="rId130" Type="http://schemas.openxmlformats.org/officeDocument/2006/relationships/hyperlink" Target="https://doi.org/10.24266/0738-2898-25.3.131" TargetMode="External"/><Relationship Id="rId135" Type="http://schemas.openxmlformats.org/officeDocument/2006/relationships/hyperlink" Target="https://doi.org/10.1007/s00122-006-0264-8" TargetMode="External"/><Relationship Id="rId151" Type="http://schemas.openxmlformats.org/officeDocument/2006/relationships/hyperlink" Target="https://doi.org/10.1111/tpj.13077" TargetMode="External"/><Relationship Id="rId156" Type="http://schemas.openxmlformats.org/officeDocument/2006/relationships/hyperlink" Target="https://doi.org/10.1016/j.scienta.2017.08.044" TargetMode="External"/><Relationship Id="rId177" Type="http://schemas.openxmlformats.org/officeDocument/2006/relationships/hyperlink" Target="https://doi.org/10.1021/jf0115903" TargetMode="External"/><Relationship Id="rId198" Type="http://schemas.openxmlformats.org/officeDocument/2006/relationships/hyperlink" Target="https://doi.org/10.1093/nar/gkx382" TargetMode="External"/><Relationship Id="rId172" Type="http://schemas.openxmlformats.org/officeDocument/2006/relationships/hyperlink" Target="https://doi.org/10.1007/PL00006285" TargetMode="External"/><Relationship Id="rId193" Type="http://schemas.openxmlformats.org/officeDocument/2006/relationships/hyperlink" Target="https://doi.org/10.3852/13-046" TargetMode="External"/><Relationship Id="rId202" Type="http://schemas.openxmlformats.org/officeDocument/2006/relationships/hyperlink" Target="https://doi.org/10.1007/s00122-005-0006-3" TargetMode="External"/><Relationship Id="rId207" Type="http://schemas.openxmlformats.org/officeDocument/2006/relationships/hyperlink" Target="https://doi.org/10.21273/HORTSCI.49.9.1230" TargetMode="External"/><Relationship Id="rId223" Type="http://schemas.openxmlformats.org/officeDocument/2006/relationships/hyperlink" Target="https://doi.org/10.1007/s11032-015-0426-y" TargetMode="External"/><Relationship Id="rId228" Type="http://schemas.openxmlformats.org/officeDocument/2006/relationships/hyperlink" Target="https://doi.org/10.1105/tpc.19.00645" TargetMode="External"/><Relationship Id="rId244" Type="http://schemas.openxmlformats.org/officeDocument/2006/relationships/hyperlink" Target="https://doi.org/10.1007/s11240-017-1294-4" TargetMode="External"/><Relationship Id="rId249" Type="http://schemas.openxmlformats.org/officeDocument/2006/relationships/hyperlink" Target="https://doi.org/10.1371/journal.pone.0070723"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doi.org/10.1146/annurev.arplant.55.031903.141701" TargetMode="External"/><Relationship Id="rId109" Type="http://schemas.openxmlformats.org/officeDocument/2006/relationships/hyperlink" Target="https://doi.org/10.1007/s11248-013-9715-6" TargetMode="External"/><Relationship Id="rId34" Type="http://schemas.openxmlformats.org/officeDocument/2006/relationships/hyperlink" Target="https://doi.org/10.1111/j.1365-313X.2010.04465.x" TargetMode="External"/><Relationship Id="rId50" Type="http://schemas.openxmlformats.org/officeDocument/2006/relationships/hyperlink" Target="https://doi.org/10.1105/tpc.018796" TargetMode="External"/><Relationship Id="rId55" Type="http://schemas.openxmlformats.org/officeDocument/2006/relationships/hyperlink" Target="https://doi.org/10.1016/j.plaphy.2019.01.024" TargetMode="External"/><Relationship Id="rId76" Type="http://schemas.openxmlformats.org/officeDocument/2006/relationships/hyperlink" Target="https://doi.org/10.1111/j.1365-313X.2006.02964.x" TargetMode="External"/><Relationship Id="rId97" Type="http://schemas.openxmlformats.org/officeDocument/2006/relationships/hyperlink" Target="https://doi.org/10.1038/hdy.1992.131" TargetMode="External"/><Relationship Id="rId104" Type="http://schemas.openxmlformats.org/officeDocument/2006/relationships/hyperlink" Target="https://doi.org/10.1016/j.tplants.2013.06.003" TargetMode="External"/><Relationship Id="rId120" Type="http://schemas.openxmlformats.org/officeDocument/2006/relationships/hyperlink" Target="https://doi.org/10.1046/j.1365-313x.2000.00666.x" TargetMode="External"/><Relationship Id="rId125" Type="http://schemas.openxmlformats.org/officeDocument/2006/relationships/hyperlink" Target="https://doi.org/10.1007/s00122-006-0256-8" TargetMode="External"/><Relationship Id="rId141" Type="http://schemas.openxmlformats.org/officeDocument/2006/relationships/hyperlink" Target="https://doi.org/10.3390/ijms14047302" TargetMode="External"/><Relationship Id="rId146" Type="http://schemas.openxmlformats.org/officeDocument/2006/relationships/hyperlink" Target="https://doi.org/10.1016/j.ygeno.2008.07.001" TargetMode="External"/><Relationship Id="rId167" Type="http://schemas.openxmlformats.org/officeDocument/2006/relationships/hyperlink" Target="https://doi.org/10.1093/nar/gky448" TargetMode="External"/><Relationship Id="rId188" Type="http://schemas.openxmlformats.org/officeDocument/2006/relationships/hyperlink" Target="https://doi.org/10.1186/s13059-020-02151-8" TargetMode="External"/><Relationship Id="rId7" Type="http://schemas.openxmlformats.org/officeDocument/2006/relationships/endnotes" Target="endnotes.xml"/><Relationship Id="rId71" Type="http://schemas.openxmlformats.org/officeDocument/2006/relationships/hyperlink" Target="https://doi.org/10.1186/1471-2229-12-106" TargetMode="External"/><Relationship Id="rId92" Type="http://schemas.openxmlformats.org/officeDocument/2006/relationships/hyperlink" Target="https://doi.org/10.3109/07388551.2014.959891" TargetMode="External"/><Relationship Id="rId162" Type="http://schemas.openxmlformats.org/officeDocument/2006/relationships/hyperlink" Target="https://doi.org/10.1007/s11103-015-0394-y" TargetMode="External"/><Relationship Id="rId183" Type="http://schemas.openxmlformats.org/officeDocument/2006/relationships/hyperlink" Target="https://doi.org/10.1093/gigascience/gix125" TargetMode="External"/><Relationship Id="rId213" Type="http://schemas.openxmlformats.org/officeDocument/2006/relationships/hyperlink" Target="https://doi.org/10.1007/s10681-008-9802-6" TargetMode="External"/><Relationship Id="rId218" Type="http://schemas.openxmlformats.org/officeDocument/2006/relationships/hyperlink" Target="https://doi.org/10.24266/0738-2898-16.3.173" TargetMode="External"/><Relationship Id="rId234" Type="http://schemas.openxmlformats.org/officeDocument/2006/relationships/hyperlink" Target="https://doi.org/10.1038/s41438-020-00382-1" TargetMode="External"/><Relationship Id="rId239" Type="http://schemas.openxmlformats.org/officeDocument/2006/relationships/hyperlink" Target="https://doi.org/10.1007/s11032-010-9421-5" TargetMode="External"/><Relationship Id="rId2" Type="http://schemas.openxmlformats.org/officeDocument/2006/relationships/numbering" Target="numbering.xml"/><Relationship Id="rId29" Type="http://schemas.openxmlformats.org/officeDocument/2006/relationships/image" Target="media/image19.png"/><Relationship Id="rId250" Type="http://schemas.openxmlformats.org/officeDocument/2006/relationships/hyperlink" Target="https://doi.org/10.1104/pp.17.00160" TargetMode="External"/><Relationship Id="rId255" Type="http://schemas.openxmlformats.org/officeDocument/2006/relationships/theme" Target="theme/theme1.xml"/><Relationship Id="rId24" Type="http://schemas.openxmlformats.org/officeDocument/2006/relationships/image" Target="media/image14.png"/><Relationship Id="rId40" Type="http://schemas.openxmlformats.org/officeDocument/2006/relationships/hyperlink" Target="https://doi.org/10.1186/s12870-015-0639-6" TargetMode="External"/><Relationship Id="rId45" Type="http://schemas.openxmlformats.org/officeDocument/2006/relationships/hyperlink" Target="https://doi.org/10.1073/pnas.0500012102" TargetMode="External"/><Relationship Id="rId66" Type="http://schemas.openxmlformats.org/officeDocument/2006/relationships/hyperlink" Target="https://doi.org/10.3390/biology1030460" TargetMode="External"/><Relationship Id="rId87" Type="http://schemas.openxmlformats.org/officeDocument/2006/relationships/hyperlink" Target="https://doi.org/10.1146/annurev.phyto.46.081407.104740" TargetMode="External"/><Relationship Id="rId110" Type="http://schemas.openxmlformats.org/officeDocument/2006/relationships/hyperlink" Target="https://doi.org/10.24266/0738-2898-19.2.73" TargetMode="External"/><Relationship Id="rId115" Type="http://schemas.openxmlformats.org/officeDocument/2006/relationships/hyperlink" Target="https://doi.org/10.3389/fpls.2012.00244" TargetMode="External"/><Relationship Id="rId131" Type="http://schemas.openxmlformats.org/officeDocument/2006/relationships/hyperlink" Target="https://doi.org/10.1094/PDIS-93-11-1084" TargetMode="External"/><Relationship Id="rId136" Type="http://schemas.openxmlformats.org/officeDocument/2006/relationships/hyperlink" Target="https://doi.org/10.15252/msb.20188746" TargetMode="External"/><Relationship Id="rId157" Type="http://schemas.openxmlformats.org/officeDocument/2006/relationships/hyperlink" Target="https://doi.org/10.1007/s00299-008-0521-1" TargetMode="External"/><Relationship Id="rId178" Type="http://schemas.openxmlformats.org/officeDocument/2006/relationships/hyperlink" Target="https://doi.org/10.1111/j.1469-8137.2010.03498.x" TargetMode="External"/><Relationship Id="rId61" Type="http://schemas.openxmlformats.org/officeDocument/2006/relationships/hyperlink" Target="https://doi.org/10.1016/j.jplph.2007.06.010" TargetMode="External"/><Relationship Id="rId82" Type="http://schemas.openxmlformats.org/officeDocument/2006/relationships/hyperlink" Target="https://doi.org/10.1093/pcp/pct187" TargetMode="External"/><Relationship Id="rId152" Type="http://schemas.openxmlformats.org/officeDocument/2006/relationships/hyperlink" Target="https://doi.org/10.1002/ece3.6537" TargetMode="External"/><Relationship Id="rId173" Type="http://schemas.openxmlformats.org/officeDocument/2006/relationships/hyperlink" Target="https://doi.org/10.1007/s005720050273" TargetMode="External"/><Relationship Id="rId194" Type="http://schemas.openxmlformats.org/officeDocument/2006/relationships/hyperlink" Target="https://doi.org/10.1104/pp.106.088104" TargetMode="External"/><Relationship Id="rId199" Type="http://schemas.openxmlformats.org/officeDocument/2006/relationships/hyperlink" Target="https://doi.org/10.4141/P96-157" TargetMode="External"/><Relationship Id="rId203" Type="http://schemas.openxmlformats.org/officeDocument/2006/relationships/hyperlink" Target="https://doi.org/10.1186/1471-2229-13-176" TargetMode="External"/><Relationship Id="rId208" Type="http://schemas.openxmlformats.org/officeDocument/2006/relationships/hyperlink" Target="https://doi.org/10.1007/s00299-017-2151-y" TargetMode="External"/><Relationship Id="rId229" Type="http://schemas.openxmlformats.org/officeDocument/2006/relationships/hyperlink" Target="https://doi.org/10.3389/fpls.2019.00531" TargetMode="External"/><Relationship Id="rId19" Type="http://schemas.openxmlformats.org/officeDocument/2006/relationships/image" Target="media/image9.png"/><Relationship Id="rId224" Type="http://schemas.openxmlformats.org/officeDocument/2006/relationships/hyperlink" Target="https://doi.org/10.1093/pcp/pcq011" TargetMode="External"/><Relationship Id="rId240" Type="http://schemas.openxmlformats.org/officeDocument/2006/relationships/hyperlink" Target="https://doi.org/10.1007/BF02772130" TargetMode="External"/><Relationship Id="rId245" Type="http://schemas.openxmlformats.org/officeDocument/2006/relationships/hyperlink" Target="https://doi.org/10.1016/j.pbi.2014.05.011" TargetMode="External"/><Relationship Id="rId14" Type="http://schemas.openxmlformats.org/officeDocument/2006/relationships/image" Target="media/image4.png"/><Relationship Id="rId30" Type="http://schemas.openxmlformats.org/officeDocument/2006/relationships/hyperlink" Target="https://doi.org/10.1046/j.1365-313X.2001.01154.x" TargetMode="External"/><Relationship Id="rId35" Type="http://schemas.openxmlformats.org/officeDocument/2006/relationships/hyperlink" Target="https://doi.org/10.1016/j.tplants.2007.11.012" TargetMode="External"/><Relationship Id="rId56" Type="http://schemas.openxmlformats.org/officeDocument/2006/relationships/hyperlink" Target="https://doi.org/10.1093/genetics/139.3.1455" TargetMode="External"/><Relationship Id="rId77" Type="http://schemas.openxmlformats.org/officeDocument/2006/relationships/hyperlink" Target="https://doi.org/10.2307/2418886" TargetMode="External"/><Relationship Id="rId100" Type="http://schemas.openxmlformats.org/officeDocument/2006/relationships/hyperlink" Target="https://doi.org/10.1073/pnas.1902771116" TargetMode="External"/><Relationship Id="rId105" Type="http://schemas.openxmlformats.org/officeDocument/2006/relationships/hyperlink" Target="https://doi.org/10.1016/j.tplants.2021.05.009" TargetMode="External"/><Relationship Id="rId126" Type="http://schemas.openxmlformats.org/officeDocument/2006/relationships/hyperlink" Target="https://doi.org/10.1186/1471-2164-15-277" TargetMode="External"/><Relationship Id="rId147" Type="http://schemas.openxmlformats.org/officeDocument/2006/relationships/hyperlink" Target="https://doi.org/10.1016/0027-5107(64)90047-8" TargetMode="External"/><Relationship Id="rId168" Type="http://schemas.openxmlformats.org/officeDocument/2006/relationships/hyperlink" Target="https://doi.org/10.48044/jauf.1995.003" TargetMode="External"/><Relationship Id="rId8" Type="http://schemas.openxmlformats.org/officeDocument/2006/relationships/footer" Target="footer1.xml"/><Relationship Id="rId51" Type="http://schemas.openxmlformats.org/officeDocument/2006/relationships/hyperlink" Target="https://doi.org/10.1104/pp.114.256172" TargetMode="External"/><Relationship Id="rId72" Type="http://schemas.openxmlformats.org/officeDocument/2006/relationships/hyperlink" Target="https://doi.org/10.1134/S0006297909010015" TargetMode="External"/><Relationship Id="rId93" Type="http://schemas.openxmlformats.org/officeDocument/2006/relationships/hyperlink" Target="https://doi.org/10.5962/p.185924" TargetMode="External"/><Relationship Id="rId98" Type="http://schemas.openxmlformats.org/officeDocument/2006/relationships/hyperlink" Target="https://doi.org/10.1046/j.1365-313x.2001.00982.x" TargetMode="External"/><Relationship Id="rId121" Type="http://schemas.openxmlformats.org/officeDocument/2006/relationships/hyperlink" Target="https://doi.org/10.1093/molbev/msw054" TargetMode="External"/><Relationship Id="rId142" Type="http://schemas.openxmlformats.org/officeDocument/2006/relationships/hyperlink" Target="https://doi.org/10.1016/j.fgb.2014.08.006" TargetMode="External"/><Relationship Id="rId163" Type="http://schemas.openxmlformats.org/officeDocument/2006/relationships/hyperlink" Target="https://doi.org/10.1186/1471-2164-15-618" TargetMode="External"/><Relationship Id="rId184" Type="http://schemas.openxmlformats.org/officeDocument/2006/relationships/hyperlink" Target="https://doi.org/10.1111/j.1439-0434.1982.tb00009.x" TargetMode="External"/><Relationship Id="rId189" Type="http://schemas.openxmlformats.org/officeDocument/2006/relationships/hyperlink" Target="https://doi.org/10.3389/fpls.2019.00345" TargetMode="External"/><Relationship Id="rId219" Type="http://schemas.openxmlformats.org/officeDocument/2006/relationships/hyperlink" Target="https://doi.org/10.1534/genetics.104.036327" TargetMode="External"/><Relationship Id="rId3" Type="http://schemas.openxmlformats.org/officeDocument/2006/relationships/styles" Target="styles.xml"/><Relationship Id="rId214" Type="http://schemas.openxmlformats.org/officeDocument/2006/relationships/hyperlink" Target="https://doi.org/10.1038/nbt.2969" TargetMode="External"/><Relationship Id="rId230" Type="http://schemas.openxmlformats.org/officeDocument/2006/relationships/hyperlink" Target="https://doi.org/10.1038/hortres.2016.2" TargetMode="External"/><Relationship Id="rId235" Type="http://schemas.openxmlformats.org/officeDocument/2006/relationships/hyperlink" Target="https://doi.org/10.1093/pcp/pcn009" TargetMode="External"/><Relationship Id="rId251" Type="http://schemas.openxmlformats.org/officeDocument/2006/relationships/hyperlink" Target="https://doi.org/10.1371/journal.pone.0065680" TargetMode="External"/><Relationship Id="rId25" Type="http://schemas.openxmlformats.org/officeDocument/2006/relationships/image" Target="media/image15.png"/><Relationship Id="rId46" Type="http://schemas.openxmlformats.org/officeDocument/2006/relationships/hyperlink" Target="https://doi.org/10.1111/j.1439-0523.2008.01550.x" TargetMode="External"/><Relationship Id="rId67" Type="http://schemas.openxmlformats.org/officeDocument/2006/relationships/hyperlink" Target="https://doi.org/10.1016/j.cub.2019.12.067" TargetMode="External"/><Relationship Id="rId116" Type="http://schemas.openxmlformats.org/officeDocument/2006/relationships/hyperlink" Target="https://doi.org/10.1016/j.plantsci.2015.04.016" TargetMode="External"/><Relationship Id="rId137" Type="http://schemas.openxmlformats.org/officeDocument/2006/relationships/hyperlink" Target="https://doi.org/10.1016/j.tplants.2018.12.003" TargetMode="External"/><Relationship Id="rId158" Type="http://schemas.openxmlformats.org/officeDocument/2006/relationships/hyperlink" Target="https://doi.org/10.1111/j.1365-313X.2006.02988.x" TargetMode="External"/><Relationship Id="rId20" Type="http://schemas.openxmlformats.org/officeDocument/2006/relationships/image" Target="media/image10.png"/><Relationship Id="rId41" Type="http://schemas.openxmlformats.org/officeDocument/2006/relationships/hyperlink" Target="https://doi.org/10.1186/s13059-018-1497-y" TargetMode="External"/><Relationship Id="rId62" Type="http://schemas.openxmlformats.org/officeDocument/2006/relationships/hyperlink" Target="https://doi.org/10.1038/ng1806" TargetMode="External"/><Relationship Id="rId83" Type="http://schemas.openxmlformats.org/officeDocument/2006/relationships/hyperlink" Target="https://doi.org/10.1089/ars.2008.2177" TargetMode="External"/><Relationship Id="rId88" Type="http://schemas.openxmlformats.org/officeDocument/2006/relationships/hyperlink" Target="https://doi.org/10.1038/nature03405" TargetMode="External"/><Relationship Id="rId111" Type="http://schemas.openxmlformats.org/officeDocument/2006/relationships/hyperlink" Target="https://doi.org/10.1038/nature05286" TargetMode="External"/><Relationship Id="rId132" Type="http://schemas.openxmlformats.org/officeDocument/2006/relationships/hyperlink" Target="https://doi.org/10.1186/1471-2229-10-50" TargetMode="External"/><Relationship Id="rId153" Type="http://schemas.openxmlformats.org/officeDocument/2006/relationships/hyperlink" Target="https://doi.org/10.21273/HORTSCI.36.2.337" TargetMode="External"/><Relationship Id="rId174" Type="http://schemas.openxmlformats.org/officeDocument/2006/relationships/hyperlink" Target="https://doi.org/10.1016/j.phytochem.2013.02.016" TargetMode="External"/><Relationship Id="rId179" Type="http://schemas.openxmlformats.org/officeDocument/2006/relationships/hyperlink" Target="https://doi.org/10.1101/gr.1239303" TargetMode="External"/><Relationship Id="rId195" Type="http://schemas.openxmlformats.org/officeDocument/2006/relationships/hyperlink" Target="https://doi.org/10.1093/molbev/msab120" TargetMode="External"/><Relationship Id="rId209" Type="http://schemas.openxmlformats.org/officeDocument/2006/relationships/hyperlink" Target="https://doi.org/10.1016/j.bej.2013.02.014" TargetMode="External"/><Relationship Id="rId190" Type="http://schemas.openxmlformats.org/officeDocument/2006/relationships/hyperlink" Target="https://doi.org/10.1093/molbev/msz312" TargetMode="External"/><Relationship Id="rId204" Type="http://schemas.openxmlformats.org/officeDocument/2006/relationships/hyperlink" Target="https://doi.org/10.1094/PDIS-05-18-0719-A" TargetMode="External"/><Relationship Id="rId220" Type="http://schemas.openxmlformats.org/officeDocument/2006/relationships/hyperlink" Target="https://doi.org/10.3390/horticulturae7020025" TargetMode="External"/><Relationship Id="rId225" Type="http://schemas.openxmlformats.org/officeDocument/2006/relationships/hyperlink" Target="https://doi.org/10.1007/s11032-011-9675-6" TargetMode="External"/><Relationship Id="rId241" Type="http://schemas.openxmlformats.org/officeDocument/2006/relationships/hyperlink" Target="https://doi.org/10.1038/s41598-020-62518-6" TargetMode="External"/><Relationship Id="rId246" Type="http://schemas.openxmlformats.org/officeDocument/2006/relationships/hyperlink" Target="https://doi.org/10.1021/jf404574c" TargetMode="External"/><Relationship Id="rId15" Type="http://schemas.openxmlformats.org/officeDocument/2006/relationships/image" Target="media/image5.png"/><Relationship Id="rId36" Type="http://schemas.openxmlformats.org/officeDocument/2006/relationships/hyperlink" Target="https://doi.org/10.48044/jauf.2000.024" TargetMode="External"/><Relationship Id="rId57" Type="http://schemas.openxmlformats.org/officeDocument/2006/relationships/hyperlink" Target="https://doi.org/10.1007/s11103-007-9275-3" TargetMode="External"/><Relationship Id="rId106" Type="http://schemas.openxmlformats.org/officeDocument/2006/relationships/hyperlink" Target="https://doi.org/10.1104/pp.19.01082" TargetMode="External"/><Relationship Id="rId127" Type="http://schemas.openxmlformats.org/officeDocument/2006/relationships/hyperlink" Target="https://doi.org/10.1093/nar/gkx093" TargetMode="External"/><Relationship Id="rId10" Type="http://schemas.openxmlformats.org/officeDocument/2006/relationships/footer" Target="footer3.xml"/><Relationship Id="rId31" Type="http://schemas.openxmlformats.org/officeDocument/2006/relationships/hyperlink" Target="https://doi.org/10.1104/pp.109.146985" TargetMode="External"/><Relationship Id="rId52" Type="http://schemas.openxmlformats.org/officeDocument/2006/relationships/hyperlink" Target="https://doi.org/10.1104/pp.112.206771" TargetMode="External"/><Relationship Id="rId73" Type="http://schemas.openxmlformats.org/officeDocument/2006/relationships/hyperlink" Target="https://doi.org/10.1016/j.tplants.2010.06.005" TargetMode="External"/><Relationship Id="rId78" Type="http://schemas.openxmlformats.org/officeDocument/2006/relationships/hyperlink" Target="https://doi.org/10.1071/FP08173" TargetMode="External"/><Relationship Id="rId94" Type="http://schemas.openxmlformats.org/officeDocument/2006/relationships/hyperlink" Target="https://doi.org/10.1007/s10709-010-9490-8" TargetMode="External"/><Relationship Id="rId99" Type="http://schemas.openxmlformats.org/officeDocument/2006/relationships/hyperlink" Target="https://doi.org/10.1111/1755-0998.13106" TargetMode="External"/><Relationship Id="rId101" Type="http://schemas.openxmlformats.org/officeDocument/2006/relationships/hyperlink" Target="https://doi.org/10.3389/fpls.2019.01678" TargetMode="External"/><Relationship Id="rId122" Type="http://schemas.openxmlformats.org/officeDocument/2006/relationships/hyperlink" Target="https://doi.org/10.1094/MPMI-12-16-0255-CR" TargetMode="External"/><Relationship Id="rId143" Type="http://schemas.openxmlformats.org/officeDocument/2006/relationships/hyperlink" Target="https://doi.org/10.3390/molecules25173809" TargetMode="External"/><Relationship Id="rId148" Type="http://schemas.openxmlformats.org/officeDocument/2006/relationships/hyperlink" Target="https://doi.org/10.3389/fpls.2018.01070" TargetMode="External"/><Relationship Id="rId164" Type="http://schemas.openxmlformats.org/officeDocument/2006/relationships/hyperlink" Target="https://doi.org/10.3390/horticulturae8050405" TargetMode="External"/><Relationship Id="rId169" Type="http://schemas.openxmlformats.org/officeDocument/2006/relationships/hyperlink" Target="https://doi.org/10.21273/HORTSCI.39.2.335" TargetMode="External"/><Relationship Id="rId185" Type="http://schemas.openxmlformats.org/officeDocument/2006/relationships/hyperlink" Target="https://doi.org/10.1111/j.1439-0434.1984.tb00702.x"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doi.org/10.1104/pp.112.194753" TargetMode="External"/><Relationship Id="rId210" Type="http://schemas.openxmlformats.org/officeDocument/2006/relationships/hyperlink" Target="https://doi.org/10.1111/tpj.14330" TargetMode="External"/><Relationship Id="rId215" Type="http://schemas.openxmlformats.org/officeDocument/2006/relationships/hyperlink" Target="https://doi.org/10.1016/j.fgb.2012.04.001" TargetMode="External"/><Relationship Id="rId236" Type="http://schemas.openxmlformats.org/officeDocument/2006/relationships/hyperlink" Target="https://doi.org/10.1104/pp.114.253674" TargetMode="External"/><Relationship Id="rId26" Type="http://schemas.openxmlformats.org/officeDocument/2006/relationships/image" Target="media/image16.png"/><Relationship Id="rId231" Type="http://schemas.openxmlformats.org/officeDocument/2006/relationships/hyperlink" Target="https://doi.org/10.1007/s10709-011-9606-9" TargetMode="External"/><Relationship Id="rId252" Type="http://schemas.openxmlformats.org/officeDocument/2006/relationships/hyperlink" Target="https://doi.org/10.1111/j.1365-313X.2004.02183.x" TargetMode="External"/><Relationship Id="rId47" Type="http://schemas.openxmlformats.org/officeDocument/2006/relationships/hyperlink" Target="https://doi.org/10.1016/S0092-8674(00)81912-1" TargetMode="External"/><Relationship Id="rId68" Type="http://schemas.openxmlformats.org/officeDocument/2006/relationships/hyperlink" Target="https://doi.org/10.1111/j.1469-8137.2004.01217.x" TargetMode="External"/><Relationship Id="rId89" Type="http://schemas.openxmlformats.org/officeDocument/2006/relationships/hyperlink" Target="https://doi.org/10.1111/tpj.14689" TargetMode="External"/><Relationship Id="rId112" Type="http://schemas.openxmlformats.org/officeDocument/2006/relationships/hyperlink" Target="https://doi.org/10.1105/tpc.15.00476" TargetMode="External"/><Relationship Id="rId133" Type="http://schemas.openxmlformats.org/officeDocument/2006/relationships/hyperlink" Target="https://doi.org/10.1016/j.molp.2015.03.012" TargetMode="External"/><Relationship Id="rId154" Type="http://schemas.openxmlformats.org/officeDocument/2006/relationships/hyperlink" Target="https://doi.org/10.1007/s00299-012-1350-9" TargetMode="External"/><Relationship Id="rId175" Type="http://schemas.openxmlformats.org/officeDocument/2006/relationships/hyperlink" Target="https://doi.org/10.1111/nph.12017" TargetMode="External"/><Relationship Id="rId196" Type="http://schemas.openxmlformats.org/officeDocument/2006/relationships/hyperlink" Target="https://doi.org/10.1016/j.molp.2018.12.021" TargetMode="External"/><Relationship Id="rId200" Type="http://schemas.openxmlformats.org/officeDocument/2006/relationships/hyperlink" Target="https://doi.org/10.1007/s004380051051" TargetMode="External"/><Relationship Id="rId16" Type="http://schemas.openxmlformats.org/officeDocument/2006/relationships/image" Target="media/image6.png"/><Relationship Id="rId221" Type="http://schemas.openxmlformats.org/officeDocument/2006/relationships/hyperlink" Target="https://doi.org/10.1094/PDIS-01-19-0051-RE" TargetMode="External"/><Relationship Id="rId242" Type="http://schemas.openxmlformats.org/officeDocument/2006/relationships/hyperlink" Target="https://doi.org/10.1104/pp.18.01380" TargetMode="External"/><Relationship Id="rId37" Type="http://schemas.openxmlformats.org/officeDocument/2006/relationships/hyperlink" Target="https://doi.org/10.1093/bioinformatics/btu638" TargetMode="External"/><Relationship Id="rId58" Type="http://schemas.openxmlformats.org/officeDocument/2006/relationships/hyperlink" Target="https://doi.org/10.1111/tpj.12870" TargetMode="External"/><Relationship Id="rId79" Type="http://schemas.openxmlformats.org/officeDocument/2006/relationships/hyperlink" Target="https://doi.org/10.1104/pp.20.00859" TargetMode="External"/><Relationship Id="rId102" Type="http://schemas.openxmlformats.org/officeDocument/2006/relationships/hyperlink" Target="https://doi.org/10.1111/nph.12557" TargetMode="External"/><Relationship Id="rId123" Type="http://schemas.openxmlformats.org/officeDocument/2006/relationships/hyperlink" Target="https://doi.org/10.1093/gbe/evw036" TargetMode="External"/><Relationship Id="rId144" Type="http://schemas.openxmlformats.org/officeDocument/2006/relationships/hyperlink" Target="https://doi.org/10.1007/s00344-015-9552-3" TargetMode="External"/><Relationship Id="rId90" Type="http://schemas.openxmlformats.org/officeDocument/2006/relationships/hyperlink" Target="https://doi.org/10.1016/j.ygeno.2019.02.011" TargetMode="External"/><Relationship Id="rId165" Type="http://schemas.openxmlformats.org/officeDocument/2006/relationships/hyperlink" Target="https://doi.org/10.1038/nature02781" TargetMode="External"/><Relationship Id="rId186" Type="http://schemas.openxmlformats.org/officeDocument/2006/relationships/hyperlink" Target="https://doi.org/10.1073/pnas.1533501100" TargetMode="External"/><Relationship Id="rId211" Type="http://schemas.openxmlformats.org/officeDocument/2006/relationships/hyperlink" Target="https://doi.org/10.3389/fgene.2019.00741" TargetMode="External"/><Relationship Id="rId232" Type="http://schemas.openxmlformats.org/officeDocument/2006/relationships/hyperlink" Target="https://doi.org/10.1038/s41438-018-0108-0" TargetMode="External"/><Relationship Id="rId253" Type="http://schemas.openxmlformats.org/officeDocument/2006/relationships/fontTable" Target="fontTable.xml"/><Relationship Id="rId27" Type="http://schemas.openxmlformats.org/officeDocument/2006/relationships/image" Target="media/image17.png"/><Relationship Id="rId48" Type="http://schemas.openxmlformats.org/officeDocument/2006/relationships/hyperlink" Target="https://doi.org/10.1007/s11032-006-9004-7" TargetMode="External"/><Relationship Id="rId69" Type="http://schemas.openxmlformats.org/officeDocument/2006/relationships/hyperlink" Target="https://doi.org/10.1093/bioinformatics/bts635" TargetMode="External"/><Relationship Id="rId113" Type="http://schemas.openxmlformats.org/officeDocument/2006/relationships/hyperlink" Target="https://doi.org/10.4161/epi.6.2.13627" TargetMode="External"/><Relationship Id="rId134" Type="http://schemas.openxmlformats.org/officeDocument/2006/relationships/hyperlink" Target="https://doi.org/10.1590/1678-4324-2017160474" TargetMode="External"/><Relationship Id="rId80" Type="http://schemas.openxmlformats.org/officeDocument/2006/relationships/hyperlink" Target="https://doi.org/10.1007/s10658-018-1454-3" TargetMode="External"/><Relationship Id="rId155" Type="http://schemas.openxmlformats.org/officeDocument/2006/relationships/hyperlink" Target="https://doi.org/10.3389/fpls.2018.00201" TargetMode="External"/><Relationship Id="rId176" Type="http://schemas.openxmlformats.org/officeDocument/2006/relationships/hyperlink" Target="https://doi.org/10.1105/tpc.105.039255" TargetMode="External"/><Relationship Id="rId197" Type="http://schemas.openxmlformats.org/officeDocument/2006/relationships/hyperlink" Target="https://doi.org/10.1038/srep43715" TargetMode="External"/><Relationship Id="rId201" Type="http://schemas.openxmlformats.org/officeDocument/2006/relationships/hyperlink" Target="https://doi.org/10.1016/j.lfs.2005.05.094" TargetMode="External"/><Relationship Id="rId222" Type="http://schemas.openxmlformats.org/officeDocument/2006/relationships/hyperlink" Target="https://doi.org/10.1007/s11032-010-9490-5" TargetMode="External"/><Relationship Id="rId243" Type="http://schemas.openxmlformats.org/officeDocument/2006/relationships/hyperlink" Target="https://doi.org/10.1038/ncomms2290" TargetMode="External"/><Relationship Id="rId17" Type="http://schemas.openxmlformats.org/officeDocument/2006/relationships/image" Target="media/image7.png"/><Relationship Id="rId38" Type="http://schemas.openxmlformats.org/officeDocument/2006/relationships/hyperlink" Target="https://doi.org/10.3390/molecules23040781" TargetMode="External"/><Relationship Id="rId59" Type="http://schemas.openxmlformats.org/officeDocument/2006/relationships/hyperlink" Target="https://doi.org/10.3390/plants10020315" TargetMode="External"/><Relationship Id="rId103" Type="http://schemas.openxmlformats.org/officeDocument/2006/relationships/hyperlink" Target="https://doi.org/10.1016/j.pbi.2011.08.002" TargetMode="External"/><Relationship Id="rId124" Type="http://schemas.openxmlformats.org/officeDocument/2006/relationships/hyperlink" Target="https://doi.org/10.1186/1471-2105-9-55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94CCA0AF1EC874AB8E6235CDDF7C225"/>
        <w:category>
          <w:name w:val="General"/>
          <w:gallery w:val="placeholder"/>
        </w:category>
        <w:types>
          <w:type w:val="bbPlcHdr"/>
        </w:types>
        <w:behaviors>
          <w:behavior w:val="content"/>
        </w:behaviors>
        <w:guid w:val="{B466EAA5-39EF-B242-B621-0DDB234466F0}"/>
      </w:docPartPr>
      <w:docPartBody>
        <w:p w:rsidR="00AC0631" w:rsidRDefault="00AC0631"/>
      </w:docPartBody>
    </w:docPart>
    <w:docPart>
      <w:docPartPr>
        <w:name w:val="4C45738C08C1524680B5117DAFFF0950"/>
        <w:category>
          <w:name w:val="General"/>
          <w:gallery w:val="placeholder"/>
        </w:category>
        <w:types>
          <w:type w:val="bbPlcHdr"/>
        </w:types>
        <w:behaviors>
          <w:behavior w:val="content"/>
        </w:behaviors>
        <w:guid w:val="{447EDDDD-8549-5343-999E-E2E94F97E41C}"/>
      </w:docPartPr>
      <w:docPartBody>
        <w:p w:rsidR="001C5B79" w:rsidRDefault="001C5B79"/>
      </w:docPartBody>
    </w:docPart>
    <w:docPart>
      <w:docPartPr>
        <w:name w:val="1529C1AAF6329D49B3C42E01A20D6D88"/>
        <w:category>
          <w:name w:val="General"/>
          <w:gallery w:val="placeholder"/>
        </w:category>
        <w:types>
          <w:type w:val="bbPlcHdr"/>
        </w:types>
        <w:behaviors>
          <w:behavior w:val="content"/>
        </w:behaviors>
        <w:guid w:val="{BDC7B170-6ECF-B045-A12D-3945259B7D6E}"/>
      </w:docPartPr>
      <w:docPartBody>
        <w:p w:rsidR="001C5B79" w:rsidRDefault="001C5B79"/>
      </w:docPartBody>
    </w:docPart>
    <w:docPart>
      <w:docPartPr>
        <w:name w:val="BBB8B78763EEAD45913F06827EDF8188"/>
        <w:category>
          <w:name w:val="General"/>
          <w:gallery w:val="placeholder"/>
        </w:category>
        <w:types>
          <w:type w:val="bbPlcHdr"/>
        </w:types>
        <w:behaviors>
          <w:behavior w:val="content"/>
        </w:behaviors>
        <w:guid w:val="{6B0D7B7C-E589-7346-8BFF-BD0CDCE517BB}"/>
      </w:docPartPr>
      <w:docPartBody>
        <w:p w:rsidR="001C5B79" w:rsidRDefault="001C5B79"/>
      </w:docPartBody>
    </w:docPart>
    <w:docPart>
      <w:docPartPr>
        <w:name w:val="464D3ABBA2296449B9B13B8EA0C4C38C"/>
        <w:category>
          <w:name w:val="General"/>
          <w:gallery w:val="placeholder"/>
        </w:category>
        <w:types>
          <w:type w:val="bbPlcHdr"/>
        </w:types>
        <w:behaviors>
          <w:behavior w:val="content"/>
        </w:behaviors>
        <w:guid w:val="{C4DF7AF7-AF31-264F-90B9-6CFC29015DA8}"/>
      </w:docPartPr>
      <w:docPartBody>
        <w:p w:rsidR="001C5B79" w:rsidRDefault="001C5B79"/>
      </w:docPartBody>
    </w:docPart>
    <w:docPart>
      <w:docPartPr>
        <w:name w:val="E849DA81634AAE4281734886130F14DF"/>
        <w:category>
          <w:name w:val="General"/>
          <w:gallery w:val="placeholder"/>
        </w:category>
        <w:types>
          <w:type w:val="bbPlcHdr"/>
        </w:types>
        <w:behaviors>
          <w:behavior w:val="content"/>
        </w:behaviors>
        <w:guid w:val="{3E009E70-A821-BC40-8BEF-36E6912C9394}"/>
      </w:docPartPr>
      <w:docPartBody>
        <w:p w:rsidR="001C419B" w:rsidRDefault="001C419B"/>
      </w:docPartBody>
    </w:docPart>
    <w:docPart>
      <w:docPartPr>
        <w:name w:val="34BAEF400B2095448BE0818F5896E6D6"/>
        <w:category>
          <w:name w:val="General"/>
          <w:gallery w:val="placeholder"/>
        </w:category>
        <w:types>
          <w:type w:val="bbPlcHdr"/>
        </w:types>
        <w:behaviors>
          <w:behavior w:val="content"/>
        </w:behaviors>
        <w:guid w:val="{85F46160-42E3-374D-99EF-20E6A243AE2F}"/>
      </w:docPartPr>
      <w:docPartBody>
        <w:p w:rsidR="001C419B" w:rsidRDefault="001C419B"/>
      </w:docPartBody>
    </w:docPart>
    <w:docPart>
      <w:docPartPr>
        <w:name w:val="DB0AD074D818F147B3CD1DA4947BE635"/>
        <w:category>
          <w:name w:val="General"/>
          <w:gallery w:val="placeholder"/>
        </w:category>
        <w:types>
          <w:type w:val="bbPlcHdr"/>
        </w:types>
        <w:behaviors>
          <w:behavior w:val="content"/>
        </w:behaviors>
        <w:guid w:val="{BC71B095-A9D8-CB4B-B6E5-7A895330CB92}"/>
      </w:docPartPr>
      <w:docPartBody>
        <w:p w:rsidR="001C419B" w:rsidRDefault="001C419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dvGulliv-R">
    <w:altName w:val="Yu Gothic"/>
    <w:charset w:val="80"/>
    <w:family w:val="auto"/>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4A6"/>
    <w:rsid w:val="000D34A6"/>
    <w:rsid w:val="00132F08"/>
    <w:rsid w:val="001764E9"/>
    <w:rsid w:val="001B31CB"/>
    <w:rsid w:val="001C419B"/>
    <w:rsid w:val="001C5B79"/>
    <w:rsid w:val="00211968"/>
    <w:rsid w:val="00261526"/>
    <w:rsid w:val="003050DD"/>
    <w:rsid w:val="00352418"/>
    <w:rsid w:val="003A5CF2"/>
    <w:rsid w:val="003D402C"/>
    <w:rsid w:val="00430C7F"/>
    <w:rsid w:val="00487621"/>
    <w:rsid w:val="004A0067"/>
    <w:rsid w:val="00661ACB"/>
    <w:rsid w:val="00670D68"/>
    <w:rsid w:val="00697CD8"/>
    <w:rsid w:val="006C4071"/>
    <w:rsid w:val="00702CC2"/>
    <w:rsid w:val="007E5964"/>
    <w:rsid w:val="0094276A"/>
    <w:rsid w:val="009856EC"/>
    <w:rsid w:val="00A13B36"/>
    <w:rsid w:val="00A769BE"/>
    <w:rsid w:val="00AC0631"/>
    <w:rsid w:val="00B07EE3"/>
    <w:rsid w:val="00B60C9B"/>
    <w:rsid w:val="00BD582A"/>
    <w:rsid w:val="00C47D67"/>
    <w:rsid w:val="00D67DF0"/>
    <w:rsid w:val="00E13B5D"/>
    <w:rsid w:val="00E5349F"/>
    <w:rsid w:val="00E833C9"/>
    <w:rsid w:val="00E94343"/>
    <w:rsid w:val="00EA03EA"/>
    <w:rsid w:val="00F17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B1C09F-177B-034F-B039-6C937BBA9234}">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2FC7-ECDE-4B2E-9B5F-546746E41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115</Pages>
  <Words>32594</Words>
  <Characters>199151</Characters>
  <Application>Microsoft Office Word</Application>
  <DocSecurity>0</DocSecurity>
  <Lines>2315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Pavlovic, Zaklina</dc:creator>
  <cp:keywords/>
  <dc:description/>
  <cp:lastModifiedBy>Sherman, Abby L</cp:lastModifiedBy>
  <cp:revision>7</cp:revision>
  <dcterms:created xsi:type="dcterms:W3CDTF">2022-12-13T16:10:00Z</dcterms:created>
  <dcterms:modified xsi:type="dcterms:W3CDTF">2022-12-14T13:26:00Z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documentId_5374</vt:lpwstr>
  </property>
  <property fmtid="{D5CDD505-2E9C-101B-9397-08002B2CF9AE}" pid="3" name="grammarly_documentContext">
    <vt:lpwstr>{"goals":[],"domain":"general","emotions":[],"dialect":"american"}</vt:lpwstr>
  </property>
</Properties>
</file>