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E1040D" w14:textId="77777777" w:rsidR="002729A9" w:rsidRPr="002B5D67" w:rsidRDefault="002729A9" w:rsidP="002B5D67">
      <w:pPr>
        <w:pStyle w:val="Heading1"/>
        <w:rPr>
          <w:caps/>
          <w:szCs w:val="24"/>
        </w:rPr>
      </w:pPr>
      <w:bookmarkStart w:id="0" w:name="_Toc269902352"/>
      <w:bookmarkStart w:id="1" w:name="_Toc269902109"/>
      <w:bookmarkStart w:id="2" w:name="_Toc274387706"/>
      <w:r w:rsidRPr="002B5D67">
        <w:rPr>
          <w:caps/>
          <w:szCs w:val="24"/>
          <w:lang w:val="en-CA"/>
        </w:rPr>
        <w:t>Differentiation of equine mesenchymal stromal cells into cells of neural lineage and their application into a novel model for acute peripheral nerve injury in the horse</w:t>
      </w:r>
      <w:bookmarkEnd w:id="2"/>
    </w:p>
    <w:p w14:paraId="3965309A" w14:textId="77777777" w:rsidR="002729A9" w:rsidRPr="00AA5688" w:rsidRDefault="002729A9" w:rsidP="00C34F65">
      <w:pPr>
        <w:spacing w:line="360" w:lineRule="auto"/>
        <w:jc w:val="both"/>
        <w:rPr>
          <w:rFonts w:ascii="Book Antiqua" w:hAnsi="Book Antiqua"/>
        </w:rPr>
      </w:pPr>
    </w:p>
    <w:p w14:paraId="7A066187" w14:textId="77777777" w:rsidR="002729A9" w:rsidRPr="00AA5688" w:rsidRDefault="002729A9" w:rsidP="00C34F65">
      <w:pPr>
        <w:spacing w:line="360" w:lineRule="auto"/>
        <w:jc w:val="both"/>
        <w:rPr>
          <w:rFonts w:ascii="Book Antiqua" w:hAnsi="Book Antiqua"/>
        </w:rPr>
      </w:pPr>
    </w:p>
    <w:p w14:paraId="61D87339" w14:textId="77777777" w:rsidR="002729A9" w:rsidRDefault="002729A9" w:rsidP="00C34F65">
      <w:pPr>
        <w:spacing w:line="360" w:lineRule="auto"/>
        <w:jc w:val="both"/>
        <w:rPr>
          <w:rFonts w:ascii="Book Antiqua" w:hAnsi="Book Antiqua"/>
        </w:rPr>
      </w:pPr>
    </w:p>
    <w:p w14:paraId="47C94339" w14:textId="77777777" w:rsidR="002729A9" w:rsidRDefault="002729A9" w:rsidP="00C34F65">
      <w:pPr>
        <w:spacing w:line="360" w:lineRule="auto"/>
        <w:jc w:val="both"/>
        <w:rPr>
          <w:rFonts w:ascii="Book Antiqua" w:hAnsi="Book Antiqua"/>
        </w:rPr>
      </w:pPr>
    </w:p>
    <w:p w14:paraId="0F24C2AB" w14:textId="77777777" w:rsidR="002729A9" w:rsidRDefault="002729A9" w:rsidP="00C34F65">
      <w:pPr>
        <w:spacing w:line="360" w:lineRule="auto"/>
        <w:jc w:val="both"/>
        <w:rPr>
          <w:rFonts w:ascii="Book Antiqua" w:hAnsi="Book Antiqua"/>
        </w:rPr>
      </w:pPr>
    </w:p>
    <w:p w14:paraId="104CCF40" w14:textId="77777777" w:rsidR="002729A9" w:rsidRDefault="002729A9" w:rsidP="00C34F65">
      <w:pPr>
        <w:spacing w:line="360" w:lineRule="auto"/>
        <w:jc w:val="both"/>
        <w:rPr>
          <w:rFonts w:ascii="Book Antiqua" w:hAnsi="Book Antiqua"/>
        </w:rPr>
      </w:pPr>
    </w:p>
    <w:p w14:paraId="6DB77568" w14:textId="77777777" w:rsidR="002729A9" w:rsidRDefault="002729A9" w:rsidP="00C34F65">
      <w:pPr>
        <w:spacing w:line="360" w:lineRule="auto"/>
        <w:jc w:val="both"/>
        <w:rPr>
          <w:rFonts w:ascii="Book Antiqua" w:hAnsi="Book Antiqua"/>
        </w:rPr>
      </w:pPr>
    </w:p>
    <w:p w14:paraId="32200899" w14:textId="77777777" w:rsidR="002729A9" w:rsidRPr="00AA5688" w:rsidRDefault="002729A9" w:rsidP="00C34F65">
      <w:pPr>
        <w:spacing w:line="360" w:lineRule="auto"/>
        <w:jc w:val="both"/>
        <w:rPr>
          <w:rFonts w:ascii="Book Antiqua" w:hAnsi="Book Antiqua"/>
        </w:rPr>
      </w:pPr>
    </w:p>
    <w:p w14:paraId="11F6AC21" w14:textId="77777777" w:rsidR="002729A9" w:rsidRPr="00AA5688" w:rsidRDefault="002729A9" w:rsidP="00C34F65">
      <w:pPr>
        <w:spacing w:line="360" w:lineRule="auto"/>
        <w:jc w:val="both"/>
        <w:rPr>
          <w:rFonts w:ascii="Book Antiqua" w:hAnsi="Book Antiqua"/>
        </w:rPr>
      </w:pPr>
    </w:p>
    <w:p w14:paraId="3F361999" w14:textId="77777777" w:rsidR="002729A9" w:rsidRPr="00DB5953" w:rsidRDefault="002729A9" w:rsidP="00DB5953">
      <w:pPr>
        <w:jc w:val="center"/>
        <w:rPr>
          <w:rFonts w:ascii="Book Antiqua" w:hAnsi="Book Antiqua"/>
        </w:rPr>
      </w:pPr>
      <w:r w:rsidRPr="00DB5953">
        <w:rPr>
          <w:rFonts w:ascii="Book Antiqua" w:hAnsi="Book Antiqua"/>
        </w:rPr>
        <w:t>A Thesis Presented for the</w:t>
      </w:r>
    </w:p>
    <w:p w14:paraId="1980D17C" w14:textId="77777777" w:rsidR="002729A9" w:rsidRPr="00DB5953" w:rsidRDefault="002729A9" w:rsidP="00DB5953">
      <w:pPr>
        <w:jc w:val="center"/>
        <w:rPr>
          <w:rFonts w:ascii="Book Antiqua" w:hAnsi="Book Antiqua"/>
        </w:rPr>
      </w:pPr>
      <w:r w:rsidRPr="00DB5953">
        <w:rPr>
          <w:rFonts w:ascii="Book Antiqua" w:hAnsi="Book Antiqua"/>
        </w:rPr>
        <w:t>Master of Science Degree</w:t>
      </w:r>
    </w:p>
    <w:p w14:paraId="7DF13FC9" w14:textId="77777777" w:rsidR="002729A9" w:rsidRPr="00DB5953" w:rsidRDefault="002729A9" w:rsidP="00DB5953">
      <w:pPr>
        <w:jc w:val="center"/>
        <w:rPr>
          <w:rFonts w:ascii="Book Antiqua" w:hAnsi="Book Antiqua"/>
        </w:rPr>
      </w:pPr>
      <w:r w:rsidRPr="00DB5953">
        <w:rPr>
          <w:rFonts w:ascii="Book Antiqua" w:hAnsi="Book Antiqua"/>
        </w:rPr>
        <w:t>The University of Tennessee, Knoxville</w:t>
      </w:r>
    </w:p>
    <w:p w14:paraId="2B28F5A3" w14:textId="77777777" w:rsidR="002729A9" w:rsidRPr="00DB5953" w:rsidRDefault="002729A9" w:rsidP="00DB5953">
      <w:pPr>
        <w:jc w:val="center"/>
        <w:rPr>
          <w:rFonts w:ascii="Book Antiqua" w:hAnsi="Book Antiqua"/>
        </w:rPr>
      </w:pPr>
    </w:p>
    <w:p w14:paraId="5D642C2E" w14:textId="77777777" w:rsidR="002729A9" w:rsidRDefault="002729A9" w:rsidP="00DB5953">
      <w:pPr>
        <w:jc w:val="center"/>
        <w:rPr>
          <w:rFonts w:ascii="Book Antiqua" w:hAnsi="Book Antiqua"/>
        </w:rPr>
      </w:pPr>
    </w:p>
    <w:p w14:paraId="66FFC2DD" w14:textId="77777777" w:rsidR="002729A9" w:rsidRDefault="002729A9" w:rsidP="00DB5953">
      <w:pPr>
        <w:jc w:val="center"/>
        <w:rPr>
          <w:rFonts w:ascii="Book Antiqua" w:hAnsi="Book Antiqua"/>
        </w:rPr>
      </w:pPr>
    </w:p>
    <w:p w14:paraId="7CE39689" w14:textId="77777777" w:rsidR="002729A9" w:rsidRDefault="002729A9" w:rsidP="00DB5953">
      <w:pPr>
        <w:jc w:val="center"/>
        <w:rPr>
          <w:rFonts w:ascii="Book Antiqua" w:hAnsi="Book Antiqua"/>
        </w:rPr>
      </w:pPr>
    </w:p>
    <w:p w14:paraId="42130872" w14:textId="77777777" w:rsidR="002729A9" w:rsidRDefault="002729A9" w:rsidP="00DB5953">
      <w:pPr>
        <w:jc w:val="center"/>
        <w:rPr>
          <w:rFonts w:ascii="Book Antiqua" w:hAnsi="Book Antiqua"/>
        </w:rPr>
      </w:pPr>
    </w:p>
    <w:p w14:paraId="6F37CEDC" w14:textId="77777777" w:rsidR="002729A9" w:rsidRDefault="002729A9" w:rsidP="00DB5953">
      <w:pPr>
        <w:jc w:val="center"/>
        <w:rPr>
          <w:rFonts w:ascii="Book Antiqua" w:hAnsi="Book Antiqua"/>
        </w:rPr>
      </w:pPr>
    </w:p>
    <w:p w14:paraId="4B07B8C5" w14:textId="77777777" w:rsidR="002729A9" w:rsidRDefault="002729A9" w:rsidP="00DB5953">
      <w:pPr>
        <w:jc w:val="center"/>
        <w:rPr>
          <w:rFonts w:ascii="Book Antiqua" w:hAnsi="Book Antiqua"/>
        </w:rPr>
      </w:pPr>
    </w:p>
    <w:p w14:paraId="0248384F" w14:textId="77777777" w:rsidR="002729A9" w:rsidRDefault="002729A9" w:rsidP="00DB5953">
      <w:pPr>
        <w:jc w:val="center"/>
        <w:rPr>
          <w:rFonts w:ascii="Book Antiqua" w:hAnsi="Book Antiqua"/>
        </w:rPr>
      </w:pPr>
    </w:p>
    <w:p w14:paraId="27A4E0E7" w14:textId="77777777" w:rsidR="002729A9" w:rsidRDefault="002729A9" w:rsidP="00DB5953">
      <w:pPr>
        <w:jc w:val="center"/>
        <w:rPr>
          <w:rFonts w:ascii="Book Antiqua" w:hAnsi="Book Antiqua"/>
        </w:rPr>
      </w:pPr>
    </w:p>
    <w:p w14:paraId="7B54CC38" w14:textId="77777777" w:rsidR="002729A9" w:rsidRDefault="002729A9" w:rsidP="00DB5953">
      <w:pPr>
        <w:jc w:val="center"/>
        <w:rPr>
          <w:rFonts w:ascii="Book Antiqua" w:hAnsi="Book Antiqua"/>
        </w:rPr>
      </w:pPr>
    </w:p>
    <w:p w14:paraId="7F2B6A10" w14:textId="77777777" w:rsidR="002729A9" w:rsidRPr="00DB5953" w:rsidRDefault="002729A9" w:rsidP="00DB5953">
      <w:pPr>
        <w:jc w:val="center"/>
        <w:rPr>
          <w:rFonts w:ascii="Book Antiqua" w:hAnsi="Book Antiqua"/>
        </w:rPr>
      </w:pPr>
    </w:p>
    <w:p w14:paraId="3F90F367" w14:textId="77777777" w:rsidR="002729A9" w:rsidRPr="00DB5953" w:rsidRDefault="002729A9" w:rsidP="00DB5953">
      <w:pPr>
        <w:jc w:val="center"/>
        <w:rPr>
          <w:rFonts w:ascii="Book Antiqua" w:hAnsi="Book Antiqua"/>
        </w:rPr>
      </w:pPr>
    </w:p>
    <w:p w14:paraId="36D69F8B" w14:textId="77777777" w:rsidR="002729A9" w:rsidRPr="00DB5953" w:rsidRDefault="002729A9" w:rsidP="00DB5953">
      <w:pPr>
        <w:jc w:val="center"/>
        <w:rPr>
          <w:rFonts w:ascii="Book Antiqua" w:hAnsi="Book Antiqua"/>
        </w:rPr>
      </w:pPr>
    </w:p>
    <w:p w14:paraId="62B36B44" w14:textId="77777777" w:rsidR="002729A9" w:rsidRPr="00DB5953" w:rsidRDefault="002729A9" w:rsidP="00DB5953">
      <w:pPr>
        <w:jc w:val="center"/>
        <w:rPr>
          <w:rFonts w:ascii="Book Antiqua" w:hAnsi="Book Antiqua"/>
        </w:rPr>
      </w:pPr>
      <w:r w:rsidRPr="00DB5953">
        <w:rPr>
          <w:rFonts w:ascii="Book Antiqua" w:hAnsi="Book Antiqua"/>
        </w:rPr>
        <w:t>Claudia Cruz</w:t>
      </w:r>
    </w:p>
    <w:p w14:paraId="1826EC64" w14:textId="77777777" w:rsidR="002729A9" w:rsidRPr="00DB5953" w:rsidRDefault="002729A9" w:rsidP="00DB5953">
      <w:pPr>
        <w:jc w:val="center"/>
        <w:rPr>
          <w:rFonts w:ascii="Book Antiqua" w:hAnsi="Book Antiqua"/>
        </w:rPr>
      </w:pPr>
      <w:r w:rsidRPr="00DB5953">
        <w:rPr>
          <w:rFonts w:ascii="Book Antiqua" w:hAnsi="Book Antiqua"/>
        </w:rPr>
        <w:t>December 2014</w:t>
      </w:r>
    </w:p>
    <w:p w14:paraId="28478641" w14:textId="77777777" w:rsidR="002729A9" w:rsidRPr="00DB5953" w:rsidRDefault="002729A9" w:rsidP="00DB5953">
      <w:pPr>
        <w:jc w:val="center"/>
        <w:rPr>
          <w:rFonts w:ascii="Book Antiqua" w:hAnsi="Book Antiqua" w:cs="Arial"/>
        </w:rPr>
      </w:pPr>
    </w:p>
    <w:p w14:paraId="5AF641DB" w14:textId="77777777" w:rsidR="002729A9" w:rsidRPr="00DB5953" w:rsidRDefault="002729A9" w:rsidP="00DB5953">
      <w:pPr>
        <w:jc w:val="center"/>
        <w:rPr>
          <w:rFonts w:ascii="Book Antiqua" w:hAnsi="Book Antiqua" w:cs="Arial"/>
        </w:rPr>
      </w:pPr>
    </w:p>
    <w:p w14:paraId="34494B05" w14:textId="77777777" w:rsidR="002729A9" w:rsidRPr="00DB5953" w:rsidRDefault="002729A9" w:rsidP="00DB5953">
      <w:pPr>
        <w:jc w:val="center"/>
        <w:rPr>
          <w:rFonts w:ascii="Book Antiqua" w:hAnsi="Book Antiqua" w:cs="Arial"/>
        </w:rPr>
      </w:pPr>
    </w:p>
    <w:p w14:paraId="7ACFDE32" w14:textId="77777777" w:rsidR="002729A9" w:rsidRPr="00DB5953" w:rsidRDefault="002729A9" w:rsidP="00DB5953">
      <w:pPr>
        <w:jc w:val="center"/>
        <w:rPr>
          <w:rFonts w:ascii="Book Antiqua" w:hAnsi="Book Antiqua" w:cs="Arial"/>
        </w:rPr>
      </w:pPr>
    </w:p>
    <w:p w14:paraId="138C2D23" w14:textId="77777777" w:rsidR="002729A9" w:rsidRPr="00DB5953" w:rsidRDefault="002729A9" w:rsidP="00DB5953">
      <w:pPr>
        <w:jc w:val="center"/>
        <w:rPr>
          <w:rFonts w:ascii="Book Antiqua" w:hAnsi="Book Antiqua" w:cs="Arial"/>
        </w:rPr>
      </w:pPr>
    </w:p>
    <w:p w14:paraId="03AC4CB1" w14:textId="77777777" w:rsidR="002729A9" w:rsidRPr="00DB5953" w:rsidRDefault="002729A9" w:rsidP="00DB5953">
      <w:pPr>
        <w:jc w:val="center"/>
        <w:rPr>
          <w:rFonts w:ascii="Book Antiqua" w:hAnsi="Book Antiqua" w:cs="Arial"/>
        </w:rPr>
      </w:pPr>
    </w:p>
    <w:p w14:paraId="0406E5E4" w14:textId="77777777" w:rsidR="002729A9" w:rsidRPr="00DB5953" w:rsidRDefault="002729A9" w:rsidP="00DB5953">
      <w:pPr>
        <w:jc w:val="center"/>
        <w:rPr>
          <w:rFonts w:ascii="Book Antiqua" w:hAnsi="Book Antiqua" w:cs="Arial"/>
        </w:rPr>
      </w:pPr>
    </w:p>
    <w:p w14:paraId="17AE092A" w14:textId="77777777" w:rsidR="002729A9" w:rsidRPr="00DB5953" w:rsidRDefault="002729A9" w:rsidP="00DB5953">
      <w:pPr>
        <w:jc w:val="center"/>
        <w:rPr>
          <w:rFonts w:ascii="Book Antiqua" w:hAnsi="Book Antiqua" w:cs="Arial"/>
        </w:rPr>
      </w:pPr>
    </w:p>
    <w:p w14:paraId="0AA23F9E" w14:textId="77777777" w:rsidR="002729A9" w:rsidRPr="00DB5953" w:rsidRDefault="002729A9" w:rsidP="00DB5953">
      <w:pPr>
        <w:jc w:val="center"/>
        <w:rPr>
          <w:rFonts w:ascii="Book Antiqua" w:hAnsi="Book Antiqua" w:cs="Arial"/>
        </w:rPr>
      </w:pPr>
    </w:p>
    <w:p w14:paraId="0D6F3C16" w14:textId="77777777" w:rsidR="002729A9" w:rsidRPr="00DB5953" w:rsidRDefault="002729A9" w:rsidP="002729A9">
      <w:pPr>
        <w:rPr>
          <w:rFonts w:ascii="Book Antiqua" w:hAnsi="Book Antiqua" w:cs="Arial"/>
        </w:rPr>
      </w:pPr>
    </w:p>
    <w:p w14:paraId="7F60C77E" w14:textId="77777777" w:rsidR="002729A9" w:rsidRPr="00DB5953" w:rsidRDefault="002729A9" w:rsidP="00832712">
      <w:pPr>
        <w:spacing w:line="360" w:lineRule="auto"/>
        <w:jc w:val="both"/>
        <w:rPr>
          <w:rFonts w:ascii="Book Antiqua" w:hAnsi="Book Antiqua" w:cs="Arial"/>
        </w:rPr>
      </w:pPr>
      <w:r w:rsidRPr="00DB5953">
        <w:rPr>
          <w:rFonts w:ascii="Book Antiqua" w:hAnsi="Book Antiqua" w:cs="Arial"/>
        </w:rPr>
        <w:lastRenderedPageBreak/>
        <w:t>Copyright © 2014 by Claudia Cruz</w:t>
      </w:r>
    </w:p>
    <w:p w14:paraId="3ED2331F" w14:textId="77777777" w:rsidR="002729A9" w:rsidRPr="00DB5953" w:rsidRDefault="002729A9" w:rsidP="00832712">
      <w:pPr>
        <w:spacing w:line="360" w:lineRule="auto"/>
        <w:jc w:val="both"/>
        <w:rPr>
          <w:rFonts w:ascii="Book Antiqua" w:hAnsi="Book Antiqua" w:cs="Arial"/>
        </w:rPr>
      </w:pPr>
      <w:r w:rsidRPr="00DB5953">
        <w:rPr>
          <w:rFonts w:ascii="Book Antiqua" w:hAnsi="Book Antiqua" w:cs="Arial"/>
        </w:rPr>
        <w:t>All rights reserved.</w:t>
      </w:r>
    </w:p>
    <w:p w14:paraId="20FFF9F7" w14:textId="77777777" w:rsidR="002729A9" w:rsidRDefault="002729A9" w:rsidP="00C34F65">
      <w:pPr>
        <w:spacing w:line="360" w:lineRule="auto"/>
        <w:jc w:val="center"/>
        <w:rPr>
          <w:rFonts w:ascii="Book Antiqua" w:hAnsi="Book Antiqua"/>
          <w:sz w:val="36"/>
          <w:szCs w:val="36"/>
        </w:rPr>
      </w:pPr>
      <w:r w:rsidRPr="00AA5688">
        <w:rPr>
          <w:rFonts w:ascii="Book Antiqua" w:hAnsi="Book Antiqua"/>
          <w:sz w:val="36"/>
          <w:szCs w:val="36"/>
        </w:rPr>
        <w:br w:type="page"/>
      </w:r>
    </w:p>
    <w:p w14:paraId="17253A12" w14:textId="77777777" w:rsidR="002729A9" w:rsidRDefault="002729A9" w:rsidP="00DB5953">
      <w:pPr>
        <w:pStyle w:val="Heading2"/>
      </w:pPr>
      <w:bookmarkStart w:id="3" w:name="_Toc274387707"/>
      <w:r>
        <w:t>Acknowledgements</w:t>
      </w:r>
      <w:bookmarkEnd w:id="3"/>
    </w:p>
    <w:p w14:paraId="0A318701" w14:textId="77777777" w:rsidR="002729A9" w:rsidRDefault="002729A9" w:rsidP="00DB5953"/>
    <w:p w14:paraId="2914E943" w14:textId="77777777" w:rsidR="002729A9" w:rsidRDefault="002729A9" w:rsidP="00DB5953"/>
    <w:p w14:paraId="22457626" w14:textId="77777777" w:rsidR="002729A9" w:rsidRPr="00DB5953" w:rsidRDefault="002729A9" w:rsidP="00DB5953"/>
    <w:p w14:paraId="5DD25C3B" w14:textId="77777777" w:rsidR="002729A9" w:rsidRPr="00AA5688" w:rsidRDefault="002729A9" w:rsidP="000378BE">
      <w:pPr>
        <w:spacing w:line="360" w:lineRule="auto"/>
        <w:jc w:val="both"/>
        <w:rPr>
          <w:rFonts w:ascii="Book Antiqua" w:hAnsi="Book Antiqua"/>
        </w:rPr>
      </w:pPr>
      <w:r w:rsidRPr="00AA5688">
        <w:rPr>
          <w:rFonts w:ascii="Book Antiqua" w:hAnsi="Book Antiqua"/>
        </w:rPr>
        <w:t>Thanks to my family, José L</w:t>
      </w:r>
      <w:r w:rsidRPr="00AA5688">
        <w:rPr>
          <w:rFonts w:ascii="Book Antiqua" w:hAnsi="Book Antiqua"/>
          <w:lang w:val="es-ES_tradnl"/>
        </w:rPr>
        <w:t>uis Cruz Mondragón, María S. Villagrán Sánchez and Haidé Cruz Villagrán,</w:t>
      </w:r>
      <w:r w:rsidRPr="00AA5688">
        <w:rPr>
          <w:rFonts w:ascii="Book Antiqua" w:hAnsi="Book Antiqua"/>
        </w:rPr>
        <w:t xml:space="preserve"> for being always supportive, patient and encouraging. </w:t>
      </w:r>
    </w:p>
    <w:p w14:paraId="6A2927C3" w14:textId="77777777" w:rsidR="002729A9" w:rsidRPr="00AA5688" w:rsidRDefault="002729A9" w:rsidP="00C34F65">
      <w:pPr>
        <w:spacing w:line="360" w:lineRule="auto"/>
        <w:jc w:val="both"/>
        <w:rPr>
          <w:rFonts w:ascii="Book Antiqua" w:hAnsi="Book Antiqua"/>
        </w:rPr>
      </w:pPr>
    </w:p>
    <w:p w14:paraId="47E745FF" w14:textId="77777777" w:rsidR="002729A9" w:rsidRPr="00AA5688" w:rsidRDefault="002729A9" w:rsidP="00092112">
      <w:pPr>
        <w:spacing w:line="360" w:lineRule="auto"/>
        <w:jc w:val="both"/>
        <w:rPr>
          <w:rFonts w:ascii="Book Antiqua" w:hAnsi="Book Antiqua"/>
        </w:rPr>
      </w:pPr>
      <w:r w:rsidRPr="00AA5688">
        <w:rPr>
          <w:rFonts w:ascii="Book Antiqua" w:hAnsi="Book Antiqua"/>
        </w:rPr>
        <w:t xml:space="preserve">Thanks to Dr. Madhu Dhar for her guidance and </w:t>
      </w:r>
      <w:r>
        <w:rPr>
          <w:rFonts w:ascii="Book Antiqua" w:hAnsi="Book Antiqua"/>
        </w:rPr>
        <w:t>supervision during this project and to all my colleagues in the laboratory for their help, support and patience.</w:t>
      </w:r>
    </w:p>
    <w:p w14:paraId="0E751F88" w14:textId="77777777" w:rsidR="002729A9" w:rsidRDefault="002729A9" w:rsidP="000378BE">
      <w:pPr>
        <w:spacing w:line="360" w:lineRule="auto"/>
        <w:jc w:val="both"/>
        <w:rPr>
          <w:rFonts w:ascii="Book Antiqua" w:hAnsi="Book Antiqua"/>
        </w:rPr>
      </w:pPr>
    </w:p>
    <w:p w14:paraId="3E475A5B" w14:textId="77777777" w:rsidR="002729A9" w:rsidRDefault="002729A9" w:rsidP="000378BE">
      <w:pPr>
        <w:spacing w:line="360" w:lineRule="auto"/>
        <w:jc w:val="both"/>
        <w:rPr>
          <w:rFonts w:ascii="Book Antiqua" w:hAnsi="Book Antiqua"/>
        </w:rPr>
      </w:pPr>
      <w:r w:rsidRPr="00AA5688">
        <w:rPr>
          <w:rFonts w:ascii="Book Antiqua" w:hAnsi="Book Antiqua"/>
        </w:rPr>
        <w:t>Thanks to Dr. Jim Schumacher for being an excellent friend and colleague</w:t>
      </w:r>
      <w:r>
        <w:rPr>
          <w:rFonts w:ascii="Book Antiqua" w:hAnsi="Book Antiqua"/>
        </w:rPr>
        <w:t xml:space="preserve">; </w:t>
      </w:r>
      <w:r w:rsidRPr="00AA5688">
        <w:rPr>
          <w:rFonts w:ascii="Book Antiqua" w:hAnsi="Book Antiqua"/>
        </w:rPr>
        <w:t xml:space="preserve">for integrating me </w:t>
      </w:r>
      <w:r>
        <w:rPr>
          <w:rFonts w:ascii="Book Antiqua" w:hAnsi="Book Antiqua"/>
        </w:rPr>
        <w:t>in</w:t>
      </w:r>
      <w:r w:rsidRPr="00AA5688">
        <w:rPr>
          <w:rFonts w:ascii="Book Antiqua" w:hAnsi="Book Antiqua"/>
        </w:rPr>
        <w:t>to your family and for all the knowledge I have acquired from you.</w:t>
      </w:r>
    </w:p>
    <w:p w14:paraId="52622681" w14:textId="77777777" w:rsidR="002729A9" w:rsidRDefault="002729A9" w:rsidP="000378BE">
      <w:pPr>
        <w:spacing w:line="360" w:lineRule="auto"/>
        <w:jc w:val="both"/>
        <w:rPr>
          <w:rFonts w:ascii="Book Antiqua" w:hAnsi="Book Antiqua"/>
        </w:rPr>
      </w:pPr>
    </w:p>
    <w:p w14:paraId="1A6C0DB7" w14:textId="77777777" w:rsidR="002729A9" w:rsidRPr="00AA5688" w:rsidRDefault="002729A9" w:rsidP="000378BE">
      <w:pPr>
        <w:spacing w:line="360" w:lineRule="auto"/>
        <w:jc w:val="both"/>
        <w:rPr>
          <w:rFonts w:ascii="Book Antiqua" w:hAnsi="Book Antiqua"/>
        </w:rPr>
      </w:pPr>
      <w:r>
        <w:rPr>
          <w:rFonts w:ascii="Book Antiqua" w:hAnsi="Book Antiqua"/>
        </w:rPr>
        <w:t>Thanks to the Comparative and Experimental Medicine department for the various opportunities and excellent program offered to their graduate students.</w:t>
      </w:r>
    </w:p>
    <w:p w14:paraId="3E56D9B5" w14:textId="77777777" w:rsidR="002729A9" w:rsidRPr="00AA5688" w:rsidRDefault="002729A9" w:rsidP="00C34F65">
      <w:pPr>
        <w:spacing w:line="360" w:lineRule="auto"/>
        <w:jc w:val="both"/>
        <w:rPr>
          <w:rFonts w:ascii="Book Antiqua" w:hAnsi="Book Antiqua"/>
        </w:rPr>
      </w:pPr>
    </w:p>
    <w:p w14:paraId="24EABF62" w14:textId="77777777" w:rsidR="002729A9" w:rsidRPr="00AA5688" w:rsidRDefault="002729A9" w:rsidP="000378BE">
      <w:pPr>
        <w:spacing w:line="360" w:lineRule="auto"/>
        <w:jc w:val="both"/>
        <w:rPr>
          <w:rFonts w:ascii="Book Antiqua" w:hAnsi="Book Antiqua"/>
        </w:rPr>
      </w:pPr>
      <w:r w:rsidRPr="00AA5688">
        <w:rPr>
          <w:rFonts w:ascii="Book Antiqua" w:hAnsi="Book Antiqua"/>
        </w:rPr>
        <w:t>Thanks to the University of Tennessee and the College of Veterinary Medicine for giving me the opportunity to grow professionally and personally under the supervision from its admirable staff.</w:t>
      </w:r>
    </w:p>
    <w:p w14:paraId="5CBCE924" w14:textId="77777777" w:rsidR="002729A9" w:rsidRPr="00AA5688" w:rsidRDefault="002729A9" w:rsidP="00C34F65">
      <w:pPr>
        <w:spacing w:line="360" w:lineRule="auto"/>
        <w:jc w:val="both"/>
        <w:rPr>
          <w:rFonts w:ascii="Book Antiqua" w:hAnsi="Book Antiqua"/>
        </w:rPr>
      </w:pPr>
    </w:p>
    <w:p w14:paraId="56490269" w14:textId="77777777" w:rsidR="002729A9" w:rsidRDefault="002729A9">
      <w:pPr>
        <w:rPr>
          <w:rFonts w:ascii="Book Antiqua" w:eastAsiaTheme="majorEastAsia" w:hAnsi="Book Antiqua" w:cstheme="majorBidi"/>
          <w:b/>
          <w:bCs/>
          <w:szCs w:val="32"/>
        </w:rPr>
      </w:pPr>
      <w:r>
        <w:br w:type="page"/>
      </w:r>
    </w:p>
    <w:p w14:paraId="49EE6B68" w14:textId="77777777" w:rsidR="002729A9" w:rsidRDefault="002729A9" w:rsidP="00DB5953">
      <w:pPr>
        <w:pStyle w:val="Heading2"/>
        <w:rPr>
          <w:rFonts w:eastAsia="ヒラギノ角ゴ Pro W3"/>
        </w:rPr>
      </w:pPr>
      <w:bookmarkStart w:id="4" w:name="_Toc274387708"/>
      <w:r>
        <w:rPr>
          <w:rFonts w:eastAsia="ヒラギノ角ゴ Pro W3"/>
        </w:rPr>
        <w:t>Abstract</w:t>
      </w:r>
      <w:bookmarkEnd w:id="4"/>
    </w:p>
    <w:p w14:paraId="5A9B58E2" w14:textId="77777777" w:rsidR="002729A9" w:rsidRDefault="002729A9" w:rsidP="000378BE">
      <w:pPr>
        <w:spacing w:line="360" w:lineRule="auto"/>
        <w:jc w:val="both"/>
        <w:rPr>
          <w:rFonts w:ascii="Book Antiqua" w:eastAsia="ヒラギノ角ゴ Pro W3" w:hAnsi="Book Antiqua"/>
          <w:color w:val="000000"/>
        </w:rPr>
      </w:pPr>
    </w:p>
    <w:p w14:paraId="14ADC9B8" w14:textId="77777777" w:rsidR="002729A9" w:rsidRDefault="002729A9" w:rsidP="000378BE">
      <w:pPr>
        <w:spacing w:line="360" w:lineRule="auto"/>
        <w:jc w:val="both"/>
        <w:rPr>
          <w:rFonts w:ascii="Book Antiqua" w:eastAsia="ヒラギノ角ゴ Pro W3" w:hAnsi="Book Antiqua"/>
          <w:color w:val="000000"/>
        </w:rPr>
      </w:pPr>
    </w:p>
    <w:p w14:paraId="6A2055BB" w14:textId="77777777" w:rsidR="002729A9" w:rsidRPr="008D5224" w:rsidRDefault="002729A9" w:rsidP="000378BE">
      <w:pPr>
        <w:spacing w:line="360" w:lineRule="auto"/>
        <w:jc w:val="both"/>
        <w:rPr>
          <w:rFonts w:ascii="Book Antiqua" w:eastAsia="ヒラギノ角ゴ Pro W3" w:hAnsi="Book Antiqua"/>
          <w:color w:val="000000"/>
        </w:rPr>
      </w:pPr>
      <w:r w:rsidRPr="008D5224">
        <w:rPr>
          <w:rFonts w:ascii="Book Antiqua" w:eastAsia="ヒラギノ角ゴ Pro W3" w:hAnsi="Book Antiqua"/>
          <w:color w:val="000000"/>
        </w:rPr>
        <w:t>Studies have shown that mesenchymal stromal cells (MSCs) are able to differentiate into extra-mesodermal lineages, including neurons. Positive outcomes were obtained after transplantation of neurally-induced MSCs in rats, rabbits and guinea p</w:t>
      </w:r>
      <w:r>
        <w:rPr>
          <w:rFonts w:ascii="Book Antiqua" w:eastAsia="ヒラギノ角ゴ Pro W3" w:hAnsi="Book Antiqua"/>
          <w:color w:val="000000"/>
        </w:rPr>
        <w:t>igs after nerve injury, but the effect of these cells</w:t>
      </w:r>
      <w:r w:rsidRPr="008D5224">
        <w:rPr>
          <w:rFonts w:ascii="Book Antiqua" w:eastAsia="ヒラギノ角ゴ Pro W3" w:hAnsi="Book Antiqua"/>
          <w:color w:val="000000"/>
        </w:rPr>
        <w:t xml:space="preserve"> is unknown in horses. Our objective was to test the ability of equine mesenchymal stromal cells to differentiate into cells of neuronal lineage, and to assess differences, if any, in morphology and protein expression. Additionally, we wanted to investigate if horse age and cell passage number contributed to the ability to achieve neural differentiation.  </w:t>
      </w:r>
    </w:p>
    <w:p w14:paraId="7585E87B" w14:textId="77777777" w:rsidR="002729A9" w:rsidRPr="008D5224" w:rsidRDefault="002729A9" w:rsidP="00C34F65">
      <w:pPr>
        <w:spacing w:line="360" w:lineRule="auto"/>
        <w:ind w:firstLine="720"/>
        <w:jc w:val="both"/>
        <w:rPr>
          <w:rFonts w:ascii="Book Antiqua" w:eastAsia="ヒラギノ角ゴ Pro W3" w:hAnsi="Book Antiqua"/>
          <w:color w:val="000000"/>
        </w:rPr>
      </w:pPr>
    </w:p>
    <w:p w14:paraId="2D34B90F" w14:textId="77777777" w:rsidR="002729A9" w:rsidRPr="008D5224" w:rsidRDefault="002729A9" w:rsidP="000378BE">
      <w:pPr>
        <w:spacing w:line="360" w:lineRule="auto"/>
        <w:jc w:val="both"/>
        <w:rPr>
          <w:rFonts w:ascii="Book Antiqua" w:eastAsia="ヒラギノ角ゴ Pro W3" w:hAnsi="Book Antiqua"/>
          <w:color w:val="000000"/>
        </w:rPr>
      </w:pPr>
      <w:r w:rsidRPr="008D5224">
        <w:rPr>
          <w:rFonts w:ascii="Book Antiqua" w:eastAsia="ヒラギノ角ゴ Pro W3" w:hAnsi="Book Antiqua"/>
          <w:color w:val="000000"/>
        </w:rPr>
        <w:t xml:space="preserve">The first part of this research focuses on assessing the potential of equine bone marrow-derived mesenchymal stromal cells to undergo differentiation into </w:t>
      </w:r>
      <w:r>
        <w:rPr>
          <w:rFonts w:ascii="Book Antiqua" w:eastAsia="ヒラギノ角ゴ Pro W3" w:hAnsi="Book Antiqua"/>
          <w:color w:val="000000"/>
        </w:rPr>
        <w:t>cells of neural lineage</w:t>
      </w:r>
      <w:r w:rsidRPr="008D5224">
        <w:rPr>
          <w:rFonts w:ascii="Book Antiqua" w:eastAsia="ヒラギノ角ゴ Pro W3" w:hAnsi="Book Antiqua"/>
          <w:color w:val="000000"/>
        </w:rPr>
        <w:t xml:space="preserve"> cells after prior demonstration of their stemness. It describes the optimization of </w:t>
      </w:r>
      <w:r w:rsidRPr="008D5224">
        <w:rPr>
          <w:rFonts w:ascii="Book Antiqua" w:eastAsia="ヒラギノ角ゴ Pro W3" w:hAnsi="Book Antiqua"/>
          <w:i/>
          <w:color w:val="000000"/>
        </w:rPr>
        <w:t>in vitro</w:t>
      </w:r>
      <w:r w:rsidRPr="008D5224">
        <w:rPr>
          <w:rFonts w:ascii="Book Antiqua" w:eastAsia="ヒラギノ角ゴ Pro W3" w:hAnsi="Book Antiqua"/>
          <w:color w:val="000000"/>
        </w:rPr>
        <w:t xml:space="preserve"> conditions to induce neural differentiation of equine MSCs and the use of neural markers in equine MSCs, which has not been previously reported.  </w:t>
      </w:r>
    </w:p>
    <w:p w14:paraId="5AAC5063" w14:textId="77777777" w:rsidR="002729A9" w:rsidRPr="008D5224" w:rsidRDefault="002729A9" w:rsidP="00C34F65">
      <w:pPr>
        <w:spacing w:line="360" w:lineRule="auto"/>
        <w:ind w:firstLine="720"/>
        <w:jc w:val="both"/>
        <w:rPr>
          <w:rFonts w:ascii="Book Antiqua" w:eastAsia="ヒラギノ角ゴ Pro W3" w:hAnsi="Book Antiqua"/>
          <w:color w:val="000000"/>
        </w:rPr>
      </w:pPr>
    </w:p>
    <w:p w14:paraId="1F94BAF0" w14:textId="77777777" w:rsidR="002729A9" w:rsidRPr="008D5224" w:rsidRDefault="002729A9" w:rsidP="000378BE">
      <w:pPr>
        <w:spacing w:line="360" w:lineRule="auto"/>
        <w:jc w:val="both"/>
        <w:rPr>
          <w:rFonts w:ascii="Book Antiqua" w:eastAsia="ヒラギノ角ゴ Pro W3" w:hAnsi="Book Antiqua"/>
          <w:color w:val="000000"/>
        </w:rPr>
      </w:pPr>
      <w:r w:rsidRPr="008D5224">
        <w:rPr>
          <w:rFonts w:ascii="Book Antiqua" w:eastAsia="ヒラギノ角ゴ Pro W3" w:hAnsi="Book Antiqua"/>
          <w:color w:val="000000"/>
        </w:rPr>
        <w:t xml:space="preserve">Subsequent research </w:t>
      </w:r>
      <w:r>
        <w:rPr>
          <w:rFonts w:ascii="Book Antiqua" w:eastAsia="ヒラギノ角ゴ Pro W3" w:hAnsi="Book Antiqua"/>
          <w:color w:val="000000"/>
        </w:rPr>
        <w:t xml:space="preserve">focuses </w:t>
      </w:r>
      <w:r w:rsidRPr="008D5224">
        <w:rPr>
          <w:rFonts w:ascii="Book Antiqua" w:eastAsia="ヒラギノ角ゴ Pro W3" w:hAnsi="Book Antiqua"/>
          <w:color w:val="000000"/>
        </w:rPr>
        <w:t xml:space="preserve">on further commitment of these neural </w:t>
      </w:r>
      <w:r>
        <w:rPr>
          <w:rFonts w:ascii="Book Antiqua" w:eastAsia="ヒラギノ角ゴ Pro W3" w:hAnsi="Book Antiqua"/>
          <w:color w:val="000000"/>
        </w:rPr>
        <w:t>cells</w:t>
      </w:r>
      <w:r w:rsidRPr="008D5224">
        <w:rPr>
          <w:rFonts w:ascii="Book Antiqua" w:eastAsia="ヒラギノ角ゴ Pro W3" w:hAnsi="Book Antiqua"/>
          <w:color w:val="000000"/>
        </w:rPr>
        <w:t xml:space="preserve"> into Schwann-like cells for </w:t>
      </w:r>
      <w:r>
        <w:rPr>
          <w:rFonts w:ascii="Book Antiqua" w:eastAsia="ヒラギノ角ゴ Pro W3" w:hAnsi="Book Antiqua"/>
          <w:color w:val="000000"/>
        </w:rPr>
        <w:t xml:space="preserve">possible </w:t>
      </w:r>
      <w:r w:rsidRPr="008D5224">
        <w:rPr>
          <w:rFonts w:ascii="Book Antiqua" w:eastAsia="ヒラギノ角ゴ Pro W3" w:hAnsi="Book Antiqua"/>
          <w:color w:val="000000"/>
        </w:rPr>
        <w:t>transplantation into an acute peripher</w:t>
      </w:r>
      <w:r>
        <w:rPr>
          <w:rFonts w:ascii="Book Antiqua" w:eastAsia="ヒラギノ角ゴ Pro W3" w:hAnsi="Book Antiqua"/>
          <w:color w:val="000000"/>
        </w:rPr>
        <w:t xml:space="preserve">al nerve injury model in horses. </w:t>
      </w:r>
      <w:r w:rsidRPr="008D5224">
        <w:rPr>
          <w:rFonts w:ascii="Book Antiqua" w:eastAsia="ヒラギノ角ゴ Pro W3" w:hAnsi="Book Antiqua"/>
          <w:color w:val="000000"/>
        </w:rPr>
        <w:t>After</w:t>
      </w:r>
      <w:r>
        <w:rPr>
          <w:rFonts w:ascii="Book Antiqua" w:eastAsia="ヒラギノ角ゴ Pro W3" w:hAnsi="Book Antiqua"/>
          <w:color w:val="000000"/>
        </w:rPr>
        <w:t xml:space="preserve"> optimizing the laboratory conditions to induce Schwann cell differentiation of equine MSCs, their detachment from the tissue culture flasks resulted in poor viability. Therefore, undifferentiated MSCs were transplanted in the surrounding fascia after</w:t>
      </w:r>
      <w:r w:rsidRPr="008D5224">
        <w:rPr>
          <w:rFonts w:ascii="Book Antiqua" w:eastAsia="ヒラギノ角ゴ Pro W3" w:hAnsi="Book Antiqua"/>
          <w:color w:val="000000"/>
        </w:rPr>
        <w:t xml:space="preserve"> transecting </w:t>
      </w:r>
      <w:r>
        <w:rPr>
          <w:rFonts w:ascii="Book Antiqua" w:eastAsia="ヒラギノ角ゴ Pro W3" w:hAnsi="Book Antiqua"/>
          <w:color w:val="000000"/>
        </w:rPr>
        <w:t>the central</w:t>
      </w:r>
      <w:r w:rsidRPr="008D5224">
        <w:rPr>
          <w:rFonts w:ascii="Book Antiqua" w:eastAsia="ヒラギノ角ゴ Pro W3" w:hAnsi="Book Antiqua"/>
          <w:color w:val="000000"/>
        </w:rPr>
        <w:t xml:space="preserve"> portion of the anastomotic branch (</w:t>
      </w:r>
      <w:r w:rsidRPr="008D5224">
        <w:rPr>
          <w:rFonts w:ascii="Book Antiqua" w:eastAsia="ヒラギノ角ゴ Pro W3" w:hAnsi="Book Antiqua"/>
          <w:i/>
          <w:color w:val="000000"/>
        </w:rPr>
        <w:t>ramus communicans</w:t>
      </w:r>
      <w:r w:rsidRPr="008D5224">
        <w:rPr>
          <w:rFonts w:ascii="Book Antiqua" w:eastAsia="ヒラギノ角ゴ Pro W3" w:hAnsi="Book Antiqua"/>
          <w:color w:val="000000"/>
        </w:rPr>
        <w:t>) of the lateral and medial palmar nerves of the fore limbs in healthy horses</w:t>
      </w:r>
      <w:r>
        <w:rPr>
          <w:rFonts w:ascii="Book Antiqua" w:eastAsia="ヒラギノ角ゴ Pro W3" w:hAnsi="Book Antiqua"/>
          <w:color w:val="000000"/>
        </w:rPr>
        <w:t>. Approximately 45 days after the lesion was created,</w:t>
      </w:r>
      <w:r w:rsidRPr="00357D0E">
        <w:rPr>
          <w:rFonts w:ascii="Book Antiqua" w:eastAsia="ヒラギノ角ゴ Pro W3" w:hAnsi="Book Antiqua"/>
          <w:color w:val="000000"/>
        </w:rPr>
        <w:t xml:space="preserve"> </w:t>
      </w:r>
      <w:r>
        <w:rPr>
          <w:rFonts w:ascii="Book Antiqua" w:eastAsia="ヒラギノ角ゴ Pro W3" w:hAnsi="Book Antiqua"/>
          <w:color w:val="000000"/>
        </w:rPr>
        <w:t>the whole nerve was removed for histological analyses.</w:t>
      </w:r>
    </w:p>
    <w:p w14:paraId="51786B70" w14:textId="13BE8BF2" w:rsidR="00F54019" w:rsidRPr="00F54019" w:rsidRDefault="00F54019" w:rsidP="00F54019">
      <w:pPr>
        <w:rPr>
          <w:rFonts w:ascii="Book Antiqua" w:hAnsi="Book Antiqua"/>
          <w:b/>
          <w:bCs/>
          <w:caps/>
        </w:rPr>
      </w:pPr>
      <w:r>
        <w:rPr>
          <w:rFonts w:ascii="Book Antiqua" w:hAnsi="Book Antiqua"/>
        </w:rPr>
        <w:br w:type="page"/>
      </w:r>
    </w:p>
    <w:sdt>
      <w:sdtPr>
        <w:rPr>
          <w:rFonts w:ascii="Book Antiqua" w:hAnsi="Book Antiqua"/>
          <w:b/>
        </w:rPr>
        <w:id w:val="-2004578469"/>
        <w:docPartObj>
          <w:docPartGallery w:val="Table of Contents"/>
          <w:docPartUnique/>
        </w:docPartObj>
      </w:sdtPr>
      <w:sdtEndPr>
        <w:rPr>
          <w:b w:val="0"/>
          <w:noProof/>
        </w:rPr>
      </w:sdtEndPr>
      <w:sdtContent>
        <w:p w14:paraId="140B58BA" w14:textId="77777777" w:rsidR="002729A9" w:rsidRPr="002729A9" w:rsidRDefault="002729A9" w:rsidP="00DB5953">
          <w:pPr>
            <w:rPr>
              <w:rFonts w:ascii="Book Antiqua" w:hAnsi="Book Antiqua"/>
              <w:b/>
            </w:rPr>
          </w:pPr>
          <w:r w:rsidRPr="002729A9">
            <w:rPr>
              <w:rFonts w:ascii="Book Antiqua" w:hAnsi="Book Antiqua"/>
              <w:b/>
            </w:rPr>
            <w:t>Table of Contents</w:t>
          </w:r>
        </w:p>
        <w:p w14:paraId="3E7E0AC4" w14:textId="77777777" w:rsidR="00F54019" w:rsidRDefault="002729A9">
          <w:pPr>
            <w:pStyle w:val="TOC1"/>
            <w:rPr>
              <w:rFonts w:eastAsiaTheme="minorEastAsia" w:cstheme="minorBidi"/>
              <w:b w:val="0"/>
              <w:caps w:val="0"/>
              <w:noProof/>
              <w:sz w:val="24"/>
              <w:szCs w:val="24"/>
              <w:lang w:eastAsia="ja-JP"/>
            </w:rPr>
          </w:pPr>
          <w:r w:rsidRPr="002729A9">
            <w:rPr>
              <w:rFonts w:ascii="Book Antiqua" w:hAnsi="Book Antiqua"/>
              <w:sz w:val="24"/>
              <w:szCs w:val="24"/>
            </w:rPr>
            <w:fldChar w:fldCharType="begin"/>
          </w:r>
          <w:r w:rsidRPr="002729A9">
            <w:rPr>
              <w:rFonts w:ascii="Book Antiqua" w:hAnsi="Book Antiqua"/>
              <w:sz w:val="24"/>
              <w:szCs w:val="24"/>
            </w:rPr>
            <w:instrText xml:space="preserve"> TOC \o "1-5" </w:instrText>
          </w:r>
          <w:r w:rsidRPr="002729A9">
            <w:rPr>
              <w:rFonts w:ascii="Book Antiqua" w:hAnsi="Book Antiqua"/>
              <w:sz w:val="24"/>
              <w:szCs w:val="24"/>
            </w:rPr>
            <w:fldChar w:fldCharType="separate"/>
          </w:r>
          <w:r w:rsidR="00F54019" w:rsidRPr="00CA1AAE">
            <w:rPr>
              <w:noProof/>
              <w:lang w:val="en-CA"/>
            </w:rPr>
            <w:t>Differentiation of equine mesenchymal stromal cells into cells of neural lineage and their application into a novel model for acute peripheral nerve injury in the horse</w:t>
          </w:r>
          <w:r w:rsidR="00F54019">
            <w:rPr>
              <w:noProof/>
            </w:rPr>
            <w:tab/>
          </w:r>
          <w:r w:rsidR="00F54019">
            <w:rPr>
              <w:noProof/>
            </w:rPr>
            <w:fldChar w:fldCharType="begin"/>
          </w:r>
          <w:r w:rsidR="00F54019">
            <w:rPr>
              <w:noProof/>
            </w:rPr>
            <w:instrText xml:space="preserve"> PAGEREF _Toc274387706 \h </w:instrText>
          </w:r>
          <w:r w:rsidR="00F54019">
            <w:rPr>
              <w:noProof/>
            </w:rPr>
          </w:r>
          <w:r w:rsidR="00F54019">
            <w:rPr>
              <w:noProof/>
            </w:rPr>
            <w:fldChar w:fldCharType="separate"/>
          </w:r>
          <w:r w:rsidR="00F54019">
            <w:rPr>
              <w:noProof/>
            </w:rPr>
            <w:t>i</w:t>
          </w:r>
          <w:r w:rsidR="00F54019">
            <w:rPr>
              <w:noProof/>
            </w:rPr>
            <w:fldChar w:fldCharType="end"/>
          </w:r>
        </w:p>
        <w:p w14:paraId="046FE7B6"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Acknowledgements</w:t>
          </w:r>
          <w:r>
            <w:rPr>
              <w:noProof/>
            </w:rPr>
            <w:tab/>
          </w:r>
          <w:r>
            <w:rPr>
              <w:noProof/>
            </w:rPr>
            <w:fldChar w:fldCharType="begin"/>
          </w:r>
          <w:r>
            <w:rPr>
              <w:noProof/>
            </w:rPr>
            <w:instrText xml:space="preserve"> PAGEREF _Toc274387707 \h </w:instrText>
          </w:r>
          <w:r>
            <w:rPr>
              <w:noProof/>
            </w:rPr>
          </w:r>
          <w:r>
            <w:rPr>
              <w:noProof/>
            </w:rPr>
            <w:fldChar w:fldCharType="separate"/>
          </w:r>
          <w:r>
            <w:rPr>
              <w:noProof/>
            </w:rPr>
            <w:t>iii</w:t>
          </w:r>
          <w:r>
            <w:rPr>
              <w:noProof/>
            </w:rPr>
            <w:fldChar w:fldCharType="end"/>
          </w:r>
        </w:p>
        <w:p w14:paraId="5418D0D0" w14:textId="77777777" w:rsidR="00F54019" w:rsidRDefault="00F54019">
          <w:pPr>
            <w:pStyle w:val="TOC2"/>
            <w:tabs>
              <w:tab w:val="right" w:leader="dot" w:pos="9350"/>
            </w:tabs>
            <w:rPr>
              <w:rFonts w:eastAsiaTheme="minorEastAsia" w:cstheme="minorBidi"/>
              <w:smallCaps w:val="0"/>
              <w:noProof/>
              <w:sz w:val="24"/>
              <w:szCs w:val="24"/>
              <w:lang w:eastAsia="ja-JP"/>
            </w:rPr>
          </w:pPr>
          <w:r w:rsidRPr="00CA1AAE">
            <w:rPr>
              <w:rFonts w:eastAsia="ヒラギノ角ゴ Pro W3"/>
              <w:noProof/>
            </w:rPr>
            <w:t>Abstract</w:t>
          </w:r>
          <w:r>
            <w:rPr>
              <w:noProof/>
            </w:rPr>
            <w:tab/>
          </w:r>
          <w:r>
            <w:rPr>
              <w:noProof/>
            </w:rPr>
            <w:fldChar w:fldCharType="begin"/>
          </w:r>
          <w:r>
            <w:rPr>
              <w:noProof/>
            </w:rPr>
            <w:instrText xml:space="preserve"> PAGEREF _Toc274387708 \h </w:instrText>
          </w:r>
          <w:r>
            <w:rPr>
              <w:noProof/>
            </w:rPr>
          </w:r>
          <w:r>
            <w:rPr>
              <w:noProof/>
            </w:rPr>
            <w:fldChar w:fldCharType="separate"/>
          </w:r>
          <w:r>
            <w:rPr>
              <w:noProof/>
            </w:rPr>
            <w:t>iv</w:t>
          </w:r>
          <w:r>
            <w:rPr>
              <w:noProof/>
            </w:rPr>
            <w:fldChar w:fldCharType="end"/>
          </w:r>
        </w:p>
        <w:p w14:paraId="570F8F08"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List of figures</w:t>
          </w:r>
          <w:r>
            <w:rPr>
              <w:noProof/>
            </w:rPr>
            <w:tab/>
          </w:r>
          <w:r>
            <w:rPr>
              <w:noProof/>
            </w:rPr>
            <w:fldChar w:fldCharType="begin"/>
          </w:r>
          <w:r>
            <w:rPr>
              <w:noProof/>
            </w:rPr>
            <w:instrText xml:space="preserve"> PAGEREF _Toc274387709 \h </w:instrText>
          </w:r>
          <w:r>
            <w:rPr>
              <w:noProof/>
            </w:rPr>
          </w:r>
          <w:r>
            <w:rPr>
              <w:noProof/>
            </w:rPr>
            <w:fldChar w:fldCharType="separate"/>
          </w:r>
          <w:r>
            <w:rPr>
              <w:noProof/>
            </w:rPr>
            <w:t>vi</w:t>
          </w:r>
          <w:r>
            <w:rPr>
              <w:noProof/>
            </w:rPr>
            <w:fldChar w:fldCharType="end"/>
          </w:r>
        </w:p>
        <w:p w14:paraId="0AEF0D16" w14:textId="77777777" w:rsidR="00F54019" w:rsidRDefault="00F54019">
          <w:pPr>
            <w:pStyle w:val="TOC1"/>
            <w:rPr>
              <w:rFonts w:eastAsiaTheme="minorEastAsia" w:cstheme="minorBidi"/>
              <w:b w:val="0"/>
              <w:caps w:val="0"/>
              <w:noProof/>
              <w:sz w:val="24"/>
              <w:szCs w:val="24"/>
              <w:lang w:eastAsia="ja-JP"/>
            </w:rPr>
          </w:pPr>
          <w:r>
            <w:rPr>
              <w:noProof/>
            </w:rPr>
            <w:t>INTRODUCTION</w:t>
          </w:r>
          <w:r>
            <w:rPr>
              <w:noProof/>
            </w:rPr>
            <w:tab/>
          </w:r>
          <w:r>
            <w:rPr>
              <w:noProof/>
            </w:rPr>
            <w:fldChar w:fldCharType="begin"/>
          </w:r>
          <w:r>
            <w:rPr>
              <w:noProof/>
            </w:rPr>
            <w:instrText xml:space="preserve"> PAGEREF _Toc274387710 \h </w:instrText>
          </w:r>
          <w:r>
            <w:rPr>
              <w:noProof/>
            </w:rPr>
          </w:r>
          <w:r>
            <w:rPr>
              <w:noProof/>
            </w:rPr>
            <w:fldChar w:fldCharType="separate"/>
          </w:r>
          <w:r>
            <w:rPr>
              <w:noProof/>
            </w:rPr>
            <w:t>1</w:t>
          </w:r>
          <w:r>
            <w:rPr>
              <w:noProof/>
            </w:rPr>
            <w:fldChar w:fldCharType="end"/>
          </w:r>
        </w:p>
        <w:p w14:paraId="0FD5BD0B" w14:textId="77777777" w:rsidR="00F54019" w:rsidRDefault="00F54019">
          <w:pPr>
            <w:pStyle w:val="TOC1"/>
            <w:rPr>
              <w:rFonts w:eastAsiaTheme="minorEastAsia" w:cstheme="minorBidi"/>
              <w:b w:val="0"/>
              <w:caps w:val="0"/>
              <w:noProof/>
              <w:sz w:val="24"/>
              <w:szCs w:val="24"/>
              <w:lang w:eastAsia="ja-JP"/>
            </w:rPr>
          </w:pPr>
          <w:r>
            <w:rPr>
              <w:noProof/>
            </w:rPr>
            <w:t>CHAPTER I:</w:t>
          </w:r>
          <w:r>
            <w:rPr>
              <w:noProof/>
            </w:rPr>
            <w:tab/>
          </w:r>
          <w:r>
            <w:rPr>
              <w:noProof/>
            </w:rPr>
            <w:fldChar w:fldCharType="begin"/>
          </w:r>
          <w:r>
            <w:rPr>
              <w:noProof/>
            </w:rPr>
            <w:instrText xml:space="preserve"> PAGEREF _Toc274387711 \h </w:instrText>
          </w:r>
          <w:r>
            <w:rPr>
              <w:noProof/>
            </w:rPr>
          </w:r>
          <w:r>
            <w:rPr>
              <w:noProof/>
            </w:rPr>
            <w:fldChar w:fldCharType="separate"/>
          </w:r>
          <w:r>
            <w:rPr>
              <w:noProof/>
            </w:rPr>
            <w:t>2</w:t>
          </w:r>
          <w:r>
            <w:rPr>
              <w:noProof/>
            </w:rPr>
            <w:fldChar w:fldCharType="end"/>
          </w:r>
        </w:p>
        <w:p w14:paraId="15C1FD61" w14:textId="77777777" w:rsidR="00F54019" w:rsidRDefault="00F54019">
          <w:pPr>
            <w:pStyle w:val="TOC1"/>
            <w:rPr>
              <w:rFonts w:eastAsiaTheme="minorEastAsia" w:cstheme="minorBidi"/>
              <w:b w:val="0"/>
              <w:caps w:val="0"/>
              <w:noProof/>
              <w:sz w:val="24"/>
              <w:szCs w:val="24"/>
              <w:lang w:eastAsia="ja-JP"/>
            </w:rPr>
          </w:pPr>
          <w:r>
            <w:rPr>
              <w:noProof/>
            </w:rPr>
            <w:t>LITERATURE REVIEW</w:t>
          </w:r>
          <w:r>
            <w:rPr>
              <w:noProof/>
            </w:rPr>
            <w:tab/>
          </w:r>
          <w:r>
            <w:rPr>
              <w:noProof/>
            </w:rPr>
            <w:fldChar w:fldCharType="begin"/>
          </w:r>
          <w:r>
            <w:rPr>
              <w:noProof/>
            </w:rPr>
            <w:instrText xml:space="preserve"> PAGEREF _Toc274387712 \h </w:instrText>
          </w:r>
          <w:r>
            <w:rPr>
              <w:noProof/>
            </w:rPr>
          </w:r>
          <w:r>
            <w:rPr>
              <w:noProof/>
            </w:rPr>
            <w:fldChar w:fldCharType="separate"/>
          </w:r>
          <w:r>
            <w:rPr>
              <w:noProof/>
            </w:rPr>
            <w:t>2</w:t>
          </w:r>
          <w:r>
            <w:rPr>
              <w:noProof/>
            </w:rPr>
            <w:fldChar w:fldCharType="end"/>
          </w:r>
        </w:p>
        <w:p w14:paraId="4E22366C"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Abstract</w:t>
          </w:r>
          <w:r>
            <w:rPr>
              <w:noProof/>
            </w:rPr>
            <w:tab/>
          </w:r>
          <w:r>
            <w:rPr>
              <w:noProof/>
            </w:rPr>
            <w:fldChar w:fldCharType="begin"/>
          </w:r>
          <w:r>
            <w:rPr>
              <w:noProof/>
            </w:rPr>
            <w:instrText xml:space="preserve"> PAGEREF _Toc274387713 \h </w:instrText>
          </w:r>
          <w:r>
            <w:rPr>
              <w:noProof/>
            </w:rPr>
          </w:r>
          <w:r>
            <w:rPr>
              <w:noProof/>
            </w:rPr>
            <w:fldChar w:fldCharType="separate"/>
          </w:r>
          <w:r>
            <w:rPr>
              <w:noProof/>
            </w:rPr>
            <w:t>3</w:t>
          </w:r>
          <w:r>
            <w:rPr>
              <w:noProof/>
            </w:rPr>
            <w:fldChar w:fldCharType="end"/>
          </w:r>
        </w:p>
        <w:p w14:paraId="118EB251"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Generalities of the nervous system</w:t>
          </w:r>
          <w:r>
            <w:rPr>
              <w:noProof/>
            </w:rPr>
            <w:tab/>
          </w:r>
          <w:r>
            <w:rPr>
              <w:noProof/>
            </w:rPr>
            <w:fldChar w:fldCharType="begin"/>
          </w:r>
          <w:r>
            <w:rPr>
              <w:noProof/>
            </w:rPr>
            <w:instrText xml:space="preserve"> PAGEREF _Toc274387714 \h </w:instrText>
          </w:r>
          <w:r>
            <w:rPr>
              <w:noProof/>
            </w:rPr>
          </w:r>
          <w:r>
            <w:rPr>
              <w:noProof/>
            </w:rPr>
            <w:fldChar w:fldCharType="separate"/>
          </w:r>
          <w:r>
            <w:rPr>
              <w:noProof/>
            </w:rPr>
            <w:t>3</w:t>
          </w:r>
          <w:r>
            <w:rPr>
              <w:noProof/>
            </w:rPr>
            <w:fldChar w:fldCharType="end"/>
          </w:r>
        </w:p>
        <w:p w14:paraId="2A5B822D"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Concepts in regenerative medicine: stem cells</w:t>
          </w:r>
          <w:r>
            <w:rPr>
              <w:noProof/>
            </w:rPr>
            <w:tab/>
          </w:r>
          <w:r>
            <w:rPr>
              <w:noProof/>
            </w:rPr>
            <w:fldChar w:fldCharType="begin"/>
          </w:r>
          <w:r>
            <w:rPr>
              <w:noProof/>
            </w:rPr>
            <w:instrText xml:space="preserve"> PAGEREF _Toc274387715 \h </w:instrText>
          </w:r>
          <w:r>
            <w:rPr>
              <w:noProof/>
            </w:rPr>
          </w:r>
          <w:r>
            <w:rPr>
              <w:noProof/>
            </w:rPr>
            <w:fldChar w:fldCharType="separate"/>
          </w:r>
          <w:r>
            <w:rPr>
              <w:noProof/>
            </w:rPr>
            <w:t>6</w:t>
          </w:r>
          <w:r>
            <w:rPr>
              <w:noProof/>
            </w:rPr>
            <w:fldChar w:fldCharType="end"/>
          </w:r>
        </w:p>
        <w:p w14:paraId="139DCD65"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Mesenchymal stromal cells (MSCs)</w:t>
          </w:r>
          <w:r>
            <w:rPr>
              <w:noProof/>
            </w:rPr>
            <w:tab/>
          </w:r>
          <w:r>
            <w:rPr>
              <w:noProof/>
            </w:rPr>
            <w:fldChar w:fldCharType="begin"/>
          </w:r>
          <w:r>
            <w:rPr>
              <w:noProof/>
            </w:rPr>
            <w:instrText xml:space="preserve"> PAGEREF _Toc274387716 \h </w:instrText>
          </w:r>
          <w:r>
            <w:rPr>
              <w:noProof/>
            </w:rPr>
          </w:r>
          <w:r>
            <w:rPr>
              <w:noProof/>
            </w:rPr>
            <w:fldChar w:fldCharType="separate"/>
          </w:r>
          <w:r>
            <w:rPr>
              <w:noProof/>
            </w:rPr>
            <w:t>7</w:t>
          </w:r>
          <w:r>
            <w:rPr>
              <w:noProof/>
            </w:rPr>
            <w:fldChar w:fldCharType="end"/>
          </w:r>
        </w:p>
        <w:p w14:paraId="27DD5563"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Criteria for MSCs</w:t>
          </w:r>
          <w:r>
            <w:rPr>
              <w:noProof/>
            </w:rPr>
            <w:tab/>
          </w:r>
          <w:r>
            <w:rPr>
              <w:noProof/>
            </w:rPr>
            <w:fldChar w:fldCharType="begin"/>
          </w:r>
          <w:r>
            <w:rPr>
              <w:noProof/>
            </w:rPr>
            <w:instrText xml:space="preserve"> PAGEREF _Toc274387717 \h </w:instrText>
          </w:r>
          <w:r>
            <w:rPr>
              <w:noProof/>
            </w:rPr>
          </w:r>
          <w:r>
            <w:rPr>
              <w:noProof/>
            </w:rPr>
            <w:fldChar w:fldCharType="separate"/>
          </w:r>
          <w:r>
            <w:rPr>
              <w:noProof/>
            </w:rPr>
            <w:t>8</w:t>
          </w:r>
          <w:r>
            <w:rPr>
              <w:noProof/>
            </w:rPr>
            <w:fldChar w:fldCharType="end"/>
          </w:r>
        </w:p>
        <w:p w14:paraId="71218B8E"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Sources of MSCs</w:t>
          </w:r>
          <w:r>
            <w:rPr>
              <w:noProof/>
            </w:rPr>
            <w:tab/>
          </w:r>
          <w:r>
            <w:rPr>
              <w:noProof/>
            </w:rPr>
            <w:fldChar w:fldCharType="begin"/>
          </w:r>
          <w:r>
            <w:rPr>
              <w:noProof/>
            </w:rPr>
            <w:instrText xml:space="preserve"> PAGEREF _Toc274387718 \h </w:instrText>
          </w:r>
          <w:r>
            <w:rPr>
              <w:noProof/>
            </w:rPr>
          </w:r>
          <w:r>
            <w:rPr>
              <w:noProof/>
            </w:rPr>
            <w:fldChar w:fldCharType="separate"/>
          </w:r>
          <w:r>
            <w:rPr>
              <w:noProof/>
            </w:rPr>
            <w:t>9</w:t>
          </w:r>
          <w:r>
            <w:rPr>
              <w:noProof/>
            </w:rPr>
            <w:fldChar w:fldCharType="end"/>
          </w:r>
        </w:p>
        <w:p w14:paraId="2EF3C990"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Biological features of MSCs</w:t>
          </w:r>
          <w:r>
            <w:rPr>
              <w:noProof/>
            </w:rPr>
            <w:tab/>
          </w:r>
          <w:r>
            <w:rPr>
              <w:noProof/>
            </w:rPr>
            <w:fldChar w:fldCharType="begin"/>
          </w:r>
          <w:r>
            <w:rPr>
              <w:noProof/>
            </w:rPr>
            <w:instrText xml:space="preserve"> PAGEREF _Toc274387719 \h </w:instrText>
          </w:r>
          <w:r>
            <w:rPr>
              <w:noProof/>
            </w:rPr>
          </w:r>
          <w:r>
            <w:rPr>
              <w:noProof/>
            </w:rPr>
            <w:fldChar w:fldCharType="separate"/>
          </w:r>
          <w:r>
            <w:rPr>
              <w:noProof/>
            </w:rPr>
            <w:t>9</w:t>
          </w:r>
          <w:r>
            <w:rPr>
              <w:noProof/>
            </w:rPr>
            <w:fldChar w:fldCharType="end"/>
          </w:r>
        </w:p>
        <w:p w14:paraId="59886045"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Cell plasticity of MSCs.</w:t>
          </w:r>
          <w:r>
            <w:rPr>
              <w:noProof/>
            </w:rPr>
            <w:tab/>
          </w:r>
          <w:r>
            <w:rPr>
              <w:noProof/>
            </w:rPr>
            <w:fldChar w:fldCharType="begin"/>
          </w:r>
          <w:r>
            <w:rPr>
              <w:noProof/>
            </w:rPr>
            <w:instrText xml:space="preserve"> PAGEREF _Toc274387720 \h </w:instrText>
          </w:r>
          <w:r>
            <w:rPr>
              <w:noProof/>
            </w:rPr>
          </w:r>
          <w:r>
            <w:rPr>
              <w:noProof/>
            </w:rPr>
            <w:fldChar w:fldCharType="separate"/>
          </w:r>
          <w:r>
            <w:rPr>
              <w:noProof/>
            </w:rPr>
            <w:t>12</w:t>
          </w:r>
          <w:r>
            <w:rPr>
              <w:noProof/>
            </w:rPr>
            <w:fldChar w:fldCharType="end"/>
          </w:r>
        </w:p>
        <w:p w14:paraId="5FE2116E"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Peripheral nerve injuries in the horse</w:t>
          </w:r>
          <w:r>
            <w:rPr>
              <w:noProof/>
            </w:rPr>
            <w:tab/>
          </w:r>
          <w:r>
            <w:rPr>
              <w:noProof/>
            </w:rPr>
            <w:fldChar w:fldCharType="begin"/>
          </w:r>
          <w:r>
            <w:rPr>
              <w:noProof/>
            </w:rPr>
            <w:instrText xml:space="preserve"> PAGEREF _Toc274387721 \h </w:instrText>
          </w:r>
          <w:r>
            <w:rPr>
              <w:noProof/>
            </w:rPr>
          </w:r>
          <w:r>
            <w:rPr>
              <w:noProof/>
            </w:rPr>
            <w:fldChar w:fldCharType="separate"/>
          </w:r>
          <w:r>
            <w:rPr>
              <w:noProof/>
            </w:rPr>
            <w:t>14</w:t>
          </w:r>
          <w:r>
            <w:rPr>
              <w:noProof/>
            </w:rPr>
            <w:fldChar w:fldCharType="end"/>
          </w:r>
        </w:p>
        <w:p w14:paraId="7EC3850B"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Types of nerve injuries</w:t>
          </w:r>
          <w:r>
            <w:rPr>
              <w:noProof/>
            </w:rPr>
            <w:tab/>
          </w:r>
          <w:r>
            <w:rPr>
              <w:noProof/>
            </w:rPr>
            <w:fldChar w:fldCharType="begin"/>
          </w:r>
          <w:r>
            <w:rPr>
              <w:noProof/>
            </w:rPr>
            <w:instrText xml:space="preserve"> PAGEREF _Toc274387722 \h </w:instrText>
          </w:r>
          <w:r>
            <w:rPr>
              <w:noProof/>
            </w:rPr>
          </w:r>
          <w:r>
            <w:rPr>
              <w:noProof/>
            </w:rPr>
            <w:fldChar w:fldCharType="separate"/>
          </w:r>
          <w:r>
            <w:rPr>
              <w:noProof/>
            </w:rPr>
            <w:t>16</w:t>
          </w:r>
          <w:r>
            <w:rPr>
              <w:noProof/>
            </w:rPr>
            <w:fldChar w:fldCharType="end"/>
          </w:r>
        </w:p>
        <w:p w14:paraId="2DD40044"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The role of Schwann cells in peripheral nerve injuries</w:t>
          </w:r>
          <w:r>
            <w:rPr>
              <w:noProof/>
            </w:rPr>
            <w:tab/>
          </w:r>
          <w:r>
            <w:rPr>
              <w:noProof/>
            </w:rPr>
            <w:fldChar w:fldCharType="begin"/>
          </w:r>
          <w:r>
            <w:rPr>
              <w:noProof/>
            </w:rPr>
            <w:instrText xml:space="preserve"> PAGEREF _Toc274387723 \h </w:instrText>
          </w:r>
          <w:r>
            <w:rPr>
              <w:noProof/>
            </w:rPr>
          </w:r>
          <w:r>
            <w:rPr>
              <w:noProof/>
            </w:rPr>
            <w:fldChar w:fldCharType="separate"/>
          </w:r>
          <w:r>
            <w:rPr>
              <w:noProof/>
            </w:rPr>
            <w:t>16</w:t>
          </w:r>
          <w:r>
            <w:rPr>
              <w:noProof/>
            </w:rPr>
            <w:fldChar w:fldCharType="end"/>
          </w:r>
        </w:p>
        <w:p w14:paraId="391B018D"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Cell therapy for nervous tissue repair: current research</w:t>
          </w:r>
          <w:r>
            <w:rPr>
              <w:noProof/>
            </w:rPr>
            <w:tab/>
          </w:r>
          <w:r>
            <w:rPr>
              <w:noProof/>
            </w:rPr>
            <w:fldChar w:fldCharType="begin"/>
          </w:r>
          <w:r>
            <w:rPr>
              <w:noProof/>
            </w:rPr>
            <w:instrText xml:space="preserve"> PAGEREF _Toc274387724 \h </w:instrText>
          </w:r>
          <w:r>
            <w:rPr>
              <w:noProof/>
            </w:rPr>
          </w:r>
          <w:r>
            <w:rPr>
              <w:noProof/>
            </w:rPr>
            <w:fldChar w:fldCharType="separate"/>
          </w:r>
          <w:r>
            <w:rPr>
              <w:noProof/>
            </w:rPr>
            <w:t>18</w:t>
          </w:r>
          <w:r>
            <w:rPr>
              <w:noProof/>
            </w:rPr>
            <w:fldChar w:fldCharType="end"/>
          </w:r>
        </w:p>
        <w:p w14:paraId="5C1757B0"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Therapy with MSCs</w:t>
          </w:r>
          <w:r>
            <w:rPr>
              <w:noProof/>
            </w:rPr>
            <w:tab/>
          </w:r>
          <w:r>
            <w:rPr>
              <w:noProof/>
            </w:rPr>
            <w:fldChar w:fldCharType="begin"/>
          </w:r>
          <w:r>
            <w:rPr>
              <w:noProof/>
            </w:rPr>
            <w:instrText xml:space="preserve"> PAGEREF _Toc274387725 \h </w:instrText>
          </w:r>
          <w:r>
            <w:rPr>
              <w:noProof/>
            </w:rPr>
          </w:r>
          <w:r>
            <w:rPr>
              <w:noProof/>
            </w:rPr>
            <w:fldChar w:fldCharType="separate"/>
          </w:r>
          <w:r>
            <w:rPr>
              <w:noProof/>
            </w:rPr>
            <w:t>18</w:t>
          </w:r>
          <w:r>
            <w:rPr>
              <w:noProof/>
            </w:rPr>
            <w:fldChar w:fldCharType="end"/>
          </w:r>
        </w:p>
        <w:p w14:paraId="068BD023" w14:textId="77777777" w:rsidR="00F54019" w:rsidRDefault="00F54019">
          <w:pPr>
            <w:pStyle w:val="TOC3"/>
            <w:tabs>
              <w:tab w:val="right" w:leader="dot" w:pos="9350"/>
            </w:tabs>
            <w:rPr>
              <w:rFonts w:eastAsiaTheme="minorEastAsia" w:cstheme="minorBidi"/>
              <w:i w:val="0"/>
              <w:noProof/>
              <w:sz w:val="24"/>
              <w:szCs w:val="24"/>
              <w:lang w:eastAsia="ja-JP"/>
            </w:rPr>
          </w:pPr>
          <w:r>
            <w:rPr>
              <w:noProof/>
            </w:rPr>
            <w:t>Neurotrophic factors and nerve regeneration</w:t>
          </w:r>
          <w:r>
            <w:rPr>
              <w:noProof/>
            </w:rPr>
            <w:tab/>
          </w:r>
          <w:r>
            <w:rPr>
              <w:noProof/>
            </w:rPr>
            <w:fldChar w:fldCharType="begin"/>
          </w:r>
          <w:r>
            <w:rPr>
              <w:noProof/>
            </w:rPr>
            <w:instrText xml:space="preserve"> PAGEREF _Toc274387726 \h </w:instrText>
          </w:r>
          <w:r>
            <w:rPr>
              <w:noProof/>
            </w:rPr>
          </w:r>
          <w:r>
            <w:rPr>
              <w:noProof/>
            </w:rPr>
            <w:fldChar w:fldCharType="separate"/>
          </w:r>
          <w:r>
            <w:rPr>
              <w:noProof/>
            </w:rPr>
            <w:t>21</w:t>
          </w:r>
          <w:r>
            <w:rPr>
              <w:noProof/>
            </w:rPr>
            <w:fldChar w:fldCharType="end"/>
          </w:r>
        </w:p>
        <w:p w14:paraId="3CBC6FFC"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References</w:t>
          </w:r>
          <w:r>
            <w:rPr>
              <w:noProof/>
            </w:rPr>
            <w:tab/>
          </w:r>
          <w:r>
            <w:rPr>
              <w:noProof/>
            </w:rPr>
            <w:fldChar w:fldCharType="begin"/>
          </w:r>
          <w:r>
            <w:rPr>
              <w:noProof/>
            </w:rPr>
            <w:instrText xml:space="preserve"> PAGEREF _Toc274387727 \h </w:instrText>
          </w:r>
          <w:r>
            <w:rPr>
              <w:noProof/>
            </w:rPr>
          </w:r>
          <w:r>
            <w:rPr>
              <w:noProof/>
            </w:rPr>
            <w:fldChar w:fldCharType="separate"/>
          </w:r>
          <w:r>
            <w:rPr>
              <w:noProof/>
            </w:rPr>
            <w:t>23</w:t>
          </w:r>
          <w:r>
            <w:rPr>
              <w:noProof/>
            </w:rPr>
            <w:fldChar w:fldCharType="end"/>
          </w:r>
        </w:p>
        <w:p w14:paraId="2420E2E7" w14:textId="77777777" w:rsidR="00F54019" w:rsidRDefault="00F54019">
          <w:pPr>
            <w:pStyle w:val="TOC1"/>
            <w:rPr>
              <w:rFonts w:eastAsiaTheme="minorEastAsia" w:cstheme="minorBidi"/>
              <w:b w:val="0"/>
              <w:caps w:val="0"/>
              <w:noProof/>
              <w:sz w:val="24"/>
              <w:szCs w:val="24"/>
              <w:lang w:eastAsia="ja-JP"/>
            </w:rPr>
          </w:pPr>
          <w:r w:rsidRPr="00CA1AAE">
            <w:rPr>
              <w:noProof/>
            </w:rPr>
            <w:t>CHAPTER II:</w:t>
          </w:r>
          <w:r>
            <w:rPr>
              <w:noProof/>
            </w:rPr>
            <w:tab/>
          </w:r>
          <w:r>
            <w:rPr>
              <w:noProof/>
            </w:rPr>
            <w:fldChar w:fldCharType="begin"/>
          </w:r>
          <w:r>
            <w:rPr>
              <w:noProof/>
            </w:rPr>
            <w:instrText xml:space="preserve"> PAGEREF _Toc274387728 \h </w:instrText>
          </w:r>
          <w:r>
            <w:rPr>
              <w:noProof/>
            </w:rPr>
          </w:r>
          <w:r>
            <w:rPr>
              <w:noProof/>
            </w:rPr>
            <w:fldChar w:fldCharType="separate"/>
          </w:r>
          <w:r>
            <w:rPr>
              <w:noProof/>
            </w:rPr>
            <w:t>29</w:t>
          </w:r>
          <w:r>
            <w:rPr>
              <w:noProof/>
            </w:rPr>
            <w:fldChar w:fldCharType="end"/>
          </w:r>
        </w:p>
        <w:p w14:paraId="1CAD6EEB" w14:textId="77777777" w:rsidR="00F54019" w:rsidRDefault="00F54019">
          <w:pPr>
            <w:pStyle w:val="TOC1"/>
            <w:rPr>
              <w:rFonts w:eastAsiaTheme="minorEastAsia" w:cstheme="minorBidi"/>
              <w:b w:val="0"/>
              <w:caps w:val="0"/>
              <w:noProof/>
              <w:sz w:val="24"/>
              <w:szCs w:val="24"/>
              <w:lang w:eastAsia="ja-JP"/>
            </w:rPr>
          </w:pPr>
          <w:r w:rsidRPr="00CA1AAE">
            <w:rPr>
              <w:noProof/>
            </w:rPr>
            <w:t>Differentiation of equine mesenchymal stromal cells into neural cells: potential for clinical applications</w:t>
          </w:r>
          <w:r>
            <w:rPr>
              <w:noProof/>
            </w:rPr>
            <w:tab/>
          </w:r>
          <w:r>
            <w:rPr>
              <w:noProof/>
            </w:rPr>
            <w:fldChar w:fldCharType="begin"/>
          </w:r>
          <w:r>
            <w:rPr>
              <w:noProof/>
            </w:rPr>
            <w:instrText xml:space="preserve"> PAGEREF _Toc274387729 \h </w:instrText>
          </w:r>
          <w:r>
            <w:rPr>
              <w:noProof/>
            </w:rPr>
          </w:r>
          <w:r>
            <w:rPr>
              <w:noProof/>
            </w:rPr>
            <w:fldChar w:fldCharType="separate"/>
          </w:r>
          <w:r>
            <w:rPr>
              <w:noProof/>
            </w:rPr>
            <w:t>29</w:t>
          </w:r>
          <w:r>
            <w:rPr>
              <w:noProof/>
            </w:rPr>
            <w:fldChar w:fldCharType="end"/>
          </w:r>
        </w:p>
        <w:p w14:paraId="4484ED49"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Introduction</w:t>
          </w:r>
          <w:r>
            <w:rPr>
              <w:noProof/>
            </w:rPr>
            <w:tab/>
          </w:r>
          <w:r>
            <w:rPr>
              <w:noProof/>
            </w:rPr>
            <w:fldChar w:fldCharType="begin"/>
          </w:r>
          <w:r>
            <w:rPr>
              <w:noProof/>
            </w:rPr>
            <w:instrText xml:space="preserve"> PAGEREF _Toc274387730 \h </w:instrText>
          </w:r>
          <w:r>
            <w:rPr>
              <w:noProof/>
            </w:rPr>
          </w:r>
          <w:r>
            <w:rPr>
              <w:noProof/>
            </w:rPr>
            <w:fldChar w:fldCharType="separate"/>
          </w:r>
          <w:r>
            <w:rPr>
              <w:noProof/>
            </w:rPr>
            <w:t>31</w:t>
          </w:r>
          <w:r>
            <w:rPr>
              <w:noProof/>
            </w:rPr>
            <w:fldChar w:fldCharType="end"/>
          </w:r>
        </w:p>
        <w:p w14:paraId="3A8FE109"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Materials and methods</w:t>
          </w:r>
          <w:r>
            <w:rPr>
              <w:noProof/>
            </w:rPr>
            <w:tab/>
          </w:r>
          <w:r>
            <w:rPr>
              <w:noProof/>
            </w:rPr>
            <w:fldChar w:fldCharType="begin"/>
          </w:r>
          <w:r>
            <w:rPr>
              <w:noProof/>
            </w:rPr>
            <w:instrText xml:space="preserve"> PAGEREF _Toc274387731 \h </w:instrText>
          </w:r>
          <w:r>
            <w:rPr>
              <w:noProof/>
            </w:rPr>
          </w:r>
          <w:r>
            <w:rPr>
              <w:noProof/>
            </w:rPr>
            <w:fldChar w:fldCharType="separate"/>
          </w:r>
          <w:r>
            <w:rPr>
              <w:noProof/>
            </w:rPr>
            <w:t>33</w:t>
          </w:r>
          <w:r>
            <w:rPr>
              <w:noProof/>
            </w:rPr>
            <w:fldChar w:fldCharType="end"/>
          </w:r>
        </w:p>
        <w:p w14:paraId="3CB8F61A"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Results</w:t>
          </w:r>
          <w:r>
            <w:rPr>
              <w:noProof/>
            </w:rPr>
            <w:tab/>
          </w:r>
          <w:r>
            <w:rPr>
              <w:noProof/>
            </w:rPr>
            <w:fldChar w:fldCharType="begin"/>
          </w:r>
          <w:r>
            <w:rPr>
              <w:noProof/>
            </w:rPr>
            <w:instrText xml:space="preserve"> PAGEREF _Toc274387732 \h </w:instrText>
          </w:r>
          <w:r>
            <w:rPr>
              <w:noProof/>
            </w:rPr>
          </w:r>
          <w:r>
            <w:rPr>
              <w:noProof/>
            </w:rPr>
            <w:fldChar w:fldCharType="separate"/>
          </w:r>
          <w:r>
            <w:rPr>
              <w:noProof/>
            </w:rPr>
            <w:t>38</w:t>
          </w:r>
          <w:r>
            <w:rPr>
              <w:noProof/>
            </w:rPr>
            <w:fldChar w:fldCharType="end"/>
          </w:r>
        </w:p>
        <w:p w14:paraId="1EC62980"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Discussion</w:t>
          </w:r>
          <w:r>
            <w:rPr>
              <w:noProof/>
            </w:rPr>
            <w:tab/>
          </w:r>
          <w:r>
            <w:rPr>
              <w:noProof/>
            </w:rPr>
            <w:fldChar w:fldCharType="begin"/>
          </w:r>
          <w:r>
            <w:rPr>
              <w:noProof/>
            </w:rPr>
            <w:instrText xml:space="preserve"> PAGEREF _Toc274387733 \h </w:instrText>
          </w:r>
          <w:r>
            <w:rPr>
              <w:noProof/>
            </w:rPr>
          </w:r>
          <w:r>
            <w:rPr>
              <w:noProof/>
            </w:rPr>
            <w:fldChar w:fldCharType="separate"/>
          </w:r>
          <w:r>
            <w:rPr>
              <w:noProof/>
            </w:rPr>
            <w:t>49</w:t>
          </w:r>
          <w:r>
            <w:rPr>
              <w:noProof/>
            </w:rPr>
            <w:fldChar w:fldCharType="end"/>
          </w:r>
        </w:p>
        <w:p w14:paraId="3332D61D"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References</w:t>
          </w:r>
          <w:r>
            <w:rPr>
              <w:noProof/>
            </w:rPr>
            <w:tab/>
          </w:r>
          <w:r>
            <w:rPr>
              <w:noProof/>
            </w:rPr>
            <w:fldChar w:fldCharType="begin"/>
          </w:r>
          <w:r>
            <w:rPr>
              <w:noProof/>
            </w:rPr>
            <w:instrText xml:space="preserve"> PAGEREF _Toc274387734 \h </w:instrText>
          </w:r>
          <w:r>
            <w:rPr>
              <w:noProof/>
            </w:rPr>
          </w:r>
          <w:r>
            <w:rPr>
              <w:noProof/>
            </w:rPr>
            <w:fldChar w:fldCharType="separate"/>
          </w:r>
          <w:r>
            <w:rPr>
              <w:noProof/>
            </w:rPr>
            <w:t>52</w:t>
          </w:r>
          <w:r>
            <w:rPr>
              <w:noProof/>
            </w:rPr>
            <w:fldChar w:fldCharType="end"/>
          </w:r>
        </w:p>
        <w:p w14:paraId="404CDC5E" w14:textId="77777777" w:rsidR="00F54019" w:rsidRDefault="00F54019">
          <w:pPr>
            <w:pStyle w:val="TOC1"/>
            <w:rPr>
              <w:rFonts w:eastAsiaTheme="minorEastAsia" w:cstheme="minorBidi"/>
              <w:b w:val="0"/>
              <w:caps w:val="0"/>
              <w:noProof/>
              <w:sz w:val="24"/>
              <w:szCs w:val="24"/>
              <w:lang w:eastAsia="ja-JP"/>
            </w:rPr>
          </w:pPr>
          <w:r w:rsidRPr="00CA1AAE">
            <w:rPr>
              <w:noProof/>
            </w:rPr>
            <w:t>CHAPTER III:</w:t>
          </w:r>
          <w:r>
            <w:rPr>
              <w:noProof/>
            </w:rPr>
            <w:tab/>
          </w:r>
          <w:r>
            <w:rPr>
              <w:noProof/>
            </w:rPr>
            <w:fldChar w:fldCharType="begin"/>
          </w:r>
          <w:r>
            <w:rPr>
              <w:noProof/>
            </w:rPr>
            <w:instrText xml:space="preserve"> PAGEREF _Toc274387735 \h </w:instrText>
          </w:r>
          <w:r>
            <w:rPr>
              <w:noProof/>
            </w:rPr>
          </w:r>
          <w:r>
            <w:rPr>
              <w:noProof/>
            </w:rPr>
            <w:fldChar w:fldCharType="separate"/>
          </w:r>
          <w:r>
            <w:rPr>
              <w:noProof/>
            </w:rPr>
            <w:t>55</w:t>
          </w:r>
          <w:r>
            <w:rPr>
              <w:noProof/>
            </w:rPr>
            <w:fldChar w:fldCharType="end"/>
          </w:r>
        </w:p>
        <w:p w14:paraId="5FAEE713" w14:textId="77777777" w:rsidR="00F54019" w:rsidRDefault="00F54019">
          <w:pPr>
            <w:pStyle w:val="TOC1"/>
            <w:rPr>
              <w:rFonts w:eastAsiaTheme="minorEastAsia" w:cstheme="minorBidi"/>
              <w:b w:val="0"/>
              <w:caps w:val="0"/>
              <w:noProof/>
              <w:sz w:val="24"/>
              <w:szCs w:val="24"/>
              <w:lang w:eastAsia="ja-JP"/>
            </w:rPr>
          </w:pPr>
          <w:r w:rsidRPr="00CA1AAE">
            <w:rPr>
              <w:noProof/>
            </w:rPr>
            <w:t xml:space="preserve">A preliminary, </w:t>
          </w:r>
          <w:r w:rsidRPr="00CA1AAE">
            <w:rPr>
              <w:i/>
              <w:noProof/>
            </w:rPr>
            <w:t>in vivo</w:t>
          </w:r>
          <w:r w:rsidRPr="00CA1AAE">
            <w:rPr>
              <w:noProof/>
            </w:rPr>
            <w:t xml:space="preserve"> study evaluating the effects of mesenchymal stromal cells in speeding regeneration of transected peripheral nerves of horses</w:t>
          </w:r>
          <w:r>
            <w:rPr>
              <w:noProof/>
            </w:rPr>
            <w:tab/>
          </w:r>
          <w:r>
            <w:rPr>
              <w:noProof/>
            </w:rPr>
            <w:fldChar w:fldCharType="begin"/>
          </w:r>
          <w:r>
            <w:rPr>
              <w:noProof/>
            </w:rPr>
            <w:instrText xml:space="preserve"> PAGEREF _Toc274387736 \h </w:instrText>
          </w:r>
          <w:r>
            <w:rPr>
              <w:noProof/>
            </w:rPr>
          </w:r>
          <w:r>
            <w:rPr>
              <w:noProof/>
            </w:rPr>
            <w:fldChar w:fldCharType="separate"/>
          </w:r>
          <w:r>
            <w:rPr>
              <w:noProof/>
            </w:rPr>
            <w:t>55</w:t>
          </w:r>
          <w:r>
            <w:rPr>
              <w:noProof/>
            </w:rPr>
            <w:fldChar w:fldCharType="end"/>
          </w:r>
        </w:p>
        <w:p w14:paraId="53E3B771"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Introduction</w:t>
          </w:r>
          <w:r>
            <w:rPr>
              <w:noProof/>
            </w:rPr>
            <w:tab/>
          </w:r>
          <w:r>
            <w:rPr>
              <w:noProof/>
            </w:rPr>
            <w:fldChar w:fldCharType="begin"/>
          </w:r>
          <w:r>
            <w:rPr>
              <w:noProof/>
            </w:rPr>
            <w:instrText xml:space="preserve"> PAGEREF _Toc274387737 \h </w:instrText>
          </w:r>
          <w:r>
            <w:rPr>
              <w:noProof/>
            </w:rPr>
          </w:r>
          <w:r>
            <w:rPr>
              <w:noProof/>
            </w:rPr>
            <w:fldChar w:fldCharType="separate"/>
          </w:r>
          <w:r>
            <w:rPr>
              <w:noProof/>
            </w:rPr>
            <w:t>57</w:t>
          </w:r>
          <w:r>
            <w:rPr>
              <w:noProof/>
            </w:rPr>
            <w:fldChar w:fldCharType="end"/>
          </w:r>
        </w:p>
        <w:p w14:paraId="62014756"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Materials and methods</w:t>
          </w:r>
          <w:r>
            <w:rPr>
              <w:noProof/>
            </w:rPr>
            <w:tab/>
          </w:r>
          <w:r>
            <w:rPr>
              <w:noProof/>
            </w:rPr>
            <w:fldChar w:fldCharType="begin"/>
          </w:r>
          <w:r>
            <w:rPr>
              <w:noProof/>
            </w:rPr>
            <w:instrText xml:space="preserve"> PAGEREF _Toc274387738 \h </w:instrText>
          </w:r>
          <w:r>
            <w:rPr>
              <w:noProof/>
            </w:rPr>
          </w:r>
          <w:r>
            <w:rPr>
              <w:noProof/>
            </w:rPr>
            <w:fldChar w:fldCharType="separate"/>
          </w:r>
          <w:r>
            <w:rPr>
              <w:noProof/>
            </w:rPr>
            <w:t>5</w:t>
          </w:r>
          <w:r>
            <w:rPr>
              <w:noProof/>
            </w:rPr>
            <w:t>8</w:t>
          </w:r>
          <w:r>
            <w:rPr>
              <w:noProof/>
            </w:rPr>
            <w:fldChar w:fldCharType="end"/>
          </w:r>
        </w:p>
        <w:p w14:paraId="661A8D8D"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Results</w:t>
          </w:r>
          <w:r>
            <w:rPr>
              <w:noProof/>
            </w:rPr>
            <w:tab/>
          </w:r>
          <w:r>
            <w:rPr>
              <w:noProof/>
            </w:rPr>
            <w:fldChar w:fldCharType="begin"/>
          </w:r>
          <w:r>
            <w:rPr>
              <w:noProof/>
            </w:rPr>
            <w:instrText xml:space="preserve"> PAGEREF _Toc274387739 \h </w:instrText>
          </w:r>
          <w:r>
            <w:rPr>
              <w:noProof/>
            </w:rPr>
          </w:r>
          <w:r>
            <w:rPr>
              <w:noProof/>
            </w:rPr>
            <w:fldChar w:fldCharType="separate"/>
          </w:r>
          <w:r>
            <w:rPr>
              <w:noProof/>
            </w:rPr>
            <w:t>63</w:t>
          </w:r>
          <w:r>
            <w:rPr>
              <w:noProof/>
            </w:rPr>
            <w:fldChar w:fldCharType="end"/>
          </w:r>
        </w:p>
        <w:p w14:paraId="23B535DD"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Discussion</w:t>
          </w:r>
          <w:r>
            <w:rPr>
              <w:noProof/>
            </w:rPr>
            <w:tab/>
          </w:r>
          <w:r>
            <w:rPr>
              <w:noProof/>
            </w:rPr>
            <w:fldChar w:fldCharType="begin"/>
          </w:r>
          <w:r>
            <w:rPr>
              <w:noProof/>
            </w:rPr>
            <w:instrText xml:space="preserve"> PAGEREF _Toc274387740 \h </w:instrText>
          </w:r>
          <w:r>
            <w:rPr>
              <w:noProof/>
            </w:rPr>
          </w:r>
          <w:r>
            <w:rPr>
              <w:noProof/>
            </w:rPr>
            <w:fldChar w:fldCharType="separate"/>
          </w:r>
          <w:r>
            <w:rPr>
              <w:noProof/>
            </w:rPr>
            <w:t>66</w:t>
          </w:r>
          <w:r>
            <w:rPr>
              <w:noProof/>
            </w:rPr>
            <w:fldChar w:fldCharType="end"/>
          </w:r>
        </w:p>
        <w:p w14:paraId="79E01861" w14:textId="77777777" w:rsidR="00F54019" w:rsidRDefault="00F54019">
          <w:pPr>
            <w:pStyle w:val="TOC2"/>
            <w:tabs>
              <w:tab w:val="right" w:leader="dot" w:pos="9350"/>
            </w:tabs>
            <w:rPr>
              <w:rFonts w:eastAsiaTheme="minorEastAsia" w:cstheme="minorBidi"/>
              <w:smallCaps w:val="0"/>
              <w:noProof/>
              <w:sz w:val="24"/>
              <w:szCs w:val="24"/>
              <w:lang w:eastAsia="ja-JP"/>
            </w:rPr>
          </w:pPr>
          <w:r>
            <w:rPr>
              <w:noProof/>
            </w:rPr>
            <w:t>References</w:t>
          </w:r>
          <w:r>
            <w:rPr>
              <w:noProof/>
            </w:rPr>
            <w:tab/>
          </w:r>
          <w:r>
            <w:rPr>
              <w:noProof/>
            </w:rPr>
            <w:fldChar w:fldCharType="begin"/>
          </w:r>
          <w:r>
            <w:rPr>
              <w:noProof/>
            </w:rPr>
            <w:instrText xml:space="preserve"> PAGEREF _Toc274387741 \h </w:instrText>
          </w:r>
          <w:r>
            <w:rPr>
              <w:noProof/>
            </w:rPr>
          </w:r>
          <w:r>
            <w:rPr>
              <w:noProof/>
            </w:rPr>
            <w:fldChar w:fldCharType="separate"/>
          </w:r>
          <w:r>
            <w:rPr>
              <w:noProof/>
            </w:rPr>
            <w:t>69</w:t>
          </w:r>
          <w:r>
            <w:rPr>
              <w:noProof/>
            </w:rPr>
            <w:fldChar w:fldCharType="end"/>
          </w:r>
        </w:p>
        <w:p w14:paraId="25142AD0" w14:textId="77777777" w:rsidR="00F54019" w:rsidRDefault="00F54019">
          <w:pPr>
            <w:pStyle w:val="TOC1"/>
            <w:rPr>
              <w:rFonts w:eastAsiaTheme="minorEastAsia" w:cstheme="minorBidi"/>
              <w:b w:val="0"/>
              <w:caps w:val="0"/>
              <w:noProof/>
              <w:sz w:val="24"/>
              <w:szCs w:val="24"/>
              <w:lang w:eastAsia="ja-JP"/>
            </w:rPr>
          </w:pPr>
          <w:r>
            <w:rPr>
              <w:noProof/>
            </w:rPr>
            <w:t>CONCLUSION</w:t>
          </w:r>
          <w:r>
            <w:rPr>
              <w:noProof/>
            </w:rPr>
            <w:tab/>
          </w:r>
          <w:r>
            <w:rPr>
              <w:noProof/>
            </w:rPr>
            <w:fldChar w:fldCharType="begin"/>
          </w:r>
          <w:r>
            <w:rPr>
              <w:noProof/>
            </w:rPr>
            <w:instrText xml:space="preserve"> PAGEREF _Toc274387742 \h </w:instrText>
          </w:r>
          <w:r>
            <w:rPr>
              <w:noProof/>
            </w:rPr>
          </w:r>
          <w:r>
            <w:rPr>
              <w:noProof/>
            </w:rPr>
            <w:fldChar w:fldCharType="separate"/>
          </w:r>
          <w:r>
            <w:rPr>
              <w:noProof/>
            </w:rPr>
            <w:t>71</w:t>
          </w:r>
          <w:r>
            <w:rPr>
              <w:noProof/>
            </w:rPr>
            <w:fldChar w:fldCharType="end"/>
          </w:r>
        </w:p>
        <w:p w14:paraId="11BB44DB" w14:textId="77777777" w:rsidR="00F54019" w:rsidRDefault="00F54019">
          <w:pPr>
            <w:pStyle w:val="TOC1"/>
            <w:rPr>
              <w:rFonts w:eastAsiaTheme="minorEastAsia" w:cstheme="minorBidi"/>
              <w:b w:val="0"/>
              <w:caps w:val="0"/>
              <w:noProof/>
              <w:sz w:val="24"/>
              <w:szCs w:val="24"/>
              <w:lang w:eastAsia="ja-JP"/>
            </w:rPr>
          </w:pPr>
          <w:r w:rsidRPr="00CA1AAE">
            <w:rPr>
              <w:noProof/>
            </w:rPr>
            <w:t>Vita</w:t>
          </w:r>
          <w:r>
            <w:rPr>
              <w:noProof/>
            </w:rPr>
            <w:tab/>
          </w:r>
          <w:r>
            <w:rPr>
              <w:noProof/>
            </w:rPr>
            <w:fldChar w:fldCharType="begin"/>
          </w:r>
          <w:r>
            <w:rPr>
              <w:noProof/>
            </w:rPr>
            <w:instrText xml:space="preserve"> PAGEREF _Toc274387743 \h </w:instrText>
          </w:r>
          <w:r>
            <w:rPr>
              <w:noProof/>
            </w:rPr>
          </w:r>
          <w:r>
            <w:rPr>
              <w:noProof/>
            </w:rPr>
            <w:fldChar w:fldCharType="separate"/>
          </w:r>
          <w:r>
            <w:rPr>
              <w:noProof/>
            </w:rPr>
            <w:t>72</w:t>
          </w:r>
          <w:r>
            <w:rPr>
              <w:noProof/>
            </w:rPr>
            <w:fldChar w:fldCharType="end"/>
          </w:r>
        </w:p>
        <w:p w14:paraId="3CA16B54" w14:textId="77777777" w:rsidR="002729A9" w:rsidRPr="002729A9" w:rsidRDefault="002729A9" w:rsidP="002729A9">
          <w:pPr>
            <w:rPr>
              <w:rFonts w:ascii="Book Antiqua" w:hAnsi="Book Antiqua"/>
            </w:rPr>
          </w:pPr>
          <w:r w:rsidRPr="002729A9">
            <w:rPr>
              <w:rFonts w:ascii="Book Antiqua" w:hAnsi="Book Antiqua"/>
              <w:caps/>
            </w:rPr>
            <w:fldChar w:fldCharType="end"/>
          </w:r>
        </w:p>
      </w:sdtContent>
    </w:sdt>
    <w:p w14:paraId="179F599F" w14:textId="77777777" w:rsidR="002729A9" w:rsidRDefault="002729A9">
      <w:pPr>
        <w:rPr>
          <w:rFonts w:ascii="Book Antiqua" w:hAnsi="Book Antiqua"/>
          <w:b/>
          <w:bCs/>
          <w:iCs/>
          <w:u w:val="single"/>
        </w:rPr>
      </w:pPr>
      <w:r>
        <w:br w:type="page"/>
      </w:r>
    </w:p>
    <w:p w14:paraId="573DF603" w14:textId="77777777" w:rsidR="002729A9" w:rsidRDefault="002729A9" w:rsidP="002729A9">
      <w:pPr>
        <w:pStyle w:val="Heading2"/>
      </w:pPr>
      <w:bookmarkStart w:id="5" w:name="_Toc274387709"/>
      <w:r>
        <w:t>List of figures</w:t>
      </w:r>
      <w:bookmarkEnd w:id="5"/>
    </w:p>
    <w:p w14:paraId="7F13B557" w14:textId="77777777" w:rsidR="002729A9" w:rsidRDefault="002729A9" w:rsidP="00C4461A">
      <w:pPr>
        <w:spacing w:line="36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8"/>
        <w:gridCol w:w="7290"/>
        <w:gridCol w:w="720"/>
      </w:tblGrid>
      <w:tr w:rsidR="002729A9" w14:paraId="62AE9F89" w14:textId="77777777" w:rsidTr="00C4461A">
        <w:tc>
          <w:tcPr>
            <w:tcW w:w="918" w:type="dxa"/>
          </w:tcPr>
          <w:p w14:paraId="3220CC28" w14:textId="77777777" w:rsidR="002729A9" w:rsidRDefault="002729A9" w:rsidP="000E17F7">
            <w:pPr>
              <w:spacing w:line="360" w:lineRule="auto"/>
              <w:jc w:val="center"/>
            </w:pPr>
            <w:r>
              <w:t>Figure</w:t>
            </w:r>
          </w:p>
          <w:p w14:paraId="2F44F69F" w14:textId="77777777" w:rsidR="002729A9" w:rsidRDefault="002729A9" w:rsidP="000E17F7">
            <w:pPr>
              <w:spacing w:line="360" w:lineRule="auto"/>
            </w:pPr>
          </w:p>
        </w:tc>
        <w:tc>
          <w:tcPr>
            <w:tcW w:w="7290" w:type="dxa"/>
          </w:tcPr>
          <w:p w14:paraId="03B5EE4F" w14:textId="77777777" w:rsidR="002729A9" w:rsidRDefault="002729A9" w:rsidP="000E17F7">
            <w:pPr>
              <w:spacing w:line="360" w:lineRule="auto"/>
              <w:jc w:val="center"/>
            </w:pPr>
            <w:r>
              <w:t>Title</w:t>
            </w:r>
          </w:p>
        </w:tc>
        <w:tc>
          <w:tcPr>
            <w:tcW w:w="720" w:type="dxa"/>
          </w:tcPr>
          <w:p w14:paraId="7583F72E" w14:textId="77777777" w:rsidR="002729A9" w:rsidRDefault="002729A9" w:rsidP="000E17F7">
            <w:pPr>
              <w:spacing w:line="360" w:lineRule="auto"/>
              <w:jc w:val="center"/>
            </w:pPr>
            <w:r>
              <w:t>Page</w:t>
            </w:r>
          </w:p>
        </w:tc>
      </w:tr>
      <w:tr w:rsidR="002729A9" w14:paraId="3AF06E5F" w14:textId="77777777" w:rsidTr="00C4461A">
        <w:tc>
          <w:tcPr>
            <w:tcW w:w="918" w:type="dxa"/>
          </w:tcPr>
          <w:p w14:paraId="602B4679" w14:textId="77777777" w:rsidR="002729A9" w:rsidRDefault="002729A9" w:rsidP="000E17F7">
            <w:pPr>
              <w:spacing w:line="360" w:lineRule="auto"/>
            </w:pPr>
            <w:r>
              <w:t>1.1</w:t>
            </w:r>
          </w:p>
        </w:tc>
        <w:tc>
          <w:tcPr>
            <w:tcW w:w="7290" w:type="dxa"/>
          </w:tcPr>
          <w:p w14:paraId="773B8BE3" w14:textId="77777777" w:rsidR="002729A9" w:rsidRDefault="002729A9" w:rsidP="000E17F7">
            <w:pPr>
              <w:spacing w:line="360" w:lineRule="auto"/>
              <w:rPr>
                <w:rFonts w:ascii="Book Antiqua" w:hAnsi="Book Antiqua"/>
              </w:rPr>
            </w:pPr>
            <w:r>
              <w:rPr>
                <w:rFonts w:ascii="Book Antiqua" w:hAnsi="Book Antiqua"/>
              </w:rPr>
              <w:t>Myelination of peripheral nerve</w:t>
            </w:r>
          </w:p>
        </w:tc>
        <w:tc>
          <w:tcPr>
            <w:tcW w:w="720" w:type="dxa"/>
          </w:tcPr>
          <w:p w14:paraId="42726DF0" w14:textId="77777777" w:rsidR="002729A9" w:rsidRDefault="002729A9" w:rsidP="000E17F7">
            <w:pPr>
              <w:spacing w:line="360" w:lineRule="auto"/>
              <w:rPr>
                <w:rFonts w:ascii="Book Antiqua" w:hAnsi="Book Antiqua"/>
              </w:rPr>
            </w:pPr>
            <w:r>
              <w:rPr>
                <w:rFonts w:ascii="Book Antiqua" w:hAnsi="Book Antiqua"/>
              </w:rPr>
              <w:t>5</w:t>
            </w:r>
          </w:p>
        </w:tc>
      </w:tr>
      <w:tr w:rsidR="002729A9" w14:paraId="66147AD0" w14:textId="77777777" w:rsidTr="00C4461A">
        <w:tc>
          <w:tcPr>
            <w:tcW w:w="918" w:type="dxa"/>
          </w:tcPr>
          <w:p w14:paraId="34C718B7" w14:textId="77777777" w:rsidR="002729A9" w:rsidRDefault="002729A9" w:rsidP="000E17F7">
            <w:pPr>
              <w:spacing w:line="360" w:lineRule="auto"/>
              <w:rPr>
                <w:rFonts w:ascii="Book Antiqua" w:hAnsi="Book Antiqua"/>
              </w:rPr>
            </w:pPr>
            <w:r>
              <w:rPr>
                <w:rFonts w:ascii="Book Antiqua" w:hAnsi="Book Antiqua"/>
              </w:rPr>
              <w:t>1.2</w:t>
            </w:r>
          </w:p>
        </w:tc>
        <w:tc>
          <w:tcPr>
            <w:tcW w:w="7290" w:type="dxa"/>
          </w:tcPr>
          <w:p w14:paraId="550BF507" w14:textId="77777777" w:rsidR="002729A9" w:rsidRDefault="002729A9" w:rsidP="000E17F7">
            <w:pPr>
              <w:spacing w:line="360" w:lineRule="auto"/>
              <w:rPr>
                <w:rFonts w:ascii="Book Antiqua" w:hAnsi="Book Antiqua"/>
              </w:rPr>
            </w:pPr>
            <w:r>
              <w:rPr>
                <w:rFonts w:ascii="Book Antiqua" w:hAnsi="Book Antiqua"/>
              </w:rPr>
              <w:t>Peripheral nerve injuries in the horse</w:t>
            </w:r>
          </w:p>
        </w:tc>
        <w:tc>
          <w:tcPr>
            <w:tcW w:w="720" w:type="dxa"/>
          </w:tcPr>
          <w:p w14:paraId="46C3F17F" w14:textId="77777777" w:rsidR="002729A9" w:rsidRDefault="002729A9" w:rsidP="000E17F7">
            <w:pPr>
              <w:spacing w:line="360" w:lineRule="auto"/>
              <w:rPr>
                <w:rFonts w:ascii="Book Antiqua" w:hAnsi="Book Antiqua"/>
              </w:rPr>
            </w:pPr>
            <w:r>
              <w:rPr>
                <w:rFonts w:ascii="Book Antiqua" w:hAnsi="Book Antiqua"/>
              </w:rPr>
              <w:t>15</w:t>
            </w:r>
          </w:p>
        </w:tc>
      </w:tr>
      <w:tr w:rsidR="002729A9" w14:paraId="132E6B1B" w14:textId="77777777" w:rsidTr="00C4461A">
        <w:tc>
          <w:tcPr>
            <w:tcW w:w="918" w:type="dxa"/>
          </w:tcPr>
          <w:p w14:paraId="3AB86A0F" w14:textId="77777777" w:rsidR="002729A9" w:rsidRDefault="002729A9" w:rsidP="000E17F7">
            <w:pPr>
              <w:spacing w:line="360" w:lineRule="auto"/>
              <w:rPr>
                <w:rFonts w:ascii="Book Antiqua" w:hAnsi="Book Antiqua"/>
              </w:rPr>
            </w:pPr>
            <w:r>
              <w:rPr>
                <w:rFonts w:ascii="Book Antiqua" w:hAnsi="Book Antiqua"/>
              </w:rPr>
              <w:t>2.1</w:t>
            </w:r>
          </w:p>
        </w:tc>
        <w:tc>
          <w:tcPr>
            <w:tcW w:w="7290" w:type="dxa"/>
          </w:tcPr>
          <w:p w14:paraId="4FC99BE3" w14:textId="77777777" w:rsidR="002729A9" w:rsidRDefault="002729A9" w:rsidP="000E17F7">
            <w:pPr>
              <w:spacing w:line="360" w:lineRule="auto"/>
              <w:rPr>
                <w:rFonts w:ascii="Book Antiqua" w:hAnsi="Book Antiqua"/>
              </w:rPr>
            </w:pPr>
            <w:r w:rsidRPr="007541AB">
              <w:rPr>
                <w:rFonts w:ascii="Book Antiqua" w:hAnsi="Book Antiqua"/>
              </w:rPr>
              <w:t>Measurement of rate of proliferation of eBM-MSCs</w:t>
            </w:r>
          </w:p>
        </w:tc>
        <w:tc>
          <w:tcPr>
            <w:tcW w:w="720" w:type="dxa"/>
          </w:tcPr>
          <w:p w14:paraId="046E3686" w14:textId="77777777" w:rsidR="002729A9" w:rsidRDefault="002729A9" w:rsidP="000E17F7">
            <w:pPr>
              <w:spacing w:line="360" w:lineRule="auto"/>
              <w:rPr>
                <w:rFonts w:ascii="Book Antiqua" w:hAnsi="Book Antiqua"/>
              </w:rPr>
            </w:pPr>
            <w:r>
              <w:rPr>
                <w:rFonts w:ascii="Book Antiqua" w:hAnsi="Book Antiqua"/>
              </w:rPr>
              <w:t>39</w:t>
            </w:r>
          </w:p>
        </w:tc>
      </w:tr>
      <w:tr w:rsidR="002729A9" w14:paraId="42CA3394" w14:textId="77777777" w:rsidTr="00C4461A">
        <w:tc>
          <w:tcPr>
            <w:tcW w:w="918" w:type="dxa"/>
          </w:tcPr>
          <w:p w14:paraId="76CF95AA" w14:textId="77777777" w:rsidR="002729A9" w:rsidRDefault="002729A9" w:rsidP="000E17F7">
            <w:pPr>
              <w:spacing w:line="360" w:lineRule="auto"/>
              <w:rPr>
                <w:rFonts w:ascii="Book Antiqua" w:hAnsi="Book Antiqua"/>
              </w:rPr>
            </w:pPr>
            <w:r>
              <w:rPr>
                <w:rFonts w:ascii="Book Antiqua" w:hAnsi="Book Antiqua"/>
              </w:rPr>
              <w:t>2.2</w:t>
            </w:r>
          </w:p>
        </w:tc>
        <w:tc>
          <w:tcPr>
            <w:tcW w:w="7290" w:type="dxa"/>
          </w:tcPr>
          <w:p w14:paraId="14AD9711" w14:textId="77777777" w:rsidR="002729A9" w:rsidRPr="001A670E" w:rsidRDefault="002729A9" w:rsidP="000E17F7">
            <w:pPr>
              <w:spacing w:line="360" w:lineRule="auto"/>
              <w:rPr>
                <w:rFonts w:ascii="Book Antiqua" w:hAnsi="Book Antiqua"/>
                <w:b/>
                <w:bCs/>
              </w:rPr>
            </w:pPr>
            <w:r w:rsidRPr="007541AB">
              <w:rPr>
                <w:rFonts w:ascii="Book Antiqua" w:hAnsi="Book Antiqua"/>
              </w:rPr>
              <w:t>Colony forming unit assay of eBM-MSCs</w:t>
            </w:r>
          </w:p>
        </w:tc>
        <w:tc>
          <w:tcPr>
            <w:tcW w:w="720" w:type="dxa"/>
          </w:tcPr>
          <w:p w14:paraId="628927D6" w14:textId="77777777" w:rsidR="002729A9" w:rsidRDefault="002729A9" w:rsidP="000E17F7">
            <w:pPr>
              <w:spacing w:line="360" w:lineRule="auto"/>
              <w:rPr>
                <w:rFonts w:ascii="Book Antiqua" w:hAnsi="Book Antiqua"/>
              </w:rPr>
            </w:pPr>
            <w:r>
              <w:rPr>
                <w:rFonts w:ascii="Book Antiqua" w:hAnsi="Book Antiqua"/>
              </w:rPr>
              <w:t>40</w:t>
            </w:r>
          </w:p>
        </w:tc>
      </w:tr>
      <w:tr w:rsidR="002729A9" w14:paraId="10AC4539" w14:textId="77777777" w:rsidTr="00C4461A">
        <w:tc>
          <w:tcPr>
            <w:tcW w:w="918" w:type="dxa"/>
          </w:tcPr>
          <w:p w14:paraId="622991C0" w14:textId="77777777" w:rsidR="002729A9" w:rsidRDefault="002729A9" w:rsidP="000E17F7">
            <w:pPr>
              <w:spacing w:line="360" w:lineRule="auto"/>
              <w:rPr>
                <w:rFonts w:ascii="Book Antiqua" w:hAnsi="Book Antiqua"/>
              </w:rPr>
            </w:pPr>
            <w:r>
              <w:rPr>
                <w:rFonts w:ascii="Book Antiqua" w:hAnsi="Book Antiqua"/>
              </w:rPr>
              <w:t>2.3</w:t>
            </w:r>
          </w:p>
        </w:tc>
        <w:tc>
          <w:tcPr>
            <w:tcW w:w="7290" w:type="dxa"/>
          </w:tcPr>
          <w:p w14:paraId="6FC95C8C" w14:textId="77777777" w:rsidR="002729A9" w:rsidRPr="001A670E" w:rsidRDefault="002729A9" w:rsidP="000E17F7">
            <w:pPr>
              <w:spacing w:line="360" w:lineRule="auto"/>
              <w:rPr>
                <w:rFonts w:ascii="Book Antiqua" w:hAnsi="Book Antiqua"/>
                <w:b/>
                <w:bCs/>
              </w:rPr>
            </w:pPr>
            <w:r w:rsidRPr="00646D31">
              <w:rPr>
                <w:rFonts w:ascii="Book Antiqua" w:hAnsi="Book Antiqua"/>
              </w:rPr>
              <w:t>Mesodermal tri-lineage differentiation assays of eBM-MSCs</w:t>
            </w:r>
          </w:p>
        </w:tc>
        <w:tc>
          <w:tcPr>
            <w:tcW w:w="720" w:type="dxa"/>
          </w:tcPr>
          <w:p w14:paraId="1AF052FC" w14:textId="77777777" w:rsidR="002729A9" w:rsidRDefault="002729A9" w:rsidP="000E17F7">
            <w:pPr>
              <w:spacing w:line="360" w:lineRule="auto"/>
              <w:rPr>
                <w:rFonts w:ascii="Book Antiqua" w:hAnsi="Book Antiqua"/>
              </w:rPr>
            </w:pPr>
            <w:r>
              <w:rPr>
                <w:rFonts w:ascii="Book Antiqua" w:hAnsi="Book Antiqua"/>
              </w:rPr>
              <w:t>41</w:t>
            </w:r>
          </w:p>
        </w:tc>
      </w:tr>
      <w:tr w:rsidR="002729A9" w14:paraId="320DEB43" w14:textId="77777777" w:rsidTr="00C4461A">
        <w:tc>
          <w:tcPr>
            <w:tcW w:w="918" w:type="dxa"/>
          </w:tcPr>
          <w:p w14:paraId="3BE84D9C" w14:textId="77777777" w:rsidR="002729A9" w:rsidRDefault="002729A9" w:rsidP="000E17F7">
            <w:pPr>
              <w:spacing w:line="360" w:lineRule="auto"/>
              <w:rPr>
                <w:rFonts w:ascii="Book Antiqua" w:hAnsi="Book Antiqua"/>
              </w:rPr>
            </w:pPr>
            <w:r>
              <w:rPr>
                <w:rFonts w:ascii="Book Antiqua" w:hAnsi="Book Antiqua"/>
              </w:rPr>
              <w:t>2.4</w:t>
            </w:r>
          </w:p>
        </w:tc>
        <w:tc>
          <w:tcPr>
            <w:tcW w:w="7290" w:type="dxa"/>
          </w:tcPr>
          <w:p w14:paraId="59F63276" w14:textId="77777777" w:rsidR="002729A9" w:rsidRPr="001A670E" w:rsidRDefault="002729A9" w:rsidP="000E17F7">
            <w:pPr>
              <w:spacing w:line="360" w:lineRule="auto"/>
              <w:rPr>
                <w:rFonts w:ascii="Book Antiqua" w:hAnsi="Book Antiqua"/>
                <w:b/>
                <w:bCs/>
              </w:rPr>
            </w:pPr>
            <w:r w:rsidRPr="00646D31">
              <w:rPr>
                <w:rFonts w:ascii="Book Antiqua" w:hAnsi="Book Antiqua"/>
              </w:rPr>
              <w:t>Differentiation assay of eBM-MSCs</w:t>
            </w:r>
          </w:p>
        </w:tc>
        <w:tc>
          <w:tcPr>
            <w:tcW w:w="720" w:type="dxa"/>
          </w:tcPr>
          <w:p w14:paraId="54FABC12" w14:textId="77777777" w:rsidR="002729A9" w:rsidRDefault="002729A9" w:rsidP="000E17F7">
            <w:pPr>
              <w:spacing w:line="360" w:lineRule="auto"/>
              <w:rPr>
                <w:rFonts w:ascii="Book Antiqua" w:hAnsi="Book Antiqua"/>
              </w:rPr>
            </w:pPr>
            <w:r>
              <w:rPr>
                <w:rFonts w:ascii="Book Antiqua" w:hAnsi="Book Antiqua"/>
              </w:rPr>
              <w:t>43</w:t>
            </w:r>
          </w:p>
        </w:tc>
      </w:tr>
      <w:tr w:rsidR="002729A9" w14:paraId="6AA4FDE0" w14:textId="77777777" w:rsidTr="00C4461A">
        <w:tc>
          <w:tcPr>
            <w:tcW w:w="918" w:type="dxa"/>
          </w:tcPr>
          <w:p w14:paraId="5B073252" w14:textId="77777777" w:rsidR="002729A9" w:rsidRDefault="002729A9" w:rsidP="000E17F7">
            <w:pPr>
              <w:spacing w:line="360" w:lineRule="auto"/>
              <w:rPr>
                <w:rFonts w:ascii="Book Antiqua" w:hAnsi="Book Antiqua"/>
              </w:rPr>
            </w:pPr>
            <w:r>
              <w:rPr>
                <w:rFonts w:ascii="Book Antiqua" w:hAnsi="Book Antiqua"/>
              </w:rPr>
              <w:t>2.5</w:t>
            </w:r>
          </w:p>
        </w:tc>
        <w:tc>
          <w:tcPr>
            <w:tcW w:w="7290" w:type="dxa"/>
          </w:tcPr>
          <w:p w14:paraId="3E224A7B" w14:textId="77777777" w:rsidR="002729A9" w:rsidRPr="001A670E" w:rsidRDefault="002729A9" w:rsidP="000E17F7">
            <w:pPr>
              <w:spacing w:line="360" w:lineRule="auto"/>
              <w:rPr>
                <w:rFonts w:ascii="Book Antiqua" w:hAnsi="Book Antiqua"/>
                <w:b/>
                <w:bCs/>
              </w:rPr>
            </w:pPr>
            <w:r w:rsidRPr="00646D31">
              <w:rPr>
                <w:rFonts w:ascii="Book Antiqua" w:hAnsi="Book Antiqua"/>
              </w:rPr>
              <w:t>Nuclear/cytoplasmic staining of neural</w:t>
            </w:r>
            <w:r>
              <w:rPr>
                <w:rFonts w:ascii="Book Antiqua" w:hAnsi="Book Antiqua"/>
              </w:rPr>
              <w:t xml:space="preserve"> crest</w:t>
            </w:r>
            <w:r w:rsidRPr="00646D31">
              <w:rPr>
                <w:rFonts w:ascii="Book Antiqua" w:hAnsi="Book Antiqua"/>
              </w:rPr>
              <w:t>-like eBM-MSCs</w:t>
            </w:r>
          </w:p>
        </w:tc>
        <w:tc>
          <w:tcPr>
            <w:tcW w:w="720" w:type="dxa"/>
          </w:tcPr>
          <w:p w14:paraId="44903098" w14:textId="77777777" w:rsidR="002729A9" w:rsidRDefault="002729A9" w:rsidP="000E17F7">
            <w:pPr>
              <w:spacing w:line="360" w:lineRule="auto"/>
              <w:rPr>
                <w:rFonts w:ascii="Book Antiqua" w:hAnsi="Book Antiqua"/>
              </w:rPr>
            </w:pPr>
            <w:r>
              <w:rPr>
                <w:rFonts w:ascii="Book Antiqua" w:hAnsi="Book Antiqua"/>
              </w:rPr>
              <w:t>43</w:t>
            </w:r>
          </w:p>
        </w:tc>
      </w:tr>
      <w:tr w:rsidR="002729A9" w14:paraId="0B7CE67C" w14:textId="77777777" w:rsidTr="00C4461A">
        <w:tc>
          <w:tcPr>
            <w:tcW w:w="918" w:type="dxa"/>
          </w:tcPr>
          <w:p w14:paraId="56AC5F3A" w14:textId="77777777" w:rsidR="002729A9" w:rsidRDefault="002729A9" w:rsidP="000E17F7">
            <w:pPr>
              <w:spacing w:line="360" w:lineRule="auto"/>
              <w:rPr>
                <w:rFonts w:ascii="Book Antiqua" w:hAnsi="Book Antiqua"/>
              </w:rPr>
            </w:pPr>
            <w:r>
              <w:rPr>
                <w:rFonts w:ascii="Book Antiqua" w:hAnsi="Book Antiqua"/>
              </w:rPr>
              <w:t>2.6</w:t>
            </w:r>
          </w:p>
        </w:tc>
        <w:tc>
          <w:tcPr>
            <w:tcW w:w="7290" w:type="dxa"/>
          </w:tcPr>
          <w:p w14:paraId="2DCE20A5" w14:textId="77777777" w:rsidR="002729A9" w:rsidRDefault="002729A9" w:rsidP="000E17F7">
            <w:pPr>
              <w:spacing w:line="360" w:lineRule="auto"/>
              <w:rPr>
                <w:rFonts w:ascii="Book Antiqua" w:hAnsi="Book Antiqua"/>
              </w:rPr>
            </w:pPr>
            <w:r w:rsidRPr="00646D31">
              <w:rPr>
                <w:rFonts w:ascii="Book Antiqua" w:hAnsi="Book Antiqua"/>
              </w:rPr>
              <w:t>Nuclear/cytoplasmic staining of neural</w:t>
            </w:r>
            <w:r>
              <w:rPr>
                <w:rFonts w:ascii="Book Antiqua" w:hAnsi="Book Antiqua"/>
              </w:rPr>
              <w:t xml:space="preserve"> crest</w:t>
            </w:r>
            <w:r w:rsidRPr="00646D31">
              <w:rPr>
                <w:rFonts w:ascii="Book Antiqua" w:hAnsi="Book Antiqua"/>
              </w:rPr>
              <w:t>-like eBM-MSCs on different substrate</w:t>
            </w:r>
            <w:r>
              <w:rPr>
                <w:rFonts w:ascii="Book Antiqua" w:hAnsi="Book Antiqua"/>
              </w:rPr>
              <w:t>s</w:t>
            </w:r>
          </w:p>
        </w:tc>
        <w:tc>
          <w:tcPr>
            <w:tcW w:w="720" w:type="dxa"/>
          </w:tcPr>
          <w:p w14:paraId="57C714FC" w14:textId="77777777" w:rsidR="002729A9" w:rsidRDefault="002729A9" w:rsidP="000E17F7">
            <w:pPr>
              <w:spacing w:line="360" w:lineRule="auto"/>
              <w:rPr>
                <w:rFonts w:ascii="Book Antiqua" w:hAnsi="Book Antiqua"/>
              </w:rPr>
            </w:pPr>
            <w:r>
              <w:rPr>
                <w:rFonts w:ascii="Book Antiqua" w:hAnsi="Book Antiqua"/>
              </w:rPr>
              <w:t>44</w:t>
            </w:r>
          </w:p>
        </w:tc>
      </w:tr>
      <w:tr w:rsidR="002729A9" w14:paraId="28905A9E" w14:textId="77777777" w:rsidTr="00C4461A">
        <w:tc>
          <w:tcPr>
            <w:tcW w:w="918" w:type="dxa"/>
          </w:tcPr>
          <w:p w14:paraId="51A2DBD7" w14:textId="77777777" w:rsidR="002729A9" w:rsidRDefault="002729A9" w:rsidP="000E17F7">
            <w:pPr>
              <w:spacing w:line="360" w:lineRule="auto"/>
              <w:rPr>
                <w:rFonts w:ascii="Book Antiqua" w:hAnsi="Book Antiqua"/>
              </w:rPr>
            </w:pPr>
            <w:r>
              <w:rPr>
                <w:rFonts w:ascii="Book Antiqua" w:hAnsi="Book Antiqua"/>
              </w:rPr>
              <w:t>2.7</w:t>
            </w:r>
          </w:p>
        </w:tc>
        <w:tc>
          <w:tcPr>
            <w:tcW w:w="7290" w:type="dxa"/>
          </w:tcPr>
          <w:p w14:paraId="6FD8BB2B" w14:textId="77777777" w:rsidR="002729A9" w:rsidRDefault="002729A9" w:rsidP="000E17F7">
            <w:pPr>
              <w:spacing w:line="360" w:lineRule="auto"/>
              <w:rPr>
                <w:rFonts w:ascii="Book Antiqua" w:hAnsi="Book Antiqua"/>
              </w:rPr>
            </w:pPr>
            <w:r w:rsidRPr="00646D31">
              <w:rPr>
                <w:rFonts w:ascii="Book Antiqua" w:hAnsi="Book Antiqua"/>
              </w:rPr>
              <w:t>Expression of vimentin in undifferentiated and differentiated low passage eBM-MSCs</w:t>
            </w:r>
          </w:p>
        </w:tc>
        <w:tc>
          <w:tcPr>
            <w:tcW w:w="720" w:type="dxa"/>
          </w:tcPr>
          <w:p w14:paraId="68914852" w14:textId="77777777" w:rsidR="002729A9" w:rsidRDefault="002729A9" w:rsidP="000E17F7">
            <w:pPr>
              <w:spacing w:line="360" w:lineRule="auto"/>
              <w:rPr>
                <w:rFonts w:ascii="Book Antiqua" w:hAnsi="Book Antiqua"/>
              </w:rPr>
            </w:pPr>
            <w:r>
              <w:rPr>
                <w:rFonts w:ascii="Book Antiqua" w:hAnsi="Book Antiqua"/>
              </w:rPr>
              <w:t>45</w:t>
            </w:r>
          </w:p>
        </w:tc>
      </w:tr>
      <w:tr w:rsidR="002729A9" w14:paraId="56D815F0" w14:textId="77777777" w:rsidTr="00C4461A">
        <w:tc>
          <w:tcPr>
            <w:tcW w:w="918" w:type="dxa"/>
          </w:tcPr>
          <w:p w14:paraId="44F1174C" w14:textId="77777777" w:rsidR="002729A9" w:rsidRDefault="002729A9" w:rsidP="000E17F7">
            <w:pPr>
              <w:spacing w:line="360" w:lineRule="auto"/>
              <w:rPr>
                <w:rFonts w:ascii="Book Antiqua" w:hAnsi="Book Antiqua"/>
              </w:rPr>
            </w:pPr>
            <w:r>
              <w:rPr>
                <w:rFonts w:ascii="Book Antiqua" w:hAnsi="Book Antiqua"/>
              </w:rPr>
              <w:t>2.8</w:t>
            </w:r>
          </w:p>
        </w:tc>
        <w:tc>
          <w:tcPr>
            <w:tcW w:w="7290" w:type="dxa"/>
          </w:tcPr>
          <w:p w14:paraId="7017856A" w14:textId="77777777" w:rsidR="002729A9" w:rsidRDefault="002729A9" w:rsidP="000E17F7">
            <w:pPr>
              <w:spacing w:line="360" w:lineRule="auto"/>
              <w:rPr>
                <w:rFonts w:ascii="Book Antiqua" w:hAnsi="Book Antiqua"/>
              </w:rPr>
            </w:pPr>
            <w:r w:rsidRPr="005E0E50">
              <w:rPr>
                <w:rFonts w:ascii="Book Antiqua" w:hAnsi="Book Antiqua"/>
              </w:rPr>
              <w:t>Expression of vimentin in undifferentiated and differentiated high passage eBM-MSCs</w:t>
            </w:r>
          </w:p>
        </w:tc>
        <w:tc>
          <w:tcPr>
            <w:tcW w:w="720" w:type="dxa"/>
          </w:tcPr>
          <w:p w14:paraId="5166264C" w14:textId="77777777" w:rsidR="002729A9" w:rsidRDefault="002729A9" w:rsidP="000E17F7">
            <w:pPr>
              <w:spacing w:line="360" w:lineRule="auto"/>
              <w:rPr>
                <w:rFonts w:ascii="Book Antiqua" w:hAnsi="Book Antiqua"/>
              </w:rPr>
            </w:pPr>
            <w:r>
              <w:rPr>
                <w:rFonts w:ascii="Book Antiqua" w:hAnsi="Book Antiqua"/>
              </w:rPr>
              <w:t>46</w:t>
            </w:r>
          </w:p>
        </w:tc>
      </w:tr>
      <w:tr w:rsidR="002729A9" w14:paraId="0326B43F" w14:textId="77777777" w:rsidTr="00C4461A">
        <w:tc>
          <w:tcPr>
            <w:tcW w:w="918" w:type="dxa"/>
          </w:tcPr>
          <w:p w14:paraId="3ACE7A58" w14:textId="77777777" w:rsidR="002729A9" w:rsidRDefault="002729A9" w:rsidP="000E17F7">
            <w:pPr>
              <w:spacing w:line="360" w:lineRule="auto"/>
              <w:rPr>
                <w:rFonts w:ascii="Book Antiqua" w:hAnsi="Book Antiqua"/>
              </w:rPr>
            </w:pPr>
            <w:r>
              <w:rPr>
                <w:rFonts w:ascii="Book Antiqua" w:hAnsi="Book Antiqua"/>
              </w:rPr>
              <w:t>2.9</w:t>
            </w:r>
          </w:p>
        </w:tc>
        <w:tc>
          <w:tcPr>
            <w:tcW w:w="7290" w:type="dxa"/>
          </w:tcPr>
          <w:p w14:paraId="1E3859DD" w14:textId="77777777" w:rsidR="002729A9" w:rsidRDefault="002729A9" w:rsidP="000E17F7">
            <w:pPr>
              <w:spacing w:line="360" w:lineRule="auto"/>
              <w:rPr>
                <w:rFonts w:ascii="Book Antiqua" w:hAnsi="Book Antiqua"/>
              </w:rPr>
            </w:pPr>
            <w:r w:rsidRPr="005E0E50">
              <w:rPr>
                <w:rFonts w:ascii="Book Antiqua" w:hAnsi="Book Antiqua"/>
              </w:rPr>
              <w:t>Expression of neural-progenitor proteins by immunoblot analysis</w:t>
            </w:r>
          </w:p>
        </w:tc>
        <w:tc>
          <w:tcPr>
            <w:tcW w:w="720" w:type="dxa"/>
          </w:tcPr>
          <w:p w14:paraId="72DC293B" w14:textId="77777777" w:rsidR="002729A9" w:rsidRDefault="002729A9" w:rsidP="000E17F7">
            <w:pPr>
              <w:spacing w:line="360" w:lineRule="auto"/>
              <w:rPr>
                <w:rFonts w:ascii="Book Antiqua" w:hAnsi="Book Antiqua"/>
              </w:rPr>
            </w:pPr>
            <w:r>
              <w:rPr>
                <w:rFonts w:ascii="Book Antiqua" w:hAnsi="Book Antiqua"/>
              </w:rPr>
              <w:t>47</w:t>
            </w:r>
          </w:p>
        </w:tc>
      </w:tr>
      <w:tr w:rsidR="002729A9" w14:paraId="171D53D1" w14:textId="77777777" w:rsidTr="00C4461A">
        <w:tc>
          <w:tcPr>
            <w:tcW w:w="918" w:type="dxa"/>
          </w:tcPr>
          <w:p w14:paraId="7EDD9971" w14:textId="77777777" w:rsidR="002729A9" w:rsidRDefault="002729A9" w:rsidP="000E17F7">
            <w:pPr>
              <w:spacing w:line="360" w:lineRule="auto"/>
              <w:rPr>
                <w:rFonts w:ascii="Book Antiqua" w:hAnsi="Book Antiqua"/>
              </w:rPr>
            </w:pPr>
            <w:r>
              <w:rPr>
                <w:rFonts w:ascii="Book Antiqua" w:hAnsi="Book Antiqua"/>
              </w:rPr>
              <w:t>2.10</w:t>
            </w:r>
          </w:p>
        </w:tc>
        <w:tc>
          <w:tcPr>
            <w:tcW w:w="7290" w:type="dxa"/>
          </w:tcPr>
          <w:p w14:paraId="16548BFA" w14:textId="77777777" w:rsidR="002729A9" w:rsidRDefault="002729A9" w:rsidP="000E17F7">
            <w:pPr>
              <w:spacing w:line="360" w:lineRule="auto"/>
              <w:rPr>
                <w:rFonts w:ascii="Book Antiqua" w:hAnsi="Book Antiqua"/>
              </w:rPr>
            </w:pPr>
            <w:r w:rsidRPr="005E0E50">
              <w:rPr>
                <w:rFonts w:ascii="Book Antiqua" w:hAnsi="Book Antiqua"/>
              </w:rPr>
              <w:t>Expression of nestin in undifferentiated and differentiated low passage eBM-MSCs</w:t>
            </w:r>
          </w:p>
        </w:tc>
        <w:tc>
          <w:tcPr>
            <w:tcW w:w="720" w:type="dxa"/>
          </w:tcPr>
          <w:p w14:paraId="448AAD0B" w14:textId="77777777" w:rsidR="002729A9" w:rsidRDefault="002729A9" w:rsidP="000E17F7">
            <w:pPr>
              <w:spacing w:line="360" w:lineRule="auto"/>
              <w:rPr>
                <w:rFonts w:ascii="Book Antiqua" w:hAnsi="Book Antiqua"/>
              </w:rPr>
            </w:pPr>
            <w:r>
              <w:rPr>
                <w:rFonts w:ascii="Book Antiqua" w:hAnsi="Book Antiqua"/>
              </w:rPr>
              <w:t>48</w:t>
            </w:r>
          </w:p>
        </w:tc>
      </w:tr>
      <w:tr w:rsidR="002729A9" w14:paraId="27AF91B0" w14:textId="77777777" w:rsidTr="00C4461A">
        <w:tc>
          <w:tcPr>
            <w:tcW w:w="918" w:type="dxa"/>
          </w:tcPr>
          <w:p w14:paraId="5B254414" w14:textId="77777777" w:rsidR="002729A9" w:rsidRDefault="002729A9" w:rsidP="000E17F7">
            <w:pPr>
              <w:spacing w:line="360" w:lineRule="auto"/>
              <w:rPr>
                <w:rFonts w:ascii="Book Antiqua" w:hAnsi="Book Antiqua"/>
              </w:rPr>
            </w:pPr>
            <w:r>
              <w:rPr>
                <w:rFonts w:ascii="Book Antiqua" w:hAnsi="Book Antiqua"/>
              </w:rPr>
              <w:t>2.11</w:t>
            </w:r>
          </w:p>
        </w:tc>
        <w:tc>
          <w:tcPr>
            <w:tcW w:w="7290" w:type="dxa"/>
          </w:tcPr>
          <w:p w14:paraId="3FB19439" w14:textId="77777777" w:rsidR="002729A9" w:rsidRDefault="002729A9" w:rsidP="000E17F7">
            <w:pPr>
              <w:spacing w:line="360" w:lineRule="auto"/>
              <w:rPr>
                <w:rFonts w:ascii="Book Antiqua" w:hAnsi="Book Antiqua"/>
              </w:rPr>
            </w:pPr>
            <w:r w:rsidRPr="005E0E50">
              <w:rPr>
                <w:rFonts w:ascii="Book Antiqua" w:hAnsi="Book Antiqua"/>
              </w:rPr>
              <w:t>Expression of nestin in undifferentiated and differentiated high passage eBM-MSCs</w:t>
            </w:r>
          </w:p>
        </w:tc>
        <w:tc>
          <w:tcPr>
            <w:tcW w:w="720" w:type="dxa"/>
          </w:tcPr>
          <w:p w14:paraId="1A902A32" w14:textId="77777777" w:rsidR="002729A9" w:rsidRDefault="002729A9" w:rsidP="000E17F7">
            <w:pPr>
              <w:spacing w:line="360" w:lineRule="auto"/>
              <w:rPr>
                <w:rFonts w:ascii="Book Antiqua" w:hAnsi="Book Antiqua"/>
              </w:rPr>
            </w:pPr>
            <w:r>
              <w:rPr>
                <w:rFonts w:ascii="Book Antiqua" w:hAnsi="Book Antiqua"/>
              </w:rPr>
              <w:t>49</w:t>
            </w:r>
          </w:p>
        </w:tc>
      </w:tr>
      <w:tr w:rsidR="002729A9" w14:paraId="268A0E8F" w14:textId="77777777" w:rsidTr="00C4461A">
        <w:tc>
          <w:tcPr>
            <w:tcW w:w="918" w:type="dxa"/>
          </w:tcPr>
          <w:p w14:paraId="1574D865" w14:textId="77777777" w:rsidR="002729A9" w:rsidRDefault="002729A9" w:rsidP="000E17F7">
            <w:pPr>
              <w:spacing w:line="360" w:lineRule="auto"/>
              <w:rPr>
                <w:rFonts w:ascii="Book Antiqua" w:hAnsi="Book Antiqua"/>
              </w:rPr>
            </w:pPr>
            <w:r>
              <w:rPr>
                <w:rFonts w:ascii="Book Antiqua" w:hAnsi="Book Antiqua"/>
              </w:rPr>
              <w:t>3.1</w:t>
            </w:r>
          </w:p>
        </w:tc>
        <w:tc>
          <w:tcPr>
            <w:tcW w:w="7290" w:type="dxa"/>
          </w:tcPr>
          <w:p w14:paraId="3E9E4ACC" w14:textId="77777777" w:rsidR="002729A9" w:rsidRDefault="002729A9" w:rsidP="000E17F7">
            <w:pPr>
              <w:spacing w:line="360" w:lineRule="auto"/>
              <w:rPr>
                <w:rFonts w:ascii="Book Antiqua" w:hAnsi="Book Antiqua"/>
              </w:rPr>
            </w:pPr>
            <w:r>
              <w:rPr>
                <w:rFonts w:ascii="Book Antiqua" w:hAnsi="Book Antiqua"/>
              </w:rPr>
              <w:t>Anesthesia of the lateral and palmar digital nerves in the horse</w:t>
            </w:r>
          </w:p>
        </w:tc>
        <w:tc>
          <w:tcPr>
            <w:tcW w:w="720" w:type="dxa"/>
          </w:tcPr>
          <w:p w14:paraId="59A83F1D" w14:textId="77777777" w:rsidR="002729A9" w:rsidRDefault="002729A9" w:rsidP="000E17F7">
            <w:pPr>
              <w:spacing w:line="360" w:lineRule="auto"/>
              <w:rPr>
                <w:rFonts w:ascii="Book Antiqua" w:hAnsi="Book Antiqua"/>
              </w:rPr>
            </w:pPr>
            <w:r>
              <w:rPr>
                <w:rFonts w:ascii="Book Antiqua" w:hAnsi="Book Antiqua"/>
              </w:rPr>
              <w:t>60</w:t>
            </w:r>
          </w:p>
        </w:tc>
      </w:tr>
      <w:tr w:rsidR="002729A9" w14:paraId="267CD37F" w14:textId="77777777" w:rsidTr="00C4461A">
        <w:tc>
          <w:tcPr>
            <w:tcW w:w="918" w:type="dxa"/>
          </w:tcPr>
          <w:p w14:paraId="195D4151" w14:textId="77777777" w:rsidR="002729A9" w:rsidRDefault="002729A9" w:rsidP="000E17F7">
            <w:pPr>
              <w:spacing w:line="360" w:lineRule="auto"/>
              <w:rPr>
                <w:rFonts w:ascii="Book Antiqua" w:hAnsi="Book Antiqua"/>
              </w:rPr>
            </w:pPr>
            <w:r>
              <w:rPr>
                <w:rFonts w:ascii="Book Antiqua" w:hAnsi="Book Antiqua"/>
              </w:rPr>
              <w:t>3.2</w:t>
            </w:r>
          </w:p>
        </w:tc>
        <w:tc>
          <w:tcPr>
            <w:tcW w:w="7290" w:type="dxa"/>
          </w:tcPr>
          <w:p w14:paraId="299F9133" w14:textId="77777777" w:rsidR="002729A9" w:rsidRDefault="002729A9" w:rsidP="000E17F7">
            <w:pPr>
              <w:spacing w:line="360" w:lineRule="auto"/>
              <w:rPr>
                <w:rFonts w:ascii="Book Antiqua" w:hAnsi="Book Antiqua"/>
              </w:rPr>
            </w:pPr>
            <w:r>
              <w:rPr>
                <w:rFonts w:ascii="Book Antiqua" w:hAnsi="Book Antiqua"/>
              </w:rPr>
              <w:t xml:space="preserve">Dissection and transection of the center of the </w:t>
            </w:r>
            <w:r w:rsidRPr="0001142C">
              <w:rPr>
                <w:rFonts w:ascii="Book Antiqua" w:hAnsi="Book Antiqua"/>
                <w:i/>
              </w:rPr>
              <w:t>ramus communicans</w:t>
            </w:r>
          </w:p>
        </w:tc>
        <w:tc>
          <w:tcPr>
            <w:tcW w:w="720" w:type="dxa"/>
          </w:tcPr>
          <w:p w14:paraId="69922405" w14:textId="77777777" w:rsidR="002729A9" w:rsidRDefault="002729A9" w:rsidP="000E17F7">
            <w:pPr>
              <w:spacing w:line="360" w:lineRule="auto"/>
              <w:rPr>
                <w:rFonts w:ascii="Book Antiqua" w:hAnsi="Book Antiqua"/>
              </w:rPr>
            </w:pPr>
            <w:r>
              <w:rPr>
                <w:rFonts w:ascii="Book Antiqua" w:hAnsi="Book Antiqua"/>
              </w:rPr>
              <w:t>60</w:t>
            </w:r>
          </w:p>
        </w:tc>
      </w:tr>
      <w:tr w:rsidR="002729A9" w14:paraId="12458646" w14:textId="77777777" w:rsidTr="00C4461A">
        <w:tc>
          <w:tcPr>
            <w:tcW w:w="918" w:type="dxa"/>
          </w:tcPr>
          <w:p w14:paraId="1DCA7665" w14:textId="77777777" w:rsidR="002729A9" w:rsidRDefault="002729A9" w:rsidP="000E17F7">
            <w:pPr>
              <w:spacing w:line="360" w:lineRule="auto"/>
              <w:rPr>
                <w:rFonts w:ascii="Book Antiqua" w:hAnsi="Book Antiqua"/>
              </w:rPr>
            </w:pPr>
            <w:r>
              <w:rPr>
                <w:rFonts w:ascii="Book Antiqua" w:hAnsi="Book Antiqua"/>
              </w:rPr>
              <w:t>3.3</w:t>
            </w:r>
          </w:p>
        </w:tc>
        <w:tc>
          <w:tcPr>
            <w:tcW w:w="7290" w:type="dxa"/>
          </w:tcPr>
          <w:p w14:paraId="7B2CD090" w14:textId="77777777" w:rsidR="002729A9" w:rsidRDefault="002729A9" w:rsidP="000E17F7">
            <w:pPr>
              <w:spacing w:line="360" w:lineRule="auto"/>
              <w:rPr>
                <w:rFonts w:ascii="Book Antiqua" w:hAnsi="Book Antiqua"/>
              </w:rPr>
            </w:pPr>
            <w:r>
              <w:rPr>
                <w:rFonts w:ascii="Book Antiqua" w:hAnsi="Book Antiqua"/>
              </w:rPr>
              <w:t>Schwann-like cell differentiation of equine MSCs</w:t>
            </w:r>
          </w:p>
        </w:tc>
        <w:tc>
          <w:tcPr>
            <w:tcW w:w="720" w:type="dxa"/>
          </w:tcPr>
          <w:p w14:paraId="014A1648" w14:textId="77777777" w:rsidR="002729A9" w:rsidRDefault="002729A9" w:rsidP="000E17F7">
            <w:pPr>
              <w:spacing w:line="360" w:lineRule="auto"/>
              <w:rPr>
                <w:rFonts w:ascii="Book Antiqua" w:hAnsi="Book Antiqua"/>
              </w:rPr>
            </w:pPr>
            <w:r>
              <w:rPr>
                <w:rFonts w:ascii="Book Antiqua" w:hAnsi="Book Antiqua"/>
              </w:rPr>
              <w:t>64</w:t>
            </w:r>
          </w:p>
        </w:tc>
      </w:tr>
      <w:tr w:rsidR="002729A9" w14:paraId="417C6092" w14:textId="77777777" w:rsidTr="00C4461A">
        <w:tc>
          <w:tcPr>
            <w:tcW w:w="918" w:type="dxa"/>
          </w:tcPr>
          <w:p w14:paraId="103CF52A" w14:textId="77777777" w:rsidR="002729A9" w:rsidRDefault="002729A9" w:rsidP="000E17F7">
            <w:pPr>
              <w:spacing w:line="360" w:lineRule="auto"/>
              <w:rPr>
                <w:rFonts w:ascii="Book Antiqua" w:hAnsi="Book Antiqua"/>
              </w:rPr>
            </w:pPr>
            <w:r>
              <w:rPr>
                <w:rFonts w:ascii="Book Antiqua" w:hAnsi="Book Antiqua"/>
              </w:rPr>
              <w:t>3.4</w:t>
            </w:r>
          </w:p>
        </w:tc>
        <w:tc>
          <w:tcPr>
            <w:tcW w:w="7290" w:type="dxa"/>
          </w:tcPr>
          <w:p w14:paraId="0D96010C" w14:textId="77777777" w:rsidR="002729A9" w:rsidRDefault="002729A9" w:rsidP="000E17F7">
            <w:pPr>
              <w:spacing w:line="360" w:lineRule="auto"/>
              <w:rPr>
                <w:rFonts w:ascii="Book Antiqua" w:hAnsi="Book Antiqua"/>
              </w:rPr>
            </w:pPr>
            <w:r w:rsidRPr="00646D31">
              <w:rPr>
                <w:rFonts w:ascii="Book Antiqua" w:hAnsi="Book Antiqua"/>
              </w:rPr>
              <w:t>Nuclear/cytoplasmic staining of</w:t>
            </w:r>
            <w:r>
              <w:rPr>
                <w:rFonts w:ascii="Book Antiqua" w:hAnsi="Book Antiqua"/>
              </w:rPr>
              <w:t xml:space="preserve"> equine Schwann-like cells</w:t>
            </w:r>
          </w:p>
        </w:tc>
        <w:tc>
          <w:tcPr>
            <w:tcW w:w="720" w:type="dxa"/>
          </w:tcPr>
          <w:p w14:paraId="4EB2EEB4" w14:textId="77777777" w:rsidR="002729A9" w:rsidRDefault="002729A9" w:rsidP="000E17F7">
            <w:pPr>
              <w:spacing w:line="360" w:lineRule="auto"/>
              <w:rPr>
                <w:rFonts w:ascii="Book Antiqua" w:hAnsi="Book Antiqua"/>
              </w:rPr>
            </w:pPr>
            <w:r>
              <w:rPr>
                <w:rFonts w:ascii="Book Antiqua" w:hAnsi="Book Antiqua"/>
              </w:rPr>
              <w:t>64</w:t>
            </w:r>
          </w:p>
        </w:tc>
      </w:tr>
      <w:tr w:rsidR="002729A9" w14:paraId="377F0C8F" w14:textId="77777777" w:rsidTr="00C4461A">
        <w:tc>
          <w:tcPr>
            <w:tcW w:w="918" w:type="dxa"/>
          </w:tcPr>
          <w:p w14:paraId="5B9195DB" w14:textId="77777777" w:rsidR="002729A9" w:rsidRDefault="002729A9" w:rsidP="000E17F7">
            <w:pPr>
              <w:spacing w:line="360" w:lineRule="auto"/>
              <w:rPr>
                <w:rFonts w:ascii="Book Antiqua" w:hAnsi="Book Antiqua"/>
              </w:rPr>
            </w:pPr>
            <w:r>
              <w:rPr>
                <w:rFonts w:ascii="Book Antiqua" w:hAnsi="Book Antiqua"/>
              </w:rPr>
              <w:t>3.5</w:t>
            </w:r>
          </w:p>
        </w:tc>
        <w:tc>
          <w:tcPr>
            <w:tcW w:w="7290" w:type="dxa"/>
          </w:tcPr>
          <w:p w14:paraId="7B2EE412" w14:textId="77777777" w:rsidR="002729A9" w:rsidRDefault="002729A9" w:rsidP="000E17F7">
            <w:pPr>
              <w:spacing w:line="360" w:lineRule="auto"/>
              <w:rPr>
                <w:rFonts w:ascii="Book Antiqua" w:hAnsi="Book Antiqua"/>
              </w:rPr>
            </w:pPr>
            <w:r w:rsidRPr="00646D31">
              <w:rPr>
                <w:rFonts w:ascii="Book Antiqua" w:hAnsi="Book Antiqua"/>
              </w:rPr>
              <w:t xml:space="preserve">Expression of </w:t>
            </w:r>
            <w:r>
              <w:rPr>
                <w:rFonts w:ascii="Book Antiqua" w:hAnsi="Book Antiqua"/>
              </w:rPr>
              <w:t xml:space="preserve">S-100b and GFAP </w:t>
            </w:r>
            <w:r w:rsidRPr="00646D31">
              <w:rPr>
                <w:rFonts w:ascii="Book Antiqua" w:hAnsi="Book Antiqua"/>
              </w:rPr>
              <w:t xml:space="preserve">low passage </w:t>
            </w:r>
            <w:r>
              <w:rPr>
                <w:rFonts w:ascii="Book Antiqua" w:hAnsi="Book Antiqua"/>
              </w:rPr>
              <w:t>equine Schwann-like cells</w:t>
            </w:r>
          </w:p>
        </w:tc>
        <w:tc>
          <w:tcPr>
            <w:tcW w:w="720" w:type="dxa"/>
          </w:tcPr>
          <w:p w14:paraId="50F08DDC" w14:textId="77777777" w:rsidR="002729A9" w:rsidRDefault="002729A9" w:rsidP="000E17F7">
            <w:pPr>
              <w:spacing w:line="360" w:lineRule="auto"/>
              <w:rPr>
                <w:rFonts w:ascii="Book Antiqua" w:hAnsi="Book Antiqua"/>
              </w:rPr>
            </w:pPr>
            <w:r>
              <w:rPr>
                <w:rFonts w:ascii="Book Antiqua" w:hAnsi="Book Antiqua"/>
              </w:rPr>
              <w:t>65</w:t>
            </w:r>
          </w:p>
        </w:tc>
      </w:tr>
      <w:tr w:rsidR="002729A9" w14:paraId="2700655D" w14:textId="77777777" w:rsidTr="00C4461A">
        <w:tc>
          <w:tcPr>
            <w:tcW w:w="918" w:type="dxa"/>
          </w:tcPr>
          <w:p w14:paraId="2011A969" w14:textId="77777777" w:rsidR="002729A9" w:rsidRDefault="002729A9" w:rsidP="000E17F7">
            <w:pPr>
              <w:spacing w:line="360" w:lineRule="auto"/>
              <w:rPr>
                <w:rFonts w:ascii="Book Antiqua" w:hAnsi="Book Antiqua"/>
              </w:rPr>
            </w:pPr>
            <w:r>
              <w:rPr>
                <w:rFonts w:ascii="Book Antiqua" w:hAnsi="Book Antiqua"/>
              </w:rPr>
              <w:t>3.6</w:t>
            </w:r>
          </w:p>
        </w:tc>
        <w:tc>
          <w:tcPr>
            <w:tcW w:w="7290" w:type="dxa"/>
          </w:tcPr>
          <w:p w14:paraId="609CE45B" w14:textId="77777777" w:rsidR="002729A9" w:rsidRDefault="002729A9" w:rsidP="000E17F7">
            <w:pPr>
              <w:spacing w:line="360" w:lineRule="auto"/>
              <w:rPr>
                <w:rFonts w:ascii="Book Antiqua" w:hAnsi="Book Antiqua"/>
              </w:rPr>
            </w:pPr>
            <w:r w:rsidRPr="005E0E50">
              <w:rPr>
                <w:rFonts w:ascii="Book Antiqua" w:hAnsi="Book Antiqua"/>
              </w:rPr>
              <w:t xml:space="preserve">Expression of </w:t>
            </w:r>
            <w:r>
              <w:rPr>
                <w:rFonts w:ascii="Book Antiqua" w:hAnsi="Book Antiqua"/>
              </w:rPr>
              <w:t>Schwann cell</w:t>
            </w:r>
            <w:r w:rsidRPr="005E0E50">
              <w:rPr>
                <w:rFonts w:ascii="Book Antiqua" w:hAnsi="Book Antiqua"/>
              </w:rPr>
              <w:t xml:space="preserve"> proteins by immunoblot analysis</w:t>
            </w:r>
          </w:p>
          <w:p w14:paraId="7DF14E46" w14:textId="77777777" w:rsidR="002729A9" w:rsidRDefault="002729A9" w:rsidP="000E17F7">
            <w:pPr>
              <w:spacing w:line="360" w:lineRule="auto"/>
              <w:rPr>
                <w:rFonts w:ascii="Book Antiqua" w:hAnsi="Book Antiqua"/>
              </w:rPr>
            </w:pPr>
          </w:p>
        </w:tc>
        <w:tc>
          <w:tcPr>
            <w:tcW w:w="720" w:type="dxa"/>
          </w:tcPr>
          <w:p w14:paraId="2D54BDC1" w14:textId="77777777" w:rsidR="002729A9" w:rsidRDefault="002729A9" w:rsidP="000E17F7">
            <w:pPr>
              <w:spacing w:line="360" w:lineRule="auto"/>
              <w:rPr>
                <w:rFonts w:ascii="Book Antiqua" w:hAnsi="Book Antiqua"/>
              </w:rPr>
            </w:pPr>
            <w:r>
              <w:rPr>
                <w:rFonts w:ascii="Book Antiqua" w:hAnsi="Book Antiqua"/>
              </w:rPr>
              <w:t>65</w:t>
            </w:r>
          </w:p>
        </w:tc>
      </w:tr>
      <w:tr w:rsidR="002729A9" w14:paraId="0C6760AC" w14:textId="77777777" w:rsidTr="00C4461A">
        <w:tc>
          <w:tcPr>
            <w:tcW w:w="918" w:type="dxa"/>
          </w:tcPr>
          <w:p w14:paraId="553D68DD" w14:textId="77777777" w:rsidR="002729A9" w:rsidRDefault="002729A9" w:rsidP="000E17F7">
            <w:pPr>
              <w:spacing w:line="360" w:lineRule="auto"/>
              <w:rPr>
                <w:rFonts w:ascii="Book Antiqua" w:hAnsi="Book Antiqua"/>
              </w:rPr>
            </w:pPr>
          </w:p>
        </w:tc>
        <w:tc>
          <w:tcPr>
            <w:tcW w:w="7290" w:type="dxa"/>
          </w:tcPr>
          <w:p w14:paraId="2FECDC73" w14:textId="77777777" w:rsidR="002729A9" w:rsidRDefault="002729A9" w:rsidP="000E17F7">
            <w:pPr>
              <w:spacing w:line="360" w:lineRule="auto"/>
              <w:rPr>
                <w:rFonts w:ascii="Book Antiqua" w:hAnsi="Book Antiqua"/>
              </w:rPr>
            </w:pPr>
          </w:p>
        </w:tc>
        <w:tc>
          <w:tcPr>
            <w:tcW w:w="720" w:type="dxa"/>
          </w:tcPr>
          <w:p w14:paraId="2CD1EC6A" w14:textId="77777777" w:rsidR="002729A9" w:rsidRDefault="002729A9" w:rsidP="000E17F7">
            <w:pPr>
              <w:spacing w:line="360" w:lineRule="auto"/>
              <w:rPr>
                <w:rFonts w:ascii="Book Antiqua" w:hAnsi="Book Antiqua"/>
              </w:rPr>
            </w:pPr>
          </w:p>
        </w:tc>
      </w:tr>
      <w:tr w:rsidR="002729A9" w14:paraId="435265A0" w14:textId="77777777" w:rsidTr="00C4461A">
        <w:tc>
          <w:tcPr>
            <w:tcW w:w="918" w:type="dxa"/>
          </w:tcPr>
          <w:p w14:paraId="74F468DE" w14:textId="77777777" w:rsidR="002729A9" w:rsidRDefault="002729A9" w:rsidP="000E17F7">
            <w:pPr>
              <w:spacing w:line="360" w:lineRule="auto"/>
              <w:rPr>
                <w:rFonts w:ascii="Book Antiqua" w:hAnsi="Book Antiqua"/>
              </w:rPr>
            </w:pPr>
          </w:p>
        </w:tc>
        <w:tc>
          <w:tcPr>
            <w:tcW w:w="7290" w:type="dxa"/>
          </w:tcPr>
          <w:p w14:paraId="5F680A4D" w14:textId="77777777" w:rsidR="002729A9" w:rsidRDefault="002729A9" w:rsidP="000E17F7">
            <w:pPr>
              <w:spacing w:line="360" w:lineRule="auto"/>
              <w:rPr>
                <w:rFonts w:ascii="Book Antiqua" w:hAnsi="Book Antiqua"/>
              </w:rPr>
            </w:pPr>
          </w:p>
        </w:tc>
        <w:tc>
          <w:tcPr>
            <w:tcW w:w="720" w:type="dxa"/>
          </w:tcPr>
          <w:p w14:paraId="35601D57" w14:textId="77777777" w:rsidR="002729A9" w:rsidRDefault="002729A9" w:rsidP="000E17F7">
            <w:pPr>
              <w:spacing w:line="360" w:lineRule="auto"/>
              <w:rPr>
                <w:rFonts w:ascii="Book Antiqua" w:hAnsi="Book Antiqua"/>
              </w:rPr>
            </w:pPr>
          </w:p>
        </w:tc>
      </w:tr>
      <w:tr w:rsidR="002729A9" w14:paraId="5C542743" w14:textId="77777777" w:rsidTr="00C4461A">
        <w:tc>
          <w:tcPr>
            <w:tcW w:w="918" w:type="dxa"/>
          </w:tcPr>
          <w:p w14:paraId="4B118EDB" w14:textId="77777777" w:rsidR="002729A9" w:rsidRDefault="002729A9" w:rsidP="000E17F7">
            <w:pPr>
              <w:spacing w:line="360" w:lineRule="auto"/>
              <w:rPr>
                <w:rFonts w:ascii="Book Antiqua" w:hAnsi="Book Antiqua"/>
              </w:rPr>
            </w:pPr>
          </w:p>
        </w:tc>
        <w:tc>
          <w:tcPr>
            <w:tcW w:w="7290" w:type="dxa"/>
          </w:tcPr>
          <w:p w14:paraId="7BA23854" w14:textId="77777777" w:rsidR="002729A9" w:rsidRDefault="002729A9" w:rsidP="000E17F7">
            <w:pPr>
              <w:spacing w:line="360" w:lineRule="auto"/>
              <w:rPr>
                <w:rFonts w:ascii="Book Antiqua" w:hAnsi="Book Antiqua"/>
              </w:rPr>
            </w:pPr>
          </w:p>
        </w:tc>
        <w:tc>
          <w:tcPr>
            <w:tcW w:w="720" w:type="dxa"/>
          </w:tcPr>
          <w:p w14:paraId="1957E761" w14:textId="77777777" w:rsidR="002729A9" w:rsidRDefault="002729A9" w:rsidP="000E17F7">
            <w:pPr>
              <w:spacing w:line="360" w:lineRule="auto"/>
              <w:rPr>
                <w:rFonts w:ascii="Book Antiqua" w:hAnsi="Book Antiqua"/>
              </w:rPr>
            </w:pPr>
          </w:p>
        </w:tc>
      </w:tr>
      <w:tr w:rsidR="002729A9" w14:paraId="2F9E4FE3" w14:textId="77777777" w:rsidTr="00C4461A">
        <w:tc>
          <w:tcPr>
            <w:tcW w:w="918" w:type="dxa"/>
          </w:tcPr>
          <w:p w14:paraId="237329EE" w14:textId="77777777" w:rsidR="002729A9" w:rsidRDefault="002729A9" w:rsidP="000E17F7">
            <w:pPr>
              <w:spacing w:line="360" w:lineRule="auto"/>
              <w:rPr>
                <w:rFonts w:ascii="Book Antiqua" w:hAnsi="Book Antiqua"/>
              </w:rPr>
            </w:pPr>
          </w:p>
        </w:tc>
        <w:tc>
          <w:tcPr>
            <w:tcW w:w="7290" w:type="dxa"/>
          </w:tcPr>
          <w:p w14:paraId="141C5B37" w14:textId="77777777" w:rsidR="002729A9" w:rsidRDefault="002729A9" w:rsidP="000E17F7">
            <w:pPr>
              <w:spacing w:line="360" w:lineRule="auto"/>
              <w:rPr>
                <w:rFonts w:ascii="Book Antiqua" w:hAnsi="Book Antiqua"/>
              </w:rPr>
            </w:pPr>
          </w:p>
        </w:tc>
        <w:tc>
          <w:tcPr>
            <w:tcW w:w="720" w:type="dxa"/>
          </w:tcPr>
          <w:p w14:paraId="1EE418F6" w14:textId="77777777" w:rsidR="002729A9" w:rsidRDefault="002729A9" w:rsidP="000E17F7">
            <w:pPr>
              <w:spacing w:line="360" w:lineRule="auto"/>
              <w:rPr>
                <w:rFonts w:ascii="Book Antiqua" w:hAnsi="Book Antiqua"/>
              </w:rPr>
            </w:pPr>
          </w:p>
        </w:tc>
      </w:tr>
      <w:tr w:rsidR="002729A9" w14:paraId="65EBC3BA" w14:textId="77777777" w:rsidTr="00C4461A">
        <w:tc>
          <w:tcPr>
            <w:tcW w:w="918" w:type="dxa"/>
          </w:tcPr>
          <w:p w14:paraId="676B8BFB" w14:textId="77777777" w:rsidR="002729A9" w:rsidRDefault="002729A9" w:rsidP="000E17F7">
            <w:pPr>
              <w:spacing w:line="360" w:lineRule="auto"/>
              <w:rPr>
                <w:rFonts w:ascii="Book Antiqua" w:hAnsi="Book Antiqua"/>
              </w:rPr>
            </w:pPr>
          </w:p>
        </w:tc>
        <w:tc>
          <w:tcPr>
            <w:tcW w:w="7290" w:type="dxa"/>
          </w:tcPr>
          <w:p w14:paraId="23E61831" w14:textId="77777777" w:rsidR="002729A9" w:rsidRDefault="002729A9" w:rsidP="000E17F7">
            <w:pPr>
              <w:spacing w:line="360" w:lineRule="auto"/>
              <w:rPr>
                <w:rFonts w:ascii="Book Antiqua" w:hAnsi="Book Antiqua"/>
              </w:rPr>
            </w:pPr>
          </w:p>
        </w:tc>
        <w:tc>
          <w:tcPr>
            <w:tcW w:w="720" w:type="dxa"/>
          </w:tcPr>
          <w:p w14:paraId="4D3ADAE1" w14:textId="77777777" w:rsidR="002729A9" w:rsidRDefault="002729A9" w:rsidP="000E17F7">
            <w:pPr>
              <w:spacing w:line="360" w:lineRule="auto"/>
              <w:rPr>
                <w:rFonts w:ascii="Book Antiqua" w:hAnsi="Book Antiqua"/>
              </w:rPr>
            </w:pPr>
          </w:p>
        </w:tc>
      </w:tr>
      <w:tr w:rsidR="002729A9" w14:paraId="5B413543" w14:textId="77777777" w:rsidTr="00C4461A">
        <w:tc>
          <w:tcPr>
            <w:tcW w:w="918" w:type="dxa"/>
          </w:tcPr>
          <w:p w14:paraId="20C0962E" w14:textId="77777777" w:rsidR="002729A9" w:rsidRDefault="002729A9" w:rsidP="000E17F7">
            <w:pPr>
              <w:spacing w:line="360" w:lineRule="auto"/>
              <w:rPr>
                <w:rFonts w:ascii="Book Antiqua" w:hAnsi="Book Antiqua"/>
              </w:rPr>
            </w:pPr>
          </w:p>
        </w:tc>
        <w:tc>
          <w:tcPr>
            <w:tcW w:w="7290" w:type="dxa"/>
          </w:tcPr>
          <w:p w14:paraId="174E33DC" w14:textId="77777777" w:rsidR="002729A9" w:rsidRDefault="002729A9" w:rsidP="000E17F7">
            <w:pPr>
              <w:spacing w:line="360" w:lineRule="auto"/>
              <w:rPr>
                <w:rFonts w:ascii="Book Antiqua" w:hAnsi="Book Antiqua"/>
              </w:rPr>
            </w:pPr>
          </w:p>
        </w:tc>
        <w:tc>
          <w:tcPr>
            <w:tcW w:w="720" w:type="dxa"/>
          </w:tcPr>
          <w:p w14:paraId="2E284DE6" w14:textId="77777777" w:rsidR="002729A9" w:rsidRDefault="002729A9" w:rsidP="000E17F7">
            <w:pPr>
              <w:spacing w:line="360" w:lineRule="auto"/>
              <w:rPr>
                <w:rFonts w:ascii="Book Antiqua" w:hAnsi="Book Antiqua"/>
              </w:rPr>
            </w:pPr>
          </w:p>
        </w:tc>
      </w:tr>
      <w:tr w:rsidR="002729A9" w14:paraId="0F864FF9" w14:textId="77777777" w:rsidTr="00C4461A">
        <w:tc>
          <w:tcPr>
            <w:tcW w:w="918" w:type="dxa"/>
          </w:tcPr>
          <w:p w14:paraId="6FA53AD5" w14:textId="77777777" w:rsidR="002729A9" w:rsidRDefault="002729A9" w:rsidP="000E17F7">
            <w:pPr>
              <w:spacing w:line="360" w:lineRule="auto"/>
              <w:rPr>
                <w:rFonts w:ascii="Book Antiqua" w:hAnsi="Book Antiqua"/>
              </w:rPr>
            </w:pPr>
          </w:p>
        </w:tc>
        <w:tc>
          <w:tcPr>
            <w:tcW w:w="7290" w:type="dxa"/>
          </w:tcPr>
          <w:p w14:paraId="30CEE202" w14:textId="77777777" w:rsidR="002729A9" w:rsidRDefault="002729A9" w:rsidP="000E17F7">
            <w:pPr>
              <w:spacing w:line="360" w:lineRule="auto"/>
              <w:rPr>
                <w:rFonts w:ascii="Book Antiqua" w:hAnsi="Book Antiqua"/>
              </w:rPr>
            </w:pPr>
          </w:p>
        </w:tc>
        <w:tc>
          <w:tcPr>
            <w:tcW w:w="720" w:type="dxa"/>
          </w:tcPr>
          <w:p w14:paraId="0BC13E79" w14:textId="77777777" w:rsidR="002729A9" w:rsidRDefault="002729A9" w:rsidP="000E17F7">
            <w:pPr>
              <w:spacing w:line="360" w:lineRule="auto"/>
              <w:rPr>
                <w:rFonts w:ascii="Book Antiqua" w:hAnsi="Book Antiqua"/>
              </w:rPr>
            </w:pPr>
          </w:p>
        </w:tc>
      </w:tr>
      <w:tr w:rsidR="002729A9" w14:paraId="730DE5DC" w14:textId="77777777" w:rsidTr="00C4461A">
        <w:tc>
          <w:tcPr>
            <w:tcW w:w="918" w:type="dxa"/>
          </w:tcPr>
          <w:p w14:paraId="2EB6B6C9" w14:textId="77777777" w:rsidR="002729A9" w:rsidRDefault="002729A9" w:rsidP="000E17F7">
            <w:pPr>
              <w:spacing w:line="360" w:lineRule="auto"/>
              <w:rPr>
                <w:rFonts w:ascii="Book Antiqua" w:hAnsi="Book Antiqua"/>
              </w:rPr>
            </w:pPr>
          </w:p>
        </w:tc>
        <w:tc>
          <w:tcPr>
            <w:tcW w:w="7290" w:type="dxa"/>
          </w:tcPr>
          <w:p w14:paraId="328F00C1" w14:textId="77777777" w:rsidR="002729A9" w:rsidRDefault="002729A9" w:rsidP="000E17F7">
            <w:pPr>
              <w:spacing w:line="360" w:lineRule="auto"/>
              <w:rPr>
                <w:rFonts w:ascii="Book Antiqua" w:hAnsi="Book Antiqua"/>
              </w:rPr>
            </w:pPr>
          </w:p>
        </w:tc>
        <w:tc>
          <w:tcPr>
            <w:tcW w:w="720" w:type="dxa"/>
          </w:tcPr>
          <w:p w14:paraId="331CCDBF" w14:textId="77777777" w:rsidR="002729A9" w:rsidRDefault="002729A9" w:rsidP="000E17F7">
            <w:pPr>
              <w:spacing w:line="360" w:lineRule="auto"/>
              <w:rPr>
                <w:rFonts w:ascii="Book Antiqua" w:hAnsi="Book Antiqua"/>
              </w:rPr>
            </w:pPr>
          </w:p>
        </w:tc>
      </w:tr>
    </w:tbl>
    <w:p w14:paraId="77382214" w14:textId="77777777" w:rsidR="002729A9" w:rsidRDefault="002729A9" w:rsidP="00C4461A">
      <w:pPr>
        <w:rPr>
          <w:rFonts w:ascii="Book Antiqua" w:hAnsi="Book Antiqua"/>
        </w:rPr>
      </w:pPr>
    </w:p>
    <w:p w14:paraId="3F804E87" w14:textId="77777777" w:rsidR="002729A9" w:rsidRPr="007E52D7" w:rsidRDefault="002729A9" w:rsidP="00C4461A"/>
    <w:p w14:paraId="38517539" w14:textId="77777777" w:rsidR="002729A9" w:rsidRPr="007E52D7" w:rsidRDefault="002729A9" w:rsidP="00C4461A"/>
    <w:p w14:paraId="280ADFEE" w14:textId="77777777" w:rsidR="002729A9" w:rsidRPr="007E52D7" w:rsidRDefault="002729A9" w:rsidP="00C4461A"/>
    <w:p w14:paraId="443D673B" w14:textId="77777777" w:rsidR="002729A9" w:rsidRPr="007E52D7" w:rsidRDefault="002729A9" w:rsidP="00C4461A">
      <w:pPr>
        <w:spacing w:line="360" w:lineRule="auto"/>
      </w:pPr>
    </w:p>
    <w:p w14:paraId="02AE1E00" w14:textId="77777777" w:rsidR="002729A9" w:rsidRPr="007E52D7" w:rsidRDefault="002729A9" w:rsidP="00C4461A">
      <w:pPr>
        <w:tabs>
          <w:tab w:val="left" w:pos="2911"/>
        </w:tabs>
        <w:spacing w:line="360" w:lineRule="auto"/>
      </w:pPr>
      <w:r>
        <w:tab/>
      </w:r>
    </w:p>
    <w:p w14:paraId="6CC19820" w14:textId="77777777" w:rsidR="002729A9" w:rsidRDefault="002729A9" w:rsidP="00C4461A">
      <w:pPr>
        <w:spacing w:line="360" w:lineRule="auto"/>
      </w:pPr>
    </w:p>
    <w:p w14:paraId="59F5F152" w14:textId="77777777" w:rsidR="002729A9" w:rsidRPr="007E52D7" w:rsidRDefault="002729A9" w:rsidP="007E52D7">
      <w:pPr>
        <w:sectPr w:rsidR="002729A9" w:rsidRPr="007E52D7" w:rsidSect="00711AAF">
          <w:footerReference w:type="even" r:id="rId8"/>
          <w:footerReference w:type="default" r:id="rId9"/>
          <w:pgSz w:w="12240" w:h="15840"/>
          <w:pgMar w:top="1440" w:right="1440" w:bottom="1440" w:left="1440" w:header="720" w:footer="720" w:gutter="0"/>
          <w:pgNumType w:fmt="lowerRoman" w:start="1"/>
          <w:cols w:space="720"/>
          <w:titlePg/>
          <w:docGrid w:linePitch="360"/>
        </w:sectPr>
      </w:pPr>
    </w:p>
    <w:p w14:paraId="4B37C4B5" w14:textId="77777777" w:rsidR="002729A9" w:rsidRPr="00832712" w:rsidRDefault="002729A9" w:rsidP="00832712">
      <w:pPr>
        <w:pStyle w:val="Heading1"/>
        <w:spacing w:line="360" w:lineRule="auto"/>
      </w:pPr>
      <w:bookmarkStart w:id="6" w:name="_Toc274387710"/>
      <w:r w:rsidRPr="00832712">
        <w:t>INTRODUCTION</w:t>
      </w:r>
      <w:bookmarkEnd w:id="6"/>
    </w:p>
    <w:p w14:paraId="35823F80" w14:textId="77777777" w:rsidR="002729A9" w:rsidRDefault="002729A9" w:rsidP="00832712">
      <w:pPr>
        <w:pStyle w:val="Heading1"/>
        <w:spacing w:line="360" w:lineRule="auto"/>
        <w:jc w:val="both"/>
      </w:pPr>
    </w:p>
    <w:p w14:paraId="60CAF2FB" w14:textId="77777777" w:rsidR="002729A9" w:rsidRPr="00E9548B" w:rsidRDefault="002729A9" w:rsidP="00E9548B"/>
    <w:p w14:paraId="64D86D16" w14:textId="77777777" w:rsidR="002729A9" w:rsidRPr="00832712" w:rsidRDefault="002729A9" w:rsidP="00832712"/>
    <w:p w14:paraId="5DDDC007" w14:textId="77777777" w:rsidR="002729A9" w:rsidRPr="00832712" w:rsidRDefault="002729A9" w:rsidP="00832712">
      <w:pPr>
        <w:spacing w:line="360" w:lineRule="auto"/>
        <w:jc w:val="both"/>
        <w:rPr>
          <w:rFonts w:ascii="Book Antiqua" w:hAnsi="Book Antiqua"/>
        </w:rPr>
      </w:pPr>
      <w:r w:rsidRPr="00832712">
        <w:rPr>
          <w:rFonts w:ascii="Book Antiqua" w:hAnsi="Book Antiqua"/>
        </w:rPr>
        <w:t>Horses (</w:t>
      </w:r>
      <w:r w:rsidRPr="00832712">
        <w:rPr>
          <w:rFonts w:ascii="Book Antiqua" w:hAnsi="Book Antiqua"/>
          <w:i/>
        </w:rPr>
        <w:t>Equus caballus</w:t>
      </w:r>
      <w:r w:rsidRPr="00832712">
        <w:rPr>
          <w:rFonts w:ascii="Book Antiqua" w:hAnsi="Book Antiqua"/>
        </w:rPr>
        <w:t>) are herbivore-domesticated mammals that have played a crucial role in the development of the modern society.  Several breeds of horses have been used through the years for transportation, work in agriculture, wars, racing, sources of food, equestrian sports, and pets.  Furthermore, the horse industry has a direct effect on the economy of the USA of $39 billion per year, and $102 billion when the industry suppliers and employees factors are taken in consideration.</w:t>
      </w:r>
      <w:r w:rsidRPr="00832712">
        <w:rPr>
          <w:rFonts w:ascii="Book Antiqua" w:hAnsi="Book Antiqua"/>
          <w:noProof/>
          <w:vertAlign w:val="superscript"/>
        </w:rPr>
        <w:t>1</w:t>
      </w:r>
      <w:r w:rsidRPr="00832712">
        <w:rPr>
          <w:rFonts w:ascii="Book Antiqua" w:hAnsi="Book Antiqua"/>
        </w:rPr>
        <w:t xml:space="preserve"> The profound impact of the horse industry on the economy results from the creation of jobs, necessity of industrial supplies, agricultural production, generation of taxes, and entertainment investments. Veterinary medicine is, therefore, one important science to safeguard the stability of the horse industry.</w:t>
      </w:r>
    </w:p>
    <w:p w14:paraId="1F1CC0FC" w14:textId="77777777" w:rsidR="002729A9" w:rsidRPr="00832712" w:rsidRDefault="002729A9" w:rsidP="00832712">
      <w:pPr>
        <w:spacing w:line="360" w:lineRule="auto"/>
        <w:jc w:val="both"/>
        <w:rPr>
          <w:rFonts w:ascii="Book Antiqua" w:hAnsi="Book Antiqua"/>
        </w:rPr>
      </w:pPr>
    </w:p>
    <w:p w14:paraId="2D24415D" w14:textId="77777777" w:rsidR="002729A9" w:rsidRPr="00832712" w:rsidRDefault="002729A9" w:rsidP="00832712">
      <w:pPr>
        <w:spacing w:line="360" w:lineRule="auto"/>
        <w:jc w:val="both"/>
        <w:rPr>
          <w:rFonts w:ascii="Book Antiqua" w:hAnsi="Book Antiqua"/>
        </w:rPr>
      </w:pPr>
      <w:r w:rsidRPr="00832712">
        <w:rPr>
          <w:rFonts w:ascii="Book Antiqua" w:hAnsi="Book Antiqua"/>
        </w:rPr>
        <w:t>There are several breeds of horses (equines), most of which possess certain corporal characteristics that allow them to perform arduous physical work under various environmental conditions. Some of these anatomic and functional characteristics include a particular musculoskeletal system, a complex gastrointestinal system, and a high efficiency cardiovascular and respiratory apparatuses, that will provide them with satisfactory kinematics, energy, and adequate perfusion and oxygenation, respectively. Because horses are athletic animals and approximately 44-53% of their body weight is constituted solely by muscle,</w:t>
      </w:r>
      <w:r w:rsidRPr="00832712">
        <w:rPr>
          <w:rFonts w:ascii="Book Antiqua" w:hAnsi="Book Antiqua"/>
          <w:noProof/>
          <w:vertAlign w:val="superscript"/>
        </w:rPr>
        <w:t>2</w:t>
      </w:r>
      <w:r w:rsidRPr="00832712">
        <w:rPr>
          <w:rFonts w:ascii="Book Antiqua" w:hAnsi="Book Antiqua"/>
        </w:rPr>
        <w:t xml:space="preserve"> a disturbance of any of the structures of the musculoskeletal system (i.e. muscles, tendons, bones, joints, ligaments, and their associated blood and lymphatic vessels, and nerves) will produce poor performance and, consequently, financial or emotional losses. The musculoskeletal system of the horse is vast; in this research, however, a particular interest is given to the structures that deliver sensory and motor input to the musculoskeletal system of the horse: the peripheral nerves.</w:t>
      </w:r>
    </w:p>
    <w:p w14:paraId="62EC6101" w14:textId="77777777" w:rsidR="002729A9" w:rsidRPr="00832712" w:rsidRDefault="002729A9" w:rsidP="00832712">
      <w:pPr>
        <w:spacing w:line="360" w:lineRule="auto"/>
        <w:jc w:val="both"/>
        <w:rPr>
          <w:rFonts w:ascii="Book Antiqua" w:hAnsi="Book Antiqua"/>
        </w:rPr>
      </w:pPr>
    </w:p>
    <w:p w14:paraId="21524380" w14:textId="77777777" w:rsidR="002729A9" w:rsidRPr="00832712" w:rsidRDefault="002729A9" w:rsidP="00832712">
      <w:pPr>
        <w:spacing w:line="360" w:lineRule="auto"/>
        <w:jc w:val="both"/>
        <w:rPr>
          <w:rFonts w:ascii="Book Antiqua" w:hAnsi="Book Antiqua"/>
        </w:rPr>
      </w:pPr>
    </w:p>
    <w:p w14:paraId="6BF43AB2" w14:textId="77777777" w:rsidR="002729A9" w:rsidRPr="00832712" w:rsidRDefault="002729A9" w:rsidP="00832712">
      <w:pPr>
        <w:spacing w:line="360" w:lineRule="auto"/>
        <w:rPr>
          <w:rFonts w:ascii="Book Antiqua" w:hAnsi="Book Antiqua"/>
        </w:rPr>
      </w:pPr>
    </w:p>
    <w:p w14:paraId="137CBD85" w14:textId="77777777" w:rsidR="002729A9" w:rsidRDefault="002729A9" w:rsidP="00C30F65">
      <w:pPr>
        <w:pStyle w:val="Heading1"/>
      </w:pPr>
      <w:bookmarkStart w:id="7" w:name="_Toc274387711"/>
      <w:r>
        <w:t>CHAPTER I:</w:t>
      </w:r>
      <w:bookmarkEnd w:id="7"/>
    </w:p>
    <w:p w14:paraId="337F5EB9" w14:textId="77777777" w:rsidR="002729A9" w:rsidRPr="008D5224" w:rsidRDefault="002729A9" w:rsidP="00C30F65">
      <w:pPr>
        <w:pStyle w:val="Heading1"/>
      </w:pPr>
      <w:bookmarkStart w:id="8" w:name="_Toc274387712"/>
      <w:r w:rsidRPr="008D5224">
        <w:t>LITERATURE REVIEW</w:t>
      </w:r>
      <w:bookmarkEnd w:id="0"/>
      <w:bookmarkEnd w:id="1"/>
      <w:bookmarkEnd w:id="8"/>
    </w:p>
    <w:p w14:paraId="3861BD05" w14:textId="77777777" w:rsidR="002729A9" w:rsidRPr="008D5224" w:rsidRDefault="002729A9" w:rsidP="008C0C61">
      <w:pPr>
        <w:rPr>
          <w:rFonts w:ascii="Book Antiqua" w:hAnsi="Book Antiqua"/>
        </w:rPr>
      </w:pPr>
      <w:r>
        <w:rPr>
          <w:rFonts w:ascii="Book Antiqua" w:hAnsi="Book Antiqua"/>
        </w:rPr>
        <w:br w:type="page"/>
      </w:r>
    </w:p>
    <w:p w14:paraId="189D2C2E" w14:textId="77777777" w:rsidR="002729A9" w:rsidRPr="00E9548B" w:rsidRDefault="002729A9" w:rsidP="00F7248B">
      <w:pPr>
        <w:pStyle w:val="Heading2"/>
      </w:pPr>
      <w:bookmarkStart w:id="9" w:name="_Toc274387713"/>
      <w:r w:rsidRPr="00E9548B">
        <w:t>Abstract</w:t>
      </w:r>
      <w:bookmarkEnd w:id="9"/>
    </w:p>
    <w:p w14:paraId="60B49F80" w14:textId="77777777" w:rsidR="002729A9" w:rsidRPr="00E9548B" w:rsidRDefault="002729A9" w:rsidP="00E9548B">
      <w:pPr>
        <w:pStyle w:val="Footer"/>
        <w:numPr>
          <w:ilvl w:val="12"/>
          <w:numId w:val="0"/>
        </w:numPr>
        <w:tabs>
          <w:tab w:val="clear" w:pos="4320"/>
          <w:tab w:val="clear" w:pos="8640"/>
        </w:tabs>
        <w:spacing w:line="360" w:lineRule="auto"/>
        <w:jc w:val="both"/>
        <w:rPr>
          <w:rFonts w:ascii="Book Antiqua" w:hAnsi="Book Antiqua"/>
        </w:rPr>
      </w:pPr>
    </w:p>
    <w:p w14:paraId="0C57D396" w14:textId="77777777" w:rsidR="002729A9" w:rsidRDefault="002729A9" w:rsidP="0083271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Pr>
          <w:rFonts w:ascii="Book Antiqua" w:hAnsi="Book Antiqua"/>
        </w:rPr>
        <w:t xml:space="preserve">Peripheral nerve injuries occur commonly in horses but the available options for managing them are limited. Cell therapy via autograft is the preferred method for nervous tissue repair in human medicine but there are high risks for complications at the donor site and the number of Schwann cells yielded from this donor nerve is generally low. Cell therapy via transplantation of autogeneic or allogeneic mesenchymal stromal cells (MSCs) provides an alternative approach for yielding high number of cells without the risks of causing damage to the donor site; it has also revealed promising results after transplantation in peripheral nerve injuries artificially created in laboratory animals or when transplanted in clinical cases in dogs and humans, but this is unknown in horses. Based on </w:t>
      </w:r>
      <w:r w:rsidRPr="004901DD">
        <w:rPr>
          <w:rFonts w:ascii="Book Antiqua" w:hAnsi="Book Antiqua"/>
          <w:i/>
        </w:rPr>
        <w:t>in vitro</w:t>
      </w:r>
      <w:r>
        <w:rPr>
          <w:rFonts w:ascii="Book Antiqua" w:hAnsi="Book Antiqua"/>
        </w:rPr>
        <w:t xml:space="preserve"> studies, MSCs have anti-inflammatory, immunomodulatory, and paraendocrine properties that provide the conditions necessary for tissue repair. The method of delivery of these cells has largely been studied and might depend on the site of lesion and practicability of the procedure. Further research is necessary for evaluating methods of labeling, tracking and delivering these cells in horses suffering from peripheral nerve injuries.</w:t>
      </w:r>
    </w:p>
    <w:p w14:paraId="205CCC0E"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230CEF28"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423FA29B" w14:textId="77777777" w:rsidR="002729A9" w:rsidRPr="00765F8A" w:rsidRDefault="002729A9" w:rsidP="00EE712B">
      <w:pPr>
        <w:pStyle w:val="Heading3"/>
      </w:pPr>
      <w:bookmarkStart w:id="10" w:name="_Toc274387714"/>
      <w:r w:rsidRPr="00765F8A">
        <w:t>Generalities of the nervous system</w:t>
      </w:r>
      <w:bookmarkEnd w:id="10"/>
    </w:p>
    <w:p w14:paraId="1E4DDC51"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2C09D842"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Pr>
          <w:rFonts w:ascii="Book Antiqua" w:hAnsi="Book Antiqua"/>
        </w:rPr>
        <w:t xml:space="preserve">The nervous system involves a complex network of cells that ultimately has the functions of acquiring information from the exterior of the animal, processing it, and delivering specific signals to specific organs based on these external stimuli. It is, therefore, that the nervous system is composed of different specialized cells, which originate from the ectodermic layer during the embryonic development. </w:t>
      </w:r>
    </w:p>
    <w:p w14:paraId="10BA24BC"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50200215"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Pr>
          <w:rFonts w:ascii="Book Antiqua" w:hAnsi="Book Antiqua"/>
        </w:rPr>
        <w:t>The nervous system is divided into the central nervous system (CNS) and the peripheral nervous system (PNS). Briefly, the CNS comprises the structures within the encephalon (i.e. brain, brain stem, cerebellum, etc.) and spinal cord. On the other hand, ganglia, cranial and spinal nerves comprise the PNS.</w:t>
      </w:r>
      <w:r w:rsidRPr="00E24662">
        <w:rPr>
          <w:rFonts w:ascii="Book Antiqua" w:hAnsi="Book Antiqua"/>
          <w:noProof/>
          <w:vertAlign w:val="superscript"/>
        </w:rPr>
        <w:t>3</w:t>
      </w:r>
      <w:r>
        <w:rPr>
          <w:rFonts w:ascii="Book Antiqua" w:hAnsi="Book Antiqua"/>
        </w:rPr>
        <w:t xml:space="preserve"> It is worth mentioning that both divisions of the nervous system continuously interact with each other. For purposes of this research, however, a particular interest is given to the PNS. </w:t>
      </w:r>
    </w:p>
    <w:p w14:paraId="76FCCBE6"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5B272273"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Pr>
          <w:rFonts w:ascii="Book Antiqua" w:hAnsi="Book Antiqua"/>
        </w:rPr>
        <w:t>Additionally, the PNS is subdivided into autonomic PNS and somatic PNS. The autonomic PNS encompasses the nerve fibers (axons) that innervate involuntary or autonomic structures, such as the heart, smooth muscle and glands.</w:t>
      </w:r>
      <w:r w:rsidRPr="00E24662">
        <w:rPr>
          <w:rFonts w:ascii="Book Antiqua" w:hAnsi="Book Antiqua"/>
          <w:noProof/>
          <w:vertAlign w:val="superscript"/>
        </w:rPr>
        <w:t>3</w:t>
      </w:r>
      <w:r>
        <w:rPr>
          <w:rFonts w:ascii="Book Antiqua" w:hAnsi="Book Antiqua"/>
        </w:rPr>
        <w:t xml:space="preserve"> The somatic PNS, instead, involves the axons that give input to the musculoskeletal system, which are mostly involved with voluntary activity. </w:t>
      </w:r>
    </w:p>
    <w:p w14:paraId="07618533"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433FACD3"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Pr>
          <w:rFonts w:ascii="Book Antiqua" w:hAnsi="Book Antiqua"/>
        </w:rPr>
        <w:t>An alternative division of the nervous system is based in its functional properties: afferent (sensory) and efferent (motor).</w:t>
      </w:r>
      <w:r w:rsidRPr="00E24662">
        <w:rPr>
          <w:rFonts w:ascii="Book Antiqua" w:hAnsi="Book Antiqua"/>
          <w:noProof/>
          <w:vertAlign w:val="superscript"/>
        </w:rPr>
        <w:t>4</w:t>
      </w:r>
    </w:p>
    <w:p w14:paraId="7CD5F670"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375C1415"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bCs/>
        </w:rPr>
      </w:pPr>
      <w:r w:rsidRPr="00765F8A">
        <w:rPr>
          <w:rStyle w:val="Heading4Char"/>
        </w:rPr>
        <w:t>Peripheral nerves.</w:t>
      </w:r>
      <w:r w:rsidRPr="008D5224">
        <w:rPr>
          <w:rFonts w:ascii="Book Antiqua" w:hAnsi="Book Antiqua"/>
          <w:bCs/>
        </w:rPr>
        <w:t xml:space="preserve"> </w:t>
      </w:r>
      <w:r>
        <w:rPr>
          <w:rFonts w:ascii="Book Antiqua" w:hAnsi="Book Antiqua"/>
          <w:bCs/>
        </w:rPr>
        <w:t>These include the 12 pairs of cranial nerves located in the encephalon, and the spinal nerves, which arise from the spinal cord. Each nerve consists of parallel bundles of nerve fibers (axons), which can be afferent or efferent. A surrounding sheath of connective tissue provides support to these nerves and their associated blood and lymphatic vessels. Additionally, these axons can be myelinated or non-myelinated.</w:t>
      </w:r>
      <w:r w:rsidRPr="00E24662">
        <w:rPr>
          <w:rFonts w:ascii="Book Antiqua" w:hAnsi="Book Antiqua"/>
          <w:bCs/>
          <w:noProof/>
          <w:vertAlign w:val="superscript"/>
        </w:rPr>
        <w:t>4</w:t>
      </w:r>
      <w:r>
        <w:rPr>
          <w:rFonts w:ascii="Book Antiqua" w:hAnsi="Book Antiqua"/>
          <w:bCs/>
        </w:rPr>
        <w:t xml:space="preserve"> Myelinated axons are surrounded by a myelin sheath formed by supporting cells (also known as satellite cells): oligodendrocytes, in the CNS; and Schwann cells in the PNS. Myelin is composed of the cell membrane from Schwann cells, which is approximately 80% lipid in nature; hence, it has insulation properties. The myelin sheath surrounding the axon is a layer regularly segmented by the nodes of Ranvier that help in the transmission of a nerve impulse in a saltatory and extremely fast manner (</w:t>
      </w:r>
      <w:r w:rsidRPr="0002543D">
        <w:rPr>
          <w:rFonts w:ascii="Book Antiqua" w:hAnsi="Book Antiqua"/>
          <w:b/>
          <w:bCs/>
        </w:rPr>
        <w:t>Figure 1</w:t>
      </w:r>
      <w:r>
        <w:rPr>
          <w:rFonts w:ascii="Book Antiqua" w:hAnsi="Book Antiqua"/>
          <w:b/>
          <w:bCs/>
        </w:rPr>
        <w:t>.1</w:t>
      </w:r>
      <w:r>
        <w:rPr>
          <w:rFonts w:ascii="Book Antiqua" w:hAnsi="Book Antiqua"/>
          <w:bCs/>
        </w:rPr>
        <w:t>). Peripheral nerves, consequently, can also be classified by their speed of conduction (A, B or C fibers) and their fiber size (</w:t>
      </w:r>
      <w:r w:rsidRPr="00A207F4">
        <w:rPr>
          <w:bCs/>
        </w:rPr>
        <w:t>μ</w:t>
      </w:r>
      <w:r>
        <w:rPr>
          <w:rFonts w:ascii="Book Antiqua" w:hAnsi="Book Antiqua"/>
          <w:bCs/>
        </w:rPr>
        <w:t>m of diameter).</w:t>
      </w:r>
      <w:r w:rsidRPr="00E24662">
        <w:rPr>
          <w:rFonts w:ascii="Book Antiqua" w:hAnsi="Book Antiqua"/>
          <w:bCs/>
          <w:noProof/>
          <w:vertAlign w:val="superscript"/>
        </w:rPr>
        <w:t>5</w:t>
      </w:r>
      <w:r>
        <w:rPr>
          <w:rFonts w:ascii="Book Antiqua" w:hAnsi="Book Antiqua"/>
          <w:bCs/>
        </w:rPr>
        <w:t xml:space="preserve"> The fastest nerve </w:t>
      </w:r>
      <w:r w:rsidRPr="00216A4F">
        <w:rPr>
          <w:rFonts w:ascii="Book Antiqua" w:hAnsi="Book Antiqua"/>
          <w:bCs/>
        </w:rPr>
        <w:t>fibers are</w:t>
      </w:r>
      <w:r>
        <w:rPr>
          <w:rFonts w:ascii="Book Antiqua" w:hAnsi="Book Antiqua"/>
          <w:bCs/>
        </w:rPr>
        <w:t xml:space="preserve"> usually myelinated and thicker</w:t>
      </w:r>
      <w:r w:rsidRPr="00216A4F">
        <w:rPr>
          <w:rFonts w:ascii="Book Antiqua" w:hAnsi="Book Antiqua"/>
          <w:bCs/>
        </w:rPr>
        <w:t xml:space="preserve"> (</w:t>
      </w:r>
      <w:r>
        <w:rPr>
          <w:rFonts w:ascii="Book Antiqua" w:hAnsi="Book Antiqua"/>
          <w:bCs/>
        </w:rPr>
        <w:t xml:space="preserve">i.e. </w:t>
      </w:r>
      <w:r w:rsidRPr="00216A4F">
        <w:rPr>
          <w:color w:val="000000"/>
        </w:rPr>
        <w:t>α</w:t>
      </w:r>
      <w:r w:rsidRPr="00216A4F">
        <w:rPr>
          <w:rFonts w:ascii="Book Antiqua" w:hAnsi="Book Antiqua" w:cs="Lucida Grande"/>
          <w:color w:val="000000"/>
        </w:rPr>
        <w:t xml:space="preserve"> and </w:t>
      </w:r>
      <w:r w:rsidRPr="00216A4F">
        <w:rPr>
          <w:color w:val="000000"/>
        </w:rPr>
        <w:t>β</w:t>
      </w:r>
      <w:r w:rsidRPr="00216A4F">
        <w:rPr>
          <w:rFonts w:ascii="Book Antiqua" w:hAnsi="Book Antiqua"/>
          <w:color w:val="000000"/>
        </w:rPr>
        <w:t xml:space="preserve"> </w:t>
      </w:r>
      <w:r>
        <w:rPr>
          <w:rFonts w:ascii="Book Antiqua" w:hAnsi="Book Antiqua"/>
          <w:color w:val="000000"/>
        </w:rPr>
        <w:t>sub</w:t>
      </w:r>
      <w:r w:rsidRPr="00216A4F">
        <w:rPr>
          <w:rFonts w:ascii="Book Antiqua" w:hAnsi="Book Antiqua"/>
          <w:color w:val="000000"/>
        </w:rPr>
        <w:t>types of the A fibers</w:t>
      </w:r>
      <w:r>
        <w:rPr>
          <w:rFonts w:ascii="Book Antiqua" w:hAnsi="Book Antiqua"/>
          <w:color w:val="000000"/>
        </w:rPr>
        <w:t>, which transmit motor and sensory impulses to skeletal muscle and skin receptors</w:t>
      </w:r>
      <w:r w:rsidRPr="00216A4F">
        <w:rPr>
          <w:rFonts w:ascii="Book Antiqua" w:hAnsi="Book Antiqua"/>
          <w:bCs/>
        </w:rPr>
        <w:t>)</w:t>
      </w:r>
      <w:r>
        <w:rPr>
          <w:rFonts w:ascii="Book Antiqua" w:hAnsi="Book Antiqua"/>
          <w:bCs/>
        </w:rPr>
        <w:t>. On the other hand, the slowest nerve fibers are non-myelinated and of small diameter (i.e. C fibers that transmit deep, non-localized pain).</w:t>
      </w:r>
    </w:p>
    <w:p w14:paraId="627B4AF5"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bCs/>
        </w:rPr>
      </w:pPr>
    </w:p>
    <w:p w14:paraId="2EF79756"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Pr>
          <w:rFonts w:ascii="Book Antiqua" w:hAnsi="Book Antiqua"/>
          <w:bCs/>
        </w:rPr>
        <w:t xml:space="preserve">In the CNS, each oligodendrocyte forms myelin sheaths for up to 60 axons. In the PNS, on the other hand, only one Schwann cell exists for each segment of one axon. </w:t>
      </w:r>
      <w:r>
        <w:rPr>
          <w:rFonts w:ascii="Book Antiqua" w:hAnsi="Book Antiqua"/>
        </w:rPr>
        <w:t xml:space="preserve">Moreover, the Schwann cells wrap around the axons in a spiral, which is clockwise in some segments and counterclockwise in others. These wrappings become tight as the axon matures, and the thickness of the myelin sheath will ultimately depend on the number of spirals of a Schwann cell membrane. </w:t>
      </w:r>
    </w:p>
    <w:p w14:paraId="6B757B28"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1502A139"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20EFCC91" w14:textId="77777777" w:rsidR="002729A9" w:rsidRDefault="002729A9" w:rsidP="00424D0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Pr>
          <w:rFonts w:ascii="Book Antiqua" w:hAnsi="Book Antiqua"/>
          <w:noProof/>
        </w:rPr>
        <w:drawing>
          <wp:inline distT="0" distB="0" distL="0" distR="0" wp14:anchorId="1370C134" wp14:editId="67B0ACAC">
            <wp:extent cx="4876800" cy="137769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feral_nerve_myelination.jpg"/>
                    <pic:cNvPicPr/>
                  </pic:nvPicPr>
                  <pic:blipFill>
                    <a:blip r:embed="rId10">
                      <a:extLst>
                        <a:ext uri="{28A0092B-C50C-407E-A947-70E740481C1C}">
                          <a14:useLocalDpi xmlns:a14="http://schemas.microsoft.com/office/drawing/2010/main" val="0"/>
                        </a:ext>
                      </a:extLst>
                    </a:blip>
                    <a:stretch>
                      <a:fillRect/>
                    </a:stretch>
                  </pic:blipFill>
                  <pic:spPr>
                    <a:xfrm>
                      <a:off x="0" y="0"/>
                      <a:ext cx="4876800" cy="1377696"/>
                    </a:xfrm>
                    <a:prstGeom prst="rect">
                      <a:avLst/>
                    </a:prstGeom>
                  </pic:spPr>
                </pic:pic>
              </a:graphicData>
            </a:graphic>
          </wp:inline>
        </w:drawing>
      </w:r>
    </w:p>
    <w:p w14:paraId="2A87ADBE" w14:textId="77777777" w:rsidR="002729A9" w:rsidRDefault="002729A9" w:rsidP="00424D0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sidRPr="00424D00">
        <w:rPr>
          <w:rFonts w:ascii="Book Antiqua" w:hAnsi="Book Antiqua"/>
          <w:b/>
        </w:rPr>
        <w:t>Figure 1.</w:t>
      </w:r>
      <w:r>
        <w:rPr>
          <w:rFonts w:ascii="Book Antiqua" w:hAnsi="Book Antiqua"/>
        </w:rPr>
        <w:t xml:space="preserve"> Peripheral nerve myelination. Note the cytoplasmic membrane of a Schwann cell (blue) wrapping around the axon (yellow) to create the myelin sheath along the nerve fiber, except at the nodes of Ranvier. Searched on Creative Commons; available at URL: </w:t>
      </w:r>
      <w:r w:rsidRPr="00424D00">
        <w:rPr>
          <w:rFonts w:ascii="Book Antiqua" w:hAnsi="Book Antiqua"/>
        </w:rPr>
        <w:t>http://</w:t>
      </w:r>
      <w:r w:rsidRPr="002069BA">
        <w:t xml:space="preserve"> </w:t>
      </w:r>
      <w:r w:rsidRPr="002069BA">
        <w:rPr>
          <w:rFonts w:ascii="Book Antiqua" w:hAnsi="Book Antiqua"/>
        </w:rPr>
        <w:t>http://commons.wikimedia.org/wiki/File:Periferal_nerve_myelination.jpg</w:t>
      </w:r>
    </w:p>
    <w:p w14:paraId="32212E69"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3DFE4A8F"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5F7F36AD"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sidRPr="00765F8A">
        <w:rPr>
          <w:rStyle w:val="Heading4Char"/>
        </w:rPr>
        <w:t>Peripheral nerve conduction.</w:t>
      </w:r>
      <w:r w:rsidRPr="008D5224">
        <w:rPr>
          <w:rFonts w:ascii="Book Antiqua" w:hAnsi="Book Antiqua"/>
          <w:bCs/>
        </w:rPr>
        <w:t xml:space="preserve"> </w:t>
      </w:r>
      <w:r>
        <w:rPr>
          <w:rFonts w:ascii="Book Antiqua" w:hAnsi="Book Antiqua"/>
        </w:rPr>
        <w:t>Once a stimulus is perceived, an action potential (nerve impulse) starts at the initial segment of an axon and propagates along the plasma membrane of the cell. Before an action potential the interior of a nerve cell is negatively charged at approximately -80 millivolts (mV); this is called the resting membrane potential. The cell membrane allows the opening of ion channels that result in a rapid influx of ions, which will change the charge inside the cell. This change is called depolarization.</w:t>
      </w:r>
      <w:r w:rsidRPr="00147500">
        <w:rPr>
          <w:rFonts w:ascii="Book Antiqua" w:hAnsi="Book Antiqua"/>
          <w:noProof/>
          <w:vertAlign w:val="superscript"/>
        </w:rPr>
        <w:t>3</w:t>
      </w:r>
      <w:r>
        <w:rPr>
          <w:rFonts w:ascii="Book Antiqua" w:hAnsi="Book Antiqua"/>
        </w:rPr>
        <w:t xml:space="preserve"> Ion channels are particular to the cell type. For example, sodium channels are abundant in peripheral nerves; they open fast and allow a massive entrance of sodium inside the cell that will result in an extremely prompt action potential. Calcium channels are abundant on smooth muscle cells; they open in a slower manner, resulting in a more prolonged action potential. Finally, after the impulse has propagated throughout the cell, other ion channels (e.g. potassium) open and allow the exit of positive ions, so the original resting membrane potential can be restored (hyperpolarization). </w:t>
      </w:r>
    </w:p>
    <w:p w14:paraId="2E6165D0"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698BA3AB"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Pr>
          <w:rFonts w:ascii="Book Antiqua" w:hAnsi="Book Antiqua"/>
        </w:rPr>
        <w:t>The speed of conduction is correlated with the axonal diameter of the nerve fiber. Additionally, myelin sheath thickness correlates with nerve diameter. These characteristics and the saltatory conduction of the nerve impulse at the nodes of Ranvier in myelinated nerves make myelinated nerves the fastest nerves for transmission of an impulse, at a velocity of 70-120 meters per second in A</w:t>
      </w:r>
      <w:r w:rsidRPr="00216A4F">
        <w:rPr>
          <w:color w:val="000000"/>
        </w:rPr>
        <w:t>α</w:t>
      </w:r>
      <w:r w:rsidRPr="00216A4F">
        <w:rPr>
          <w:rFonts w:ascii="Book Antiqua" w:hAnsi="Book Antiqua" w:cs="Lucida Grande"/>
          <w:color w:val="000000"/>
        </w:rPr>
        <w:t xml:space="preserve"> </w:t>
      </w:r>
      <w:r>
        <w:rPr>
          <w:rFonts w:ascii="Book Antiqua" w:hAnsi="Book Antiqua"/>
        </w:rPr>
        <w:t>fibers.</w:t>
      </w:r>
    </w:p>
    <w:p w14:paraId="2D12BF6C" w14:textId="77777777" w:rsidR="002729A9"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43466614" w14:textId="77777777" w:rsidR="002729A9" w:rsidRPr="008D5224"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r w:rsidRPr="008D5224">
        <w:rPr>
          <w:rFonts w:ascii="Book Antiqua" w:hAnsi="Book Antiqua"/>
        </w:rPr>
        <w:tab/>
      </w:r>
      <w:r w:rsidRPr="008D5224">
        <w:rPr>
          <w:rFonts w:ascii="Book Antiqua" w:hAnsi="Book Antiqua"/>
        </w:rPr>
        <w:tab/>
      </w:r>
      <w:r w:rsidRPr="008D5224">
        <w:rPr>
          <w:rFonts w:ascii="Book Antiqua" w:hAnsi="Book Antiqua"/>
        </w:rPr>
        <w:tab/>
      </w:r>
    </w:p>
    <w:p w14:paraId="7EC6F0EB" w14:textId="77777777" w:rsidR="002729A9" w:rsidRPr="008D5224" w:rsidRDefault="002729A9" w:rsidP="00EE712B">
      <w:pPr>
        <w:pStyle w:val="Heading3"/>
      </w:pPr>
      <w:bookmarkStart w:id="11" w:name="_Toc274387715"/>
      <w:r>
        <w:t>Concepts in regenerative medicine: stem cells</w:t>
      </w:r>
      <w:bookmarkEnd w:id="11"/>
    </w:p>
    <w:p w14:paraId="3115578A" w14:textId="77777777" w:rsidR="002729A9" w:rsidRPr="008D5224" w:rsidRDefault="002729A9" w:rsidP="00EE712B">
      <w:pPr>
        <w:spacing w:line="360" w:lineRule="auto"/>
        <w:jc w:val="both"/>
        <w:rPr>
          <w:rFonts w:ascii="Book Antiqua" w:hAnsi="Book Antiqua"/>
        </w:rPr>
      </w:pPr>
    </w:p>
    <w:p w14:paraId="1ACC1FD4" w14:textId="77777777" w:rsidR="002729A9" w:rsidRDefault="002729A9" w:rsidP="00EE712B">
      <w:pPr>
        <w:spacing w:line="360" w:lineRule="auto"/>
        <w:jc w:val="both"/>
        <w:rPr>
          <w:rFonts w:ascii="Book Antiqua" w:hAnsi="Book Antiqua"/>
          <w:bCs/>
        </w:rPr>
      </w:pPr>
      <w:r>
        <w:rPr>
          <w:rFonts w:ascii="Book Antiqua" w:hAnsi="Book Antiqua"/>
          <w:bCs/>
        </w:rPr>
        <w:t>The purpose of regenerative medicine is to create functional tissues for repairing or replacing tissues or organs that have been damaged or lost because of accidents, diseases, and age,</w:t>
      </w:r>
      <w:r w:rsidRPr="00C13FB4">
        <w:rPr>
          <w:rFonts w:ascii="Book Antiqua" w:hAnsi="Book Antiqua"/>
          <w:bCs/>
          <w:noProof/>
          <w:vertAlign w:val="superscript"/>
        </w:rPr>
        <w:t>6</w:t>
      </w:r>
      <w:r>
        <w:rPr>
          <w:rFonts w:ascii="Book Antiqua" w:hAnsi="Book Antiqua"/>
          <w:bCs/>
        </w:rPr>
        <w:t xml:space="preserve"> usually via transplantation of cells, tissues or organs that were previously cultured or created in the laboratory.</w:t>
      </w:r>
    </w:p>
    <w:p w14:paraId="23EDC190" w14:textId="77777777" w:rsidR="002729A9" w:rsidRDefault="002729A9" w:rsidP="00EE712B">
      <w:pPr>
        <w:spacing w:line="360" w:lineRule="auto"/>
        <w:jc w:val="both"/>
        <w:rPr>
          <w:rFonts w:ascii="Book Antiqua" w:hAnsi="Book Antiqua"/>
          <w:bCs/>
        </w:rPr>
      </w:pPr>
    </w:p>
    <w:p w14:paraId="732777F8" w14:textId="77777777" w:rsidR="002729A9" w:rsidRPr="008D5224" w:rsidRDefault="002729A9" w:rsidP="00EE712B">
      <w:pPr>
        <w:spacing w:line="360" w:lineRule="auto"/>
        <w:jc w:val="both"/>
        <w:rPr>
          <w:rFonts w:ascii="Book Antiqua" w:hAnsi="Book Antiqua"/>
          <w:bCs/>
        </w:rPr>
      </w:pPr>
      <w:r>
        <w:rPr>
          <w:rFonts w:ascii="Book Antiqua" w:hAnsi="Book Antiqua"/>
          <w:bCs/>
        </w:rPr>
        <w:t>Stem cells</w:t>
      </w:r>
      <w:r w:rsidRPr="008D5224">
        <w:rPr>
          <w:rFonts w:ascii="Book Antiqua" w:hAnsi="Book Antiqua"/>
          <w:bCs/>
        </w:rPr>
        <w:t xml:space="preserve"> are undifferentiat</w:t>
      </w:r>
      <w:r>
        <w:rPr>
          <w:rFonts w:ascii="Book Antiqua" w:hAnsi="Book Antiqua"/>
          <w:bCs/>
        </w:rPr>
        <w:t>ed cells that have the ability</w:t>
      </w:r>
      <w:r w:rsidRPr="008D5224">
        <w:rPr>
          <w:rFonts w:ascii="Book Antiqua" w:hAnsi="Book Antiqua"/>
          <w:bCs/>
        </w:rPr>
        <w:t xml:space="preserve"> to proliferate (self-renew) for </w:t>
      </w:r>
      <w:r>
        <w:rPr>
          <w:rFonts w:ascii="Book Antiqua" w:hAnsi="Book Antiqua"/>
          <w:bCs/>
        </w:rPr>
        <w:t>an indeterminate time</w:t>
      </w:r>
      <w:r w:rsidRPr="008D5224">
        <w:rPr>
          <w:rFonts w:ascii="Book Antiqua" w:hAnsi="Book Antiqua"/>
          <w:bCs/>
        </w:rPr>
        <w:t xml:space="preserve"> during the life of the organism, and to differentiate into mature, specialized cells given the right conditions (plasticity)</w:t>
      </w:r>
      <w:r>
        <w:rPr>
          <w:rFonts w:ascii="Book Antiqua" w:hAnsi="Book Antiqua"/>
          <w:bCs/>
        </w:rPr>
        <w:t>.</w:t>
      </w:r>
      <w:r w:rsidRPr="00E24662">
        <w:rPr>
          <w:rFonts w:ascii="Book Antiqua" w:hAnsi="Book Antiqua"/>
          <w:bCs/>
          <w:noProof/>
          <w:vertAlign w:val="superscript"/>
        </w:rPr>
        <w:t>6,7</w:t>
      </w:r>
      <w:r>
        <w:rPr>
          <w:rFonts w:ascii="Book Antiqua" w:hAnsi="Book Antiqua"/>
          <w:bCs/>
        </w:rPr>
        <w:t xml:space="preserve"> </w:t>
      </w:r>
      <w:r w:rsidRPr="008D5224">
        <w:rPr>
          <w:rFonts w:ascii="Book Antiqua" w:hAnsi="Book Antiqua"/>
          <w:bCs/>
        </w:rPr>
        <w:t xml:space="preserve">The term “stem cell”, however, has been used indiscriminately to denote certain types of cells with specific characteristics and it is, therefore, important to clarify some terms used in the field of cellular therapy for regenerative medicine. </w:t>
      </w:r>
    </w:p>
    <w:p w14:paraId="4C3249F2" w14:textId="77777777" w:rsidR="002729A9" w:rsidRPr="008D5224" w:rsidRDefault="002729A9" w:rsidP="00EE712B">
      <w:pPr>
        <w:spacing w:line="360" w:lineRule="auto"/>
        <w:jc w:val="both"/>
        <w:rPr>
          <w:rFonts w:ascii="Book Antiqua" w:hAnsi="Book Antiqua"/>
          <w:bCs/>
        </w:rPr>
      </w:pPr>
    </w:p>
    <w:p w14:paraId="404BB5A3" w14:textId="77777777" w:rsidR="002729A9" w:rsidRPr="008D5224" w:rsidRDefault="002729A9" w:rsidP="00EE712B">
      <w:pPr>
        <w:spacing w:line="360" w:lineRule="auto"/>
        <w:jc w:val="both"/>
        <w:rPr>
          <w:rFonts w:ascii="Book Antiqua" w:hAnsi="Book Antiqua"/>
          <w:bCs/>
        </w:rPr>
      </w:pPr>
      <w:r w:rsidRPr="008D5224">
        <w:rPr>
          <w:rFonts w:ascii="Book Antiqua" w:hAnsi="Book Antiqua"/>
          <w:bCs/>
        </w:rPr>
        <w:t xml:space="preserve">Stem cells can be of embryonic or adult origin. Based on their ability to differentiate, those stem cells capable of differentiating into all cell types, including extra-embryonic membranes and tissues, are called </w:t>
      </w:r>
      <w:r w:rsidRPr="007E70DE">
        <w:rPr>
          <w:rFonts w:ascii="Book Antiqua" w:hAnsi="Book Antiqua"/>
          <w:bCs/>
          <w:i/>
        </w:rPr>
        <w:t>totipotent</w:t>
      </w:r>
      <w:r w:rsidRPr="008D5224">
        <w:rPr>
          <w:rFonts w:ascii="Book Antiqua" w:hAnsi="Book Antiqua"/>
          <w:bCs/>
        </w:rPr>
        <w:t xml:space="preserve"> stem cells and they are solely found in the zygote and early</w:t>
      </w:r>
      <w:r>
        <w:rPr>
          <w:rFonts w:ascii="Book Antiqua" w:hAnsi="Book Antiqua"/>
          <w:bCs/>
        </w:rPr>
        <w:t xml:space="preserve"> embryo</w:t>
      </w:r>
      <w:r w:rsidRPr="008D5224">
        <w:rPr>
          <w:rFonts w:ascii="Book Antiqua" w:hAnsi="Book Antiqua"/>
          <w:bCs/>
        </w:rPr>
        <w:t>.</w:t>
      </w:r>
      <w:r w:rsidRPr="00C13FB4">
        <w:rPr>
          <w:rFonts w:ascii="Book Antiqua" w:hAnsi="Book Antiqua"/>
          <w:bCs/>
          <w:noProof/>
          <w:vertAlign w:val="superscript"/>
        </w:rPr>
        <w:t>6,8</w:t>
      </w:r>
      <w:r>
        <w:rPr>
          <w:rFonts w:ascii="Book Antiqua" w:hAnsi="Book Antiqua"/>
          <w:bCs/>
        </w:rPr>
        <w:t xml:space="preserve"> </w:t>
      </w:r>
      <w:r w:rsidRPr="00F453E4">
        <w:rPr>
          <w:rFonts w:ascii="Book Antiqua" w:hAnsi="Book Antiqua"/>
          <w:bCs/>
          <w:i/>
        </w:rPr>
        <w:t>Pluripotent</w:t>
      </w:r>
      <w:r w:rsidRPr="008D5224">
        <w:rPr>
          <w:rFonts w:ascii="Book Antiqua" w:hAnsi="Book Antiqua"/>
          <w:bCs/>
        </w:rPr>
        <w:t xml:space="preserve"> stem cells are able to differentiate into all cell types from the 3 germinal layers that constitute an implanted embryo (ectoderm, mesoderm and endoderm), but not into extra-embryonic tissues.</w:t>
      </w:r>
      <w:r w:rsidRPr="00E24662">
        <w:rPr>
          <w:rFonts w:ascii="Book Antiqua" w:hAnsi="Book Antiqua"/>
          <w:bCs/>
          <w:noProof/>
          <w:vertAlign w:val="superscript"/>
        </w:rPr>
        <w:t>6,7</w:t>
      </w:r>
      <w:r w:rsidRPr="008D5224">
        <w:rPr>
          <w:rFonts w:ascii="Book Antiqua" w:hAnsi="Book Antiqua"/>
          <w:bCs/>
        </w:rPr>
        <w:t xml:space="preserve"> </w:t>
      </w:r>
      <w:r w:rsidRPr="00F453E4">
        <w:rPr>
          <w:rFonts w:ascii="Book Antiqua" w:hAnsi="Book Antiqua"/>
          <w:bCs/>
          <w:i/>
        </w:rPr>
        <w:t>Multipotent</w:t>
      </w:r>
      <w:r w:rsidRPr="008D5224">
        <w:rPr>
          <w:rFonts w:ascii="Book Antiqua" w:hAnsi="Book Antiqua"/>
          <w:bCs/>
        </w:rPr>
        <w:t xml:space="preserve"> stem cells are capable of differentiating into various cell types of a specific germ</w:t>
      </w:r>
      <w:r>
        <w:rPr>
          <w:rFonts w:ascii="Book Antiqua" w:hAnsi="Book Antiqua"/>
          <w:bCs/>
        </w:rPr>
        <w:t>inal</w:t>
      </w:r>
      <w:r w:rsidRPr="008D5224">
        <w:rPr>
          <w:rFonts w:ascii="Book Antiqua" w:hAnsi="Book Antiqua"/>
          <w:bCs/>
        </w:rPr>
        <w:t xml:space="preserve"> layer. Finally, </w:t>
      </w:r>
      <w:r w:rsidRPr="00F453E4">
        <w:rPr>
          <w:rFonts w:ascii="Book Antiqua" w:hAnsi="Book Antiqua"/>
          <w:bCs/>
          <w:i/>
        </w:rPr>
        <w:t>unipotent</w:t>
      </w:r>
      <w:r w:rsidRPr="008D5224">
        <w:rPr>
          <w:rFonts w:ascii="Book Antiqua" w:hAnsi="Book Antiqua"/>
          <w:bCs/>
        </w:rPr>
        <w:t xml:space="preserve"> stem cells can only differentiate into a single mature cell type.</w:t>
      </w:r>
      <w:r w:rsidRPr="00C13FB4">
        <w:rPr>
          <w:rFonts w:ascii="Book Antiqua" w:hAnsi="Book Antiqua"/>
          <w:bCs/>
          <w:noProof/>
          <w:vertAlign w:val="superscript"/>
        </w:rPr>
        <w:t>6</w:t>
      </w:r>
      <w:r w:rsidRPr="008D5224">
        <w:rPr>
          <w:rFonts w:ascii="Book Antiqua" w:hAnsi="Book Antiqua"/>
          <w:bCs/>
        </w:rPr>
        <w:t xml:space="preserve"> </w:t>
      </w:r>
    </w:p>
    <w:p w14:paraId="3383F732" w14:textId="77777777" w:rsidR="002729A9" w:rsidRDefault="002729A9" w:rsidP="00EE712B">
      <w:pPr>
        <w:spacing w:line="360" w:lineRule="auto"/>
        <w:jc w:val="both"/>
        <w:rPr>
          <w:rFonts w:ascii="Book Antiqua" w:hAnsi="Book Antiqua"/>
          <w:bCs/>
        </w:rPr>
      </w:pPr>
    </w:p>
    <w:p w14:paraId="68AF0FDB" w14:textId="77777777" w:rsidR="002729A9" w:rsidRDefault="002729A9" w:rsidP="00EE712B">
      <w:pPr>
        <w:spacing w:line="360" w:lineRule="auto"/>
        <w:jc w:val="both"/>
        <w:rPr>
          <w:rFonts w:ascii="Book Antiqua" w:hAnsi="Book Antiqua"/>
          <w:bCs/>
        </w:rPr>
      </w:pPr>
      <w:r w:rsidRPr="00765F8A">
        <w:rPr>
          <w:rStyle w:val="Heading4Char"/>
        </w:rPr>
        <w:t>Types of cell transplants.</w:t>
      </w:r>
      <w:r>
        <w:rPr>
          <w:rFonts w:ascii="Book Antiqua" w:hAnsi="Book Antiqua"/>
          <w:bCs/>
        </w:rPr>
        <w:t xml:space="preserve"> Depending on the source, cell, tissue, or organ, transplants are called xenogeneic, allogeneic or autologous. Briefly, xenogeneic implies the transplantation of cells, tissue or organs from one species to another; for example, human cell transplants into rats for research purposes. Allogeneic transplantation involves different individuals from the same species; for example, human blood donors. Autologous transplantation involves taking tissue from an individual in order to implant it at another site on that same individual (also known as autograft); for example, removal of a portion of the ischium bone in order to graft it into a bone defect (in a bone other than ischium).</w:t>
      </w:r>
    </w:p>
    <w:p w14:paraId="1F002478" w14:textId="77777777" w:rsidR="002729A9" w:rsidRDefault="002729A9" w:rsidP="00EE712B">
      <w:pPr>
        <w:spacing w:line="360" w:lineRule="auto"/>
        <w:jc w:val="both"/>
        <w:rPr>
          <w:rFonts w:ascii="Book Antiqua" w:hAnsi="Book Antiqua"/>
          <w:bCs/>
        </w:rPr>
      </w:pPr>
    </w:p>
    <w:p w14:paraId="6383D640" w14:textId="77777777" w:rsidR="002729A9" w:rsidRPr="008D5224" w:rsidRDefault="002729A9" w:rsidP="00EE712B">
      <w:pPr>
        <w:spacing w:line="360" w:lineRule="auto"/>
        <w:jc w:val="both"/>
        <w:rPr>
          <w:rFonts w:ascii="Book Antiqua" w:hAnsi="Book Antiqua"/>
          <w:bCs/>
        </w:rPr>
      </w:pPr>
      <w:r>
        <w:rPr>
          <w:rFonts w:ascii="Book Antiqua" w:hAnsi="Book Antiqua"/>
          <w:bCs/>
        </w:rPr>
        <w:t xml:space="preserve">In human and veterinary practice, the source of transplants is either allogeneic or autologous. The concern in performing allogeneic transplantation of cells, tissue or organs is the possibility of rejection, which is due to the immune response of the host. A disadvantage of autologous transplantation is the possibility of causing morbidity at the donor site, which was previously inexistent. </w:t>
      </w:r>
    </w:p>
    <w:p w14:paraId="53BF3A1A" w14:textId="77777777" w:rsidR="002729A9" w:rsidRDefault="002729A9" w:rsidP="00EE712B">
      <w:pPr>
        <w:spacing w:line="360" w:lineRule="auto"/>
        <w:jc w:val="both"/>
        <w:rPr>
          <w:rFonts w:ascii="Book Antiqua" w:hAnsi="Book Antiqua"/>
          <w:bCs/>
        </w:rPr>
      </w:pPr>
    </w:p>
    <w:p w14:paraId="6A24E404" w14:textId="77777777" w:rsidR="002729A9" w:rsidRPr="008D5224" w:rsidRDefault="002729A9" w:rsidP="00EE712B">
      <w:pPr>
        <w:spacing w:line="360" w:lineRule="auto"/>
        <w:jc w:val="both"/>
        <w:rPr>
          <w:rFonts w:ascii="Book Antiqua" w:hAnsi="Book Antiqua"/>
          <w:bCs/>
        </w:rPr>
      </w:pPr>
    </w:p>
    <w:p w14:paraId="244C4EDD" w14:textId="77777777" w:rsidR="002729A9" w:rsidRPr="00C95189" w:rsidRDefault="002729A9" w:rsidP="00EE712B">
      <w:pPr>
        <w:pStyle w:val="Heading2"/>
        <w:rPr>
          <w:i/>
        </w:rPr>
      </w:pPr>
      <w:bookmarkStart w:id="12" w:name="_Toc269902112"/>
      <w:bookmarkStart w:id="13" w:name="_Toc269902355"/>
      <w:bookmarkStart w:id="14" w:name="_Toc274387716"/>
      <w:r w:rsidRPr="00C95189">
        <w:t>Mesenchymal stromal cells (MSCs)</w:t>
      </w:r>
      <w:bookmarkEnd w:id="12"/>
      <w:bookmarkEnd w:id="13"/>
      <w:bookmarkEnd w:id="14"/>
    </w:p>
    <w:p w14:paraId="1E7A2CDC" w14:textId="77777777" w:rsidR="002729A9" w:rsidRPr="008D5224" w:rsidRDefault="002729A9" w:rsidP="00EE712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jc w:val="both"/>
        <w:rPr>
          <w:rFonts w:ascii="Book Antiqua" w:hAnsi="Book Antiqua"/>
        </w:rPr>
      </w:pPr>
    </w:p>
    <w:p w14:paraId="5017ACB8" w14:textId="77777777" w:rsidR="002729A9" w:rsidRPr="008D5224" w:rsidRDefault="002729A9" w:rsidP="00EE712B">
      <w:pPr>
        <w:numPr>
          <w:ilvl w:val="12"/>
          <w:numId w:val="0"/>
        </w:numPr>
        <w:spacing w:line="360" w:lineRule="auto"/>
        <w:jc w:val="both"/>
        <w:rPr>
          <w:rFonts w:ascii="Book Antiqua" w:hAnsi="Book Antiqua"/>
        </w:rPr>
      </w:pPr>
      <w:r w:rsidRPr="008D5224">
        <w:rPr>
          <w:rFonts w:ascii="Book Antiqua" w:hAnsi="Book Antiqua"/>
        </w:rPr>
        <w:t xml:space="preserve">This term refers to non-hematopoietic (non-blood) adult multipotent stem cells that originate from diverse </w:t>
      </w:r>
      <w:r>
        <w:rPr>
          <w:rFonts w:ascii="Book Antiqua" w:hAnsi="Book Antiqua"/>
        </w:rPr>
        <w:t xml:space="preserve">adult </w:t>
      </w:r>
      <w:r w:rsidRPr="008D5224">
        <w:rPr>
          <w:rFonts w:ascii="Book Antiqua" w:hAnsi="Book Antiqua"/>
        </w:rPr>
        <w:t>tissues</w:t>
      </w:r>
      <w:r>
        <w:rPr>
          <w:rFonts w:ascii="Book Antiqua" w:hAnsi="Book Antiqua"/>
        </w:rPr>
        <w:t>. I</w:t>
      </w:r>
      <w:r w:rsidRPr="008D5224">
        <w:rPr>
          <w:rFonts w:ascii="Book Antiqua" w:hAnsi="Book Antiqua"/>
        </w:rPr>
        <w:t>t is unknown</w:t>
      </w:r>
      <w:r>
        <w:rPr>
          <w:rFonts w:ascii="Book Antiqua" w:hAnsi="Book Antiqua"/>
        </w:rPr>
        <w:t xml:space="preserve"> </w:t>
      </w:r>
      <w:r w:rsidRPr="008D5224">
        <w:rPr>
          <w:rFonts w:ascii="Book Antiqua" w:hAnsi="Book Antiqua"/>
        </w:rPr>
        <w:t xml:space="preserve">if these cells </w:t>
      </w:r>
      <w:r>
        <w:rPr>
          <w:rFonts w:ascii="Book Antiqua" w:hAnsi="Book Antiqua"/>
        </w:rPr>
        <w:t xml:space="preserve">are the same </w:t>
      </w:r>
      <w:r w:rsidRPr="008D5224">
        <w:rPr>
          <w:rFonts w:ascii="Book Antiqua" w:hAnsi="Book Antiqua"/>
        </w:rPr>
        <w:t>throughout th</w:t>
      </w:r>
      <w:r>
        <w:rPr>
          <w:rFonts w:ascii="Book Antiqua" w:hAnsi="Book Antiqua"/>
        </w:rPr>
        <w:t>e different tissues</w:t>
      </w:r>
      <w:r w:rsidRPr="008D5224">
        <w:rPr>
          <w:rFonts w:ascii="Book Antiqua" w:hAnsi="Book Antiqua"/>
        </w:rPr>
        <w:t>.</w:t>
      </w:r>
      <w:r w:rsidRPr="00E24662">
        <w:rPr>
          <w:rFonts w:ascii="Book Antiqua" w:hAnsi="Book Antiqua"/>
          <w:noProof/>
          <w:vertAlign w:val="superscript"/>
        </w:rPr>
        <w:t>8</w:t>
      </w:r>
      <w:r w:rsidRPr="008D5224">
        <w:rPr>
          <w:rFonts w:ascii="Book Antiqua" w:hAnsi="Book Antiqua"/>
        </w:rPr>
        <w:t xml:space="preserve"> The term mesenchyme denotes a transient, loose tissue conformed by cells within a mesh of fluid and extracellular protein matrix, during embryonic and fetal development. It is mainly derived from the mesoderm and it directly gives rise to connective tissue throughout the body and to most organs in the body (morphogenesis) after interacting with the epithelium.</w:t>
      </w:r>
      <w:r w:rsidRPr="00E24662">
        <w:rPr>
          <w:rFonts w:ascii="Book Antiqua" w:hAnsi="Book Antiqua"/>
          <w:noProof/>
          <w:vertAlign w:val="superscript"/>
        </w:rPr>
        <w:t>9</w:t>
      </w:r>
      <w:r w:rsidRPr="008D5224">
        <w:rPr>
          <w:rFonts w:ascii="Book Antiqua" w:hAnsi="Book Antiqua"/>
        </w:rPr>
        <w:t xml:space="preserve"> The mesenchyme, consequently, is crucial in the embryonic life</w:t>
      </w:r>
      <w:r>
        <w:rPr>
          <w:rFonts w:ascii="Book Antiqua" w:hAnsi="Book Antiqua"/>
        </w:rPr>
        <w:t xml:space="preserve">, but </w:t>
      </w:r>
      <w:r w:rsidRPr="008D5224">
        <w:rPr>
          <w:rFonts w:ascii="Book Antiqua" w:hAnsi="Book Antiqua"/>
        </w:rPr>
        <w:t>can also be found in small quantities in bone marrow, fat, muscles</w:t>
      </w:r>
      <w:r>
        <w:rPr>
          <w:rFonts w:ascii="Book Antiqua" w:hAnsi="Book Antiqua"/>
        </w:rPr>
        <w:t>,</w:t>
      </w:r>
      <w:r w:rsidRPr="008D5224">
        <w:rPr>
          <w:rFonts w:ascii="Book Antiqua" w:hAnsi="Book Antiqua"/>
        </w:rPr>
        <w:t xml:space="preserve"> and dental pulp. The term stromal, on the other hand, refers to cells that constitute the connective tissue of every organ.</w:t>
      </w:r>
      <w:r w:rsidRPr="00C13FB4">
        <w:rPr>
          <w:rFonts w:ascii="Book Antiqua" w:hAnsi="Book Antiqua"/>
          <w:noProof/>
          <w:vertAlign w:val="superscript"/>
        </w:rPr>
        <w:t>6</w:t>
      </w:r>
      <w:r w:rsidRPr="008D5224">
        <w:rPr>
          <w:rFonts w:ascii="Book Antiqua" w:hAnsi="Book Antiqua"/>
        </w:rPr>
        <w:t xml:space="preserve"> Certain mesenchymal stromal cells (MSCs) are capable of displaying multipotency and are subsequently called mesenchymal stem cells</w:t>
      </w:r>
      <w:r>
        <w:rPr>
          <w:rFonts w:ascii="Book Antiqua" w:hAnsi="Book Antiqua"/>
        </w:rPr>
        <w:t>.</w:t>
      </w:r>
      <w:r w:rsidRPr="00E24662">
        <w:rPr>
          <w:rFonts w:ascii="Book Antiqua" w:hAnsi="Book Antiqua"/>
          <w:noProof/>
          <w:vertAlign w:val="superscript"/>
        </w:rPr>
        <w:t>10,11</w:t>
      </w:r>
      <w:r>
        <w:rPr>
          <w:rFonts w:ascii="Book Antiqua" w:hAnsi="Book Antiqua"/>
        </w:rPr>
        <w:t xml:space="preserve"> </w:t>
      </w:r>
    </w:p>
    <w:p w14:paraId="3749DC8C" w14:textId="77777777" w:rsidR="002729A9" w:rsidRDefault="002729A9" w:rsidP="00EE712B">
      <w:pPr>
        <w:spacing w:line="360" w:lineRule="auto"/>
        <w:jc w:val="both"/>
        <w:rPr>
          <w:rFonts w:ascii="Book Antiqua" w:hAnsi="Book Antiqua"/>
        </w:rPr>
      </w:pPr>
    </w:p>
    <w:p w14:paraId="279EA833" w14:textId="77777777" w:rsidR="002729A9" w:rsidRDefault="002729A9" w:rsidP="00EE712B">
      <w:pPr>
        <w:spacing w:line="360" w:lineRule="auto"/>
        <w:jc w:val="both"/>
        <w:rPr>
          <w:rFonts w:ascii="Book Antiqua" w:hAnsi="Book Antiqua"/>
        </w:rPr>
      </w:pPr>
    </w:p>
    <w:p w14:paraId="0CA76EFE" w14:textId="77777777" w:rsidR="002729A9" w:rsidRDefault="002729A9" w:rsidP="00EE712B">
      <w:pPr>
        <w:pStyle w:val="Heading3"/>
      </w:pPr>
      <w:bookmarkStart w:id="15" w:name="_Toc274387717"/>
      <w:r w:rsidRPr="00C95189">
        <w:t>Criteria for MSCs</w:t>
      </w:r>
      <w:bookmarkEnd w:id="15"/>
      <w:r w:rsidRPr="008D5224">
        <w:t xml:space="preserve"> </w:t>
      </w:r>
    </w:p>
    <w:p w14:paraId="0E59BE2C" w14:textId="77777777" w:rsidR="002729A9" w:rsidRDefault="002729A9" w:rsidP="00EE712B">
      <w:pPr>
        <w:spacing w:line="360" w:lineRule="auto"/>
        <w:jc w:val="both"/>
        <w:rPr>
          <w:rFonts w:ascii="Book Antiqua" w:hAnsi="Book Antiqua"/>
        </w:rPr>
      </w:pPr>
    </w:p>
    <w:p w14:paraId="23E164CB" w14:textId="77777777" w:rsidR="002729A9" w:rsidRDefault="002729A9" w:rsidP="00EE712B">
      <w:pPr>
        <w:spacing w:line="360" w:lineRule="auto"/>
        <w:jc w:val="both"/>
        <w:rPr>
          <w:rFonts w:ascii="Book Antiqua" w:hAnsi="Book Antiqua"/>
        </w:rPr>
      </w:pPr>
      <w:r w:rsidRPr="008D5224">
        <w:rPr>
          <w:rFonts w:ascii="Book Antiqua" w:hAnsi="Book Antiqua"/>
        </w:rPr>
        <w:t xml:space="preserve">To properly refer to MSCs, the International Society for Cellular Therapy (ISCT) has specified that </w:t>
      </w:r>
      <w:r>
        <w:rPr>
          <w:rFonts w:ascii="Book Antiqua" w:hAnsi="Book Antiqua"/>
        </w:rPr>
        <w:t>“</w:t>
      </w:r>
      <w:r w:rsidRPr="008D5224">
        <w:rPr>
          <w:rFonts w:ascii="Book Antiqua" w:hAnsi="Book Antiqua"/>
        </w:rPr>
        <w:t>multipotent mesenchymal stromal cells</w:t>
      </w:r>
      <w:r>
        <w:rPr>
          <w:rFonts w:ascii="Book Antiqua" w:hAnsi="Book Antiqua"/>
        </w:rPr>
        <w:t>”</w:t>
      </w:r>
      <w:r w:rsidRPr="008D5224">
        <w:rPr>
          <w:rFonts w:ascii="Book Antiqua" w:hAnsi="Book Antiqua"/>
        </w:rPr>
        <w:t xml:space="preserve"> is a term preferred over mesenchymal stem</w:t>
      </w:r>
      <w:r>
        <w:rPr>
          <w:rFonts w:ascii="Book Antiqua" w:hAnsi="Book Antiqua"/>
        </w:rPr>
        <w:t xml:space="preserve"> cells, because not all have </w:t>
      </w:r>
      <w:r w:rsidRPr="008D5224">
        <w:rPr>
          <w:rFonts w:ascii="Book Antiqua" w:hAnsi="Book Antiqua"/>
        </w:rPr>
        <w:t xml:space="preserve">stem cell characteristics. </w:t>
      </w:r>
      <w:r>
        <w:rPr>
          <w:rFonts w:ascii="Book Antiqua" w:hAnsi="Book Antiqua"/>
        </w:rPr>
        <w:t>Three</w:t>
      </w:r>
      <w:r w:rsidRPr="008D5224">
        <w:rPr>
          <w:rFonts w:ascii="Book Antiqua" w:hAnsi="Book Antiqua"/>
        </w:rPr>
        <w:t xml:space="preserve"> minimal criteria for defining human MSCs have been establis</w:t>
      </w:r>
      <w:r>
        <w:rPr>
          <w:rFonts w:ascii="Book Antiqua" w:hAnsi="Book Antiqua"/>
        </w:rPr>
        <w:t>hed: 1. a</w:t>
      </w:r>
      <w:r w:rsidRPr="008D5224">
        <w:rPr>
          <w:rFonts w:ascii="Book Antiqua" w:hAnsi="Book Antiqua"/>
        </w:rPr>
        <w:t>dherence to plastic when maintained in standard culture condi</w:t>
      </w:r>
      <w:r>
        <w:rPr>
          <w:rFonts w:ascii="Book Antiqua" w:hAnsi="Book Antiqua"/>
        </w:rPr>
        <w:t>tions, 2. e</w:t>
      </w:r>
      <w:r w:rsidRPr="008D5224">
        <w:rPr>
          <w:rFonts w:ascii="Book Antiqua" w:hAnsi="Book Antiqua"/>
        </w:rPr>
        <w:t>xpression of spe</w:t>
      </w:r>
      <w:r>
        <w:rPr>
          <w:rFonts w:ascii="Book Antiqua" w:hAnsi="Book Antiqua"/>
        </w:rPr>
        <w:t>cific surface antigens, and 3. potential for</w:t>
      </w:r>
      <w:r w:rsidRPr="008D5224">
        <w:rPr>
          <w:rFonts w:ascii="Book Antiqua" w:hAnsi="Book Antiqua"/>
        </w:rPr>
        <w:t xml:space="preserve"> multipotent mesenchymal different</w:t>
      </w:r>
      <w:r>
        <w:rPr>
          <w:rFonts w:ascii="Book Antiqua" w:hAnsi="Book Antiqua"/>
        </w:rPr>
        <w:t>iation (plasticity).</w:t>
      </w:r>
      <w:r w:rsidRPr="00E24662">
        <w:rPr>
          <w:rFonts w:ascii="Book Antiqua" w:hAnsi="Book Antiqua"/>
          <w:noProof/>
          <w:vertAlign w:val="superscript"/>
        </w:rPr>
        <w:t>10</w:t>
      </w:r>
    </w:p>
    <w:p w14:paraId="18E48C2D" w14:textId="77777777" w:rsidR="002729A9" w:rsidRPr="008D5224" w:rsidRDefault="002729A9" w:rsidP="00EE712B">
      <w:pPr>
        <w:spacing w:line="360" w:lineRule="auto"/>
        <w:jc w:val="both"/>
        <w:rPr>
          <w:rFonts w:ascii="Book Antiqua" w:hAnsi="Book Antiqua"/>
        </w:rPr>
      </w:pPr>
    </w:p>
    <w:p w14:paraId="12E25851" w14:textId="77777777" w:rsidR="002729A9" w:rsidRDefault="002729A9" w:rsidP="00EE712B">
      <w:pPr>
        <w:spacing w:line="360" w:lineRule="auto"/>
        <w:jc w:val="both"/>
        <w:rPr>
          <w:rFonts w:ascii="Book Antiqua" w:hAnsi="Book Antiqua"/>
          <w:bCs/>
        </w:rPr>
      </w:pPr>
      <w:r w:rsidRPr="008D5224">
        <w:rPr>
          <w:rFonts w:ascii="Book Antiqua" w:hAnsi="Book Antiqua"/>
          <w:bCs/>
        </w:rPr>
        <w:t xml:space="preserve">It is important to mention that </w:t>
      </w:r>
      <w:r>
        <w:rPr>
          <w:rFonts w:ascii="Book Antiqua" w:hAnsi="Book Antiqua"/>
          <w:bCs/>
        </w:rPr>
        <w:t xml:space="preserve">currently </w:t>
      </w:r>
      <w:r w:rsidRPr="008D5224">
        <w:rPr>
          <w:rFonts w:ascii="Book Antiqua" w:hAnsi="Book Antiqua"/>
          <w:bCs/>
        </w:rPr>
        <w:t>there is controversy on the use of the terminology regarding mesenchymal stem cells and mesenchymal stromal cells (MSCs).</w:t>
      </w:r>
      <w:r w:rsidRPr="00E24662">
        <w:rPr>
          <w:rFonts w:ascii="Book Antiqua" w:hAnsi="Book Antiqua"/>
          <w:bCs/>
          <w:noProof/>
          <w:vertAlign w:val="superscript"/>
        </w:rPr>
        <w:t>12</w:t>
      </w:r>
      <w:r w:rsidRPr="008D5224">
        <w:rPr>
          <w:rFonts w:ascii="Book Antiqua" w:hAnsi="Book Antiqua"/>
          <w:bCs/>
        </w:rPr>
        <w:t xml:space="preserve"> There is lack of a specific marker expressed solely by MSCs. Several characteristics of these cells, however, have been taken in conjunction to propose the minimal criteria to define MSCs.</w:t>
      </w:r>
      <w:r w:rsidRPr="00E24662">
        <w:rPr>
          <w:rFonts w:ascii="Book Antiqua" w:hAnsi="Book Antiqua"/>
          <w:bCs/>
          <w:noProof/>
          <w:vertAlign w:val="superscript"/>
        </w:rPr>
        <w:t>10</w:t>
      </w:r>
      <w:r w:rsidRPr="008D5224">
        <w:rPr>
          <w:rFonts w:ascii="Book Antiqua" w:hAnsi="Book Antiqua"/>
          <w:bCs/>
        </w:rPr>
        <w:t xml:space="preserve"> </w:t>
      </w:r>
      <w:r>
        <w:rPr>
          <w:rFonts w:ascii="Book Antiqua" w:hAnsi="Book Antiqua"/>
          <w:bCs/>
        </w:rPr>
        <w:t>In addition</w:t>
      </w:r>
      <w:r w:rsidRPr="008D5224">
        <w:rPr>
          <w:rFonts w:ascii="Book Antiqua" w:hAnsi="Book Antiqua"/>
          <w:bCs/>
        </w:rPr>
        <w:t xml:space="preserve">, </w:t>
      </w:r>
      <w:r>
        <w:rPr>
          <w:rFonts w:ascii="Book Antiqua" w:hAnsi="Book Antiqua"/>
          <w:bCs/>
        </w:rPr>
        <w:t>there are differences between MSC populations obtained from various sources, adding confusion to the concept of MSC.</w:t>
      </w:r>
    </w:p>
    <w:p w14:paraId="1062D739" w14:textId="77777777" w:rsidR="002729A9" w:rsidRDefault="002729A9" w:rsidP="00EE712B">
      <w:pPr>
        <w:spacing w:line="360" w:lineRule="auto"/>
        <w:jc w:val="both"/>
        <w:rPr>
          <w:rFonts w:ascii="Book Antiqua" w:hAnsi="Book Antiqua"/>
          <w:bCs/>
        </w:rPr>
      </w:pPr>
    </w:p>
    <w:p w14:paraId="3AE7573C" w14:textId="77777777" w:rsidR="002729A9" w:rsidRDefault="002729A9" w:rsidP="00EE712B">
      <w:pPr>
        <w:spacing w:line="360" w:lineRule="auto"/>
        <w:jc w:val="both"/>
        <w:rPr>
          <w:rFonts w:ascii="Book Antiqua" w:hAnsi="Book Antiqua"/>
        </w:rPr>
      </w:pPr>
      <w:r w:rsidRPr="00765F8A">
        <w:rPr>
          <w:rStyle w:val="Heading4Char"/>
        </w:rPr>
        <w:t>Surface antigen expression of MSCs.</w:t>
      </w:r>
      <w:r w:rsidRPr="008D5224">
        <w:rPr>
          <w:rFonts w:ascii="Book Antiqua" w:hAnsi="Book Antiqua"/>
        </w:rPr>
        <w:t xml:space="preserve"> The recognition of sur</w:t>
      </w:r>
      <w:r>
        <w:rPr>
          <w:rFonts w:ascii="Book Antiqua" w:hAnsi="Book Antiqua"/>
        </w:rPr>
        <w:t>face antigens permits the</w:t>
      </w:r>
      <w:r w:rsidRPr="008D5224">
        <w:rPr>
          <w:rFonts w:ascii="Book Antiqua" w:hAnsi="Book Antiqua"/>
        </w:rPr>
        <w:t xml:space="preserve"> identification of a particular cell population. When performing flow cytometry, approximately 95% of the MSC population should mainly </w:t>
      </w:r>
      <w:r>
        <w:rPr>
          <w:rFonts w:ascii="Book Antiqua" w:hAnsi="Book Antiqua"/>
        </w:rPr>
        <w:t xml:space="preserve">express CD73, CD90 and CD105 </w:t>
      </w:r>
      <w:r w:rsidRPr="008D5224">
        <w:rPr>
          <w:rFonts w:ascii="Book Antiqua" w:hAnsi="Book Antiqua"/>
        </w:rPr>
        <w:t xml:space="preserve">surface antigens. The MSCs should also </w:t>
      </w:r>
      <w:r>
        <w:rPr>
          <w:rFonts w:ascii="Book Antiqua" w:hAnsi="Book Antiqua"/>
        </w:rPr>
        <w:t>lack</w:t>
      </w:r>
      <w:r w:rsidRPr="008D5224">
        <w:rPr>
          <w:rFonts w:ascii="Book Antiqua" w:hAnsi="Book Antiqua"/>
        </w:rPr>
        <w:t xml:space="preserve"> expression of the hematopoietic antigens CD45, CD34, CD14, CD11b, CD19 and human le</w:t>
      </w:r>
      <w:r>
        <w:rPr>
          <w:rFonts w:ascii="Book Antiqua" w:hAnsi="Book Antiqua"/>
        </w:rPr>
        <w:t>ukocyte antigen (HLA) class II</w:t>
      </w:r>
      <w:r w:rsidRPr="008D5224">
        <w:rPr>
          <w:rFonts w:ascii="Book Antiqua" w:hAnsi="Book Antiqua"/>
        </w:rPr>
        <w:t>.</w:t>
      </w:r>
      <w:r w:rsidRPr="00E24662">
        <w:rPr>
          <w:rFonts w:ascii="Book Antiqua" w:hAnsi="Book Antiqua"/>
          <w:noProof/>
          <w:vertAlign w:val="superscript"/>
        </w:rPr>
        <w:t>10</w:t>
      </w:r>
      <w:r w:rsidRPr="008D5224">
        <w:rPr>
          <w:rFonts w:ascii="Book Antiqua" w:hAnsi="Book Antiqua"/>
        </w:rPr>
        <w:t xml:space="preserve"> It is important to mention that for a proper ide</w:t>
      </w:r>
      <w:r>
        <w:rPr>
          <w:rFonts w:ascii="Book Antiqua" w:hAnsi="Book Antiqua"/>
        </w:rPr>
        <w:t>ntification of a MSC population. It is, consequently, important that the three criteria established by the ISCT are taken simultaneously in consideration for defining MSC</w:t>
      </w:r>
      <w:r w:rsidRPr="008D5224">
        <w:rPr>
          <w:rFonts w:ascii="Book Antiqua" w:hAnsi="Book Antiqua"/>
        </w:rPr>
        <w:t xml:space="preserve">.  </w:t>
      </w:r>
    </w:p>
    <w:p w14:paraId="580A751B" w14:textId="77777777" w:rsidR="002729A9" w:rsidRPr="008D5224" w:rsidRDefault="002729A9" w:rsidP="00EE712B">
      <w:pPr>
        <w:spacing w:line="360" w:lineRule="auto"/>
        <w:jc w:val="both"/>
        <w:rPr>
          <w:rFonts w:ascii="Book Antiqua" w:hAnsi="Book Antiqua"/>
          <w:bCs/>
        </w:rPr>
      </w:pPr>
    </w:p>
    <w:p w14:paraId="243B849F" w14:textId="77777777" w:rsidR="002729A9" w:rsidRPr="008D5224" w:rsidRDefault="002729A9" w:rsidP="00EE712B">
      <w:pPr>
        <w:spacing w:line="360" w:lineRule="auto"/>
        <w:jc w:val="both"/>
        <w:rPr>
          <w:rFonts w:ascii="Book Antiqua" w:hAnsi="Book Antiqua"/>
          <w:bCs/>
        </w:rPr>
      </w:pPr>
    </w:p>
    <w:p w14:paraId="1A5B8C40" w14:textId="77777777" w:rsidR="002729A9" w:rsidRDefault="002729A9" w:rsidP="00EE712B">
      <w:pPr>
        <w:pStyle w:val="Heading3"/>
      </w:pPr>
      <w:bookmarkStart w:id="16" w:name="_Toc274387718"/>
      <w:r w:rsidRPr="00C95189">
        <w:t>Sources of MSCs</w:t>
      </w:r>
      <w:bookmarkEnd w:id="16"/>
      <w:r w:rsidRPr="008D5224">
        <w:t xml:space="preserve"> </w:t>
      </w:r>
    </w:p>
    <w:p w14:paraId="4520277A" w14:textId="77777777" w:rsidR="002729A9" w:rsidRDefault="002729A9" w:rsidP="00EE712B">
      <w:pPr>
        <w:spacing w:line="360" w:lineRule="auto"/>
        <w:jc w:val="both"/>
        <w:rPr>
          <w:rFonts w:ascii="Book Antiqua" w:hAnsi="Book Antiqua"/>
        </w:rPr>
      </w:pPr>
    </w:p>
    <w:p w14:paraId="7D973DF2" w14:textId="77777777" w:rsidR="002729A9" w:rsidRPr="008D5224" w:rsidRDefault="002729A9" w:rsidP="00EE712B">
      <w:pPr>
        <w:spacing w:line="360" w:lineRule="auto"/>
        <w:jc w:val="both"/>
        <w:rPr>
          <w:rFonts w:ascii="Book Antiqua" w:hAnsi="Book Antiqua"/>
        </w:rPr>
      </w:pPr>
      <w:r w:rsidRPr="008D5224">
        <w:rPr>
          <w:rFonts w:ascii="Book Antiqua" w:hAnsi="Book Antiqua"/>
        </w:rPr>
        <w:t>Mesenchymal stromal cells have been isolated from various tissues in humans, pi</w:t>
      </w:r>
      <w:r>
        <w:rPr>
          <w:rFonts w:ascii="Book Antiqua" w:hAnsi="Book Antiqua"/>
        </w:rPr>
        <w:t>g</w:t>
      </w:r>
      <w:r w:rsidRPr="008D5224">
        <w:rPr>
          <w:rFonts w:ascii="Book Antiqua" w:hAnsi="Book Antiqua"/>
        </w:rPr>
        <w:t>s, rodents, rabbits, dogs, cats, small ruminants,</w:t>
      </w:r>
      <w:r w:rsidRPr="00E24662">
        <w:rPr>
          <w:rFonts w:ascii="Book Antiqua" w:hAnsi="Book Antiqua"/>
          <w:noProof/>
          <w:vertAlign w:val="superscript"/>
        </w:rPr>
        <w:t>13</w:t>
      </w:r>
      <w:r w:rsidRPr="008D5224">
        <w:rPr>
          <w:rFonts w:ascii="Book Antiqua" w:hAnsi="Book Antiqua"/>
        </w:rPr>
        <w:t xml:space="preserve"> and horses.</w:t>
      </w:r>
      <w:r w:rsidRPr="00E24662">
        <w:rPr>
          <w:rFonts w:ascii="Book Antiqua" w:hAnsi="Book Antiqua"/>
          <w:noProof/>
          <w:vertAlign w:val="superscript"/>
        </w:rPr>
        <w:t>14</w:t>
      </w:r>
      <w:r w:rsidRPr="008D5224">
        <w:rPr>
          <w:rFonts w:ascii="Book Antiqua" w:hAnsi="Book Antiqua"/>
        </w:rPr>
        <w:t xml:space="preserve"> The most commonly identified sources for MSC isolation are adult adipose tissue</w:t>
      </w:r>
      <w:r w:rsidRPr="00E24662">
        <w:rPr>
          <w:rFonts w:ascii="Book Antiqua" w:hAnsi="Book Antiqua"/>
          <w:noProof/>
          <w:vertAlign w:val="superscript"/>
        </w:rPr>
        <w:t>15</w:t>
      </w:r>
      <w:r w:rsidRPr="008D5224">
        <w:rPr>
          <w:rFonts w:ascii="Book Antiqua" w:hAnsi="Book Antiqua"/>
        </w:rPr>
        <w:t xml:space="preserve"> bone ma</w:t>
      </w:r>
      <w:r>
        <w:rPr>
          <w:rFonts w:ascii="Book Antiqua" w:hAnsi="Book Antiqua"/>
        </w:rPr>
        <w:t>rrow, compact bone, dental pulp,</w:t>
      </w:r>
      <w:r w:rsidRPr="00E24662">
        <w:rPr>
          <w:rFonts w:ascii="Book Antiqua" w:hAnsi="Book Antiqua"/>
          <w:noProof/>
          <w:vertAlign w:val="superscript"/>
        </w:rPr>
        <w:t>16</w:t>
      </w:r>
      <w:r>
        <w:rPr>
          <w:rFonts w:ascii="Book Antiqua" w:hAnsi="Book Antiqua"/>
        </w:rPr>
        <w:t xml:space="preserve"> </w:t>
      </w:r>
      <w:r w:rsidRPr="008D5224">
        <w:rPr>
          <w:rFonts w:ascii="Book Antiqua" w:hAnsi="Book Antiqua"/>
        </w:rPr>
        <w:t>peripheral blood</w:t>
      </w:r>
      <w:r>
        <w:rPr>
          <w:rFonts w:ascii="Book Antiqua" w:hAnsi="Book Antiqua"/>
        </w:rPr>
        <w:t>,</w:t>
      </w:r>
      <w:r w:rsidRPr="00E24662">
        <w:rPr>
          <w:rFonts w:ascii="Book Antiqua" w:hAnsi="Book Antiqua"/>
          <w:noProof/>
          <w:vertAlign w:val="superscript"/>
        </w:rPr>
        <w:t>17</w:t>
      </w:r>
      <w:r w:rsidRPr="008D5224">
        <w:rPr>
          <w:rFonts w:ascii="Book Antiqua" w:hAnsi="Book Antiqua"/>
        </w:rPr>
        <w:t xml:space="preserve"> umbilical cord blood, amniotic fluid, and other fetal tissues</w:t>
      </w:r>
      <w:r>
        <w:rPr>
          <w:rFonts w:ascii="Book Antiqua" w:hAnsi="Book Antiqua"/>
        </w:rPr>
        <w:t>.</w:t>
      </w:r>
      <w:r w:rsidRPr="00E24662">
        <w:rPr>
          <w:rFonts w:ascii="Book Antiqua" w:hAnsi="Book Antiqua"/>
          <w:noProof/>
          <w:vertAlign w:val="superscript"/>
        </w:rPr>
        <w:t>18,19</w:t>
      </w:r>
      <w:r w:rsidRPr="008D5224">
        <w:rPr>
          <w:rFonts w:ascii="Book Antiqua" w:hAnsi="Book Antiqua"/>
        </w:rPr>
        <w:t xml:space="preserve"> </w:t>
      </w:r>
    </w:p>
    <w:p w14:paraId="2E3069D2" w14:textId="77777777" w:rsidR="002729A9" w:rsidRDefault="002729A9" w:rsidP="00EE712B">
      <w:pPr>
        <w:numPr>
          <w:ilvl w:val="12"/>
          <w:numId w:val="0"/>
        </w:numPr>
        <w:spacing w:line="360" w:lineRule="auto"/>
        <w:jc w:val="both"/>
        <w:rPr>
          <w:rFonts w:ascii="Book Antiqua" w:hAnsi="Book Antiqua"/>
        </w:rPr>
      </w:pPr>
    </w:p>
    <w:p w14:paraId="12586F57" w14:textId="77777777" w:rsidR="002729A9" w:rsidRDefault="002729A9" w:rsidP="00EE712B">
      <w:pPr>
        <w:numPr>
          <w:ilvl w:val="12"/>
          <w:numId w:val="0"/>
        </w:numPr>
        <w:spacing w:line="360" w:lineRule="auto"/>
        <w:jc w:val="both"/>
        <w:rPr>
          <w:rFonts w:ascii="Book Antiqua" w:hAnsi="Book Antiqua"/>
        </w:rPr>
      </w:pPr>
      <w:r w:rsidRPr="00765F8A">
        <w:rPr>
          <w:rStyle w:val="Heading4Char"/>
        </w:rPr>
        <w:t>Bone marrow-derived versus adipose tissue-derived MSCs.</w:t>
      </w:r>
      <w:r>
        <w:rPr>
          <w:rFonts w:ascii="Book Antiqua" w:hAnsi="Book Antiqua"/>
        </w:rPr>
        <w:t xml:space="preserve"> Because of the relative ease of accessibility, MSCs are most commonly obtained from bone marrow and adipose tissue in human and veterinary medicine. Bone marrow aspiration is considered an invasive procedure in human medicine, but in equine medicine this is not the case because of the relative straightforwardness of the procedure when aspirating bone marrow from the sternum or the hip in horses. Bone marrow aspiration is also faster and leads to less complications than aspirating adipose tissue for obtaining MSCs from a horse. </w:t>
      </w:r>
    </w:p>
    <w:p w14:paraId="65B40C1C" w14:textId="77777777" w:rsidR="002729A9" w:rsidRDefault="002729A9" w:rsidP="00EE712B">
      <w:pPr>
        <w:numPr>
          <w:ilvl w:val="12"/>
          <w:numId w:val="0"/>
        </w:numPr>
        <w:spacing w:line="360" w:lineRule="auto"/>
        <w:jc w:val="both"/>
        <w:rPr>
          <w:rFonts w:ascii="Book Antiqua" w:hAnsi="Book Antiqua"/>
        </w:rPr>
      </w:pPr>
    </w:p>
    <w:p w14:paraId="47416E28"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Both bone marrow-derived and adipose tissue-derived MSCs are effective in their ability to differentiate into cells of mesodermal and extra-mesodermal lineages and both are able to express the aforementioned typical markers for MSCs. Furthermore, cells derived from both sources appear to be similarly proliferative, although it has been reported by some groups that adipose tissue-derived MSCs may yield higher numbers of MSCs.</w:t>
      </w:r>
      <w:r w:rsidRPr="00BF4958">
        <w:rPr>
          <w:rFonts w:ascii="Book Antiqua" w:hAnsi="Book Antiqua"/>
          <w:noProof/>
          <w:vertAlign w:val="superscript"/>
        </w:rPr>
        <w:t>20</w:t>
      </w:r>
      <w:r>
        <w:rPr>
          <w:rFonts w:ascii="Book Antiqua" w:hAnsi="Book Antiqua"/>
        </w:rPr>
        <w:t xml:space="preserve"> And, most importantly, both sources of MSCs seem to have immunosuppressive and anti-inflammatory properties.</w:t>
      </w:r>
    </w:p>
    <w:p w14:paraId="342BC228" w14:textId="77777777" w:rsidR="002729A9" w:rsidRDefault="002729A9" w:rsidP="00EE712B">
      <w:pPr>
        <w:numPr>
          <w:ilvl w:val="12"/>
          <w:numId w:val="0"/>
        </w:numPr>
        <w:spacing w:line="360" w:lineRule="auto"/>
        <w:jc w:val="both"/>
        <w:rPr>
          <w:rFonts w:ascii="Book Antiqua" w:hAnsi="Book Antiqua"/>
        </w:rPr>
      </w:pPr>
    </w:p>
    <w:p w14:paraId="0DC45944" w14:textId="77777777" w:rsidR="002729A9" w:rsidRDefault="002729A9" w:rsidP="00EE712B">
      <w:pPr>
        <w:spacing w:line="360" w:lineRule="auto"/>
        <w:jc w:val="both"/>
        <w:rPr>
          <w:rFonts w:ascii="Book Antiqua" w:hAnsi="Book Antiqua"/>
        </w:rPr>
      </w:pPr>
    </w:p>
    <w:p w14:paraId="40A14C49" w14:textId="77777777" w:rsidR="002729A9" w:rsidRDefault="002729A9" w:rsidP="00EE712B">
      <w:pPr>
        <w:pStyle w:val="Heading3"/>
      </w:pPr>
      <w:bookmarkStart w:id="17" w:name="_Toc274387719"/>
      <w:r w:rsidRPr="00C95189">
        <w:t>Biological features of MSCs</w:t>
      </w:r>
      <w:bookmarkEnd w:id="17"/>
      <w:r>
        <w:t xml:space="preserve"> </w:t>
      </w:r>
    </w:p>
    <w:p w14:paraId="06F86A69" w14:textId="77777777" w:rsidR="002729A9" w:rsidRDefault="002729A9" w:rsidP="00EE712B">
      <w:pPr>
        <w:spacing w:line="360" w:lineRule="auto"/>
        <w:jc w:val="both"/>
        <w:rPr>
          <w:rFonts w:ascii="Book Antiqua" w:hAnsi="Book Antiqua"/>
        </w:rPr>
      </w:pPr>
    </w:p>
    <w:p w14:paraId="0316E21D" w14:textId="77777777" w:rsidR="002729A9" w:rsidRDefault="002729A9" w:rsidP="00EE712B">
      <w:pPr>
        <w:spacing w:line="360" w:lineRule="auto"/>
        <w:jc w:val="both"/>
        <w:rPr>
          <w:rFonts w:ascii="Book Antiqua" w:hAnsi="Book Antiqua"/>
        </w:rPr>
      </w:pPr>
      <w:r>
        <w:rPr>
          <w:rFonts w:ascii="Book Antiqua" w:hAnsi="Book Antiqua"/>
        </w:rPr>
        <w:t>By definition MSCs are multipotent and self-renew quickly. These features make MSCs an alternative source for tissue regeneration. Additionally, regardless of their source, it has been reported that these cells are well tolerated by the host after transplantation (allogeneic transplantation).</w:t>
      </w:r>
    </w:p>
    <w:p w14:paraId="1FED2D35" w14:textId="77777777" w:rsidR="002729A9" w:rsidRDefault="002729A9" w:rsidP="00EE712B">
      <w:pPr>
        <w:spacing w:line="360" w:lineRule="auto"/>
        <w:jc w:val="both"/>
        <w:rPr>
          <w:rFonts w:ascii="Book Antiqua" w:hAnsi="Book Antiqua"/>
        </w:rPr>
      </w:pPr>
    </w:p>
    <w:p w14:paraId="68EC0659" w14:textId="77777777" w:rsidR="002729A9" w:rsidRDefault="002729A9" w:rsidP="00EE712B">
      <w:pPr>
        <w:spacing w:line="360" w:lineRule="auto"/>
        <w:jc w:val="both"/>
        <w:rPr>
          <w:rFonts w:ascii="Book Antiqua" w:hAnsi="Book Antiqua"/>
        </w:rPr>
      </w:pPr>
      <w:r w:rsidRPr="00765F8A">
        <w:rPr>
          <w:rStyle w:val="Heading4Char"/>
        </w:rPr>
        <w:t>Immunomodulatory properties of MSCs.</w:t>
      </w:r>
      <w:r>
        <w:rPr>
          <w:rFonts w:ascii="Book Antiqua" w:hAnsi="Book Antiqua"/>
        </w:rPr>
        <w:t xml:space="preserve"> After transplantation, MSCs are well tolerated by the host. </w:t>
      </w:r>
      <w:r>
        <w:rPr>
          <w:rFonts w:ascii="Book Antiqua" w:hAnsi="Book Antiqua"/>
          <w:i/>
        </w:rPr>
        <w:t>I</w:t>
      </w:r>
      <w:r w:rsidRPr="001811AC">
        <w:rPr>
          <w:rFonts w:ascii="Book Antiqua" w:hAnsi="Book Antiqua"/>
          <w:i/>
        </w:rPr>
        <w:t>n vitro</w:t>
      </w:r>
      <w:r>
        <w:rPr>
          <w:rFonts w:ascii="Book Antiqua" w:hAnsi="Book Antiqua"/>
        </w:rPr>
        <w:t xml:space="preserve"> research has proved that MSCs are immunosuppressive by their ability to inhibit activated cytotoxic T cells and natural killer cell proliferation, and downregulate B cell proliferation and differentiation.</w:t>
      </w:r>
      <w:r w:rsidRPr="003014C2">
        <w:rPr>
          <w:rFonts w:ascii="Book Antiqua" w:hAnsi="Book Antiqua"/>
          <w:noProof/>
          <w:vertAlign w:val="superscript"/>
        </w:rPr>
        <w:t>21,22</w:t>
      </w:r>
      <w:r>
        <w:rPr>
          <w:rFonts w:ascii="Book Antiqua" w:hAnsi="Book Antiqua"/>
        </w:rPr>
        <w:t xml:space="preserve"> Furthermore, this feature appears to be augmented if an active inflammatory response occurs in the body. Likewise in animal models, MSCs were able to ameliorate or inhibit acute rejection and or prolong allograft survival.</w:t>
      </w:r>
      <w:r w:rsidRPr="003014C2">
        <w:rPr>
          <w:rFonts w:ascii="Book Antiqua" w:hAnsi="Book Antiqua"/>
          <w:noProof/>
          <w:vertAlign w:val="superscript"/>
        </w:rPr>
        <w:t>22,23</w:t>
      </w:r>
      <w:r>
        <w:rPr>
          <w:rFonts w:ascii="Book Antiqua" w:hAnsi="Book Antiqua"/>
        </w:rPr>
        <w:t xml:space="preserve"> An explanation for this would be the ability of MSCs to downregulate CD86 and MHC class II to consequently impair the ability of macrophages to activate the antigen-specific CD4+ T cells.</w:t>
      </w:r>
      <w:r w:rsidRPr="009B0351">
        <w:rPr>
          <w:rFonts w:ascii="Book Antiqua" w:hAnsi="Book Antiqua"/>
          <w:noProof/>
          <w:vertAlign w:val="superscript"/>
        </w:rPr>
        <w:t>24</w:t>
      </w:r>
      <w:r>
        <w:rPr>
          <w:rFonts w:ascii="Book Antiqua" w:hAnsi="Book Antiqua"/>
        </w:rPr>
        <w:t xml:space="preserve"> </w:t>
      </w:r>
    </w:p>
    <w:p w14:paraId="41BC68BC" w14:textId="77777777" w:rsidR="002729A9" w:rsidRDefault="002729A9" w:rsidP="00EE712B">
      <w:pPr>
        <w:spacing w:line="360" w:lineRule="auto"/>
        <w:jc w:val="both"/>
        <w:rPr>
          <w:rFonts w:ascii="Book Antiqua" w:hAnsi="Book Antiqua"/>
        </w:rPr>
      </w:pPr>
    </w:p>
    <w:p w14:paraId="740ADD6B" w14:textId="77777777" w:rsidR="002729A9" w:rsidRDefault="002729A9" w:rsidP="00EE712B">
      <w:pPr>
        <w:spacing w:line="360" w:lineRule="auto"/>
        <w:jc w:val="both"/>
        <w:rPr>
          <w:rFonts w:ascii="Book Antiqua" w:hAnsi="Book Antiqua"/>
        </w:rPr>
      </w:pPr>
      <w:r>
        <w:rPr>
          <w:rFonts w:ascii="Book Antiqua" w:hAnsi="Book Antiqua"/>
        </w:rPr>
        <w:t>More recently, it has been discovered that human bone marrow-derived MSCs express toll-like receptors (TLR) 3 and 4.</w:t>
      </w:r>
      <w:r w:rsidRPr="00BD2C6E">
        <w:rPr>
          <w:rFonts w:ascii="Book Antiqua" w:hAnsi="Book Antiqua"/>
          <w:noProof/>
          <w:vertAlign w:val="superscript"/>
        </w:rPr>
        <w:t>25</w:t>
      </w:r>
      <w:r>
        <w:rPr>
          <w:rFonts w:ascii="Book Antiqua" w:hAnsi="Book Antiqua"/>
        </w:rPr>
        <w:t xml:space="preserve"> These TLR are involved in danger signals that certain cells produce after they have been invaded by microorganisms, endotoxins or certain nucleic acids, activating the inflammatory cascade and preventing the suppression of T cell proliferation. Therefore, MSCs have the potential for both inhibitory and stimulatory effects on the immune system.</w:t>
      </w:r>
    </w:p>
    <w:p w14:paraId="5FDD4C01" w14:textId="77777777" w:rsidR="002729A9" w:rsidRDefault="002729A9" w:rsidP="00EE712B">
      <w:pPr>
        <w:spacing w:line="360" w:lineRule="auto"/>
        <w:jc w:val="both"/>
        <w:rPr>
          <w:rFonts w:ascii="Book Antiqua" w:hAnsi="Book Antiqua"/>
        </w:rPr>
      </w:pPr>
    </w:p>
    <w:p w14:paraId="47B99F33" w14:textId="77777777" w:rsidR="002729A9" w:rsidRDefault="002729A9" w:rsidP="00EE712B">
      <w:pPr>
        <w:spacing w:line="360" w:lineRule="auto"/>
        <w:jc w:val="both"/>
        <w:rPr>
          <w:rFonts w:ascii="Book Antiqua" w:hAnsi="Book Antiqua"/>
        </w:rPr>
      </w:pPr>
      <w:r w:rsidRPr="00765F8A">
        <w:rPr>
          <w:rStyle w:val="Heading4Char"/>
        </w:rPr>
        <w:t>Anti-inflammatory properties of MSCs.</w:t>
      </w:r>
      <w:r>
        <w:rPr>
          <w:rFonts w:ascii="Book Antiqua" w:hAnsi="Book Antiqua"/>
        </w:rPr>
        <w:t xml:space="preserve"> During acute inflammation, the body produces both pro-inflammatory and anti-inflammatory cytokines (mainly, interleukins </w:t>
      </w:r>
      <w:r>
        <w:rPr>
          <w:rFonts w:ascii="Lucida Grande" w:hAnsi="Lucida Grande" w:cs="Lucida Grande"/>
        </w:rPr>
        <w:t>β</w:t>
      </w:r>
      <w:r>
        <w:rPr>
          <w:rFonts w:ascii="Book Antiqua" w:hAnsi="Book Antiqua"/>
        </w:rPr>
        <w:t>1 [IL-</w:t>
      </w:r>
      <w:r>
        <w:rPr>
          <w:rFonts w:ascii="Lucida Grande" w:hAnsi="Lucida Grande" w:cs="Lucida Grande"/>
        </w:rPr>
        <w:t>β</w:t>
      </w:r>
      <w:r>
        <w:rPr>
          <w:rFonts w:ascii="Book Antiqua" w:hAnsi="Book Antiqua"/>
        </w:rPr>
        <w:t xml:space="preserve">1] and 6 [IL-6], and tumor necrosis factor </w:t>
      </w:r>
      <w:r w:rsidRPr="00936594">
        <w:rPr>
          <w:color w:val="000000"/>
        </w:rPr>
        <w:t>α</w:t>
      </w:r>
      <w:r>
        <w:rPr>
          <w:rFonts w:ascii="Book Antiqua" w:hAnsi="Book Antiqua"/>
        </w:rPr>
        <w:t xml:space="preserve"> [</w:t>
      </w:r>
      <w:r>
        <w:rPr>
          <w:color w:val="000000"/>
        </w:rPr>
        <w:t>TNF</w:t>
      </w:r>
      <w:r w:rsidRPr="00936594">
        <w:rPr>
          <w:color w:val="000000"/>
        </w:rPr>
        <w:t>α</w:t>
      </w:r>
      <w:r>
        <w:rPr>
          <w:color w:val="000000"/>
        </w:rPr>
        <w:t>]</w:t>
      </w:r>
      <w:r w:rsidRPr="00936594">
        <w:rPr>
          <w:rFonts w:ascii="Book Antiqua" w:hAnsi="Book Antiqua"/>
        </w:rPr>
        <w:t xml:space="preserve">) </w:t>
      </w:r>
      <w:r>
        <w:rPr>
          <w:rFonts w:ascii="Book Antiqua" w:hAnsi="Book Antiqua"/>
        </w:rPr>
        <w:t xml:space="preserve">and other factors </w:t>
      </w:r>
      <w:r w:rsidRPr="00936594">
        <w:rPr>
          <w:rFonts w:ascii="Book Antiqua" w:hAnsi="Book Antiqua"/>
        </w:rPr>
        <w:t>in</w:t>
      </w:r>
      <w:r>
        <w:rPr>
          <w:rFonts w:ascii="Book Antiqua" w:hAnsi="Book Antiqua"/>
        </w:rPr>
        <w:t xml:space="preserve"> an attempt to defend itself from the insult, but also to enhance healing. Over-production of pro-inflammatory factors produces undesirable effects in the body, because it results in an exaggerated inflammatory response. There are reports of MSCs being able to counteract the effects of inflammation. Mesenchymal stromal cells are capable of upregulating TGF-</w:t>
      </w:r>
      <w:r>
        <w:rPr>
          <w:rFonts w:ascii="Lucida Grande" w:hAnsi="Lucida Grande" w:cs="Lucida Grande"/>
        </w:rPr>
        <w:t>β</w:t>
      </w:r>
      <w:r>
        <w:rPr>
          <w:rFonts w:ascii="Book Antiqua" w:hAnsi="Book Antiqua"/>
        </w:rPr>
        <w:t>1, an anti-inflammatory cytokine, shifting the macrophage phenotype from M1 (inflammatory) to M2 (anti-inflammatory), secreting superoxide dismutase, an enzyme that helps reduce oxidative stress, stimulating the synthesis of other chemokines or growth factors, and recruiting other cells to the site of injury.</w:t>
      </w:r>
      <w:r w:rsidRPr="00BD2C6E">
        <w:rPr>
          <w:rFonts w:ascii="Book Antiqua" w:hAnsi="Book Antiqua"/>
          <w:noProof/>
          <w:vertAlign w:val="superscript"/>
        </w:rPr>
        <w:t>26-29</w:t>
      </w:r>
      <w:r w:rsidRPr="00F36AE4">
        <w:rPr>
          <w:rFonts w:ascii="Book Antiqua" w:hAnsi="Book Antiqua"/>
        </w:rPr>
        <w:t xml:space="preserve"> </w:t>
      </w:r>
      <w:r>
        <w:rPr>
          <w:rFonts w:ascii="Book Antiqua" w:hAnsi="Book Antiqua"/>
        </w:rPr>
        <w:t xml:space="preserve">On the other hand, MSCs are able to over produce prostaglandin E2 at levels that would suppress the synthesis of the pro-inflammatory cytokines IL-6, </w:t>
      </w:r>
      <w:r>
        <w:rPr>
          <w:color w:val="000000"/>
        </w:rPr>
        <w:t>TNF</w:t>
      </w:r>
      <w:r w:rsidRPr="00936594">
        <w:rPr>
          <w:color w:val="000000"/>
        </w:rPr>
        <w:t>α</w:t>
      </w:r>
      <w:r>
        <w:rPr>
          <w:color w:val="000000"/>
        </w:rPr>
        <w:t xml:space="preserve"> and NF-</w:t>
      </w:r>
      <w:r w:rsidRPr="0068434B">
        <w:rPr>
          <w:color w:val="000000"/>
        </w:rPr>
        <w:t>κ</w:t>
      </w:r>
      <w:r>
        <w:rPr>
          <w:color w:val="000000"/>
        </w:rPr>
        <w:t>B.</w:t>
      </w:r>
      <w:r w:rsidRPr="00BD2C6E">
        <w:rPr>
          <w:noProof/>
          <w:color w:val="000000"/>
          <w:vertAlign w:val="superscript"/>
        </w:rPr>
        <w:t>24,25</w:t>
      </w:r>
    </w:p>
    <w:p w14:paraId="371D4364" w14:textId="77777777" w:rsidR="002729A9" w:rsidRDefault="002729A9" w:rsidP="00EE712B">
      <w:pPr>
        <w:spacing w:line="360" w:lineRule="auto"/>
        <w:jc w:val="both"/>
        <w:rPr>
          <w:rFonts w:ascii="Book Antiqua" w:hAnsi="Book Antiqua"/>
        </w:rPr>
      </w:pPr>
    </w:p>
    <w:p w14:paraId="78AF2153" w14:textId="77777777" w:rsidR="002729A9" w:rsidRDefault="002729A9" w:rsidP="00EE712B">
      <w:pPr>
        <w:spacing w:line="360" w:lineRule="auto"/>
        <w:jc w:val="both"/>
        <w:rPr>
          <w:rFonts w:ascii="Book Antiqua" w:hAnsi="Book Antiqua"/>
        </w:rPr>
      </w:pPr>
      <w:r>
        <w:rPr>
          <w:rFonts w:ascii="Book Antiqua" w:hAnsi="Book Antiqua"/>
        </w:rPr>
        <w:t>Additionally, MSCs are capable of migrating and homing into injured tissues and even though the mechanisms have not been discovered yet, it is thought that tyrosine kinase and TLR-3 receptors might mediate their activity.</w:t>
      </w:r>
      <w:r w:rsidRPr="00DB507A">
        <w:rPr>
          <w:rFonts w:ascii="Book Antiqua" w:hAnsi="Book Antiqua"/>
          <w:noProof/>
          <w:vertAlign w:val="superscript"/>
        </w:rPr>
        <w:t>25,30</w:t>
      </w:r>
    </w:p>
    <w:p w14:paraId="719E70B9" w14:textId="77777777" w:rsidR="002729A9" w:rsidRDefault="002729A9" w:rsidP="00EE712B">
      <w:pPr>
        <w:spacing w:line="360" w:lineRule="auto"/>
        <w:jc w:val="both"/>
        <w:rPr>
          <w:rFonts w:ascii="Book Antiqua" w:hAnsi="Book Antiqua"/>
        </w:rPr>
      </w:pPr>
    </w:p>
    <w:p w14:paraId="665767E9" w14:textId="77777777" w:rsidR="002729A9" w:rsidRDefault="002729A9" w:rsidP="00EE712B">
      <w:pPr>
        <w:spacing w:line="360" w:lineRule="auto"/>
        <w:jc w:val="both"/>
        <w:rPr>
          <w:rFonts w:ascii="Book Antiqua" w:hAnsi="Book Antiqua"/>
        </w:rPr>
      </w:pPr>
      <w:r w:rsidRPr="00765F8A">
        <w:rPr>
          <w:rStyle w:val="Heading4Char"/>
        </w:rPr>
        <w:t>Paracrine influence of MSCs in tissue regeneration.</w:t>
      </w:r>
      <w:r>
        <w:rPr>
          <w:rFonts w:ascii="Book Antiqua" w:hAnsi="Book Antiqua"/>
        </w:rPr>
        <w:t xml:space="preserve"> It is alleged that MSCs enhance tissue regeneration not only by their ability to stimulate endogenous progenitor or stem cells or to differentiate into cells of other lineages, but also in an indirect manner by secreting growth factors which are involved in neo-vascularization and tissue protection (i.e. reducing oxidative stress), and by inhibiting the host’s immune response after transplantation and promotion of healing. </w:t>
      </w:r>
    </w:p>
    <w:p w14:paraId="423A357A" w14:textId="77777777" w:rsidR="002729A9" w:rsidRDefault="002729A9" w:rsidP="00EE712B">
      <w:pPr>
        <w:spacing w:line="360" w:lineRule="auto"/>
        <w:jc w:val="both"/>
        <w:rPr>
          <w:rFonts w:ascii="Book Antiqua" w:hAnsi="Book Antiqua"/>
        </w:rPr>
      </w:pPr>
    </w:p>
    <w:p w14:paraId="4E226F5F" w14:textId="77777777" w:rsidR="002729A9" w:rsidRDefault="002729A9" w:rsidP="00EE712B">
      <w:pPr>
        <w:spacing w:line="360" w:lineRule="auto"/>
        <w:jc w:val="both"/>
        <w:rPr>
          <w:rFonts w:ascii="Book Antiqua" w:hAnsi="Book Antiqua"/>
        </w:rPr>
      </w:pPr>
      <w:r>
        <w:rPr>
          <w:rFonts w:ascii="Book Antiqua" w:hAnsi="Book Antiqua"/>
        </w:rPr>
        <w:t>Growth factors are extra-cellular macromolecules that influence the function of target cells by binding to a cell surface receptor. Similarly, direct cell membrane-to-cell membrane contact mediated by adhesion molecules might also influence the function of other cells.</w:t>
      </w:r>
      <w:r w:rsidRPr="00736A24">
        <w:rPr>
          <w:rFonts w:ascii="Book Antiqua" w:hAnsi="Book Antiqua"/>
          <w:noProof/>
          <w:vertAlign w:val="superscript"/>
        </w:rPr>
        <w:t>31</w:t>
      </w:r>
      <w:r>
        <w:rPr>
          <w:rFonts w:ascii="Book Antiqua" w:hAnsi="Book Antiqua"/>
        </w:rPr>
        <w:t xml:space="preserve"> For example, MSCs are known to secrete insulin-like growth factor 1 (ILGF-1), vascular endothelial growth factor (VEGF), fibroblast growth factor-2 (fGF-2), platelet-derived growth factor (pdGF), nerve growth factor (NGF), hepatocyte growth factor (hGF), and several interleukins (IL).</w:t>
      </w:r>
      <w:r w:rsidRPr="00736A24">
        <w:rPr>
          <w:rFonts w:ascii="Book Antiqua" w:hAnsi="Book Antiqua"/>
          <w:noProof/>
          <w:vertAlign w:val="superscript"/>
        </w:rPr>
        <w:t>15,26,32-34</w:t>
      </w:r>
      <w:r>
        <w:rPr>
          <w:rFonts w:ascii="Book Antiqua" w:hAnsi="Book Antiqua"/>
        </w:rPr>
        <w:t xml:space="preserve"> The secretion of these factors is triggered by different stimuli, such as hypoxia, ischemia, and free radicals.</w:t>
      </w:r>
    </w:p>
    <w:p w14:paraId="1A17787D" w14:textId="77777777" w:rsidR="002729A9" w:rsidRDefault="002729A9" w:rsidP="00EE712B">
      <w:pPr>
        <w:spacing w:line="360" w:lineRule="auto"/>
        <w:jc w:val="both"/>
        <w:rPr>
          <w:rFonts w:ascii="Book Antiqua" w:hAnsi="Book Antiqua"/>
        </w:rPr>
      </w:pPr>
    </w:p>
    <w:p w14:paraId="1176193F" w14:textId="77777777" w:rsidR="002729A9" w:rsidRDefault="002729A9" w:rsidP="00EE712B">
      <w:pPr>
        <w:spacing w:line="360" w:lineRule="auto"/>
        <w:jc w:val="both"/>
        <w:rPr>
          <w:rFonts w:ascii="Book Antiqua" w:hAnsi="Book Antiqua"/>
        </w:rPr>
      </w:pPr>
      <w:r>
        <w:rPr>
          <w:rFonts w:ascii="Book Antiqua" w:hAnsi="Book Antiqua"/>
        </w:rPr>
        <w:t>The direct and indirect effects of MSCs are vast and still incompletely understood. Research performed in laboratory animals for nervous system diseases such as Alzheimer’s disease, spinal cord injuries, or peripheral nerve injuries has demonstrated that the transplantation of MSCs provide neuroprotective effects by reducing neuronal sensitivity to glutamate, reducing oxidative stress and apoptosis, inhibiting the production of extracellular matrix, and by stimulating the synthesis of growth factors needed for regeneration.</w:t>
      </w:r>
      <w:r w:rsidRPr="00736A24">
        <w:rPr>
          <w:rFonts w:ascii="Book Antiqua" w:hAnsi="Book Antiqua"/>
          <w:noProof/>
          <w:vertAlign w:val="superscript"/>
        </w:rPr>
        <w:t>26,35,36</w:t>
      </w:r>
    </w:p>
    <w:p w14:paraId="7AB34473" w14:textId="77777777" w:rsidR="002729A9" w:rsidRDefault="002729A9" w:rsidP="00EE712B">
      <w:pPr>
        <w:spacing w:line="360" w:lineRule="auto"/>
        <w:jc w:val="both"/>
        <w:rPr>
          <w:rFonts w:ascii="Book Antiqua" w:hAnsi="Book Antiqua"/>
        </w:rPr>
      </w:pPr>
    </w:p>
    <w:p w14:paraId="4A55E351" w14:textId="77777777" w:rsidR="002729A9" w:rsidRDefault="002729A9" w:rsidP="00EE712B">
      <w:pPr>
        <w:spacing w:line="360" w:lineRule="auto"/>
        <w:jc w:val="both"/>
        <w:rPr>
          <w:rFonts w:ascii="Book Antiqua" w:hAnsi="Book Antiqua"/>
        </w:rPr>
      </w:pPr>
    </w:p>
    <w:p w14:paraId="5BFE77DC" w14:textId="77777777" w:rsidR="002729A9" w:rsidRPr="008D5224" w:rsidRDefault="002729A9" w:rsidP="00EE712B">
      <w:pPr>
        <w:spacing w:line="360" w:lineRule="auto"/>
        <w:jc w:val="both"/>
        <w:rPr>
          <w:rFonts w:ascii="Book Antiqua" w:hAnsi="Book Antiqua"/>
        </w:rPr>
      </w:pPr>
    </w:p>
    <w:p w14:paraId="4C49202B" w14:textId="77777777" w:rsidR="002729A9" w:rsidRDefault="002729A9" w:rsidP="00EE712B">
      <w:pPr>
        <w:pStyle w:val="Heading3"/>
        <w:rPr>
          <w:u w:val="single"/>
        </w:rPr>
      </w:pPr>
      <w:bookmarkStart w:id="18" w:name="_Toc269902113"/>
      <w:bookmarkStart w:id="19" w:name="_Toc269902356"/>
      <w:bookmarkStart w:id="20" w:name="_Toc274387720"/>
      <w:r w:rsidRPr="00627DBE">
        <w:t>Cell plasticity of MSCs.</w:t>
      </w:r>
      <w:bookmarkEnd w:id="20"/>
    </w:p>
    <w:p w14:paraId="2C63E505" w14:textId="77777777" w:rsidR="002729A9" w:rsidRDefault="002729A9" w:rsidP="00EE712B">
      <w:pPr>
        <w:pStyle w:val="Heading3"/>
        <w:rPr>
          <w:b w:val="0"/>
          <w:i w:val="0"/>
          <w:u w:val="single"/>
        </w:rPr>
      </w:pPr>
    </w:p>
    <w:p w14:paraId="0F55AAAA" w14:textId="77777777" w:rsidR="002729A9" w:rsidRPr="00AC56AE" w:rsidRDefault="002729A9" w:rsidP="006203BD">
      <w:pPr>
        <w:spacing w:line="360" w:lineRule="auto"/>
        <w:jc w:val="both"/>
        <w:rPr>
          <w:rFonts w:ascii="Book Antiqua" w:hAnsi="Book Antiqua"/>
          <w:b/>
          <w:i/>
        </w:rPr>
      </w:pPr>
      <w:r w:rsidRPr="00AC56AE">
        <w:rPr>
          <w:rFonts w:ascii="Book Antiqua" w:hAnsi="Book Antiqua"/>
        </w:rPr>
        <w:t xml:space="preserve">As recognized by the ISCT, MSCs should be capable of acquiring phenotypic markers for osteoblasts, chondrocytes and adipocytes, </w:t>
      </w:r>
      <w:r>
        <w:rPr>
          <w:rFonts w:ascii="Book Antiqua" w:hAnsi="Book Antiqua"/>
        </w:rPr>
        <w:t>under the</w:t>
      </w:r>
      <w:r w:rsidRPr="00AC56AE">
        <w:rPr>
          <w:rFonts w:ascii="Book Antiqua" w:hAnsi="Book Antiqua"/>
        </w:rPr>
        <w:t xml:space="preserve"> proper culture conditions.</w:t>
      </w:r>
      <w:r w:rsidRPr="00AC56AE">
        <w:rPr>
          <w:rFonts w:ascii="Book Antiqua" w:hAnsi="Book Antiqua"/>
          <w:noProof/>
          <w:vertAlign w:val="superscript"/>
        </w:rPr>
        <w:t>37</w:t>
      </w:r>
      <w:r w:rsidRPr="00AC56AE">
        <w:rPr>
          <w:rFonts w:ascii="Book Antiqua" w:hAnsi="Book Antiqua"/>
        </w:rPr>
        <w:t xml:space="preserve"> To demonstrate this, staining with Alizarin Red for osteoblasts, Alcian</w:t>
      </w:r>
      <w:r>
        <w:rPr>
          <w:rFonts w:ascii="Book Antiqua" w:hAnsi="Book Antiqua"/>
        </w:rPr>
        <w:t xml:space="preserve"> Blue for chondrocytes, and Oil-Red-</w:t>
      </w:r>
      <w:r w:rsidRPr="00AC56AE">
        <w:rPr>
          <w:rFonts w:ascii="Book Antiqua" w:hAnsi="Book Antiqua"/>
        </w:rPr>
        <w:t>O for adipocytes should be performed.</w:t>
      </w:r>
      <w:r w:rsidRPr="00AC56AE">
        <w:rPr>
          <w:rFonts w:ascii="Book Antiqua" w:hAnsi="Book Antiqua"/>
          <w:noProof/>
          <w:vertAlign w:val="superscript"/>
        </w:rPr>
        <w:t>10,38</w:t>
      </w:r>
      <w:r w:rsidRPr="00AC56AE">
        <w:rPr>
          <w:rFonts w:ascii="Book Antiqua" w:hAnsi="Book Antiqua"/>
        </w:rPr>
        <w:t xml:space="preserve"> Mesenchymal stromal cells from bone marrow and adipose tissue, however, have also been demonstrated to differentiate into cells from </w:t>
      </w:r>
      <w:r>
        <w:rPr>
          <w:rFonts w:ascii="Book Antiqua" w:hAnsi="Book Antiqua"/>
        </w:rPr>
        <w:t xml:space="preserve">other </w:t>
      </w:r>
      <w:r w:rsidRPr="00AC56AE">
        <w:rPr>
          <w:rFonts w:ascii="Book Antiqua" w:hAnsi="Book Antiqua"/>
        </w:rPr>
        <w:t>mesodermal lineage</w:t>
      </w:r>
      <w:r>
        <w:rPr>
          <w:rFonts w:ascii="Book Antiqua" w:hAnsi="Book Antiqua"/>
        </w:rPr>
        <w:t>s</w:t>
      </w:r>
      <w:r w:rsidRPr="00AC56AE">
        <w:rPr>
          <w:rFonts w:ascii="Book Antiqua" w:hAnsi="Book Antiqua"/>
        </w:rPr>
        <w:t xml:space="preserve"> (i.e. myocytes, cardiac myoblasts, tenocytes, fibroblasts)</w:t>
      </w:r>
      <w:r w:rsidRPr="00AC56AE">
        <w:rPr>
          <w:rFonts w:ascii="Book Antiqua" w:hAnsi="Book Antiqua"/>
          <w:noProof/>
          <w:vertAlign w:val="superscript"/>
        </w:rPr>
        <w:t>39,40</w:t>
      </w:r>
      <w:r w:rsidRPr="00AC56AE">
        <w:rPr>
          <w:rFonts w:ascii="Book Antiqua" w:hAnsi="Book Antiqua"/>
        </w:rPr>
        <w:t xml:space="preserve"> and into cells of extra-mesodermal lineages (i.e. hepatocytes and neuronal cells).</w:t>
      </w:r>
      <w:r w:rsidRPr="00AC56AE">
        <w:rPr>
          <w:rFonts w:ascii="Book Antiqua" w:hAnsi="Book Antiqua"/>
          <w:noProof/>
          <w:vertAlign w:val="superscript"/>
        </w:rPr>
        <w:t>41-43</w:t>
      </w:r>
      <w:r w:rsidRPr="00AC56AE">
        <w:rPr>
          <w:rFonts w:ascii="Book Antiqua" w:hAnsi="Book Antiqua"/>
        </w:rPr>
        <w:t xml:space="preserve"> </w:t>
      </w:r>
      <w:bookmarkEnd w:id="18"/>
      <w:bookmarkEnd w:id="19"/>
    </w:p>
    <w:p w14:paraId="6480F7EC" w14:textId="77777777" w:rsidR="002729A9" w:rsidRPr="00F32BDB" w:rsidRDefault="002729A9" w:rsidP="00EE712B">
      <w:pPr>
        <w:tabs>
          <w:tab w:val="left" w:pos="2221"/>
        </w:tabs>
        <w:spacing w:line="360" w:lineRule="auto"/>
        <w:jc w:val="both"/>
        <w:rPr>
          <w:rFonts w:ascii="Book Antiqua" w:hAnsi="Book Antiqua"/>
        </w:rPr>
      </w:pPr>
      <w:r>
        <w:rPr>
          <w:rFonts w:ascii="Book Antiqua" w:hAnsi="Book Antiqua"/>
        </w:rPr>
        <w:tab/>
      </w:r>
    </w:p>
    <w:p w14:paraId="42B41378" w14:textId="77777777" w:rsidR="002729A9" w:rsidRDefault="002729A9" w:rsidP="00EE712B">
      <w:pPr>
        <w:spacing w:line="360" w:lineRule="auto"/>
        <w:jc w:val="both"/>
        <w:rPr>
          <w:rFonts w:ascii="Book Antiqua" w:hAnsi="Book Antiqua"/>
        </w:rPr>
      </w:pPr>
      <w:r w:rsidRPr="005B1141">
        <w:rPr>
          <w:rStyle w:val="Heading4Char"/>
        </w:rPr>
        <w:t>Neural differentiation</w:t>
      </w:r>
      <w:r w:rsidRPr="00765F8A">
        <w:rPr>
          <w:rStyle w:val="Heading4Char"/>
        </w:rPr>
        <w:t xml:space="preserve"> of MSCs.</w:t>
      </w:r>
      <w:r>
        <w:rPr>
          <w:rFonts w:ascii="Book Antiqua" w:hAnsi="Book Antiqua"/>
        </w:rPr>
        <w:t xml:space="preserve"> </w:t>
      </w:r>
      <w:r w:rsidRPr="008D5224">
        <w:rPr>
          <w:rFonts w:ascii="Book Antiqua" w:hAnsi="Book Antiqua"/>
          <w:i/>
        </w:rPr>
        <w:t>In vitro</w:t>
      </w:r>
      <w:r>
        <w:rPr>
          <w:rFonts w:ascii="Book Antiqua" w:hAnsi="Book Antiqua"/>
        </w:rPr>
        <w:t xml:space="preserve"> research has shown that after induction with specific culture medium MSCs suffer morphological changes, such as</w:t>
      </w:r>
      <w:r w:rsidRPr="00454EB4">
        <w:rPr>
          <w:rFonts w:ascii="Book Antiqua" w:hAnsi="Book Antiqua"/>
        </w:rPr>
        <w:t xml:space="preserve"> </w:t>
      </w:r>
      <w:r>
        <w:rPr>
          <w:rFonts w:ascii="Book Antiqua" w:hAnsi="Book Antiqua"/>
        </w:rPr>
        <w:t>contraction of the cell body and appearance of one or multiple processes, which resemble the phenotype of a cell from neural.</w:t>
      </w:r>
      <w:r w:rsidRPr="00736A24">
        <w:rPr>
          <w:rFonts w:ascii="Book Antiqua" w:hAnsi="Book Antiqua"/>
          <w:noProof/>
          <w:vertAlign w:val="superscript"/>
        </w:rPr>
        <w:t>41,44-48</w:t>
      </w:r>
      <w:r w:rsidRPr="008D5224">
        <w:rPr>
          <w:rFonts w:ascii="Book Antiqua" w:hAnsi="Book Antiqua"/>
        </w:rPr>
        <w:t xml:space="preserve"> </w:t>
      </w:r>
      <w:r>
        <w:rPr>
          <w:rFonts w:ascii="Book Antiqua" w:hAnsi="Book Antiqua"/>
        </w:rPr>
        <w:t>Several researchers refer to these cells as “neuron-like cells” but this term has not been defined by the ISCT. Yet, these cells continue to modify their morphology after the culture medium conditions are further changed.</w:t>
      </w:r>
      <w:r w:rsidRPr="00C13FE2">
        <w:rPr>
          <w:rFonts w:ascii="Book Antiqua" w:hAnsi="Book Antiqua"/>
        </w:rPr>
        <w:t xml:space="preserve"> </w:t>
      </w:r>
      <w:r>
        <w:rPr>
          <w:rFonts w:ascii="Book Antiqua" w:hAnsi="Book Antiqua"/>
        </w:rPr>
        <w:t>For instance, after exposing MSCs to a cytokine cocktail composed mainly of growth factors following previous pre-incubation with beta-mercaptoethanol and all-</w:t>
      </w:r>
      <w:r w:rsidRPr="000E6653">
        <w:rPr>
          <w:rFonts w:ascii="Book Antiqua" w:hAnsi="Book Antiqua"/>
          <w:i/>
        </w:rPr>
        <w:t>trans</w:t>
      </w:r>
      <w:r>
        <w:rPr>
          <w:rFonts w:ascii="Book Antiqua" w:hAnsi="Book Antiqua"/>
        </w:rPr>
        <w:t>-retinoic acid, these cells acquire a different phenotype than the typical fibroblast-like morphology of an undifferentiated MSC; fibroblasts are flat and lack structural assymetry.</w:t>
      </w:r>
      <w:r w:rsidRPr="00736A24">
        <w:rPr>
          <w:rFonts w:ascii="Book Antiqua" w:hAnsi="Book Antiqua"/>
          <w:noProof/>
          <w:vertAlign w:val="superscript"/>
        </w:rPr>
        <w:t>44,49-52</w:t>
      </w:r>
      <w:r>
        <w:rPr>
          <w:rFonts w:ascii="Book Antiqua" w:hAnsi="Book Antiqua"/>
        </w:rPr>
        <w:t xml:space="preserve"> The morphological features that these MSCs acquire after exposure to this media resemble those of a Schwann cell, that is an oval-shaped cell body and bipolar or tripolar extensions, giving an overall spindle shape. Furthermore, these cells are able to express specific protein markers of Schwann cell.</w:t>
      </w:r>
      <w:r w:rsidRPr="00736A24">
        <w:rPr>
          <w:rFonts w:ascii="Book Antiqua" w:hAnsi="Book Antiqua"/>
          <w:noProof/>
          <w:vertAlign w:val="superscript"/>
        </w:rPr>
        <w:t>34,44,50,53</w:t>
      </w:r>
      <w:r>
        <w:rPr>
          <w:rFonts w:ascii="Book Antiqua" w:hAnsi="Book Antiqua"/>
        </w:rPr>
        <w:t xml:space="preserve"> And, most remarkably, models in laboratory animals have demonstrated that the functional properties of these cells after transplantation during spinal cord or peripheral nerve injury promote myelination and axonal regeneration of the spinal cord or injured nerve segments,</w:t>
      </w:r>
      <w:r w:rsidRPr="00736A24">
        <w:rPr>
          <w:rFonts w:ascii="Book Antiqua" w:hAnsi="Book Antiqua"/>
          <w:noProof/>
          <w:vertAlign w:val="superscript"/>
        </w:rPr>
        <w:t>45,48,52,54,55</w:t>
      </w:r>
      <w:r>
        <w:rPr>
          <w:rFonts w:ascii="Book Antiqua" w:hAnsi="Book Antiqua"/>
        </w:rPr>
        <w:t xml:space="preserve"> demonstrating that MSCs have broader plasticity than previously thought.</w:t>
      </w:r>
      <w:r w:rsidRPr="005826B9">
        <w:rPr>
          <w:rFonts w:ascii="Book Antiqua" w:hAnsi="Book Antiqua"/>
        </w:rPr>
        <w:t xml:space="preserve"> </w:t>
      </w:r>
      <w:r>
        <w:rPr>
          <w:rFonts w:ascii="Book Antiqua" w:hAnsi="Book Antiqua"/>
        </w:rPr>
        <w:t>Researchers refer to these cells as “Schwann-like cells”.</w:t>
      </w:r>
    </w:p>
    <w:p w14:paraId="115BAA4E" w14:textId="77777777" w:rsidR="002729A9" w:rsidRDefault="002729A9" w:rsidP="00EE712B">
      <w:pPr>
        <w:spacing w:line="360" w:lineRule="auto"/>
        <w:jc w:val="both"/>
        <w:rPr>
          <w:rFonts w:ascii="Book Antiqua" w:hAnsi="Book Antiqua"/>
        </w:rPr>
      </w:pPr>
    </w:p>
    <w:p w14:paraId="04A11F4C" w14:textId="77777777" w:rsidR="002729A9" w:rsidRDefault="002729A9" w:rsidP="00EE712B">
      <w:pPr>
        <w:spacing w:line="360" w:lineRule="auto"/>
        <w:jc w:val="both"/>
        <w:rPr>
          <w:rFonts w:ascii="Book Antiqua" w:hAnsi="Book Antiqua"/>
        </w:rPr>
      </w:pPr>
      <w:r>
        <w:rPr>
          <w:rFonts w:ascii="Book Antiqua" w:hAnsi="Book Antiqua"/>
        </w:rPr>
        <w:t>The complete mechanisms that mediate the fate of these MSCs towards neural commitment are currently unknown. It has been discovered, however, that there is a transcriptional switch of MSCs towards neuroglial lineage, mediated by beta-mercaptoethanol and all-</w:t>
      </w:r>
      <w:r w:rsidRPr="000E6653">
        <w:rPr>
          <w:rFonts w:ascii="Book Antiqua" w:hAnsi="Book Antiqua"/>
          <w:i/>
        </w:rPr>
        <w:t>trans</w:t>
      </w:r>
      <w:r>
        <w:rPr>
          <w:rFonts w:ascii="Book Antiqua" w:hAnsi="Book Antiqua"/>
        </w:rPr>
        <w:t>-retinoic acid.</w:t>
      </w:r>
      <w:r w:rsidRPr="00736A24">
        <w:rPr>
          <w:rFonts w:ascii="Book Antiqua" w:hAnsi="Book Antiqua"/>
          <w:noProof/>
          <w:vertAlign w:val="superscript"/>
        </w:rPr>
        <w:t>51</w:t>
      </w:r>
      <w:r>
        <w:rPr>
          <w:rFonts w:ascii="Book Antiqua" w:hAnsi="Book Antiqua"/>
        </w:rPr>
        <w:t xml:space="preserve"> Furthermore, there are also pro-neural genes that code for proteins that will eventually determine the fate of progenitor cells and their differentiation.</w:t>
      </w:r>
      <w:r w:rsidRPr="00736A24">
        <w:rPr>
          <w:rFonts w:ascii="Book Antiqua" w:hAnsi="Book Antiqua"/>
          <w:noProof/>
          <w:vertAlign w:val="superscript"/>
        </w:rPr>
        <w:t>56,57</w:t>
      </w:r>
      <w:r>
        <w:rPr>
          <w:rFonts w:ascii="Book Antiqua" w:hAnsi="Book Antiqua"/>
        </w:rPr>
        <w:t xml:space="preserve"> </w:t>
      </w:r>
    </w:p>
    <w:p w14:paraId="343A597D" w14:textId="77777777" w:rsidR="002729A9" w:rsidRDefault="002729A9" w:rsidP="00EE712B">
      <w:pPr>
        <w:spacing w:line="360" w:lineRule="auto"/>
        <w:jc w:val="both"/>
        <w:rPr>
          <w:rFonts w:ascii="Book Antiqua" w:hAnsi="Book Antiqua"/>
        </w:rPr>
      </w:pPr>
    </w:p>
    <w:p w14:paraId="3D87D0B3" w14:textId="77777777" w:rsidR="002729A9" w:rsidRDefault="002729A9" w:rsidP="00EE712B">
      <w:pPr>
        <w:spacing w:line="360" w:lineRule="auto"/>
        <w:jc w:val="both"/>
        <w:rPr>
          <w:rFonts w:ascii="Book Antiqua" w:hAnsi="Book Antiqua"/>
        </w:rPr>
      </w:pPr>
      <w:r>
        <w:rPr>
          <w:rFonts w:ascii="Book Antiqua" w:hAnsi="Book Antiqua"/>
        </w:rPr>
        <w:t>Caution needs to be taken, nevertheless, not to confuse the term “neuron-like cells” with neurons. This term denotes MSCs (mesodermal origin) that were chemically induced for differentiation and acquired certain morphological characteristics, which is unrelated to the development of any of the nervous system cells, including neurons. During embryological development, the neural crest cells migrate in different directions and give rise to various ectodermal and mesodermal cell populations, including neurons, supportive cells of the nervous system (glial cells, Schwann cells, meningeal cells), endocrine cells (adrenal medulla, calcitonin-producing cells, carotid body cells), and mesodermal derivatives (connective and skeletal tissue of the head, smooth muscle cells on large vessels, and dermis of the neck and face). The fate of the neural crest cells depends on where they migrate and stay, but it is thought that some neural crest cells were already committed to their fate, while others are multipotent.</w:t>
      </w:r>
      <w:r w:rsidRPr="00FB65C1">
        <w:rPr>
          <w:rFonts w:ascii="Book Antiqua" w:hAnsi="Book Antiqua"/>
          <w:noProof/>
          <w:vertAlign w:val="superscript"/>
        </w:rPr>
        <w:t>58</w:t>
      </w:r>
      <w:r>
        <w:rPr>
          <w:rFonts w:ascii="Book Antiqua" w:hAnsi="Book Antiqua"/>
        </w:rPr>
        <w:t xml:space="preserve"> The term “neuron-like cell”, consequently, should be avoided when referring to MSCs. A more appropriate terminology should be proposed, but for purposes of this research the term “neuron-like cells” will be replaced with “neural crest-like cells”.</w:t>
      </w:r>
    </w:p>
    <w:p w14:paraId="1E5E3706" w14:textId="77777777" w:rsidR="002729A9" w:rsidRDefault="002729A9" w:rsidP="00EE712B">
      <w:pPr>
        <w:spacing w:line="360" w:lineRule="auto"/>
        <w:jc w:val="both"/>
        <w:rPr>
          <w:rFonts w:ascii="Book Antiqua" w:hAnsi="Book Antiqua"/>
        </w:rPr>
      </w:pPr>
    </w:p>
    <w:p w14:paraId="1F71AC69" w14:textId="77777777" w:rsidR="002729A9" w:rsidRDefault="002729A9" w:rsidP="00EE712B">
      <w:pPr>
        <w:spacing w:line="360" w:lineRule="auto"/>
        <w:jc w:val="both"/>
        <w:rPr>
          <w:rFonts w:ascii="Book Antiqua" w:hAnsi="Book Antiqua"/>
        </w:rPr>
      </w:pPr>
      <w:r w:rsidRPr="00765F8A">
        <w:rPr>
          <w:rStyle w:val="Heading4Char"/>
        </w:rPr>
        <w:t>Schwann cell trans-differentiation of MSCs.</w:t>
      </w:r>
      <w:r>
        <w:rPr>
          <w:rFonts w:ascii="Book Antiqua" w:hAnsi="Book Antiqua"/>
        </w:rPr>
        <w:t xml:space="preserve"> Transdifferentiation implies further commitment or specialization of the cells’ fate in the cascade of neural differentiation, in this case, towards a Schwann cell phenotype. Dezawa </w:t>
      </w:r>
      <w:r w:rsidRPr="00E301D9">
        <w:rPr>
          <w:rFonts w:ascii="Book Antiqua" w:hAnsi="Book Antiqua"/>
          <w:i/>
        </w:rPr>
        <w:t>et al</w:t>
      </w:r>
      <w:r>
        <w:rPr>
          <w:rFonts w:ascii="Book Antiqua" w:hAnsi="Book Antiqua"/>
        </w:rPr>
        <w:t xml:space="preserve"> (2001) described a protocol for the differentiation of MSCs into Schwann-like cells. This protocol involved pre-incubation of the MSCs with beta-mercaptoethanol for 24 h, and all-</w:t>
      </w:r>
      <w:r w:rsidRPr="00E301D9">
        <w:rPr>
          <w:rFonts w:ascii="Book Antiqua" w:hAnsi="Book Antiqua"/>
          <w:i/>
        </w:rPr>
        <w:t>trans</w:t>
      </w:r>
      <w:r>
        <w:rPr>
          <w:rFonts w:ascii="Book Antiqua" w:hAnsi="Book Antiqua"/>
        </w:rPr>
        <w:t>-retinoic acid for 3 days; this was then replaced by a cytokine cocktail containing basic fibroblastic growth factor (bFGF), pdGF, forskolin and heregulin (a type of neuregulin-1), for 7 days.</w:t>
      </w:r>
      <w:r w:rsidRPr="00736A24">
        <w:rPr>
          <w:rFonts w:ascii="Book Antiqua" w:hAnsi="Book Antiqua"/>
          <w:noProof/>
          <w:vertAlign w:val="superscript"/>
        </w:rPr>
        <w:t>52</w:t>
      </w:r>
      <w:r>
        <w:rPr>
          <w:rFonts w:ascii="Book Antiqua" w:hAnsi="Book Antiqua"/>
        </w:rPr>
        <w:t xml:space="preserve"> Other researchers have done some modifications of this protocol.</w:t>
      </w:r>
    </w:p>
    <w:p w14:paraId="66EFF9B4" w14:textId="77777777" w:rsidR="002729A9" w:rsidRDefault="002729A9" w:rsidP="00EE712B">
      <w:pPr>
        <w:spacing w:line="360" w:lineRule="auto"/>
        <w:jc w:val="both"/>
        <w:rPr>
          <w:rFonts w:ascii="Book Antiqua" w:hAnsi="Book Antiqua"/>
        </w:rPr>
      </w:pPr>
    </w:p>
    <w:p w14:paraId="1F4B6C1F" w14:textId="77777777" w:rsidR="002729A9" w:rsidRDefault="002729A9" w:rsidP="00EE712B">
      <w:pPr>
        <w:spacing w:line="360" w:lineRule="auto"/>
        <w:jc w:val="both"/>
        <w:rPr>
          <w:rFonts w:ascii="Book Antiqua" w:hAnsi="Book Antiqua"/>
        </w:rPr>
      </w:pPr>
      <w:r>
        <w:rPr>
          <w:rFonts w:ascii="Book Antiqua" w:hAnsi="Book Antiqua"/>
        </w:rPr>
        <w:t>It has been hypothesized that MAPK signaling is involved in the differentiation of Schwann precursor cells to mature Schwann cells (myelin producing Schwann cells). The combination of some growth factors, such as bFGF and PDGF, stimulate the activation of this MAPK cascade,</w:t>
      </w:r>
      <w:r w:rsidRPr="00FB65C1">
        <w:rPr>
          <w:rFonts w:ascii="Book Antiqua" w:hAnsi="Book Antiqua"/>
          <w:noProof/>
          <w:vertAlign w:val="superscript"/>
        </w:rPr>
        <w:t>59</w:t>
      </w:r>
      <w:r>
        <w:rPr>
          <w:rFonts w:ascii="Book Antiqua" w:hAnsi="Book Antiqua"/>
        </w:rPr>
        <w:t xml:space="preserve"> while the role of forskolin is to upregulate the levels of intracellular cAMP for proliferation.</w:t>
      </w:r>
      <w:r w:rsidRPr="00FB65C1">
        <w:rPr>
          <w:rFonts w:ascii="Book Antiqua" w:hAnsi="Book Antiqua"/>
          <w:noProof/>
          <w:vertAlign w:val="superscript"/>
        </w:rPr>
        <w:t>60</w:t>
      </w:r>
      <w:r>
        <w:rPr>
          <w:rFonts w:ascii="Book Antiqua" w:hAnsi="Book Antiqua"/>
        </w:rPr>
        <w:t xml:space="preserve"> This upregulation of cAMP has additional neuroprotective effects; it retards diffuse axonal damage and has anti-inflammatory and immunomodulatory functions.</w:t>
      </w:r>
      <w:r w:rsidRPr="00FB65C1">
        <w:rPr>
          <w:rFonts w:ascii="Book Antiqua" w:hAnsi="Book Antiqua"/>
          <w:noProof/>
          <w:vertAlign w:val="superscript"/>
        </w:rPr>
        <w:t>61</w:t>
      </w:r>
      <w:r>
        <w:rPr>
          <w:rFonts w:ascii="Book Antiqua" w:hAnsi="Book Antiqua"/>
        </w:rPr>
        <w:t xml:space="preserve"> Other factors, such as Krox-20, activate the myelin genes and thus promote maturation of these Schwann cell precursors;</w:t>
      </w:r>
      <w:r w:rsidRPr="00736A24">
        <w:rPr>
          <w:rFonts w:ascii="Book Antiqua" w:hAnsi="Book Antiqua"/>
          <w:noProof/>
          <w:vertAlign w:val="superscript"/>
        </w:rPr>
        <w:t>46,57</w:t>
      </w:r>
      <w:r>
        <w:rPr>
          <w:rFonts w:ascii="Book Antiqua" w:hAnsi="Book Antiqua"/>
        </w:rPr>
        <w:t xml:space="preserve"> Krox-20 also suppresses the Notch signaling that is involved in proliferation of glial cells, including the Schwann cell precursors.</w:t>
      </w:r>
      <w:r w:rsidRPr="00FB65C1">
        <w:rPr>
          <w:rFonts w:ascii="Book Antiqua" w:hAnsi="Book Antiqua"/>
          <w:noProof/>
          <w:vertAlign w:val="superscript"/>
        </w:rPr>
        <w:t>58,62</w:t>
      </w:r>
      <w:r>
        <w:rPr>
          <w:rFonts w:ascii="Book Antiqua" w:hAnsi="Book Antiqua"/>
        </w:rPr>
        <w:t xml:space="preserve"> Similarly, heregulin influences proliferation, survival and maturation of glial cells, by inducing neural crest cells into Schwann cells via the MAPK cascade.</w:t>
      </w:r>
      <w:r w:rsidRPr="00736A24">
        <w:rPr>
          <w:rFonts w:ascii="Book Antiqua" w:hAnsi="Book Antiqua"/>
          <w:noProof/>
          <w:vertAlign w:val="superscript"/>
        </w:rPr>
        <w:t>57</w:t>
      </w:r>
      <w:r>
        <w:rPr>
          <w:rFonts w:ascii="Book Antiqua" w:hAnsi="Book Antiqua"/>
        </w:rPr>
        <w:t xml:space="preserve">   </w:t>
      </w:r>
    </w:p>
    <w:p w14:paraId="2B7FB329" w14:textId="77777777" w:rsidR="002729A9" w:rsidRDefault="002729A9" w:rsidP="00EE712B">
      <w:pPr>
        <w:spacing w:line="360" w:lineRule="auto"/>
        <w:jc w:val="both"/>
        <w:rPr>
          <w:rFonts w:ascii="Book Antiqua" w:hAnsi="Book Antiqua"/>
        </w:rPr>
      </w:pPr>
    </w:p>
    <w:p w14:paraId="5D08F3D3" w14:textId="77777777" w:rsidR="002729A9" w:rsidRPr="008D5224" w:rsidRDefault="002729A9" w:rsidP="00EE712B">
      <w:pPr>
        <w:numPr>
          <w:ilvl w:val="12"/>
          <w:numId w:val="0"/>
        </w:numPr>
        <w:spacing w:line="360" w:lineRule="auto"/>
        <w:jc w:val="both"/>
        <w:rPr>
          <w:rFonts w:ascii="Book Antiqua" w:hAnsi="Book Antiqua"/>
        </w:rPr>
      </w:pPr>
    </w:p>
    <w:p w14:paraId="3B7ECDE1" w14:textId="77777777" w:rsidR="002729A9" w:rsidRDefault="002729A9" w:rsidP="00EE712B">
      <w:pPr>
        <w:pStyle w:val="Heading2"/>
      </w:pPr>
      <w:bookmarkStart w:id="21" w:name="_Toc269902117"/>
      <w:bookmarkStart w:id="22" w:name="_Toc269902360"/>
      <w:bookmarkStart w:id="23" w:name="_Toc274387721"/>
      <w:r w:rsidRPr="008D5224">
        <w:t>Peripheral nerve injuries in the horse</w:t>
      </w:r>
      <w:bookmarkEnd w:id="21"/>
      <w:bookmarkEnd w:id="22"/>
      <w:bookmarkEnd w:id="23"/>
    </w:p>
    <w:p w14:paraId="0AACFD9E" w14:textId="77777777" w:rsidR="002729A9" w:rsidRDefault="002729A9" w:rsidP="00EE712B">
      <w:pPr>
        <w:spacing w:line="360" w:lineRule="auto"/>
      </w:pPr>
    </w:p>
    <w:p w14:paraId="298A57D0" w14:textId="77777777" w:rsidR="002729A9" w:rsidRPr="00320D3A" w:rsidRDefault="002729A9" w:rsidP="00EE712B">
      <w:pPr>
        <w:spacing w:line="360" w:lineRule="auto"/>
      </w:pPr>
    </w:p>
    <w:p w14:paraId="3B578FFE" w14:textId="77777777" w:rsidR="002729A9" w:rsidRDefault="002729A9" w:rsidP="00EE712B">
      <w:pPr>
        <w:numPr>
          <w:ilvl w:val="12"/>
          <w:numId w:val="0"/>
        </w:numPr>
        <w:spacing w:line="360" w:lineRule="auto"/>
        <w:jc w:val="both"/>
        <w:rPr>
          <w:rFonts w:ascii="Book Antiqua" w:hAnsi="Book Antiqua"/>
        </w:rPr>
      </w:pPr>
      <w:r w:rsidRPr="008D5224">
        <w:rPr>
          <w:rFonts w:ascii="Book Antiqua" w:hAnsi="Book Antiqua"/>
        </w:rPr>
        <w:t>Nerves can be i</w:t>
      </w:r>
      <w:r>
        <w:rPr>
          <w:rFonts w:ascii="Book Antiqua" w:hAnsi="Book Antiqua"/>
        </w:rPr>
        <w:t xml:space="preserve">njured because of trauma, toxicity, </w:t>
      </w:r>
      <w:r w:rsidRPr="008D5224">
        <w:rPr>
          <w:rFonts w:ascii="Book Antiqua" w:hAnsi="Book Antiqua"/>
        </w:rPr>
        <w:t>metabolic, or infectious disease.  Less frequently, degenerati</w:t>
      </w:r>
      <w:r>
        <w:rPr>
          <w:rFonts w:ascii="Book Antiqua" w:hAnsi="Book Antiqua"/>
        </w:rPr>
        <w:t>ve and hereditary disorders</w:t>
      </w:r>
      <w:r w:rsidRPr="008D5224">
        <w:rPr>
          <w:rFonts w:ascii="Book Antiqua" w:hAnsi="Book Antiqua"/>
        </w:rPr>
        <w:t xml:space="preserve"> pose a threat. Trauma to the peripheral nerves can result from thermal or chemical injuries, compression, crus</w:t>
      </w:r>
      <w:r>
        <w:rPr>
          <w:rFonts w:ascii="Book Antiqua" w:hAnsi="Book Antiqua"/>
        </w:rPr>
        <w:t>hing, stretching or transection.</w:t>
      </w:r>
      <w:r w:rsidRPr="00736A24">
        <w:rPr>
          <w:rFonts w:ascii="Book Antiqua" w:hAnsi="Book Antiqua"/>
          <w:noProof/>
          <w:vertAlign w:val="superscript"/>
        </w:rPr>
        <w:t>26,63</w:t>
      </w:r>
      <w:r w:rsidRPr="008D5224">
        <w:rPr>
          <w:rFonts w:ascii="Book Antiqua" w:hAnsi="Book Antiqua"/>
        </w:rPr>
        <w:t xml:space="preserve"> </w:t>
      </w:r>
      <w:r>
        <w:rPr>
          <w:rFonts w:ascii="Book Antiqua" w:hAnsi="Book Antiqua"/>
        </w:rPr>
        <w:t>Following injury</w:t>
      </w:r>
      <w:r w:rsidRPr="008D5224">
        <w:rPr>
          <w:rFonts w:ascii="Book Antiqua" w:hAnsi="Book Antiqua"/>
        </w:rPr>
        <w:t xml:space="preserve"> the blood-nerve barrier permeability increases and a</w:t>
      </w:r>
      <w:r>
        <w:rPr>
          <w:rFonts w:ascii="Book Antiqua" w:hAnsi="Book Antiqua"/>
        </w:rPr>
        <w:t xml:space="preserve"> cascade of events leads to the</w:t>
      </w:r>
      <w:r w:rsidRPr="008D5224">
        <w:rPr>
          <w:rFonts w:ascii="Book Antiqua" w:hAnsi="Book Antiqua"/>
        </w:rPr>
        <w:t xml:space="preserve"> activation of local macrophages</w:t>
      </w:r>
      <w:r>
        <w:rPr>
          <w:rFonts w:ascii="Book Antiqua" w:hAnsi="Book Antiqua"/>
        </w:rPr>
        <w:t xml:space="preserve"> and monocytes</w:t>
      </w:r>
      <w:r w:rsidRPr="008D5224">
        <w:rPr>
          <w:rFonts w:ascii="Book Antiqua" w:hAnsi="Book Antiqua"/>
        </w:rPr>
        <w:t xml:space="preserve"> that </w:t>
      </w:r>
      <w:r>
        <w:rPr>
          <w:rFonts w:ascii="Book Antiqua" w:hAnsi="Book Antiqua"/>
        </w:rPr>
        <w:t>will remove myelin and axon debris, and</w:t>
      </w:r>
      <w:r w:rsidRPr="007F30F1">
        <w:rPr>
          <w:rFonts w:ascii="Book Antiqua" w:hAnsi="Book Antiqua"/>
        </w:rPr>
        <w:t xml:space="preserve"> </w:t>
      </w:r>
      <w:r>
        <w:rPr>
          <w:rFonts w:ascii="Book Antiqua" w:hAnsi="Book Antiqua"/>
        </w:rPr>
        <w:t>to Schwann cell proliferation that will produce neurotrophic factors and extracellular matrix molecules needed for axonal regrowth and re-myelination. This inflammatory response results in Wallerian degeneration in the distal stump of the injured nerve.</w:t>
      </w:r>
      <w:r w:rsidRPr="00FB65C1">
        <w:rPr>
          <w:rFonts w:ascii="Book Antiqua" w:hAnsi="Book Antiqua"/>
          <w:noProof/>
          <w:vertAlign w:val="superscript"/>
        </w:rPr>
        <w:t>26,30,35,46-48,56,58,63,64</w:t>
      </w:r>
      <w:r w:rsidRPr="008D5224">
        <w:rPr>
          <w:rFonts w:ascii="Book Antiqua" w:hAnsi="Book Antiqua"/>
        </w:rPr>
        <w:t xml:space="preserve"> </w:t>
      </w:r>
    </w:p>
    <w:p w14:paraId="293BDD6A" w14:textId="77777777" w:rsidR="002729A9" w:rsidRDefault="002729A9" w:rsidP="00EE712B">
      <w:pPr>
        <w:numPr>
          <w:ilvl w:val="12"/>
          <w:numId w:val="0"/>
        </w:numPr>
        <w:spacing w:line="360" w:lineRule="auto"/>
        <w:jc w:val="both"/>
        <w:rPr>
          <w:rFonts w:ascii="Book Antiqua" w:hAnsi="Book Antiqua"/>
        </w:rPr>
      </w:pPr>
    </w:p>
    <w:p w14:paraId="78A9F2B0"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In veterinary practice, there are numerous peripheral nerve disorders (neuropathies) commonly observed in horses depending on their physical activity, clinical status or environment. Examples of these neuropathies include</w:t>
      </w:r>
      <w:r w:rsidRPr="008D5224">
        <w:rPr>
          <w:rFonts w:ascii="Book Antiqua" w:hAnsi="Book Antiqua"/>
        </w:rPr>
        <w:t xml:space="preserve"> stringhalt, recurrent </w:t>
      </w:r>
      <w:r>
        <w:rPr>
          <w:rFonts w:ascii="Book Antiqua" w:hAnsi="Book Antiqua"/>
        </w:rPr>
        <w:t xml:space="preserve">left </w:t>
      </w:r>
      <w:r w:rsidRPr="008D5224">
        <w:rPr>
          <w:rFonts w:ascii="Book Antiqua" w:hAnsi="Book Antiqua"/>
        </w:rPr>
        <w:t>laryngeal neuropathy</w:t>
      </w:r>
      <w:r>
        <w:rPr>
          <w:rFonts w:ascii="Book Antiqua" w:hAnsi="Book Antiqua"/>
        </w:rPr>
        <w:t xml:space="preserve"> (laryngeal hemiplegia), </w:t>
      </w:r>
      <w:r w:rsidRPr="008D5224">
        <w:rPr>
          <w:rFonts w:ascii="Book Antiqua" w:hAnsi="Book Antiqua"/>
        </w:rPr>
        <w:t>suprascapular nerve injury</w:t>
      </w:r>
      <w:r>
        <w:rPr>
          <w:rFonts w:ascii="Book Antiqua" w:hAnsi="Book Antiqua"/>
        </w:rPr>
        <w:t xml:space="preserve"> (Sweeney), facial, radial and femoral nerve paralysis, and polyneuritis equi (</w:t>
      </w:r>
      <w:r w:rsidRPr="003F1F69">
        <w:rPr>
          <w:rFonts w:ascii="Book Antiqua" w:hAnsi="Book Antiqua"/>
          <w:b/>
        </w:rPr>
        <w:t xml:space="preserve">Figure </w:t>
      </w:r>
      <w:r>
        <w:rPr>
          <w:rFonts w:ascii="Book Antiqua" w:hAnsi="Book Antiqua"/>
          <w:b/>
        </w:rPr>
        <w:t>1.2</w:t>
      </w:r>
      <w:r>
        <w:rPr>
          <w:rFonts w:ascii="Book Antiqua" w:hAnsi="Book Antiqua"/>
        </w:rPr>
        <w:t>). All of these</w:t>
      </w:r>
      <w:r w:rsidRPr="008D5224">
        <w:rPr>
          <w:rFonts w:ascii="Book Antiqua" w:hAnsi="Book Antiqua"/>
        </w:rPr>
        <w:t xml:space="preserve"> are a cause of poor performance and economic loss to the equestrian industry. </w:t>
      </w:r>
      <w:r>
        <w:rPr>
          <w:rFonts w:ascii="Book Antiqua" w:hAnsi="Book Antiqua"/>
        </w:rPr>
        <w:t>Furthermore, h</w:t>
      </w:r>
      <w:r w:rsidRPr="008D5224">
        <w:rPr>
          <w:rFonts w:ascii="Book Antiqua" w:hAnsi="Book Antiqua"/>
        </w:rPr>
        <w:t xml:space="preserve">orses with peripheral nerve disorders are difficult to manage, and clinicians rely primarily on </w:t>
      </w:r>
      <w:r>
        <w:rPr>
          <w:rFonts w:ascii="Book Antiqua" w:hAnsi="Book Antiqua"/>
        </w:rPr>
        <w:t>treating affected horses with</w:t>
      </w:r>
      <w:r w:rsidRPr="008D5224">
        <w:rPr>
          <w:rFonts w:ascii="Book Antiqua" w:hAnsi="Book Antiqua"/>
        </w:rPr>
        <w:t xml:space="preserve"> anti-inflammatory drug</w:t>
      </w:r>
      <w:r>
        <w:rPr>
          <w:rFonts w:ascii="Book Antiqua" w:hAnsi="Book Antiqua"/>
        </w:rPr>
        <w:t>s</w:t>
      </w:r>
      <w:r w:rsidRPr="008D5224">
        <w:rPr>
          <w:rFonts w:ascii="Book Antiqua" w:hAnsi="Book Antiqua"/>
        </w:rPr>
        <w:t xml:space="preserve"> and physical therapy. T</w:t>
      </w:r>
      <w:r>
        <w:rPr>
          <w:rFonts w:ascii="Book Antiqua" w:hAnsi="Book Antiqua"/>
        </w:rPr>
        <w:t>heir t</w:t>
      </w:r>
      <w:r w:rsidRPr="008D5224">
        <w:rPr>
          <w:rFonts w:ascii="Book Antiqua" w:hAnsi="Book Antiqua"/>
        </w:rPr>
        <w:t>reatment</w:t>
      </w:r>
      <w:r>
        <w:rPr>
          <w:rFonts w:ascii="Book Antiqua" w:hAnsi="Book Antiqua"/>
        </w:rPr>
        <w:t xml:space="preserve"> </w:t>
      </w:r>
      <w:r w:rsidRPr="008D5224">
        <w:rPr>
          <w:rFonts w:ascii="Book Antiqua" w:hAnsi="Book Antiqua"/>
        </w:rPr>
        <w:t xml:space="preserve">often results in financial hardship for the owner, and the outcome is usually correlated with the severity of the lesion and the </w:t>
      </w:r>
      <w:r>
        <w:rPr>
          <w:rFonts w:ascii="Book Antiqua" w:hAnsi="Book Antiqua"/>
        </w:rPr>
        <w:t>interval before initiation of</w:t>
      </w:r>
      <w:r w:rsidRPr="008D5224">
        <w:rPr>
          <w:rFonts w:ascii="Book Antiqua" w:hAnsi="Book Antiqua"/>
        </w:rPr>
        <w:t xml:space="preserve"> treatment. The final outcome for the horse is sometimes euthanasia.</w:t>
      </w:r>
    </w:p>
    <w:p w14:paraId="2AD03935" w14:textId="77777777" w:rsidR="002729A9" w:rsidRDefault="002729A9" w:rsidP="00EE712B">
      <w:pPr>
        <w:numPr>
          <w:ilvl w:val="12"/>
          <w:numId w:val="0"/>
        </w:numPr>
        <w:spacing w:line="360" w:lineRule="auto"/>
        <w:jc w:val="both"/>
        <w:rPr>
          <w:rFonts w:ascii="Book Antiqua" w:hAnsi="Book Antiqua"/>
          <w:b/>
        </w:rPr>
      </w:pPr>
    </w:p>
    <w:p w14:paraId="112F760E" w14:textId="77777777" w:rsidR="002729A9" w:rsidRDefault="002729A9" w:rsidP="00EE712B">
      <w:pPr>
        <w:numPr>
          <w:ilvl w:val="12"/>
          <w:numId w:val="0"/>
        </w:numPr>
        <w:spacing w:line="360" w:lineRule="auto"/>
        <w:jc w:val="both"/>
        <w:rPr>
          <w:rFonts w:ascii="Book Antiqua" w:hAnsi="Book Antiqua"/>
        </w:rPr>
      </w:pPr>
      <w:r>
        <w:rPr>
          <w:rFonts w:ascii="Book Antiqua" w:hAnsi="Book Antiqua"/>
          <w:b/>
          <w:noProof/>
        </w:rPr>
        <w:drawing>
          <wp:inline distT="0" distB="0" distL="0" distR="0" wp14:anchorId="7FDD38F1" wp14:editId="64DE7C6B">
            <wp:extent cx="5727700" cy="302895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pter I. Fig 2.jpg"/>
                    <pic:cNvPicPr/>
                  </pic:nvPicPr>
                  <pic:blipFill>
                    <a:blip r:embed="rId11">
                      <a:extLst>
                        <a:ext uri="{28A0092B-C50C-407E-A947-70E740481C1C}">
                          <a14:useLocalDpi xmlns:a14="http://schemas.microsoft.com/office/drawing/2010/main" val="0"/>
                        </a:ext>
                      </a:extLst>
                    </a:blip>
                    <a:stretch>
                      <a:fillRect/>
                    </a:stretch>
                  </pic:blipFill>
                  <pic:spPr>
                    <a:xfrm>
                      <a:off x="0" y="0"/>
                      <a:ext cx="5727700" cy="3028950"/>
                    </a:xfrm>
                    <a:prstGeom prst="rect">
                      <a:avLst/>
                    </a:prstGeom>
                  </pic:spPr>
                </pic:pic>
              </a:graphicData>
            </a:graphic>
          </wp:inline>
        </w:drawing>
      </w:r>
    </w:p>
    <w:p w14:paraId="64D0BBB8" w14:textId="77777777" w:rsidR="002729A9" w:rsidRDefault="002729A9" w:rsidP="00EE712B">
      <w:pPr>
        <w:numPr>
          <w:ilvl w:val="12"/>
          <w:numId w:val="0"/>
        </w:numPr>
        <w:spacing w:line="360" w:lineRule="auto"/>
        <w:jc w:val="both"/>
        <w:rPr>
          <w:rFonts w:ascii="Book Antiqua" w:hAnsi="Book Antiqua"/>
        </w:rPr>
      </w:pPr>
      <w:r w:rsidRPr="00424D00">
        <w:rPr>
          <w:rFonts w:ascii="Book Antiqua" w:hAnsi="Book Antiqua"/>
          <w:b/>
        </w:rPr>
        <w:t xml:space="preserve">Figure </w:t>
      </w:r>
      <w:r>
        <w:rPr>
          <w:rFonts w:ascii="Book Antiqua" w:hAnsi="Book Antiqua"/>
          <w:b/>
        </w:rPr>
        <w:t>2</w:t>
      </w:r>
      <w:r w:rsidRPr="00424D00">
        <w:rPr>
          <w:rFonts w:ascii="Book Antiqua" w:hAnsi="Book Antiqua"/>
          <w:b/>
        </w:rPr>
        <w:t>.</w:t>
      </w:r>
      <w:r>
        <w:rPr>
          <w:rFonts w:ascii="Book Antiqua" w:hAnsi="Book Antiqua"/>
        </w:rPr>
        <w:t xml:space="preserve"> Examples of peripheral nerve disorders in horses. </w:t>
      </w:r>
      <w:r w:rsidRPr="00A977C1">
        <w:rPr>
          <w:rFonts w:ascii="Book Antiqua" w:hAnsi="Book Antiqua"/>
          <w:b/>
        </w:rPr>
        <w:t>a</w:t>
      </w:r>
      <w:r>
        <w:rPr>
          <w:rFonts w:ascii="Book Antiqua" w:hAnsi="Book Antiqua"/>
        </w:rPr>
        <w:t xml:space="preserve">: Endoscopic image of a horse with left laryngeal hemiplegia; note the lack of aperture of the left crycoarytenoid cartilage. Searched on Creative Commons; available at URL: </w:t>
      </w:r>
      <w:r w:rsidRPr="00A3358C">
        <w:rPr>
          <w:rFonts w:ascii="Book Antiqua" w:hAnsi="Book Antiqua"/>
        </w:rPr>
        <w:t xml:space="preserve">http://brindabellaequinevet.com.au/services/endoscopy </w:t>
      </w:r>
      <w:r w:rsidRPr="008A2017">
        <w:rPr>
          <w:rFonts w:ascii="Book Antiqua" w:hAnsi="Book Antiqua"/>
          <w:b/>
        </w:rPr>
        <w:t>b</w:t>
      </w:r>
      <w:r>
        <w:rPr>
          <w:rFonts w:ascii="Book Antiqua" w:hAnsi="Book Antiqua"/>
        </w:rPr>
        <w:t xml:space="preserve">: Horse with spasmodic overflexion of the hock (stringhalt).  Searched on Creative Commons; available at URL: </w:t>
      </w:r>
      <w:r w:rsidRPr="008A2017">
        <w:rPr>
          <w:rFonts w:ascii="Book Antiqua" w:hAnsi="Book Antiqua"/>
        </w:rPr>
        <w:t>http://stringhalt-rehab.blogspot.com/2012/08/week-1-treatment.html</w:t>
      </w:r>
    </w:p>
    <w:p w14:paraId="36BE6A5F" w14:textId="77777777" w:rsidR="002729A9" w:rsidRPr="008D5224" w:rsidRDefault="002729A9" w:rsidP="00EE712B">
      <w:pPr>
        <w:numPr>
          <w:ilvl w:val="12"/>
          <w:numId w:val="0"/>
        </w:numPr>
        <w:spacing w:line="360" w:lineRule="auto"/>
        <w:jc w:val="both"/>
        <w:rPr>
          <w:rFonts w:ascii="Book Antiqua" w:hAnsi="Book Antiqua"/>
        </w:rPr>
      </w:pPr>
    </w:p>
    <w:p w14:paraId="420380E6" w14:textId="77777777" w:rsidR="002729A9" w:rsidRDefault="002729A9" w:rsidP="00EE712B">
      <w:pPr>
        <w:numPr>
          <w:ilvl w:val="12"/>
          <w:numId w:val="0"/>
        </w:numPr>
        <w:spacing w:line="360" w:lineRule="auto"/>
        <w:jc w:val="both"/>
        <w:rPr>
          <w:rFonts w:ascii="Book Antiqua" w:hAnsi="Book Antiqua"/>
        </w:rPr>
      </w:pPr>
    </w:p>
    <w:p w14:paraId="1B74CED9" w14:textId="77777777" w:rsidR="002729A9" w:rsidRDefault="002729A9" w:rsidP="00EE712B">
      <w:pPr>
        <w:pStyle w:val="Heading3"/>
      </w:pPr>
      <w:bookmarkStart w:id="24" w:name="_Toc274387722"/>
      <w:r>
        <w:t>T</w:t>
      </w:r>
      <w:r w:rsidRPr="00320D3A">
        <w:t>y</w:t>
      </w:r>
      <w:r>
        <w:t>pes</w:t>
      </w:r>
      <w:r w:rsidRPr="00320D3A">
        <w:t xml:space="preserve"> of nerve injuries</w:t>
      </w:r>
      <w:bookmarkEnd w:id="24"/>
      <w:r>
        <w:t xml:space="preserve"> </w:t>
      </w:r>
    </w:p>
    <w:p w14:paraId="6B3025C2" w14:textId="77777777" w:rsidR="002729A9" w:rsidRDefault="002729A9" w:rsidP="00EE712B">
      <w:pPr>
        <w:numPr>
          <w:ilvl w:val="12"/>
          <w:numId w:val="0"/>
        </w:numPr>
        <w:spacing w:line="360" w:lineRule="auto"/>
        <w:jc w:val="both"/>
        <w:rPr>
          <w:rFonts w:ascii="Book Antiqua" w:hAnsi="Book Antiqua"/>
        </w:rPr>
      </w:pPr>
    </w:p>
    <w:p w14:paraId="312575E5"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A classification for peripheral nerve injuries based on the severity of damage and nervous components involved was described by Seddon (1943).</w:t>
      </w:r>
      <w:r w:rsidRPr="00736A24">
        <w:rPr>
          <w:rFonts w:ascii="Book Antiqua" w:hAnsi="Book Antiqua"/>
          <w:noProof/>
          <w:vertAlign w:val="superscript"/>
        </w:rPr>
        <w:t>65</w:t>
      </w:r>
      <w:r>
        <w:rPr>
          <w:rFonts w:ascii="Book Antiqua" w:hAnsi="Book Antiqua"/>
        </w:rPr>
        <w:t xml:space="preserve"> The least severe damage to the nerve is called neurapraxia, which is characterized by local ischemia (lack of blood perfusion) and discriminatory demyelination of the myelin sheath; this is reversible and the continuity of the axon itself is intact, thus conduction within the nerve proximal and distal to the lesion remains intact. An example of this is the damage that results from prolonged nerve compression.</w:t>
      </w:r>
    </w:p>
    <w:p w14:paraId="052893C2" w14:textId="77777777" w:rsidR="002729A9" w:rsidRDefault="002729A9" w:rsidP="00EE712B">
      <w:pPr>
        <w:numPr>
          <w:ilvl w:val="12"/>
          <w:numId w:val="0"/>
        </w:numPr>
        <w:spacing w:line="360" w:lineRule="auto"/>
        <w:jc w:val="both"/>
        <w:rPr>
          <w:rFonts w:ascii="Book Antiqua" w:hAnsi="Book Antiqua"/>
        </w:rPr>
      </w:pPr>
    </w:p>
    <w:p w14:paraId="00B92A7C"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The second type of injury is axonotmesis, in which there is disruption of the myelin sheath and the axon. Here, the connective tissue layers surrounding bundles of axons and their associated blood and lymphatic vessels, perineurium</w:t>
      </w:r>
      <w:r w:rsidRPr="00C86173">
        <w:rPr>
          <w:rFonts w:ascii="Book Antiqua" w:hAnsi="Book Antiqua"/>
        </w:rPr>
        <w:t xml:space="preserve"> </w:t>
      </w:r>
      <w:r>
        <w:rPr>
          <w:rFonts w:ascii="Book Antiqua" w:hAnsi="Book Antiqua"/>
        </w:rPr>
        <w:t>and epineurium, remain intact. This injury results in Wallerian degeneration and part of the axon disintegrates distal to the site of injury. Examples of this are nerve damage following displaced fractures and nerve crush injuries.</w:t>
      </w:r>
    </w:p>
    <w:p w14:paraId="5A9F8294" w14:textId="77777777" w:rsidR="002729A9" w:rsidRDefault="002729A9" w:rsidP="00EE712B">
      <w:pPr>
        <w:numPr>
          <w:ilvl w:val="12"/>
          <w:numId w:val="0"/>
        </w:numPr>
        <w:spacing w:line="360" w:lineRule="auto"/>
        <w:jc w:val="both"/>
        <w:rPr>
          <w:rFonts w:ascii="Book Antiqua" w:hAnsi="Book Antiqua"/>
        </w:rPr>
      </w:pPr>
    </w:p>
    <w:p w14:paraId="34615610"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Finally, the most severe type of nerve injury based on this classification is neurotmesis, in which there is complete nerve transection and, therefore, disruption of the axons, myelin and the endoneurium (the immediate connective tissue layer that engulfs axons). This also results in Wallerian degeneration but there is complete transection of the nervous structures. The prognosis for this type of injury is also the poorest, and even with surgical repair and grafting, the results are not always rewarding. This type of injury can be consequence of severe ischemia or nerve transection.</w:t>
      </w:r>
      <w:r w:rsidRPr="00736A24">
        <w:rPr>
          <w:rFonts w:ascii="Book Antiqua" w:hAnsi="Book Antiqua"/>
          <w:noProof/>
          <w:vertAlign w:val="superscript"/>
        </w:rPr>
        <w:t>63</w:t>
      </w:r>
    </w:p>
    <w:p w14:paraId="152F7124" w14:textId="77777777" w:rsidR="002729A9" w:rsidRDefault="002729A9" w:rsidP="00EE712B">
      <w:pPr>
        <w:numPr>
          <w:ilvl w:val="12"/>
          <w:numId w:val="0"/>
        </w:numPr>
        <w:spacing w:line="360" w:lineRule="auto"/>
        <w:jc w:val="both"/>
        <w:rPr>
          <w:rFonts w:ascii="Book Antiqua" w:hAnsi="Book Antiqua"/>
        </w:rPr>
      </w:pPr>
    </w:p>
    <w:p w14:paraId="581436F0" w14:textId="77777777" w:rsidR="002729A9" w:rsidRPr="008D5224" w:rsidRDefault="002729A9" w:rsidP="00EE712B">
      <w:pPr>
        <w:numPr>
          <w:ilvl w:val="12"/>
          <w:numId w:val="0"/>
        </w:numPr>
        <w:spacing w:line="360" w:lineRule="auto"/>
        <w:ind w:firstLine="720"/>
        <w:jc w:val="both"/>
        <w:rPr>
          <w:rFonts w:ascii="Book Antiqua" w:hAnsi="Book Antiqua"/>
        </w:rPr>
      </w:pPr>
    </w:p>
    <w:p w14:paraId="1A8C6C42" w14:textId="77777777" w:rsidR="002729A9" w:rsidRPr="008D5224" w:rsidRDefault="002729A9" w:rsidP="00EE712B">
      <w:pPr>
        <w:pStyle w:val="Heading3"/>
      </w:pPr>
      <w:bookmarkStart w:id="25" w:name="_Toc269902118"/>
      <w:bookmarkStart w:id="26" w:name="_Toc269902361"/>
      <w:bookmarkStart w:id="27" w:name="_Toc274387723"/>
      <w:r w:rsidRPr="008D5224">
        <w:t>The role of Schwann cells in peripheral nerve injuries</w:t>
      </w:r>
      <w:bookmarkEnd w:id="25"/>
      <w:bookmarkEnd w:id="26"/>
      <w:bookmarkEnd w:id="27"/>
    </w:p>
    <w:p w14:paraId="1821D601" w14:textId="77777777" w:rsidR="002729A9" w:rsidRPr="008D5224" w:rsidRDefault="002729A9" w:rsidP="00EE712B">
      <w:pPr>
        <w:numPr>
          <w:ilvl w:val="12"/>
          <w:numId w:val="0"/>
        </w:numPr>
        <w:spacing w:line="360" w:lineRule="auto"/>
        <w:ind w:firstLine="720"/>
        <w:jc w:val="both"/>
        <w:rPr>
          <w:rFonts w:ascii="Book Antiqua" w:hAnsi="Book Antiqua"/>
        </w:rPr>
      </w:pPr>
    </w:p>
    <w:p w14:paraId="651B966A"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In the PNS, the Schwann cells are glial cells that produce myelin, which is indispensable for fast conduction of nerve impulses. These cells additionally support axonal regeneration by the provision of several neurotrophic factors, hence, contributing to the creation of a microenvironment that is able to nourish, attract and stimulate other cells to aid in nerve protection and regeneration after an injury.</w:t>
      </w:r>
      <w:r w:rsidRPr="00736A24">
        <w:rPr>
          <w:rFonts w:ascii="Book Antiqua" w:hAnsi="Book Antiqua"/>
          <w:noProof/>
          <w:vertAlign w:val="superscript"/>
        </w:rPr>
        <w:t>35,66</w:t>
      </w:r>
    </w:p>
    <w:p w14:paraId="6E66473B" w14:textId="77777777" w:rsidR="002729A9" w:rsidRDefault="002729A9" w:rsidP="00EE712B">
      <w:pPr>
        <w:numPr>
          <w:ilvl w:val="12"/>
          <w:numId w:val="0"/>
        </w:numPr>
        <w:spacing w:line="360" w:lineRule="auto"/>
        <w:jc w:val="both"/>
        <w:rPr>
          <w:rFonts w:ascii="Book Antiqua" w:hAnsi="Book Antiqua"/>
        </w:rPr>
      </w:pPr>
    </w:p>
    <w:p w14:paraId="64C7A3C2" w14:textId="77777777" w:rsidR="002729A9" w:rsidRPr="008D5224" w:rsidRDefault="002729A9" w:rsidP="00EE712B">
      <w:pPr>
        <w:numPr>
          <w:ilvl w:val="12"/>
          <w:numId w:val="0"/>
        </w:numPr>
        <w:spacing w:line="360" w:lineRule="auto"/>
        <w:jc w:val="both"/>
        <w:rPr>
          <w:rFonts w:ascii="Book Antiqua" w:hAnsi="Book Antiqua"/>
        </w:rPr>
      </w:pPr>
      <w:r w:rsidRPr="008D5224">
        <w:rPr>
          <w:rFonts w:ascii="Book Antiqua" w:hAnsi="Book Antiqua"/>
        </w:rPr>
        <w:t xml:space="preserve">As </w:t>
      </w:r>
      <w:r>
        <w:rPr>
          <w:rFonts w:ascii="Book Antiqua" w:hAnsi="Book Antiqua"/>
        </w:rPr>
        <w:t xml:space="preserve">is the case for </w:t>
      </w:r>
      <w:r w:rsidRPr="008D5224">
        <w:rPr>
          <w:rFonts w:ascii="Book Antiqua" w:hAnsi="Book Antiqua"/>
        </w:rPr>
        <w:t xml:space="preserve">other types of cells, there </w:t>
      </w:r>
      <w:r>
        <w:rPr>
          <w:rFonts w:ascii="Book Antiqua" w:hAnsi="Book Antiqua"/>
        </w:rPr>
        <w:t>is not a sole marker for identifying</w:t>
      </w:r>
      <w:r w:rsidRPr="008D5224">
        <w:rPr>
          <w:rFonts w:ascii="Book Antiqua" w:hAnsi="Book Antiqua"/>
        </w:rPr>
        <w:t xml:space="preserve"> Schwann cells; a combination of </w:t>
      </w:r>
      <w:r>
        <w:rPr>
          <w:rFonts w:ascii="Book Antiqua" w:hAnsi="Book Antiqua"/>
        </w:rPr>
        <w:t>known</w:t>
      </w:r>
      <w:r w:rsidRPr="008D5224">
        <w:rPr>
          <w:rFonts w:ascii="Book Antiqua" w:hAnsi="Book Antiqua"/>
        </w:rPr>
        <w:t xml:space="preserve"> markers along with functional studies is preferred before inferring conclusions on the ability of MSCs to differentiate into Schwann-like cells. </w:t>
      </w:r>
      <w:r>
        <w:rPr>
          <w:rFonts w:ascii="Book Antiqua" w:hAnsi="Book Antiqua"/>
        </w:rPr>
        <w:t>M</w:t>
      </w:r>
      <w:r w:rsidRPr="008D5224">
        <w:rPr>
          <w:rFonts w:ascii="Book Antiqua" w:hAnsi="Book Antiqua"/>
        </w:rPr>
        <w:t xml:space="preserve">arkers </w:t>
      </w:r>
      <w:r>
        <w:rPr>
          <w:rFonts w:ascii="Book Antiqua" w:hAnsi="Book Antiqua"/>
        </w:rPr>
        <w:t>frequently used for the identification of</w:t>
      </w:r>
      <w:r w:rsidRPr="008D5224">
        <w:rPr>
          <w:rFonts w:ascii="Book Antiqua" w:hAnsi="Book Antiqua"/>
        </w:rPr>
        <w:t xml:space="preserve"> Schwann cells are S1</w:t>
      </w:r>
      <w:r>
        <w:rPr>
          <w:rFonts w:ascii="Book Antiqua" w:hAnsi="Book Antiqua"/>
        </w:rPr>
        <w:t>00, p75, Krox20, CD104, and glial fibrillary acidic protein (GFAP)</w:t>
      </w:r>
      <w:r w:rsidRPr="008D5224">
        <w:rPr>
          <w:rFonts w:ascii="Book Antiqua" w:hAnsi="Book Antiqua"/>
        </w:rPr>
        <w:t>.</w:t>
      </w:r>
      <w:r w:rsidRPr="00736A24">
        <w:rPr>
          <w:rFonts w:ascii="Book Antiqua" w:hAnsi="Book Antiqua"/>
          <w:noProof/>
          <w:vertAlign w:val="superscript"/>
        </w:rPr>
        <w:t>46,49,50,56</w:t>
      </w:r>
    </w:p>
    <w:p w14:paraId="59E23718" w14:textId="77777777" w:rsidR="002729A9" w:rsidRDefault="002729A9" w:rsidP="00EE712B">
      <w:pPr>
        <w:numPr>
          <w:ilvl w:val="12"/>
          <w:numId w:val="0"/>
        </w:numPr>
        <w:spacing w:line="360" w:lineRule="auto"/>
        <w:jc w:val="both"/>
        <w:rPr>
          <w:rFonts w:ascii="Book Antiqua" w:hAnsi="Book Antiqua"/>
        </w:rPr>
      </w:pPr>
    </w:p>
    <w:p w14:paraId="566889F4" w14:textId="77777777" w:rsidR="002729A9" w:rsidRDefault="002729A9" w:rsidP="00EE712B">
      <w:pPr>
        <w:numPr>
          <w:ilvl w:val="12"/>
          <w:numId w:val="0"/>
        </w:numPr>
        <w:spacing w:line="360" w:lineRule="auto"/>
        <w:jc w:val="both"/>
        <w:rPr>
          <w:rFonts w:ascii="Book Antiqua" w:hAnsi="Book Antiqua"/>
        </w:rPr>
      </w:pPr>
      <w:r w:rsidRPr="008D5224">
        <w:rPr>
          <w:rFonts w:ascii="Book Antiqua" w:hAnsi="Book Antiqua"/>
        </w:rPr>
        <w:t xml:space="preserve">S100 is </w:t>
      </w:r>
      <w:r>
        <w:rPr>
          <w:rFonts w:ascii="Book Antiqua" w:hAnsi="Book Antiqua"/>
        </w:rPr>
        <w:t xml:space="preserve">the most commonly reported marker for Schwann cell. It is </w:t>
      </w:r>
      <w:r w:rsidRPr="008D5224">
        <w:rPr>
          <w:rFonts w:ascii="Book Antiqua" w:hAnsi="Book Antiqua"/>
        </w:rPr>
        <w:t xml:space="preserve">a calcium binding protein constituted by 2 subunits: </w:t>
      </w:r>
      <w:r w:rsidRPr="008D5224">
        <w:rPr>
          <w:rFonts w:ascii="Noteworthy Bold" w:hAnsi="Noteworthy Bold" w:cs="Noteworthy Bold"/>
          <w:lang w:val="el-GR"/>
        </w:rPr>
        <w:t>α</w:t>
      </w:r>
      <w:r w:rsidRPr="008D5224">
        <w:rPr>
          <w:rFonts w:ascii="Book Antiqua" w:hAnsi="Book Antiqua" w:cs="Noteworthy Light"/>
          <w:lang w:val="el-GR"/>
        </w:rPr>
        <w:t xml:space="preserve"> and </w:t>
      </w:r>
      <w:r w:rsidRPr="008D5224">
        <w:rPr>
          <w:rFonts w:ascii="Noteworthy Bold" w:hAnsi="Noteworthy Bold" w:cs="Noteworthy Bold"/>
          <w:lang w:val="el-GR"/>
        </w:rPr>
        <w:t>β</w:t>
      </w:r>
      <w:r>
        <w:rPr>
          <w:rFonts w:ascii="Book Antiqua" w:hAnsi="Book Antiqua" w:cs="Noteworthy Light"/>
          <w:lang w:val="el-GR"/>
        </w:rPr>
        <w:t xml:space="preserve"> (each</w:t>
      </w:r>
      <w:r w:rsidRPr="008D5224">
        <w:rPr>
          <w:rFonts w:ascii="Book Antiqua" w:hAnsi="Book Antiqua" w:cs="Noteworthy Light"/>
          <w:lang w:val="el-GR"/>
        </w:rPr>
        <w:t xml:space="preserve"> approximately 10 kilo Daltons)</w:t>
      </w:r>
      <w:r w:rsidRPr="008D5224">
        <w:rPr>
          <w:rFonts w:ascii="Book Antiqua" w:hAnsi="Book Antiqua"/>
        </w:rPr>
        <w:t>. It is considered to be a cell growth regulator but</w:t>
      </w:r>
      <w:r>
        <w:rPr>
          <w:rFonts w:ascii="Book Antiqua" w:hAnsi="Book Antiqua"/>
        </w:rPr>
        <w:t xml:space="preserve"> has</w:t>
      </w:r>
      <w:r w:rsidRPr="008D5224">
        <w:rPr>
          <w:rFonts w:ascii="Book Antiqua" w:hAnsi="Book Antiqua"/>
        </w:rPr>
        <w:t xml:space="preserve"> other functions such as </w:t>
      </w:r>
      <w:r>
        <w:rPr>
          <w:rFonts w:ascii="Book Antiqua" w:hAnsi="Book Antiqua"/>
        </w:rPr>
        <w:t xml:space="preserve">a </w:t>
      </w:r>
      <w:r w:rsidRPr="008D5224">
        <w:rPr>
          <w:rFonts w:ascii="Book Antiqua" w:hAnsi="Book Antiqua"/>
        </w:rPr>
        <w:t xml:space="preserve">protein and free fatty acid </w:t>
      </w:r>
      <w:r>
        <w:rPr>
          <w:rFonts w:ascii="Book Antiqua" w:hAnsi="Book Antiqua"/>
        </w:rPr>
        <w:t>transport</w:t>
      </w:r>
      <w:r w:rsidRPr="008D5224">
        <w:rPr>
          <w:rFonts w:ascii="Book Antiqua" w:hAnsi="Book Antiqua"/>
        </w:rPr>
        <w:t xml:space="preserve">, </w:t>
      </w:r>
      <w:r>
        <w:rPr>
          <w:rFonts w:ascii="Book Antiqua" w:hAnsi="Book Antiqua"/>
        </w:rPr>
        <w:t xml:space="preserve">or causing an </w:t>
      </w:r>
      <w:r w:rsidRPr="008D5224">
        <w:rPr>
          <w:rFonts w:ascii="Book Antiqua" w:hAnsi="Book Antiqua"/>
        </w:rPr>
        <w:t xml:space="preserve">increase in membrane permeability to cations, </w:t>
      </w:r>
      <w:r>
        <w:rPr>
          <w:rFonts w:ascii="Book Antiqua" w:hAnsi="Book Antiqua"/>
        </w:rPr>
        <w:t>which are likewise</w:t>
      </w:r>
      <w:r w:rsidRPr="008D5224">
        <w:rPr>
          <w:rFonts w:ascii="Book Antiqua" w:hAnsi="Book Antiqua"/>
        </w:rPr>
        <w:t xml:space="preserve"> attributed to this protein. Cells known to express S100 are glial cells, Schwann cells, melanocytes, chondrocytes, adipocytes, Langerhan’s cells, interd</w:t>
      </w:r>
      <w:r>
        <w:rPr>
          <w:rFonts w:ascii="Book Antiqua" w:hAnsi="Book Antiqua"/>
        </w:rPr>
        <w:t>igitating cells and some tumor</w:t>
      </w:r>
      <w:r w:rsidRPr="008D5224">
        <w:rPr>
          <w:rFonts w:ascii="Book Antiqua" w:hAnsi="Book Antiqua"/>
        </w:rPr>
        <w:t xml:space="preserve"> cells (i.e. melanomas, Schwannomas). </w:t>
      </w:r>
      <w:r>
        <w:rPr>
          <w:rFonts w:ascii="Book Antiqua" w:hAnsi="Book Antiqua"/>
        </w:rPr>
        <w:t>Consequently, S100 is not a specific marker for Schwann cells; nevertheless, there have been reports of undifferentiated MSCs expressing S100,</w:t>
      </w:r>
      <w:r w:rsidRPr="00736A24">
        <w:rPr>
          <w:rFonts w:ascii="Book Antiqua" w:hAnsi="Book Antiqua"/>
          <w:noProof/>
          <w:vertAlign w:val="superscript"/>
        </w:rPr>
        <w:t>46</w:t>
      </w:r>
      <w:r>
        <w:rPr>
          <w:rFonts w:ascii="Book Antiqua" w:hAnsi="Book Antiqua"/>
        </w:rPr>
        <w:t xml:space="preserve"> implying the potential of MSCs towards neural differentiation. </w:t>
      </w:r>
      <w:r w:rsidRPr="008D5224">
        <w:rPr>
          <w:rFonts w:ascii="Book Antiqua" w:hAnsi="Book Antiqua"/>
        </w:rPr>
        <w:t>In humans, cells expressing S100 have been subclassified into cells that express S100b, S100a and S100ao. Schwann cells and cells from the hypophysis express S100b.</w:t>
      </w:r>
      <w:r w:rsidRPr="00736A24">
        <w:rPr>
          <w:rFonts w:ascii="Book Antiqua" w:hAnsi="Book Antiqua"/>
          <w:noProof/>
          <w:vertAlign w:val="superscript"/>
        </w:rPr>
        <w:t>31</w:t>
      </w:r>
      <w:r>
        <w:rPr>
          <w:rFonts w:ascii="Book Antiqua" w:hAnsi="Book Antiqua"/>
        </w:rPr>
        <w:t xml:space="preserve"> Other properties attributed to S100 are nerve protection, nutrition and induction for axonal regeneration.</w:t>
      </w:r>
      <w:r w:rsidRPr="00736A24">
        <w:rPr>
          <w:rFonts w:ascii="Book Antiqua" w:hAnsi="Book Antiqua"/>
          <w:noProof/>
          <w:vertAlign w:val="superscript"/>
        </w:rPr>
        <w:t>46</w:t>
      </w:r>
    </w:p>
    <w:p w14:paraId="0381479C" w14:textId="77777777" w:rsidR="002729A9" w:rsidRDefault="002729A9" w:rsidP="00EE712B">
      <w:pPr>
        <w:numPr>
          <w:ilvl w:val="12"/>
          <w:numId w:val="0"/>
        </w:numPr>
        <w:spacing w:line="360" w:lineRule="auto"/>
        <w:jc w:val="both"/>
        <w:rPr>
          <w:rFonts w:ascii="Book Antiqua" w:hAnsi="Book Antiqua"/>
        </w:rPr>
      </w:pPr>
    </w:p>
    <w:p w14:paraId="11A4E9B7"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GFAP is another marker commonly used to identify glial cells, including Schwann cells. We have found, however, that undifferentiated equine MSCs also express this protein, as previously reported by other researchers using undifferentiated MSCs from other species.</w:t>
      </w:r>
      <w:r w:rsidRPr="0095656A">
        <w:rPr>
          <w:rFonts w:ascii="Book Antiqua" w:hAnsi="Book Antiqua"/>
          <w:noProof/>
          <w:vertAlign w:val="superscript"/>
        </w:rPr>
        <w:t>67,68</w:t>
      </w:r>
      <w:r>
        <w:rPr>
          <w:rFonts w:ascii="Book Antiqua" w:hAnsi="Book Antiqua"/>
        </w:rPr>
        <w:t xml:space="preserve"> GFAP has neuroprotective properties by modulating the Schwann cell response to nerve injury.</w:t>
      </w:r>
      <w:r w:rsidRPr="00736A24">
        <w:rPr>
          <w:rFonts w:ascii="Book Antiqua" w:hAnsi="Book Antiqua"/>
          <w:noProof/>
          <w:vertAlign w:val="superscript"/>
        </w:rPr>
        <w:t>46</w:t>
      </w:r>
      <w:r>
        <w:rPr>
          <w:rFonts w:ascii="Book Antiqua" w:hAnsi="Book Antiqua"/>
        </w:rPr>
        <w:t xml:space="preserve"> </w:t>
      </w:r>
    </w:p>
    <w:p w14:paraId="7EA6D43D" w14:textId="77777777" w:rsidR="002729A9" w:rsidRDefault="002729A9" w:rsidP="00EE712B">
      <w:pPr>
        <w:numPr>
          <w:ilvl w:val="12"/>
          <w:numId w:val="0"/>
        </w:numPr>
        <w:spacing w:line="360" w:lineRule="auto"/>
        <w:jc w:val="both"/>
        <w:rPr>
          <w:rFonts w:ascii="Book Antiqua" w:hAnsi="Book Antiqua"/>
        </w:rPr>
      </w:pPr>
    </w:p>
    <w:p w14:paraId="6129224B" w14:textId="77777777" w:rsidR="002729A9" w:rsidRPr="008D5224" w:rsidRDefault="002729A9" w:rsidP="00EE712B">
      <w:pPr>
        <w:numPr>
          <w:ilvl w:val="12"/>
          <w:numId w:val="0"/>
        </w:numPr>
        <w:spacing w:line="360" w:lineRule="auto"/>
        <w:jc w:val="both"/>
        <w:rPr>
          <w:rFonts w:ascii="Book Antiqua" w:hAnsi="Book Antiqua"/>
        </w:rPr>
      </w:pPr>
      <w:r>
        <w:rPr>
          <w:rFonts w:ascii="Book Antiqua" w:hAnsi="Book Antiqua"/>
        </w:rPr>
        <w:t xml:space="preserve">Similarly important, as it was mentioned in previous sections with undifferentiated MSCs, transplantation of either Schwann cells or MSCs differentiated into Schwann-like cells has been demonstrated to directly or indirectly enhance tissue healing by the immunomodulatory, anti-inflammatory and paracrine functions that they exert on target cells after an insult has occurred. </w:t>
      </w:r>
    </w:p>
    <w:p w14:paraId="02157416" w14:textId="77777777" w:rsidR="002729A9" w:rsidRDefault="002729A9" w:rsidP="00EE712B">
      <w:pPr>
        <w:numPr>
          <w:ilvl w:val="12"/>
          <w:numId w:val="0"/>
        </w:numPr>
        <w:spacing w:line="360" w:lineRule="auto"/>
        <w:ind w:firstLine="720"/>
        <w:jc w:val="both"/>
        <w:rPr>
          <w:rFonts w:ascii="Book Antiqua" w:hAnsi="Book Antiqua"/>
        </w:rPr>
      </w:pPr>
    </w:p>
    <w:p w14:paraId="0C13257F" w14:textId="77777777" w:rsidR="002729A9" w:rsidRPr="008D5224" w:rsidRDefault="002729A9" w:rsidP="00A75A8C">
      <w:pPr>
        <w:numPr>
          <w:ilvl w:val="12"/>
          <w:numId w:val="0"/>
        </w:numPr>
        <w:spacing w:line="360" w:lineRule="auto"/>
        <w:jc w:val="both"/>
        <w:rPr>
          <w:rFonts w:ascii="Book Antiqua" w:hAnsi="Book Antiqua"/>
        </w:rPr>
      </w:pPr>
    </w:p>
    <w:p w14:paraId="559220C6" w14:textId="77777777" w:rsidR="002729A9" w:rsidRPr="008D5224" w:rsidRDefault="002729A9" w:rsidP="00EE712B">
      <w:pPr>
        <w:pStyle w:val="Heading2"/>
      </w:pPr>
      <w:bookmarkStart w:id="28" w:name="_Toc269902115"/>
      <w:bookmarkStart w:id="29" w:name="_Toc269902358"/>
      <w:bookmarkStart w:id="30" w:name="_Toc274387724"/>
      <w:r>
        <w:t>Cell</w:t>
      </w:r>
      <w:r w:rsidRPr="008D5224">
        <w:t xml:space="preserve"> therapy for </w:t>
      </w:r>
      <w:r>
        <w:t xml:space="preserve">nervous </w:t>
      </w:r>
      <w:r w:rsidRPr="008D5224">
        <w:t>tissue repair</w:t>
      </w:r>
      <w:bookmarkEnd w:id="28"/>
      <w:bookmarkEnd w:id="29"/>
      <w:r>
        <w:t>: current research</w:t>
      </w:r>
      <w:bookmarkEnd w:id="30"/>
    </w:p>
    <w:p w14:paraId="62004022" w14:textId="77777777" w:rsidR="002729A9" w:rsidRDefault="002729A9" w:rsidP="00EE712B">
      <w:pPr>
        <w:numPr>
          <w:ilvl w:val="12"/>
          <w:numId w:val="0"/>
        </w:numPr>
        <w:spacing w:line="360" w:lineRule="auto"/>
        <w:jc w:val="both"/>
        <w:rPr>
          <w:rFonts w:ascii="Book Antiqua" w:hAnsi="Book Antiqua"/>
        </w:rPr>
      </w:pPr>
      <w:r w:rsidRPr="008D5224">
        <w:rPr>
          <w:rFonts w:ascii="Book Antiqua" w:hAnsi="Book Antiqua"/>
        </w:rPr>
        <w:tab/>
      </w:r>
      <w:r w:rsidRPr="008D5224">
        <w:rPr>
          <w:rFonts w:ascii="Book Antiqua" w:hAnsi="Book Antiqua"/>
        </w:rPr>
        <w:tab/>
        <w:t xml:space="preserve"> </w:t>
      </w:r>
    </w:p>
    <w:p w14:paraId="3EA93EB4" w14:textId="77777777" w:rsidR="002729A9" w:rsidRDefault="002729A9" w:rsidP="00EE712B">
      <w:pPr>
        <w:numPr>
          <w:ilvl w:val="12"/>
          <w:numId w:val="0"/>
        </w:numPr>
        <w:spacing w:line="360" w:lineRule="auto"/>
        <w:jc w:val="both"/>
        <w:rPr>
          <w:rFonts w:ascii="Book Antiqua" w:hAnsi="Book Antiqua"/>
        </w:rPr>
      </w:pPr>
      <w:r w:rsidRPr="003366DD">
        <w:rPr>
          <w:rFonts w:ascii="Book Antiqua" w:hAnsi="Book Antiqua"/>
        </w:rPr>
        <w:t>Studies performed in rats, guinea pigs, and rabbits have demonstrated that peripheral nerves can be regenerated</w:t>
      </w:r>
      <w:r>
        <w:rPr>
          <w:rFonts w:ascii="Book Antiqua" w:hAnsi="Book Antiqua"/>
        </w:rPr>
        <w:t>.</w:t>
      </w:r>
      <w:r w:rsidRPr="00736A24">
        <w:rPr>
          <w:rFonts w:ascii="Book Antiqua" w:hAnsi="Book Antiqua"/>
          <w:noProof/>
          <w:vertAlign w:val="superscript"/>
        </w:rPr>
        <w:t>26,48,54,69,70</w:t>
      </w:r>
      <w:r w:rsidRPr="003366DD">
        <w:rPr>
          <w:rFonts w:ascii="Book Antiqua" w:hAnsi="Book Antiqua"/>
        </w:rPr>
        <w:t xml:space="preserve"> Even though the outcome is often </w:t>
      </w:r>
      <w:r>
        <w:rPr>
          <w:rFonts w:ascii="Book Antiqua" w:hAnsi="Book Antiqua"/>
        </w:rPr>
        <w:t>disappointing. T</w:t>
      </w:r>
      <w:r w:rsidRPr="003366DD">
        <w:rPr>
          <w:rFonts w:ascii="Book Antiqua" w:hAnsi="Book Antiqua"/>
        </w:rPr>
        <w:t>he most appropriate treatment for people with nerve injury is the insertion of an autograft into the gap in the transected nerve.</w:t>
      </w:r>
      <w:r w:rsidRPr="0095656A">
        <w:rPr>
          <w:rFonts w:ascii="Book Antiqua" w:hAnsi="Book Antiqua"/>
          <w:noProof/>
          <w:vertAlign w:val="superscript"/>
        </w:rPr>
        <w:t>70-72</w:t>
      </w:r>
      <w:r w:rsidRPr="003366DD">
        <w:rPr>
          <w:rFonts w:ascii="Book Antiqua" w:hAnsi="Book Antiqua"/>
        </w:rPr>
        <w:t xml:space="preserve"> Limitations, such as available donor nerves, donor-site morbidity, and limited supply of cultured Schwann cells, however, prevent autografting from having practical clinical application</w:t>
      </w:r>
      <w:r>
        <w:rPr>
          <w:rFonts w:ascii="Book Antiqua" w:hAnsi="Book Antiqua"/>
        </w:rPr>
        <w:t>s</w:t>
      </w:r>
      <w:r w:rsidRPr="003366DD">
        <w:rPr>
          <w:rFonts w:ascii="Book Antiqua" w:hAnsi="Book Antiqua"/>
        </w:rPr>
        <w:t>.</w:t>
      </w:r>
      <w:r w:rsidRPr="0095656A">
        <w:rPr>
          <w:rFonts w:ascii="Book Antiqua" w:hAnsi="Book Antiqua"/>
          <w:noProof/>
          <w:vertAlign w:val="superscript"/>
        </w:rPr>
        <w:t>26,72</w:t>
      </w:r>
      <w:r w:rsidRPr="003366DD">
        <w:rPr>
          <w:rFonts w:ascii="Book Antiqua" w:hAnsi="Book Antiqua"/>
        </w:rPr>
        <w:t xml:space="preserve"> </w:t>
      </w:r>
      <w:r>
        <w:rPr>
          <w:rFonts w:ascii="Book Antiqua" w:hAnsi="Book Antiqua"/>
        </w:rPr>
        <w:t xml:space="preserve">This is one reason why cell therapy with MSCs is intriguing; other factors include the ease of obtaining and expanding these cells </w:t>
      </w:r>
      <w:r w:rsidRPr="00225E33">
        <w:rPr>
          <w:rFonts w:ascii="Book Antiqua" w:hAnsi="Book Antiqua"/>
          <w:i/>
        </w:rPr>
        <w:t>in vitro</w:t>
      </w:r>
      <w:r>
        <w:rPr>
          <w:rFonts w:ascii="Book Antiqua" w:hAnsi="Book Antiqua"/>
        </w:rPr>
        <w:t xml:space="preserve"> to yield a high number for transplantation.</w:t>
      </w:r>
    </w:p>
    <w:p w14:paraId="7DD75DDF" w14:textId="77777777" w:rsidR="002729A9" w:rsidRDefault="002729A9" w:rsidP="00EE712B">
      <w:pPr>
        <w:numPr>
          <w:ilvl w:val="12"/>
          <w:numId w:val="0"/>
        </w:numPr>
        <w:spacing w:line="360" w:lineRule="auto"/>
        <w:jc w:val="both"/>
        <w:rPr>
          <w:rFonts w:ascii="Book Antiqua" w:hAnsi="Book Antiqua"/>
        </w:rPr>
      </w:pPr>
    </w:p>
    <w:p w14:paraId="4A393616" w14:textId="77777777" w:rsidR="002729A9" w:rsidRDefault="002729A9" w:rsidP="00EE712B">
      <w:pPr>
        <w:numPr>
          <w:ilvl w:val="12"/>
          <w:numId w:val="0"/>
        </w:numPr>
        <w:spacing w:line="360" w:lineRule="auto"/>
        <w:jc w:val="both"/>
        <w:rPr>
          <w:rFonts w:ascii="Book Antiqua" w:hAnsi="Book Antiqua"/>
        </w:rPr>
      </w:pPr>
    </w:p>
    <w:p w14:paraId="0FDCD06C" w14:textId="77777777" w:rsidR="002729A9" w:rsidRPr="00052D97" w:rsidRDefault="002729A9" w:rsidP="00EE712B">
      <w:pPr>
        <w:pStyle w:val="Heading3"/>
      </w:pPr>
      <w:bookmarkStart w:id="31" w:name="_Toc274387725"/>
      <w:r>
        <w:t>Therapy with MSCs</w:t>
      </w:r>
      <w:bookmarkEnd w:id="31"/>
    </w:p>
    <w:p w14:paraId="25347E53" w14:textId="77777777" w:rsidR="002729A9" w:rsidRDefault="002729A9" w:rsidP="00EE712B">
      <w:pPr>
        <w:numPr>
          <w:ilvl w:val="12"/>
          <w:numId w:val="0"/>
        </w:numPr>
        <w:spacing w:line="360" w:lineRule="auto"/>
        <w:jc w:val="both"/>
        <w:rPr>
          <w:rFonts w:ascii="Book Antiqua" w:hAnsi="Book Antiqua"/>
        </w:rPr>
      </w:pPr>
    </w:p>
    <w:p w14:paraId="69DF0DBE"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During the past decade</w:t>
      </w:r>
      <w:r w:rsidRPr="003366DD">
        <w:rPr>
          <w:rFonts w:ascii="Book Antiqua" w:hAnsi="Book Antiqua"/>
        </w:rPr>
        <w:t xml:space="preserve">, </w:t>
      </w:r>
      <w:r>
        <w:rPr>
          <w:rFonts w:ascii="Book Antiqua" w:hAnsi="Book Antiqua"/>
        </w:rPr>
        <w:t xml:space="preserve">research for treating </w:t>
      </w:r>
      <w:r w:rsidRPr="003366DD">
        <w:rPr>
          <w:rFonts w:ascii="Book Antiqua" w:hAnsi="Book Antiqua"/>
        </w:rPr>
        <w:t xml:space="preserve">peripheral nerve </w:t>
      </w:r>
      <w:r>
        <w:rPr>
          <w:rFonts w:ascii="Book Antiqua" w:hAnsi="Book Antiqua"/>
        </w:rPr>
        <w:t xml:space="preserve">injuries </w:t>
      </w:r>
      <w:r w:rsidRPr="003366DD">
        <w:rPr>
          <w:rFonts w:ascii="Book Antiqua" w:hAnsi="Book Antiqua"/>
        </w:rPr>
        <w:t>has been directe</w:t>
      </w:r>
      <w:r>
        <w:rPr>
          <w:rFonts w:ascii="Book Antiqua" w:hAnsi="Book Antiqua"/>
        </w:rPr>
        <w:t xml:space="preserve">d towards the use of cell therapy alone or combined with platelet rich plasma (PRP), grafts, or tissue-engineered biomaterials. Experimental models in laboratory animals and clinical trials in dogs </w:t>
      </w:r>
      <w:r w:rsidRPr="003366DD">
        <w:rPr>
          <w:rFonts w:ascii="Book Antiqua" w:hAnsi="Book Antiqua"/>
        </w:rPr>
        <w:t>have revealed</w:t>
      </w:r>
      <w:r>
        <w:rPr>
          <w:rFonts w:ascii="Book Antiqua" w:hAnsi="Book Antiqua"/>
        </w:rPr>
        <w:t xml:space="preserve"> that transplantation of</w:t>
      </w:r>
      <w:r w:rsidRPr="003366DD">
        <w:rPr>
          <w:rFonts w:ascii="Book Antiqua" w:hAnsi="Book Antiqua"/>
        </w:rPr>
        <w:t xml:space="preserve"> </w:t>
      </w:r>
      <w:r>
        <w:rPr>
          <w:rFonts w:ascii="Book Antiqua" w:hAnsi="Book Antiqua"/>
        </w:rPr>
        <w:t xml:space="preserve">either undifferentiated MSCs or Schwann-like differentiated MSCs </w:t>
      </w:r>
      <w:r w:rsidRPr="003366DD">
        <w:rPr>
          <w:rFonts w:ascii="Book Antiqua" w:hAnsi="Book Antiqua"/>
        </w:rPr>
        <w:t>int</w:t>
      </w:r>
      <w:r>
        <w:rPr>
          <w:rFonts w:ascii="Book Antiqua" w:hAnsi="Book Antiqua"/>
        </w:rPr>
        <w:t>o animals with peripheral nerve</w:t>
      </w:r>
      <w:r w:rsidRPr="003366DD">
        <w:rPr>
          <w:rFonts w:ascii="Book Antiqua" w:hAnsi="Book Antiqua"/>
        </w:rPr>
        <w:t xml:space="preserve"> or spinal cord</w:t>
      </w:r>
      <w:r>
        <w:rPr>
          <w:rFonts w:ascii="Book Antiqua" w:hAnsi="Book Antiqua"/>
        </w:rPr>
        <w:t xml:space="preserve"> diseases results in positive outcomes.</w:t>
      </w:r>
      <w:r w:rsidRPr="00736A24">
        <w:rPr>
          <w:rFonts w:ascii="Book Antiqua" w:hAnsi="Book Antiqua"/>
          <w:noProof/>
          <w:vertAlign w:val="superscript"/>
        </w:rPr>
        <w:t>26,35,36,48,73,74</w:t>
      </w:r>
      <w:r>
        <w:rPr>
          <w:rFonts w:ascii="Book Antiqua" w:hAnsi="Book Antiqua"/>
        </w:rPr>
        <w:t xml:space="preserve"> Better results have been obtained with cells differentiated towards a Schwann-like cell phenotype,</w:t>
      </w:r>
      <w:r w:rsidRPr="00D7774E">
        <w:rPr>
          <w:rFonts w:ascii="Book Antiqua" w:hAnsi="Book Antiqua"/>
        </w:rPr>
        <w:t xml:space="preserve"> </w:t>
      </w:r>
      <w:r>
        <w:rPr>
          <w:rFonts w:ascii="Book Antiqua" w:hAnsi="Book Antiqua"/>
        </w:rPr>
        <w:t>based on histological and functional analyses.</w:t>
      </w:r>
      <w:r w:rsidRPr="00736A24">
        <w:rPr>
          <w:rFonts w:ascii="Book Antiqua" w:hAnsi="Book Antiqua"/>
          <w:noProof/>
          <w:vertAlign w:val="superscript"/>
        </w:rPr>
        <w:t>44,50,75</w:t>
      </w:r>
      <w:r>
        <w:rPr>
          <w:rFonts w:ascii="Book Antiqua" w:hAnsi="Book Antiqua"/>
        </w:rPr>
        <w:t xml:space="preserve"> This emphasizes the importance of</w:t>
      </w:r>
      <w:r w:rsidRPr="003366DD">
        <w:rPr>
          <w:rFonts w:ascii="Book Antiqua" w:hAnsi="Book Antiqua"/>
        </w:rPr>
        <w:t xml:space="preserve"> </w:t>
      </w:r>
      <w:r>
        <w:rPr>
          <w:rFonts w:ascii="Book Antiqua" w:hAnsi="Book Antiqua"/>
        </w:rPr>
        <w:t>cell therapy as a promising alternative to nerve grafting.</w:t>
      </w:r>
    </w:p>
    <w:p w14:paraId="2D1F18D4" w14:textId="77777777" w:rsidR="002729A9" w:rsidRDefault="002729A9" w:rsidP="00EE712B">
      <w:pPr>
        <w:numPr>
          <w:ilvl w:val="12"/>
          <w:numId w:val="0"/>
        </w:numPr>
        <w:spacing w:line="360" w:lineRule="auto"/>
        <w:jc w:val="both"/>
        <w:rPr>
          <w:rFonts w:ascii="Book Antiqua" w:hAnsi="Book Antiqua"/>
        </w:rPr>
      </w:pPr>
    </w:p>
    <w:p w14:paraId="1D083896"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The processes by which undifferentiated MSCs or differentiated MSCs increase nerve regeneration have not entirely been determined. It is known that MSCs possess certain features that allow them to enhance tissue regeneration. When transplanted after sciatic, femoral or facial nerve transection models in rats, MSCs appear to promote the pattern for axonal regeneration and myelin production, as compared to controls (usually, the contralateral limb or facial nerve). Quantitative morphometric evaluation of the nerve involves axonal count and axonal diameter; the evaluation of myelin thickness provides extra information.</w:t>
      </w:r>
      <w:r w:rsidRPr="00E54955">
        <w:rPr>
          <w:rFonts w:ascii="Book Antiqua" w:hAnsi="Book Antiqua"/>
          <w:noProof/>
          <w:vertAlign w:val="superscript"/>
        </w:rPr>
        <w:t>76</w:t>
      </w:r>
      <w:r>
        <w:rPr>
          <w:rFonts w:ascii="Book Antiqua" w:hAnsi="Book Antiqua"/>
        </w:rPr>
        <w:t xml:space="preserve"> These parameters seem improved on laboratory animals that had been transplanted with MSCs after a nerve injury, when compared to untreated controls. Functional analyses testing strength, length of stride, and coordination are also superior results to the control limbs and to the animals that were not treated with cell therapy.</w:t>
      </w:r>
      <w:r w:rsidRPr="00736A24">
        <w:rPr>
          <w:rFonts w:ascii="Book Antiqua" w:hAnsi="Book Antiqua"/>
          <w:noProof/>
          <w:vertAlign w:val="superscript"/>
        </w:rPr>
        <w:t>50,75</w:t>
      </w:r>
    </w:p>
    <w:p w14:paraId="5F6F957A" w14:textId="77777777" w:rsidR="002729A9" w:rsidRDefault="002729A9" w:rsidP="00EE712B">
      <w:pPr>
        <w:numPr>
          <w:ilvl w:val="12"/>
          <w:numId w:val="0"/>
        </w:numPr>
        <w:spacing w:line="360" w:lineRule="auto"/>
        <w:jc w:val="both"/>
        <w:rPr>
          <w:rFonts w:ascii="Book Antiqua" w:hAnsi="Book Antiqua"/>
        </w:rPr>
      </w:pPr>
    </w:p>
    <w:p w14:paraId="56C651FE"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When the treatment consists of transplantation of purified Schwann cells from a fresh peripheral nerve, or transplantation of Schwann cell-differentiated MSCs, the aforementioned histological and functional results are superior to those obtained with undifferentiated MSCs in laboratory animals.</w:t>
      </w:r>
      <w:r w:rsidRPr="00736A24">
        <w:rPr>
          <w:rFonts w:ascii="Book Antiqua" w:hAnsi="Book Antiqua"/>
          <w:noProof/>
          <w:vertAlign w:val="superscript"/>
        </w:rPr>
        <w:t>44,48,50,75</w:t>
      </w:r>
      <w:r>
        <w:rPr>
          <w:rFonts w:ascii="Book Antiqua" w:hAnsi="Book Antiqua"/>
        </w:rPr>
        <w:t xml:space="preserve"> </w:t>
      </w:r>
    </w:p>
    <w:p w14:paraId="114473F7" w14:textId="77777777" w:rsidR="002729A9" w:rsidRPr="00DB5953" w:rsidRDefault="002729A9" w:rsidP="00EE712B">
      <w:pPr>
        <w:numPr>
          <w:ilvl w:val="12"/>
          <w:numId w:val="0"/>
        </w:numPr>
        <w:spacing w:line="360" w:lineRule="auto"/>
        <w:jc w:val="both"/>
        <w:rPr>
          <w:rFonts w:ascii="Book Antiqua" w:hAnsi="Book Antiqua"/>
        </w:rPr>
      </w:pPr>
    </w:p>
    <w:p w14:paraId="0A21736C" w14:textId="77777777" w:rsidR="002729A9" w:rsidRDefault="002729A9" w:rsidP="00EE712B">
      <w:pPr>
        <w:numPr>
          <w:ilvl w:val="12"/>
          <w:numId w:val="0"/>
        </w:numPr>
        <w:spacing w:line="360" w:lineRule="auto"/>
        <w:jc w:val="both"/>
        <w:rPr>
          <w:rFonts w:ascii="Book Antiqua" w:hAnsi="Book Antiqua"/>
          <w:bCs/>
        </w:rPr>
      </w:pPr>
      <w:r w:rsidRPr="00DB5953">
        <w:rPr>
          <w:rStyle w:val="Heading4Char"/>
        </w:rPr>
        <w:t>Delivery method.</w:t>
      </w:r>
      <w:r w:rsidRPr="00DB5953">
        <w:rPr>
          <w:rFonts w:ascii="Book Antiqua" w:hAnsi="Book Antiqua"/>
        </w:rPr>
        <w:t xml:space="preserve"> </w:t>
      </w:r>
      <w:r w:rsidRPr="00DB5953">
        <w:rPr>
          <w:rFonts w:ascii="Book Antiqua" w:hAnsi="Book Antiqua"/>
          <w:bCs/>
        </w:rPr>
        <w:t>Cell</w:t>
      </w:r>
      <w:r>
        <w:rPr>
          <w:rFonts w:ascii="Book Antiqua" w:hAnsi="Book Antiqua"/>
          <w:bCs/>
        </w:rPr>
        <w:t xml:space="preserve"> therapy via transplantation of MSCs is one of the various auxiliaries within the field of regenerative medicine. Other alternatives for aiding in tissue repair include the use of other types of cells, platelet rich plasma (PRP), grafts, scaffolds, and nanoparticles. Tissue engineering, for example, uses a combination of transplanted cells, engineered scaffolds and biochemical factors to replace an injured tissue or organ. Consequently, there is increasing interest on the design of biomaterials capable of supporting cells and of promoting the delivery of factors (growth factors, neurospheres, etc.) that most appropriately improve nerve regeneration.</w:t>
      </w:r>
    </w:p>
    <w:p w14:paraId="40559B8D" w14:textId="77777777" w:rsidR="002729A9" w:rsidRDefault="002729A9" w:rsidP="00EE712B">
      <w:pPr>
        <w:numPr>
          <w:ilvl w:val="12"/>
          <w:numId w:val="0"/>
        </w:numPr>
        <w:spacing w:line="360" w:lineRule="auto"/>
        <w:jc w:val="both"/>
        <w:rPr>
          <w:rFonts w:ascii="Book Antiqua" w:hAnsi="Book Antiqua"/>
          <w:bCs/>
        </w:rPr>
      </w:pPr>
    </w:p>
    <w:p w14:paraId="2F3D353C"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 xml:space="preserve">In laboratory animals the use MSCs or Schwann cell-differentiated MSCs for treating peripheral nerve injuries (with or without a scaffold or autograft) is commonly performed </w:t>
      </w:r>
      <w:r w:rsidRPr="00225E33">
        <w:rPr>
          <w:rFonts w:ascii="Book Antiqua" w:hAnsi="Book Antiqua"/>
          <w:i/>
        </w:rPr>
        <w:t xml:space="preserve">in situ </w:t>
      </w:r>
      <w:r w:rsidRPr="00586159">
        <w:rPr>
          <w:rFonts w:ascii="Book Antiqua" w:hAnsi="Book Antiqua"/>
        </w:rPr>
        <w:t>immediately a</w:t>
      </w:r>
      <w:r>
        <w:rPr>
          <w:rFonts w:ascii="Book Antiqua" w:hAnsi="Book Antiqua"/>
        </w:rPr>
        <w:t>fter nerve injury. There are several reports, conversely, on clinical trials and experimental designs on peripheral nerve and spinal cord injuries in which the transplantation of cells occurred intrathecally, by administering the cells into the cerebrospinal fluid (CSF); intra-arterially (IA), or intravenously (IV), via systemic or local administration.</w:t>
      </w:r>
      <w:r w:rsidRPr="002E2BC5">
        <w:rPr>
          <w:rFonts w:ascii="Book Antiqua" w:hAnsi="Book Antiqua"/>
          <w:noProof/>
          <w:vertAlign w:val="superscript"/>
        </w:rPr>
        <w:t>74,77,78</w:t>
      </w:r>
      <w:r>
        <w:rPr>
          <w:rFonts w:ascii="Book Antiqua" w:hAnsi="Book Antiqua"/>
        </w:rPr>
        <w:t xml:space="preserve"> When MSCs are transplanted IV, they are caught in the capillary beds of several tissues, mainly the lungs.</w:t>
      </w:r>
      <w:r w:rsidRPr="002E2BC5">
        <w:rPr>
          <w:rFonts w:ascii="Book Antiqua" w:hAnsi="Book Antiqua"/>
          <w:noProof/>
          <w:vertAlign w:val="superscript"/>
        </w:rPr>
        <w:t>79</w:t>
      </w:r>
      <w:r>
        <w:rPr>
          <w:rFonts w:ascii="Book Antiqua" w:hAnsi="Book Antiqua"/>
        </w:rPr>
        <w:t xml:space="preserve"> It is important to note that these cells were undifferentiated MSCs. To the knowledge of the author, there are no reports regarding the administration of Schwann cell-differentiated MSCs via IV, CSF or IA routes for treating either spinal cord or peripheral nerve injuries. </w:t>
      </w:r>
    </w:p>
    <w:p w14:paraId="5A2FFD70" w14:textId="77777777" w:rsidR="002729A9" w:rsidRDefault="002729A9" w:rsidP="00EE712B">
      <w:pPr>
        <w:numPr>
          <w:ilvl w:val="12"/>
          <w:numId w:val="0"/>
        </w:numPr>
        <w:spacing w:line="360" w:lineRule="auto"/>
        <w:jc w:val="both"/>
        <w:rPr>
          <w:rFonts w:ascii="Book Antiqua" w:hAnsi="Book Antiqua"/>
        </w:rPr>
      </w:pPr>
    </w:p>
    <w:p w14:paraId="7E1A85D4"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There are no current reports regarding the most suitable method of delivery of MSCs for peripheral nerve disease in horses. Likewise, there are not reports regarding the use of Schwann cell-differentiated MSCs for nervous tissue repair in horses.</w:t>
      </w:r>
    </w:p>
    <w:p w14:paraId="5A8D158B" w14:textId="77777777" w:rsidR="002729A9" w:rsidRDefault="002729A9" w:rsidP="00EE712B">
      <w:pPr>
        <w:numPr>
          <w:ilvl w:val="12"/>
          <w:numId w:val="0"/>
        </w:numPr>
        <w:spacing w:line="360" w:lineRule="auto"/>
        <w:jc w:val="both"/>
        <w:rPr>
          <w:rFonts w:ascii="Book Antiqua" w:hAnsi="Book Antiqua"/>
        </w:rPr>
      </w:pPr>
    </w:p>
    <w:p w14:paraId="71805554" w14:textId="77777777" w:rsidR="002729A9" w:rsidRDefault="002729A9" w:rsidP="00EE712B">
      <w:pPr>
        <w:numPr>
          <w:ilvl w:val="12"/>
          <w:numId w:val="0"/>
        </w:numPr>
        <w:spacing w:line="360" w:lineRule="auto"/>
        <w:jc w:val="both"/>
        <w:rPr>
          <w:rFonts w:ascii="Book Antiqua" w:hAnsi="Book Antiqua"/>
        </w:rPr>
      </w:pPr>
      <w:r w:rsidRPr="00765F8A">
        <w:rPr>
          <w:rStyle w:val="Heading4Char"/>
        </w:rPr>
        <w:t>Tracking MSCs after transplantation.</w:t>
      </w:r>
      <w:r>
        <w:rPr>
          <w:rFonts w:ascii="Book Antiqua" w:hAnsi="Book Antiqua"/>
        </w:rPr>
        <w:t xml:space="preserve"> The mechanisms by which MSCs are able to migrate, stay (“homing”) and repopulate a tissue are not completely understood. </w:t>
      </w:r>
      <w:r w:rsidRPr="008D4C0C">
        <w:rPr>
          <w:rFonts w:ascii="Book Antiqua" w:hAnsi="Book Antiqua"/>
          <w:i/>
        </w:rPr>
        <w:t>In vitro</w:t>
      </w:r>
      <w:r>
        <w:rPr>
          <w:rFonts w:ascii="Book Antiqua" w:hAnsi="Book Antiqua"/>
        </w:rPr>
        <w:t xml:space="preserve"> and </w:t>
      </w:r>
      <w:r w:rsidRPr="008D4C0C">
        <w:rPr>
          <w:rFonts w:ascii="Book Antiqua" w:hAnsi="Book Antiqua"/>
          <w:i/>
        </w:rPr>
        <w:t>in vivo</w:t>
      </w:r>
      <w:r>
        <w:rPr>
          <w:rFonts w:ascii="Book Antiqua" w:hAnsi="Book Antiqua"/>
        </w:rPr>
        <w:t xml:space="preserve"> studies have revealed that stromal derived factor-1 (SDF-1) and its interaction with receptors CXCR1, 4 and CCR2 and 5, play roles in stem cell motility and development. Furthermore, the expression of various types of adhesion molecules, such as integrins, ICAMs and VCAMs, are also involved in stem cell mobilization homing and proliferation.</w:t>
      </w:r>
      <w:r w:rsidRPr="002A0260">
        <w:rPr>
          <w:rFonts w:ascii="Book Antiqua" w:hAnsi="Book Antiqua"/>
          <w:noProof/>
          <w:vertAlign w:val="superscript"/>
        </w:rPr>
        <w:t>80-82</w:t>
      </w:r>
      <w:r>
        <w:rPr>
          <w:rFonts w:ascii="Book Antiqua" w:hAnsi="Book Antiqua"/>
        </w:rPr>
        <w:t xml:space="preserve"> The phenomena of migration and homing were evident in the repair of heart, bone, cartilage, CNS and PNS.</w:t>
      </w:r>
      <w:r w:rsidRPr="005125AE">
        <w:rPr>
          <w:rFonts w:ascii="Book Antiqua" w:hAnsi="Book Antiqua"/>
          <w:noProof/>
          <w:vertAlign w:val="superscript"/>
        </w:rPr>
        <w:t>47,81</w:t>
      </w:r>
    </w:p>
    <w:p w14:paraId="63565D91" w14:textId="77777777" w:rsidR="002729A9" w:rsidRDefault="002729A9" w:rsidP="00EE712B">
      <w:pPr>
        <w:numPr>
          <w:ilvl w:val="12"/>
          <w:numId w:val="0"/>
        </w:numPr>
        <w:spacing w:line="360" w:lineRule="auto"/>
        <w:jc w:val="both"/>
        <w:rPr>
          <w:rFonts w:ascii="Book Antiqua" w:hAnsi="Book Antiqua"/>
        </w:rPr>
      </w:pPr>
    </w:p>
    <w:p w14:paraId="03506CCE"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 xml:space="preserve">For the sake of research it is important to be able to trace these cells after transplantation. Relying solely on functional analyses or by improvement of symptoms in humans does not assess the ability of cell therapy to contribute to tissue repair, especially if medications and physical therapy were part of the treatment. Methods to trace cells include labeling them with retroviral vectors to express fluorescent proteins, and the use of commercial dyes. These methods, however, require sacrificing of the animal to dissect the tissues. Alternatively, cells have been tracked </w:t>
      </w:r>
      <w:r w:rsidRPr="008737AD">
        <w:rPr>
          <w:rFonts w:ascii="Book Antiqua" w:hAnsi="Book Antiqua"/>
          <w:i/>
        </w:rPr>
        <w:t>in vivo</w:t>
      </w:r>
      <w:r>
        <w:rPr>
          <w:rFonts w:ascii="Book Antiqua" w:hAnsi="Book Antiqua"/>
        </w:rPr>
        <w:t xml:space="preserve"> by imaging them via magnetic resonance (MRI), computed tomography (CT), positron emission tomography (PET), and multiple photon microscopy.</w:t>
      </w:r>
      <w:r w:rsidRPr="000A5FE1">
        <w:rPr>
          <w:rFonts w:ascii="Book Antiqua" w:hAnsi="Book Antiqua"/>
          <w:noProof/>
          <w:vertAlign w:val="superscript"/>
        </w:rPr>
        <w:t>83,84</w:t>
      </w:r>
      <w:r>
        <w:rPr>
          <w:rFonts w:ascii="Book Antiqua" w:hAnsi="Book Antiqua"/>
        </w:rPr>
        <w:t xml:space="preserve"> </w:t>
      </w:r>
    </w:p>
    <w:p w14:paraId="3F6AC83E" w14:textId="77777777" w:rsidR="002729A9" w:rsidRDefault="002729A9" w:rsidP="00EE712B">
      <w:pPr>
        <w:numPr>
          <w:ilvl w:val="12"/>
          <w:numId w:val="0"/>
        </w:numPr>
        <w:spacing w:line="360" w:lineRule="auto"/>
        <w:jc w:val="both"/>
        <w:rPr>
          <w:rFonts w:ascii="Book Antiqua" w:hAnsi="Book Antiqua"/>
        </w:rPr>
      </w:pPr>
    </w:p>
    <w:p w14:paraId="7E90CF35"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Finally, the feasibility of these methods must be taken in consideration because of issues regarding affordability and availability of equipment and reagents, false positive signals, interference with the biological properties of MSCs, and most importantly, the ability to accomplish any of these scans in a horse.</w:t>
      </w:r>
    </w:p>
    <w:p w14:paraId="146A2F8C" w14:textId="77777777" w:rsidR="002729A9" w:rsidRDefault="002729A9" w:rsidP="00EE712B">
      <w:pPr>
        <w:numPr>
          <w:ilvl w:val="12"/>
          <w:numId w:val="0"/>
        </w:numPr>
        <w:spacing w:line="360" w:lineRule="auto"/>
        <w:jc w:val="both"/>
        <w:rPr>
          <w:rFonts w:ascii="Book Antiqua" w:hAnsi="Book Antiqua"/>
        </w:rPr>
      </w:pPr>
    </w:p>
    <w:p w14:paraId="48AEDB1C" w14:textId="77777777" w:rsidR="002729A9" w:rsidRDefault="002729A9" w:rsidP="00EE712B">
      <w:pPr>
        <w:numPr>
          <w:ilvl w:val="12"/>
          <w:numId w:val="0"/>
        </w:numPr>
        <w:spacing w:line="360" w:lineRule="auto"/>
        <w:jc w:val="both"/>
        <w:rPr>
          <w:rFonts w:ascii="Book Antiqua" w:hAnsi="Book Antiqua"/>
          <w:b/>
          <w:i/>
        </w:rPr>
      </w:pPr>
    </w:p>
    <w:p w14:paraId="7718A56C" w14:textId="77777777" w:rsidR="002729A9" w:rsidRPr="00052D97" w:rsidRDefault="002729A9" w:rsidP="00EE712B">
      <w:pPr>
        <w:pStyle w:val="Heading3"/>
      </w:pPr>
      <w:bookmarkStart w:id="32" w:name="_Toc274387726"/>
      <w:r>
        <w:t>Neurotrophic factors and nerve regeneration</w:t>
      </w:r>
      <w:bookmarkEnd w:id="32"/>
    </w:p>
    <w:p w14:paraId="078F21CA" w14:textId="77777777" w:rsidR="002729A9" w:rsidRDefault="002729A9" w:rsidP="00EE712B">
      <w:pPr>
        <w:numPr>
          <w:ilvl w:val="12"/>
          <w:numId w:val="0"/>
        </w:numPr>
        <w:spacing w:line="360" w:lineRule="auto"/>
        <w:jc w:val="both"/>
        <w:rPr>
          <w:rFonts w:ascii="Book Antiqua" w:hAnsi="Book Antiqua"/>
          <w:u w:val="single"/>
        </w:rPr>
      </w:pPr>
    </w:p>
    <w:p w14:paraId="190FF81C"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A particular interest has been given to the paracrine features of MSCs to secrete various trophic factors that aid in tissue repair. This is a topic of current focus because of the ability of MSCs (in this case, differentiated towards a Schwann cell phenotype) to be able to secrete neurotrophic factors that promote axonal regrowth and re-myelination. These factors are thought to provide an appropriate microenvironment for neuronal nourishment, survival and proliferation.</w:t>
      </w:r>
      <w:r w:rsidRPr="00736A24">
        <w:rPr>
          <w:rFonts w:ascii="Book Antiqua" w:hAnsi="Book Antiqua"/>
          <w:noProof/>
          <w:vertAlign w:val="superscript"/>
        </w:rPr>
        <w:t>34,66,72</w:t>
      </w:r>
      <w:r>
        <w:rPr>
          <w:rFonts w:ascii="Book Antiqua" w:hAnsi="Book Antiqua"/>
        </w:rPr>
        <w:t xml:space="preserve"> </w:t>
      </w:r>
    </w:p>
    <w:p w14:paraId="14AE06B8" w14:textId="77777777" w:rsidR="002729A9" w:rsidRDefault="002729A9" w:rsidP="00EE712B">
      <w:pPr>
        <w:numPr>
          <w:ilvl w:val="12"/>
          <w:numId w:val="0"/>
        </w:numPr>
        <w:spacing w:line="360" w:lineRule="auto"/>
        <w:jc w:val="both"/>
        <w:rPr>
          <w:rFonts w:ascii="Book Antiqua" w:hAnsi="Book Antiqua"/>
        </w:rPr>
      </w:pPr>
    </w:p>
    <w:p w14:paraId="73446B53"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 xml:space="preserve">Efforts have been made to understand the mechanisms of secretion, release and the properties that neurotrophic factors exert over neural cells, regardless of their sub-type. The ultimate purpose is to remove damaged cells and to restore myelin and axonal regrowth after nerve injury by recruiting Schwann cells and other cells via cell signaling. The exact mechanisms for secretion and release are not completely understood yet. </w:t>
      </w:r>
      <w:r w:rsidRPr="00BE58B3">
        <w:rPr>
          <w:rFonts w:ascii="Book Antiqua" w:hAnsi="Book Antiqua"/>
          <w:i/>
        </w:rPr>
        <w:t>In vitro</w:t>
      </w:r>
      <w:r>
        <w:rPr>
          <w:rFonts w:ascii="Book Antiqua" w:hAnsi="Book Antiqua"/>
        </w:rPr>
        <w:t xml:space="preserve"> studies strengthen this hypothesis, after revealing that MSCs from human adipose tissue or bone marrow are capable of expressing neurotrophic factors and that they promote neurite process outgrowth when these cells are co-cultured with injured nervous tissue.</w:t>
      </w:r>
      <w:r w:rsidRPr="00736A24">
        <w:rPr>
          <w:rFonts w:ascii="Book Antiqua" w:hAnsi="Book Antiqua"/>
          <w:noProof/>
          <w:vertAlign w:val="superscript"/>
        </w:rPr>
        <w:t>30,33,34,53</w:t>
      </w:r>
    </w:p>
    <w:p w14:paraId="22D64EFB" w14:textId="77777777" w:rsidR="002729A9" w:rsidRDefault="002729A9" w:rsidP="00EE712B">
      <w:pPr>
        <w:numPr>
          <w:ilvl w:val="12"/>
          <w:numId w:val="0"/>
        </w:numPr>
        <w:spacing w:line="360" w:lineRule="auto"/>
        <w:jc w:val="both"/>
        <w:rPr>
          <w:rFonts w:ascii="Book Antiqua" w:hAnsi="Book Antiqua"/>
        </w:rPr>
      </w:pPr>
    </w:p>
    <w:p w14:paraId="12A0C888" w14:textId="77777777" w:rsidR="002729A9" w:rsidRDefault="002729A9" w:rsidP="00EE712B">
      <w:pPr>
        <w:numPr>
          <w:ilvl w:val="12"/>
          <w:numId w:val="0"/>
        </w:numPr>
        <w:spacing w:line="360" w:lineRule="auto"/>
        <w:jc w:val="both"/>
        <w:rPr>
          <w:rFonts w:ascii="Book Antiqua" w:hAnsi="Book Antiqua"/>
        </w:rPr>
      </w:pPr>
      <w:r>
        <w:rPr>
          <w:rFonts w:ascii="Book Antiqua" w:hAnsi="Book Antiqua"/>
        </w:rPr>
        <w:t>Some of the growth factors that have recently been investigated because of their effects on nervous tissue repair are: NGF, brain-derived neurotrophic factor (BDNF), glial cell line-derived neurotrophic factor (GDNF), ciliar neurotrophic factor (CNTF), ILGF-1, and VEGF. Briefly, NGF acts on neurons to stimulate their proliferation and differentiation; its action is potentiated when combined with scaffolds made of biomaterials.</w:t>
      </w:r>
      <w:r w:rsidRPr="000A5FE1">
        <w:rPr>
          <w:rFonts w:ascii="Book Antiqua" w:hAnsi="Book Antiqua"/>
          <w:noProof/>
          <w:vertAlign w:val="superscript"/>
        </w:rPr>
        <w:t>85</w:t>
      </w:r>
      <w:r>
        <w:rPr>
          <w:rFonts w:ascii="Book Antiqua" w:hAnsi="Book Antiqua"/>
        </w:rPr>
        <w:t xml:space="preserve"> Similarly, BDNF enhances MSC differentiation towards cells of neuronal lineage </w:t>
      </w:r>
      <w:r w:rsidRPr="0036303C">
        <w:rPr>
          <w:rFonts w:ascii="Book Antiqua" w:hAnsi="Book Antiqua"/>
          <w:i/>
        </w:rPr>
        <w:t>in vitro</w:t>
      </w:r>
      <w:r>
        <w:rPr>
          <w:rFonts w:ascii="Book Antiqua" w:hAnsi="Book Antiqua"/>
        </w:rPr>
        <w:t>, after nerve injury.</w:t>
      </w:r>
      <w:r w:rsidRPr="000A5FE1">
        <w:rPr>
          <w:rFonts w:ascii="Book Antiqua" w:hAnsi="Book Antiqua"/>
          <w:noProof/>
          <w:vertAlign w:val="superscript"/>
        </w:rPr>
        <w:t>85,86</w:t>
      </w:r>
      <w:r>
        <w:rPr>
          <w:rFonts w:ascii="Book Antiqua" w:hAnsi="Book Antiqua"/>
        </w:rPr>
        <w:t xml:space="preserve"> In nerve fibers that were experimentally transected, it was found that GDNF promotes myelination and axonal re-growth on the early stages of the injury.</w:t>
      </w:r>
      <w:r w:rsidRPr="000A5FE1">
        <w:rPr>
          <w:rFonts w:ascii="Book Antiqua" w:hAnsi="Book Antiqua"/>
          <w:noProof/>
          <w:vertAlign w:val="superscript"/>
        </w:rPr>
        <w:t>87</w:t>
      </w:r>
      <w:r>
        <w:rPr>
          <w:rFonts w:ascii="Book Antiqua" w:hAnsi="Book Antiqua"/>
        </w:rPr>
        <w:t xml:space="preserve"> Finally, CNTF, ILGF-1 and VEGF are auxiliaries of nerve regeneration and survival, the last one mainly due to its location between nerve fibers and blood vessels during nerve regeneration.</w:t>
      </w:r>
      <w:r w:rsidRPr="000A5FE1">
        <w:rPr>
          <w:rFonts w:ascii="Book Antiqua" w:hAnsi="Book Antiqua"/>
          <w:noProof/>
          <w:vertAlign w:val="superscript"/>
        </w:rPr>
        <w:t>31,88</w:t>
      </w:r>
    </w:p>
    <w:p w14:paraId="3D39B89D" w14:textId="77777777" w:rsidR="002729A9" w:rsidRDefault="002729A9" w:rsidP="00EE712B">
      <w:pPr>
        <w:numPr>
          <w:ilvl w:val="12"/>
          <w:numId w:val="0"/>
        </w:numPr>
        <w:spacing w:line="360" w:lineRule="auto"/>
        <w:jc w:val="both"/>
        <w:rPr>
          <w:rFonts w:ascii="Book Antiqua" w:hAnsi="Book Antiqua"/>
        </w:rPr>
      </w:pPr>
    </w:p>
    <w:p w14:paraId="6A6C2325" w14:textId="77777777" w:rsidR="002729A9" w:rsidRDefault="002729A9" w:rsidP="00EE712B">
      <w:pPr>
        <w:spacing w:line="360" w:lineRule="auto"/>
        <w:jc w:val="both"/>
        <w:rPr>
          <w:rFonts w:ascii="Book Antiqua" w:hAnsi="Book Antiqua"/>
        </w:rPr>
      </w:pPr>
      <w:r>
        <w:rPr>
          <w:rFonts w:ascii="Book Antiqua" w:hAnsi="Book Antiqua"/>
        </w:rPr>
        <w:t xml:space="preserve">Overall, the ability of MSCs to inhibit the immune response created after allogeneic transplantation, as well as their ability to contribute to tissue repair by direct or indirect mechanisms makes MSCs an attractive therapeutic alternative in the field of regenerative medicine. </w:t>
      </w:r>
    </w:p>
    <w:p w14:paraId="518D208D" w14:textId="77777777" w:rsidR="002729A9" w:rsidRDefault="002729A9" w:rsidP="00EE712B">
      <w:pPr>
        <w:numPr>
          <w:ilvl w:val="12"/>
          <w:numId w:val="0"/>
        </w:numPr>
        <w:spacing w:line="360" w:lineRule="auto"/>
        <w:jc w:val="both"/>
        <w:rPr>
          <w:rFonts w:ascii="Book Antiqua" w:hAnsi="Book Antiqua"/>
        </w:rPr>
      </w:pPr>
    </w:p>
    <w:p w14:paraId="2E26A075" w14:textId="77777777" w:rsidR="002729A9" w:rsidRDefault="002729A9" w:rsidP="00EE712B">
      <w:pPr>
        <w:numPr>
          <w:ilvl w:val="12"/>
          <w:numId w:val="0"/>
        </w:numPr>
        <w:spacing w:line="360" w:lineRule="auto"/>
        <w:jc w:val="both"/>
        <w:rPr>
          <w:rFonts w:ascii="Book Antiqua" w:hAnsi="Book Antiqua"/>
        </w:rPr>
      </w:pPr>
    </w:p>
    <w:p w14:paraId="1AE67D2D" w14:textId="77777777" w:rsidR="002729A9" w:rsidRDefault="002729A9" w:rsidP="00EE712B">
      <w:pPr>
        <w:numPr>
          <w:ilvl w:val="12"/>
          <w:numId w:val="0"/>
        </w:numPr>
        <w:spacing w:line="360" w:lineRule="auto"/>
        <w:jc w:val="both"/>
        <w:rPr>
          <w:rFonts w:ascii="Book Antiqua" w:hAnsi="Book Antiqua"/>
        </w:rPr>
      </w:pPr>
    </w:p>
    <w:p w14:paraId="175CE491" w14:textId="77777777" w:rsidR="002729A9" w:rsidRDefault="002729A9" w:rsidP="00EE712B">
      <w:pPr>
        <w:numPr>
          <w:ilvl w:val="12"/>
          <w:numId w:val="0"/>
        </w:numPr>
        <w:spacing w:line="360" w:lineRule="auto"/>
        <w:jc w:val="both"/>
        <w:rPr>
          <w:rFonts w:ascii="Book Antiqua" w:hAnsi="Book Antiqua"/>
        </w:rPr>
      </w:pPr>
    </w:p>
    <w:p w14:paraId="61B95183" w14:textId="77777777" w:rsidR="002729A9" w:rsidRPr="003366DD" w:rsidRDefault="002729A9" w:rsidP="008C0C61">
      <w:pPr>
        <w:rPr>
          <w:rFonts w:ascii="Book Antiqua" w:hAnsi="Book Antiqua"/>
        </w:rPr>
      </w:pPr>
      <w:r>
        <w:rPr>
          <w:rFonts w:ascii="Book Antiqua" w:hAnsi="Book Antiqua"/>
        </w:rPr>
        <w:br w:type="page"/>
      </w:r>
    </w:p>
    <w:p w14:paraId="1D78E955" w14:textId="77777777" w:rsidR="002729A9" w:rsidRPr="00646847" w:rsidRDefault="002729A9" w:rsidP="008F4C98">
      <w:pPr>
        <w:pStyle w:val="Heading2"/>
      </w:pPr>
      <w:bookmarkStart w:id="33" w:name="_Toc274387727"/>
      <w:r w:rsidRPr="00646847">
        <w:t>References</w:t>
      </w:r>
      <w:bookmarkEnd w:id="33"/>
    </w:p>
    <w:p w14:paraId="429C1415" w14:textId="77777777" w:rsidR="002729A9" w:rsidRPr="000E17F7" w:rsidRDefault="002729A9" w:rsidP="000E17F7">
      <w:pPr>
        <w:spacing w:line="360" w:lineRule="auto"/>
        <w:jc w:val="both"/>
        <w:rPr>
          <w:rFonts w:ascii="Book Antiqua" w:hAnsi="Book Antiqua"/>
        </w:rPr>
      </w:pPr>
    </w:p>
    <w:p w14:paraId="78BB37ED"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  Council AH. National Economic Impact of the U.S. Horse Industry. In: 2005.</w:t>
      </w:r>
    </w:p>
    <w:p w14:paraId="415D782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  Reed SMB, Warwick M ; Sellon, Debra C. Equine internal medicine, 3rd ed. St. Louis, Mo. : Saunders Elsevier; 2010.</w:t>
      </w:r>
    </w:p>
    <w:p w14:paraId="39D86AE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  Snell RS. Clinical neuroanatomy for medical students, Fourth edition1997;ix+585p-ix+585p.</w:t>
      </w:r>
    </w:p>
    <w:p w14:paraId="3E8B0DB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  de Lahunta A, Glass E. CHAPTER 1 - Introduction. In: Lahunta Ad, Glass E, eds. Veterinary Neuroanatomy and Clinical Neurology (Third Edition). Saint Louis: W.B. Saunders; 2009:1-5.</w:t>
      </w:r>
    </w:p>
    <w:p w14:paraId="779A1CD7"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  Snell RS. Clinical neuroanatomy for medical students, 5th ed. Pennsylvania, USA: Lippincott Williams &amp; Wilkins; 2001;545.</w:t>
      </w:r>
    </w:p>
    <w:p w14:paraId="6E514B8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  Health NIo. Stem cell basics. In: U.S. Department of Health &amp; Human Services; 2011.</w:t>
      </w:r>
    </w:p>
    <w:p w14:paraId="3FCA872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  (ISSCR) ISfSCR. Glossary of stem cell-related terms. In: ISSCR.</w:t>
      </w:r>
    </w:p>
    <w:p w14:paraId="57B0B82A"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  Cell ES. Stem cell glossary. In: 2010.</w:t>
      </w:r>
    </w:p>
    <w:p w14:paraId="319615E6"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9.  MacCord K. Mesenchyme. In: Embryo Project Encyclopedia The Embryo Project at Arizona State University; 2013.</w:t>
      </w:r>
    </w:p>
    <w:p w14:paraId="65D2EEF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10.  Dominici M, Le Blanc K, Mueller I, et al. Minimal criteria for defining multipotent mesenchymal stromal cells. The International Society for Cellular Therapy position statement. Cytotherapy 2006;8:315-317.</w:t>
      </w:r>
    </w:p>
    <w:p w14:paraId="6825A44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11.  Shoshani O, Ravid O, Massalha H, et al. Cell isolation induces fate changes of bone marrow mesenchymal cells leading to loss or alternatively to acquisition of new differentiation potentials. Stem cells (Dayton, Ohio) 2014;32:2008-2020.</w:t>
      </w:r>
    </w:p>
    <w:p w14:paraId="071D683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12.  Keating A. Mesenchymal stromal cells: new directions. Cell Stem Cell 2012;10:709-716.</w:t>
      </w:r>
    </w:p>
    <w:p w14:paraId="0E33764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13.  Javazon EH, Beggs KJ, Flake AW. Mesenchymal stem cells: paradoxes of passaging. Exp Hematol 2004;32:414-425.</w:t>
      </w:r>
    </w:p>
    <w:p w14:paraId="674C232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14.  Penny J, Harris P, Shakesheff KM, et al. The biology of equine mesenchymal stem cells: phenotypic characterization, cell surface markers and multilineage differentiation. Front Biosci (Landmark Ed) 2012;17:892-908.</w:t>
      </w:r>
    </w:p>
    <w:p w14:paraId="6EEE82C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15.  Zuk PA, Zhu M, Ashjian P, et al. Human adipose tissue is a source of multipotent stem cells. Mol Biol Cell 2002;13:4279-4295.</w:t>
      </w:r>
    </w:p>
    <w:p w14:paraId="4F1D3D0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16.  Navabazam AR, Sadeghian Nodoshan F, Sheikhha MH, et al. Characterization of mesenchymal stem cells from human dental pulp, preapical follicle and periodontal ligament. Iran J Reprod Med 2013;11:235-242.</w:t>
      </w:r>
    </w:p>
    <w:p w14:paraId="2FBA284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17.  Luria EA, Panasyuk AF, Friedenstein AY. Fibroblast colony formation from monolayer cultures of blood cells. Transfusion 1971;11:345-349.</w:t>
      </w:r>
    </w:p>
    <w:p w14:paraId="13A9031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18.  Campagnoli C, Roberts IA, Kumar S, et al. Identification of mesenchymal stem/progenitor cells in human first-trimester fetal blood, liver, and bone marrow. Blood 2001;98:2396-2402.</w:t>
      </w:r>
    </w:p>
    <w:p w14:paraId="55E9540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19.  Charbord P, Oostendorp R, Pang W, et al. Comparative study of stromal cell lines derived from embryonic, fetal, and postnatal mouse blood-forming tissues. Exp Hematol 2002;30:1202-1210.</w:t>
      </w:r>
    </w:p>
    <w:p w14:paraId="7348E72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20.  Kern S, Eichler H, Stoeve J, et al. Comparative analysis of mesenchymal stem cells from bone marrow, umbilical cord blood, or adipose tissue. Stem cells (Dayton, Ohio) 2006;24:1294-1301.</w:t>
      </w:r>
    </w:p>
    <w:p w14:paraId="4ED9C5B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21.  Di Nicola M, Carlo-Stella C, Magni M, et al. Human bone marrow stromal cells suppress T-lymphocyte proliferation induced by cellular or nonspecific mitogenic stimuli. Blood 2002;99:3838-3843.</w:t>
      </w:r>
    </w:p>
    <w:p w14:paraId="1383275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22.  Roemeling-van Rhijn M, Khairoun M, Korevaar SS, et al. Human Bone Marrow- and Adipose Tissue-derived Mesenchymal Stromal Cells are Immunosuppressive and in a Humanized Allograft Rejection Model. Journal of stem cell research &amp; therapy 2013;Suppl 6:20780.</w:t>
      </w:r>
    </w:p>
    <w:p w14:paraId="29892C5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23.  Wan CD, Cheng R, Wang HB, et al. Immunomodulatory effects of mesenchymal stem cells derived from adipose tissues in a rat orthotopic liver transplantation model. Hepatobiliary &amp; pancreatic diseases international : HBPD INT 2008;7:29-33.</w:t>
      </w:r>
    </w:p>
    <w:p w14:paraId="0E76E97D"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24.  Maggini J, Mirkin G, Bognanni I, et al. Mouse bone marrow-derived mesenchymal stromal cells turn activated macrophages into a regulatory-like profile. PloS one 2010;5:e9252.</w:t>
      </w:r>
    </w:p>
    <w:p w14:paraId="02E818C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25.  Liotta F, Angeli R, Cosmi L, et al. Toll-like receptors 3 and 4 are expressed by human bone marrow-derived mesenchymal stem cells and can inhibit their T-cell modulatory activity by impairing Notch signaling. Stem cells (Dayton, Ohio) 2008;26:279-289.</w:t>
      </w:r>
    </w:p>
    <w:p w14:paraId="1D0A94B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26.  Forostyak S, Jendelova P, Sykova E. The role of mesenchymal stromal cells in spinal cord injury, regenerative medicine and possible clinical applications. Biochimie 2013;95:2257-2270.</w:t>
      </w:r>
    </w:p>
    <w:p w14:paraId="39F8A40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27.  Wright KT, El Masri W, Osman A, et al. Concise review: Bone marrow for the treatment of spinal cord injury: mechanisms and clinical applications. Stem cells (Dayton, Ohio) 2011;29:169-178.</w:t>
      </w:r>
    </w:p>
    <w:p w14:paraId="12B86B3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28.  Kemp K, Hares K, Mallam E, et al. Mesenchymal stem cell-secreted superoxide dismutase promotes cerebellar neuronal survival. Journal of neurochemistry 2010;114:1569-1580.</w:t>
      </w:r>
    </w:p>
    <w:p w14:paraId="47F6074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29.  Dayan V, Yannarelli G, Billia F, et al. Mesenchymal stromal cells mediate a switch to alternatively activated monocytes/macrophages after acute myocardial infarction. Basic research in cardiology 2011;106:1299-1310.</w:t>
      </w:r>
    </w:p>
    <w:p w14:paraId="44830B8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30.  Lindsay RM. Role of neurotrophins and trk receptors in the development and maintenance of sensory neurons: an overview. Philosophical transactions of the Royal Society of London Series B, Biological sciences 1996;351:365-373.</w:t>
      </w:r>
    </w:p>
    <w:p w14:paraId="725D61B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31.  Dyck P. J. TPK. Peripheral neuropathy. Pennsylvania, USA: Elsevier Saunders; 2005.</w:t>
      </w:r>
    </w:p>
    <w:p w14:paraId="037A0A5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32.  Wilkins A, Kemp K, Ginty M, et al. Human bone marrow-derived mesenchymal stem cells secrete brain-derived neurotrophic factor which promotes neuronal survival in vitro. Stem cell research 2009;3:63-70.</w:t>
      </w:r>
    </w:p>
    <w:p w14:paraId="7BEA635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33.  Kalbermatten DF, Schaakxs D, Kingham PJ, et al. Neurotrophic activity of human adipose stem cells isolated from deep and superficial layers of abdominal fat. Cell and tissue research 2011;344:251-260.</w:t>
      </w:r>
    </w:p>
    <w:p w14:paraId="69F12CD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34.  Mahay D, Terenghi G, Shawcross SG. Schwann cell mediated trophic effects by differentiated mesenchymal stem cells. Experimental cell research 2008;314:2692-2701.</w:t>
      </w:r>
    </w:p>
    <w:p w14:paraId="6451E4E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35.  Spejo AB, Carvalho JL, Goes AM, et al. Neuroprotective effects of mesenchymal stem cells on spinal motoneurons following ventral root axotomy: synapse stability and axonal regeneration. Neuroscience 2013;250:715-732.</w:t>
      </w:r>
    </w:p>
    <w:p w14:paraId="34C6957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36.  Himeno T, Kamiya H, Naruse K, et al. Mesenchymal stem cell-like cells derived from mouse induced pluripotent stem cells ameliorate diabetic polyneuropathy in mice. BioMed research international 2013;2013:259187.</w:t>
      </w:r>
    </w:p>
    <w:p w14:paraId="41607DC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37.  Rogers JJ, Young HE, Adkison LR, et al. Differentiation factors induce expression of muscle, fat, cartilage, and bone in a clone of mouse pluripotent mesenchymal stem cells. Am Surg 1995;61:231-236.</w:t>
      </w:r>
    </w:p>
    <w:p w14:paraId="2DC6E236"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38.  Prockop DJ. Marrow stromal cells as stem cells for nonhematopoietic tissues. Science 1997;276:71-74.</w:t>
      </w:r>
    </w:p>
    <w:p w14:paraId="41E1090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39.  Jiang Y, Jahagirdar BN, Reinhardt RL, et al. Pluripotency of mesenchymal stem cells derived from adult marrow. Nature 2002;418:41-49.</w:t>
      </w:r>
    </w:p>
    <w:p w14:paraId="71255D5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40.  Crisan M, Yap S, Casteilla L, et al. A perivascular origin for mesenchymal stem cells in multiple human organs. Cell Stem Cell 2008;3:301-313.</w:t>
      </w:r>
    </w:p>
    <w:p w14:paraId="4179B03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41.  Woodbury D, Schwarz EJ, Prockop DJ, et al. Adult rat and human bone marrow stromal cells differentiate into neurons. Journal of neuroscience research 2000;61:364-370.</w:t>
      </w:r>
    </w:p>
    <w:p w14:paraId="746AD67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42.  Munoz-Elias G, Woodbury D, Black IB. Marrow stromal cells, mitosis, and neuronal differentiation: stem cell and precursor functions. Stem cells (Dayton, Ohio) 2003;21:437-448.</w:t>
      </w:r>
    </w:p>
    <w:p w14:paraId="41B2B04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43.  Choong PF, Mok PL, Cheong SK, et al. Generating neuron-like cells from BM-derived mesenchymal stromal cells in vitro. Cytotherapy 2007;9:170-183.</w:t>
      </w:r>
    </w:p>
    <w:p w14:paraId="7F21893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44.  Keilhoff G, Goihl A, Langnase K, et al. Transdifferentiation of mesenchymal stem cells into Schwann cell-like myelinating cells. Eur J Cell Biol 2006;85:11-24.</w:t>
      </w:r>
    </w:p>
    <w:p w14:paraId="449981E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45.  Keilhoff G, Stang F, Goihl A, et al. Transdifferentiated mesenchymal stem cells as alternative therapy in supporting nerve regeneration and myelination. Cell Mol Neurobiol 2006;26:1235-1252.</w:t>
      </w:r>
    </w:p>
    <w:p w14:paraId="501A72F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46.  Pan Y, Cai S. Current state of the development of mesenchymal stem cells into clinically applicable Schwann cell transplants. Mol Cell Biochem 2012;368:127-135.</w:t>
      </w:r>
    </w:p>
    <w:p w14:paraId="21B9FA2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47.  Ren Z, Wang Y, Peng J, et al. Role of stem cells in the regeneration and repair of peripheral nerves. Rev Neurosci 2012;23:135-143.</w:t>
      </w:r>
    </w:p>
    <w:p w14:paraId="76BD6986"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48.  Schaakxs D, Kalbermatten DF, Raffoul W, et al. Regenerative cell injection in denervated muscle reduces atrophy and enhances recovery following nerve repair. Muscle &amp; nerve 2013;47:691-701.</w:t>
      </w:r>
    </w:p>
    <w:p w14:paraId="5B8639F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49.  Zhu H, Yang A, Du J, et al. Basic fibroblast growth factor is a key factor that induces bone marrow mesenchymal stem cells towards cells with Schwann cell phenotype. Neurosci Lett 2014;559:82-87.</w:t>
      </w:r>
    </w:p>
    <w:p w14:paraId="476A44A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50.  Caddick J, Kingham PJ, Gardiner NJ, et al. Phenotypic and functional characteristics of mesenchymal stem cells differentiated along a Schwann cell lineage. Glia 2006;54:840-849.</w:t>
      </w:r>
    </w:p>
    <w:p w14:paraId="52D8433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51.  Gong M, Bi Y, Jiang W, et al. Retinoic acid receptor beta mediates all-trans retinoic acid facilitation of mesenchymal stem cells neuronal differentiation. Int J Biochem Cell Biol 2013;45:866-875.</w:t>
      </w:r>
    </w:p>
    <w:p w14:paraId="4D973D37"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52.  Dezawa M, Takahashi I, Esaki M, et al. Sciatic nerve regeneration in rats induced by transplantation of in vitro differentiated bone-marrow stromal cells. The European journal of neuroscience 2001;14:1771-1776.</w:t>
      </w:r>
    </w:p>
    <w:p w14:paraId="3E14559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53.  Kingham PJ, Kalbermatten DF, Mahay D, et al. Adipose-derived stem cells differentiate into a Schwann cell phenotype and promote neurite outgrowth in vitro. Experimental neurology 2007;207:267-274.</w:t>
      </w:r>
    </w:p>
    <w:p w14:paraId="2D23C62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54.  Cho HH, Jang S, Lee SC, et al. Effect of neural-induced mesenchymal stem cells and platelet-rich plasma on facial nerve regeneration in an acute nerve injury model. Laryngoscope 2010;120:907-913.</w:t>
      </w:r>
    </w:p>
    <w:p w14:paraId="50750F7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55.  Brohlin M, Mahay D, Novikov LN, et al. Characterisation of human mesenchymal stem cells following differentiation into Schwann cell-like cells. Neurosci Res 2009;64:41-49.</w:t>
      </w:r>
    </w:p>
    <w:p w14:paraId="35DF57D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56.  Cardozo AJ, Gomez DE, Argibay PF. Neurogenic differentiation of human adipose-derived stem cells: relevance of different signaling molecules, transcription factors, and key marker genes. Gene 2012;511:427-436.</w:t>
      </w:r>
    </w:p>
    <w:p w14:paraId="543AC15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57.  Dore JJ, DeWitt JC, Setty N, et al. Multiple signaling pathways converge to regulate bone-morphogenetic-protein-dependent glial gene expression. Developmental neuroscience 2009;31:473-486.</w:t>
      </w:r>
    </w:p>
    <w:p w14:paraId="6D18948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58.  Jessen KR, Mirsky R. The origin and development of glial cells in peripheral nerves. Nat Rev Neurosci 2005;6:671-682.</w:t>
      </w:r>
    </w:p>
    <w:p w14:paraId="6305E78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59.  Chattopadhyay S, Shubayev VI. MMP-9 controls Schwann cell proliferation and phenotypic remodeling via IGF-1 and ErbB receptor-mediated activation of MEK/ERK pathway. Glia 2009;57:1316-1325.</w:t>
      </w:r>
    </w:p>
    <w:p w14:paraId="7490687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60.  Pearse DD, Pereira FC, Marcillo AE, et al. cAMP and Schwann cells promote axonal growth and functional recovery after spinal cord injury. Nature medicine 2004;10:610-616.</w:t>
      </w:r>
    </w:p>
    <w:p w14:paraId="63051E3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61.  Souness JE, Aldous D, Sargent C. Immunosuppressive and anti-inflammatory effects of cyclic AMP phosphodiesterase (PDE) type 4 inhibitors. Immunopharmacology 2000;47:127-162.</w:t>
      </w:r>
    </w:p>
    <w:p w14:paraId="5665BED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62.  Woodhoo A, Alonso MB, Droggiti A, et al. Notch controls embryonic Schwann cell differentiation, postnatal myelination and adult plasticity. Nat Neurosci 2009;12:839-847.</w:t>
      </w:r>
    </w:p>
    <w:p w14:paraId="1856E5D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63.  Campbell WW. Evaluation and management of peripheral nerve injury. Clin Neurophysiol 2008;119:1951-1965.</w:t>
      </w:r>
    </w:p>
    <w:p w14:paraId="58BB671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64.  Kuffler DP. An assessment of current techniques for inducing axon regeneration and neurological recovery following peripheral nerve trauma. Prog Neurobiol 2013.</w:t>
      </w:r>
    </w:p>
    <w:p w14:paraId="286F4B0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65.  Seddon HJ. A Classification of Nerve Injuries. British medical journal 1942;2:237-239.</w:t>
      </w:r>
    </w:p>
    <w:p w14:paraId="509E2BAD"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66.  Widgerow AD, Salibian AA, Lalezari S, et al. Neuromodulatory nerve regeneration: adipose tissue-derived stem cells and neurotrophic mediation in peripheral nerve regeneration. Journal of neuroscience research 2013;91:1517-1524.</w:t>
      </w:r>
    </w:p>
    <w:p w14:paraId="5EFE676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67.  Tondreau T, Lagneaux L, Dejeneffe M, et al. Bone marrow-derived mesenchymal stem cells already express specific neural proteins before any differentiation. Differentiation 2004;72:319-326.</w:t>
      </w:r>
    </w:p>
    <w:p w14:paraId="60D1FFA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68.  Foudah D, Monfrini M, Donzelli E, et al. Expression of neural markers by undifferentiated mesenchymal-like stem cells from different sources. J Immunol Res 2014;2014:987678.</w:t>
      </w:r>
    </w:p>
    <w:p w14:paraId="7348D78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69.  Dai LG, Huang GS, Hsu SH. Sciatic nerve regeneration by cocultured Schwann cells and stem cells on microporous nerve conduits. Cell Transplant 2013;22:2029-2039.</w:t>
      </w:r>
    </w:p>
    <w:p w14:paraId="4C81ECB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70.  Kuffler DP. An assessment of current techniques for inducing axon regeneration and neurological recovery following peripheral nerve trauma. Prog Neurobiol 2014;116c:1-12.</w:t>
      </w:r>
    </w:p>
    <w:p w14:paraId="2F627CF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71.  Euler de Souza Lucena E, Guzen FP, Lopes de Paiva Cavalcanti JR, et al. Experimental considerations concerning the use of stem cells and tissue engineering for facial nerve regeneration: a systematic review. J Oral Maxillofac Surg 2014;72:1001-1012.</w:t>
      </w:r>
    </w:p>
    <w:p w14:paraId="70603BA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72.  Sebben AD, Lichtenfels M, Silva JLBd. Regeneração de nervos periféricos: terapia celular e fatores neurotróficos. Revista Brasileira de Ortopedia 2011;46:643-649.</w:t>
      </w:r>
    </w:p>
    <w:p w14:paraId="36DDA3E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73.  Al-Timmemi HI, R.; Al-Jashamy, K.; Abz, Z.; Ti, A.; Ramasamy, R. Neurobiological Observations of Bone Mesenchymal Stem Cells in vitro and in vivo of Injured Sciatic Nerve in Rabbit. Journal of Animal and Veterinary Advances 2011;10:686-691.</w:t>
      </w:r>
    </w:p>
    <w:p w14:paraId="6FE4AE5A"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74.  Nishida H, Nakayama M, Tanaka H, et al. Evaluation of transplantation of autologous bone marrow stromal cells into the cerebrospinal fluid for treatment of chronic spinal cord injury in dogs. American journal of veterinary research 2011;72:1118-1123.</w:t>
      </w:r>
    </w:p>
    <w:p w14:paraId="330194B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75.  Salomone R, Bento RF, Costa HJ, et al. Bone marrow stem cells in facial nerve regeneration from isolated stumps. Muscle &amp; nerve 2013;48:423-429.</w:t>
      </w:r>
    </w:p>
    <w:p w14:paraId="5EB2875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76.  Szal GJ, Miller T. Surgical repair of facial nerve branches. An analysis of different sheathing and suturing techniques. Archives of otolaryngology (Chicago, Ill : 1960) 1975;101:160-165.</w:t>
      </w:r>
    </w:p>
    <w:p w14:paraId="01FF1F87"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77.  Matthes SM, Reimers K, Janssen I, et al. Intravenous transplantation of mesenchymal stromal cells to enhance peripheral nerve regeneration. BioMed research international 2013;2013:573169.</w:t>
      </w:r>
    </w:p>
    <w:p w14:paraId="3369286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78.  Penha EM, Meira CS, Guimaraes ET, et al. Use of autologous mesenchymal stem cells derived from bone marrow for the treatment of naturally injured spinal cord in dogs. Stem cells international 2014;2014:437521.</w:t>
      </w:r>
    </w:p>
    <w:p w14:paraId="643EDCC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79.  Akiyama Y, Radtke C, Honmou O, et al. Remyelination of the spinal cord following intravenous delivery of bone marrow cells. Glia 2002;39:229-236.</w:t>
      </w:r>
    </w:p>
    <w:p w14:paraId="5AA83FA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80.  Vagima Y, Lapid K, Kollet O, et al. Pathways implicated in stem cell migration: the SDF-1/CXCR4 axis. Methods in molecular biology (Clifton, NJ) 2011;750:277-289.</w:t>
      </w:r>
    </w:p>
    <w:p w14:paraId="039E5AC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81.  Theiss HD, Vallaster M, Rischpler C, et al. Dual stem cell therapy after myocardial infarction acts specifically by enhanced homing via the SDF-1/CXCR4 axis. Stem cell research 2011;7:244-255.</w:t>
      </w:r>
    </w:p>
    <w:p w14:paraId="6D0C98B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82.  De Ugarte DA, Alfonso Z, Zuk PA, et al. Differential expression of stem cell mobilization-associated molecules on multi-lineage cells from adipose tissue and bone marrow. Immunology letters 2003;89:267-270.</w:t>
      </w:r>
    </w:p>
    <w:p w14:paraId="174AC4CD"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83.  Sohni A, Verfaillie CM. Mesenchymal stem cells migration homing and tracking. Stem cells international 2013;2013:130763.</w:t>
      </w:r>
    </w:p>
    <w:p w14:paraId="2A6CA1C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84.  Kustermann E, Himmelreich U, Kandal K, et al. Efficient stem cell labeling for MRI studies. Contrast media &amp; molecular imaging 2008;3:27-37.</w:t>
      </w:r>
    </w:p>
    <w:p w14:paraId="2485FBD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85.  Lee AC, Yu VM, Lowe JB, 3rd, et al. Controlled release of nerve growth factor enhances sciatic nerve regeneration. Experimental neurology 2003;184:295-303.</w:t>
      </w:r>
    </w:p>
    <w:p w14:paraId="431B770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86.  Sanchez-Ramos J, Song S, Cardozo-Pelaez F, et al. Adult bone marrow stromal cells differentiate into neural cells in vitro. Experimental neurology 2000;164:247-256.</w:t>
      </w:r>
    </w:p>
    <w:p w14:paraId="0FB2B837"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87.  Hoke A, Ho T, Crawford TO, et al. Glial cell line-derived neurotrophic factor alters axon schwann cell units and promotes myelination in unmyelinated nerve fibers. The Journal of neuroscience : the official journal of the Society for Neuroscience 2003;23:561-567.</w:t>
      </w:r>
    </w:p>
    <w:p w14:paraId="5651D9F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88.  Lopatina T, Kalinina N, Karagyaur M, et al. Adipose-derived stem cells stimulate regeneration of peripheral nerves: BDNF secreted by these cells promotes nerve healing and axon growth de novo. PloS one 2011;6:e17899.</w:t>
      </w:r>
    </w:p>
    <w:p w14:paraId="1D22C2BA" w14:textId="77777777" w:rsidR="002729A9" w:rsidRPr="000E17F7" w:rsidRDefault="002729A9" w:rsidP="00A07A00">
      <w:pPr>
        <w:spacing w:line="360" w:lineRule="auto"/>
        <w:jc w:val="both"/>
        <w:rPr>
          <w:rFonts w:ascii="Book Antiqua" w:hAnsi="Book Antiqua"/>
        </w:rPr>
        <w:sectPr w:rsidR="002729A9" w:rsidRPr="000E17F7" w:rsidSect="005512E2">
          <w:pgSz w:w="11900" w:h="16840"/>
          <w:pgMar w:top="1440" w:right="1440" w:bottom="1440" w:left="1440" w:header="706" w:footer="706" w:gutter="0"/>
          <w:pgNumType w:start="1"/>
          <w:cols w:space="708"/>
          <w:docGrid w:linePitch="360"/>
        </w:sectPr>
      </w:pPr>
    </w:p>
    <w:p w14:paraId="59951AAF" w14:textId="77777777" w:rsidR="002729A9" w:rsidRDefault="002729A9" w:rsidP="008C0C61">
      <w:pPr>
        <w:pStyle w:val="Heading1"/>
        <w:rPr>
          <w:caps/>
          <w:szCs w:val="24"/>
        </w:rPr>
      </w:pPr>
      <w:bookmarkStart w:id="34" w:name="_Toc286145903"/>
      <w:bookmarkStart w:id="35" w:name="_Toc274387728"/>
      <w:r w:rsidRPr="005360C7">
        <w:rPr>
          <w:caps/>
          <w:szCs w:val="24"/>
        </w:rPr>
        <w:t>CHAPTER II</w:t>
      </w:r>
      <w:bookmarkEnd w:id="34"/>
      <w:r w:rsidRPr="005360C7">
        <w:rPr>
          <w:caps/>
          <w:szCs w:val="24"/>
        </w:rPr>
        <w:t>:</w:t>
      </w:r>
      <w:bookmarkEnd w:id="35"/>
    </w:p>
    <w:p w14:paraId="482D7F7E" w14:textId="77777777" w:rsidR="002729A9" w:rsidRPr="005360C7" w:rsidRDefault="002729A9" w:rsidP="00B26695">
      <w:pPr>
        <w:pStyle w:val="Heading1"/>
        <w:rPr>
          <w:caps/>
          <w:szCs w:val="24"/>
        </w:rPr>
      </w:pPr>
      <w:bookmarkStart w:id="36" w:name="_Toc274387729"/>
      <w:r w:rsidRPr="005360C7">
        <w:rPr>
          <w:caps/>
          <w:szCs w:val="24"/>
        </w:rPr>
        <w:t>Differentiation of equine mesenchymal stromal cells into neural cells: potential for clinical applications</w:t>
      </w:r>
      <w:bookmarkEnd w:id="36"/>
    </w:p>
    <w:p w14:paraId="1480EF66" w14:textId="77777777" w:rsidR="002729A9" w:rsidRPr="008D5224" w:rsidRDefault="002729A9" w:rsidP="008C0C61">
      <w:pPr>
        <w:rPr>
          <w:rFonts w:ascii="Book Antiqua" w:hAnsi="Book Antiqua"/>
          <w:b/>
        </w:rPr>
      </w:pPr>
      <w:r>
        <w:rPr>
          <w:rFonts w:ascii="Book Antiqua" w:hAnsi="Book Antiqua"/>
          <w:b/>
        </w:rPr>
        <w:br w:type="page"/>
      </w:r>
    </w:p>
    <w:p w14:paraId="316CE1BD" w14:textId="77777777" w:rsidR="002729A9" w:rsidRPr="008D5224" w:rsidRDefault="002729A9" w:rsidP="00EE712B">
      <w:pPr>
        <w:spacing w:line="360" w:lineRule="auto"/>
        <w:jc w:val="center"/>
        <w:rPr>
          <w:rFonts w:ascii="Book Antiqua" w:hAnsi="Book Antiqua"/>
        </w:rPr>
      </w:pPr>
      <w:r w:rsidRPr="008D5224">
        <w:rPr>
          <w:rFonts w:ascii="Book Antiqua" w:hAnsi="Book Antiqua"/>
        </w:rPr>
        <w:t>Claudia Cruz Villagrán</w:t>
      </w:r>
      <w:r w:rsidRPr="008D5224">
        <w:rPr>
          <w:rFonts w:ascii="Book Antiqua" w:hAnsi="Book Antiqua"/>
          <w:vertAlign w:val="superscript"/>
        </w:rPr>
        <w:t>1</w:t>
      </w:r>
      <w:r w:rsidRPr="008D5224">
        <w:rPr>
          <w:rFonts w:ascii="Book Antiqua" w:hAnsi="Book Antiqua"/>
        </w:rPr>
        <w:t>, Lisa Amelse</w:t>
      </w:r>
      <w:r w:rsidRPr="008D5224">
        <w:rPr>
          <w:rFonts w:ascii="Book Antiqua" w:hAnsi="Book Antiqua"/>
          <w:vertAlign w:val="superscript"/>
        </w:rPr>
        <w:t>2</w:t>
      </w:r>
      <w:r w:rsidRPr="008D5224">
        <w:rPr>
          <w:rFonts w:ascii="Book Antiqua" w:hAnsi="Book Antiqua"/>
        </w:rPr>
        <w:t>, Nancy Neilsen</w:t>
      </w:r>
      <w:r w:rsidRPr="008D5224">
        <w:rPr>
          <w:rFonts w:ascii="Book Antiqua" w:hAnsi="Book Antiqua"/>
          <w:vertAlign w:val="superscript"/>
        </w:rPr>
        <w:t>3</w:t>
      </w:r>
      <w:r w:rsidRPr="008D5224">
        <w:rPr>
          <w:rFonts w:ascii="Book Antiqua" w:hAnsi="Book Antiqua"/>
        </w:rPr>
        <w:t>,</w:t>
      </w:r>
      <w:r w:rsidRPr="008D5224">
        <w:rPr>
          <w:rFonts w:ascii="Book Antiqua" w:hAnsi="Book Antiqua"/>
          <w:vertAlign w:val="superscript"/>
        </w:rPr>
        <w:t xml:space="preserve"> </w:t>
      </w:r>
      <w:r w:rsidRPr="008D5224">
        <w:rPr>
          <w:rFonts w:ascii="Book Antiqua" w:hAnsi="Book Antiqua"/>
        </w:rPr>
        <w:t>John Dunlap</w:t>
      </w:r>
      <w:r w:rsidRPr="008D5224">
        <w:rPr>
          <w:rFonts w:ascii="Book Antiqua" w:hAnsi="Book Antiqua"/>
          <w:vertAlign w:val="superscript"/>
        </w:rPr>
        <w:t>4</w:t>
      </w:r>
      <w:r w:rsidRPr="008D5224">
        <w:rPr>
          <w:rFonts w:ascii="Book Antiqua" w:hAnsi="Book Antiqua"/>
        </w:rPr>
        <w:t xml:space="preserve"> and Madhu Dhar</w:t>
      </w:r>
      <w:r w:rsidRPr="008D5224">
        <w:rPr>
          <w:rFonts w:ascii="Book Antiqua" w:hAnsi="Book Antiqua"/>
          <w:vertAlign w:val="superscript"/>
        </w:rPr>
        <w:t>2</w:t>
      </w:r>
    </w:p>
    <w:p w14:paraId="391CE6A7" w14:textId="77777777" w:rsidR="002729A9" w:rsidRPr="008D5224" w:rsidRDefault="002729A9" w:rsidP="00EE712B">
      <w:pPr>
        <w:spacing w:line="360" w:lineRule="auto"/>
        <w:jc w:val="both"/>
        <w:rPr>
          <w:rFonts w:ascii="Book Antiqua" w:hAnsi="Book Antiqua"/>
        </w:rPr>
      </w:pPr>
    </w:p>
    <w:p w14:paraId="24C96A17" w14:textId="77777777" w:rsidR="002729A9" w:rsidRPr="008D5224" w:rsidRDefault="002729A9" w:rsidP="00092112">
      <w:pPr>
        <w:spacing w:line="360" w:lineRule="auto"/>
        <w:jc w:val="center"/>
        <w:rPr>
          <w:rFonts w:ascii="Book Antiqua" w:hAnsi="Book Antiqua"/>
        </w:rPr>
      </w:pPr>
      <w:r w:rsidRPr="008D5224">
        <w:rPr>
          <w:rFonts w:ascii="Book Antiqua" w:hAnsi="Book Antiqua"/>
        </w:rPr>
        <w:t>Departments of Comparative and Experimental Medicine</w:t>
      </w:r>
      <w:r w:rsidRPr="008D5224">
        <w:rPr>
          <w:rFonts w:ascii="Book Antiqua" w:hAnsi="Book Antiqua"/>
          <w:vertAlign w:val="superscript"/>
        </w:rPr>
        <w:t>1</w:t>
      </w:r>
      <w:r w:rsidRPr="008D5224">
        <w:rPr>
          <w:rFonts w:ascii="Book Antiqua" w:hAnsi="Book Antiqua"/>
        </w:rPr>
        <w:t>, Large Animal Clinical Sciences</w:t>
      </w:r>
      <w:r w:rsidRPr="008D5224">
        <w:rPr>
          <w:rFonts w:ascii="Book Antiqua" w:hAnsi="Book Antiqua"/>
          <w:vertAlign w:val="superscript"/>
        </w:rPr>
        <w:t>2</w:t>
      </w:r>
      <w:r w:rsidRPr="008D5224">
        <w:rPr>
          <w:rFonts w:ascii="Book Antiqua" w:hAnsi="Book Antiqua"/>
        </w:rPr>
        <w:t>, and Biomedical and Diagnostic Sciences</w:t>
      </w:r>
      <w:r w:rsidRPr="008D5224">
        <w:rPr>
          <w:rFonts w:ascii="Book Antiqua" w:hAnsi="Book Antiqua"/>
          <w:vertAlign w:val="superscript"/>
        </w:rPr>
        <w:t>3</w:t>
      </w:r>
      <w:r w:rsidRPr="008D5224">
        <w:rPr>
          <w:rFonts w:ascii="Book Antiqua" w:hAnsi="Book Antiqua"/>
        </w:rPr>
        <w:t>, University of Tennessee College of Veterinary Medicine, Knoxville, TN.</w:t>
      </w:r>
    </w:p>
    <w:p w14:paraId="5DF7AA87" w14:textId="77777777" w:rsidR="002729A9" w:rsidRPr="008D5224" w:rsidRDefault="002729A9" w:rsidP="00EE712B">
      <w:pPr>
        <w:spacing w:line="360" w:lineRule="auto"/>
        <w:jc w:val="both"/>
        <w:rPr>
          <w:rFonts w:ascii="Book Antiqua" w:hAnsi="Book Antiqua"/>
        </w:rPr>
      </w:pPr>
    </w:p>
    <w:p w14:paraId="0155E366" w14:textId="77777777" w:rsidR="002729A9" w:rsidRDefault="002729A9" w:rsidP="00092112">
      <w:pPr>
        <w:spacing w:line="360" w:lineRule="auto"/>
        <w:jc w:val="center"/>
        <w:rPr>
          <w:rFonts w:ascii="Book Antiqua" w:hAnsi="Book Antiqua"/>
        </w:rPr>
      </w:pPr>
      <w:r w:rsidRPr="008D5224">
        <w:rPr>
          <w:rFonts w:ascii="Book Antiqua" w:hAnsi="Book Antiqua"/>
        </w:rPr>
        <w:t>Advanced Microscopy and Imaging Center</w:t>
      </w:r>
      <w:r w:rsidRPr="008D5224">
        <w:rPr>
          <w:rFonts w:ascii="Book Antiqua" w:hAnsi="Book Antiqua"/>
          <w:vertAlign w:val="superscript"/>
        </w:rPr>
        <w:t>4</w:t>
      </w:r>
      <w:r w:rsidRPr="008D5224">
        <w:rPr>
          <w:rFonts w:ascii="Book Antiqua" w:hAnsi="Book Antiqua"/>
        </w:rPr>
        <w:t>, University of Tennessee, Knoxville, TN.</w:t>
      </w:r>
    </w:p>
    <w:p w14:paraId="5701782D" w14:textId="77777777" w:rsidR="002729A9" w:rsidRDefault="002729A9" w:rsidP="00092112">
      <w:pPr>
        <w:spacing w:line="360" w:lineRule="auto"/>
        <w:jc w:val="center"/>
        <w:rPr>
          <w:rFonts w:ascii="Book Antiqua" w:hAnsi="Book Antiqua"/>
        </w:rPr>
      </w:pPr>
    </w:p>
    <w:p w14:paraId="6E6C320F" w14:textId="77777777" w:rsidR="002729A9" w:rsidRPr="008D5224" w:rsidRDefault="002729A9" w:rsidP="00092112">
      <w:pPr>
        <w:spacing w:line="360" w:lineRule="auto"/>
        <w:jc w:val="center"/>
        <w:rPr>
          <w:rFonts w:ascii="Book Antiqua" w:hAnsi="Book Antiqua"/>
        </w:rPr>
      </w:pPr>
      <w:r>
        <w:rPr>
          <w:rFonts w:ascii="Book Antiqua" w:hAnsi="Book Antiqua"/>
        </w:rPr>
        <w:t>Manuscript under review (Stem Cells International, 2014)</w:t>
      </w:r>
    </w:p>
    <w:p w14:paraId="47C95B57" w14:textId="77777777" w:rsidR="002729A9" w:rsidRDefault="002729A9" w:rsidP="00EE712B">
      <w:pPr>
        <w:spacing w:line="360" w:lineRule="auto"/>
        <w:rPr>
          <w:rFonts w:ascii="Book Antiqua" w:hAnsi="Book Antiqua"/>
        </w:rPr>
      </w:pPr>
    </w:p>
    <w:p w14:paraId="12C1F60B" w14:textId="77777777" w:rsidR="002729A9" w:rsidRPr="008D5224" w:rsidRDefault="002729A9" w:rsidP="00EE712B">
      <w:pPr>
        <w:spacing w:line="360" w:lineRule="auto"/>
        <w:rPr>
          <w:rFonts w:ascii="Book Antiqua" w:hAnsi="Book Antiqua"/>
        </w:rPr>
      </w:pPr>
    </w:p>
    <w:p w14:paraId="3608CAE1" w14:textId="77777777" w:rsidR="002729A9" w:rsidRPr="006379CD" w:rsidRDefault="002729A9" w:rsidP="00EE712B">
      <w:pPr>
        <w:spacing w:line="360" w:lineRule="auto"/>
        <w:jc w:val="center"/>
        <w:rPr>
          <w:b/>
        </w:rPr>
      </w:pPr>
      <w:r w:rsidRPr="006379CD">
        <w:rPr>
          <w:b/>
        </w:rPr>
        <w:t>Abstract</w:t>
      </w:r>
    </w:p>
    <w:p w14:paraId="0A5BED23" w14:textId="77777777" w:rsidR="002729A9" w:rsidRPr="009C46A8" w:rsidRDefault="002729A9" w:rsidP="00EE712B">
      <w:pPr>
        <w:spacing w:line="360" w:lineRule="auto"/>
        <w:jc w:val="center"/>
        <w:rPr>
          <w:rFonts w:ascii="Book Antiqua" w:hAnsi="Book Antiqua"/>
          <w:b/>
          <w:u w:val="single"/>
        </w:rPr>
      </w:pPr>
    </w:p>
    <w:p w14:paraId="03A51190" w14:textId="77777777" w:rsidR="002729A9" w:rsidRPr="008D5224" w:rsidRDefault="002729A9" w:rsidP="00EE712B">
      <w:pPr>
        <w:spacing w:line="360" w:lineRule="auto"/>
        <w:jc w:val="both"/>
        <w:rPr>
          <w:rFonts w:ascii="Book Antiqua" w:hAnsi="Book Antiqua"/>
        </w:rPr>
      </w:pPr>
      <w:r w:rsidRPr="008D5224">
        <w:rPr>
          <w:rFonts w:ascii="Book Antiqua" w:hAnsi="Book Antiqua"/>
        </w:rPr>
        <w:t xml:space="preserve">Studies have shown that mesenchymal stromal cells (MSCs) are able to differentiate into extra-mesodermal lineages, including neurons.  Positive outcomes were obtained after transplantation of neurally-induced MSCs in rats, rabbits and guinea pigs after nerve injury, but this is unknown in horses.  Our objective was to test the ability of equine MSCs to differentiate into cells of neural lineage </w:t>
      </w:r>
      <w:r w:rsidRPr="008D5224">
        <w:rPr>
          <w:rFonts w:ascii="Book Antiqua" w:hAnsi="Book Antiqua"/>
          <w:i/>
        </w:rPr>
        <w:t>in vitro</w:t>
      </w:r>
      <w:r w:rsidRPr="008D5224">
        <w:rPr>
          <w:rFonts w:ascii="Book Antiqua" w:hAnsi="Book Antiqua"/>
        </w:rPr>
        <w:t xml:space="preserve">, and to assess differences, if any, in morphology and lineage-specific protein expression.  Additionally, we wanted to investigate if horse age and cell passage number affected the ability to achieve neural differentiation.  Bone marrow-derived MSCs were obtained from 3 young and 4 adult horses.  Following demonstration of stemness, MSCs were neurally-induced and microscopically assessed at 3, 6, 12, 24 and 48 h.  Results showed that commercially available nitrogen-coated tissue culture plates supported proliferation and differentiation.  Morphological changes were observed as early as 3 hours and all the cells surviving the treatment displayed a </w:t>
      </w:r>
      <w:r>
        <w:rPr>
          <w:rFonts w:ascii="Book Antiqua" w:hAnsi="Book Antiqua"/>
        </w:rPr>
        <w:t>neural crest-like cell</w:t>
      </w:r>
      <w:r w:rsidRPr="008D5224">
        <w:rPr>
          <w:rFonts w:ascii="Book Antiqua" w:hAnsi="Book Antiqua"/>
        </w:rPr>
        <w:t xml:space="preserve"> phenotype.  Expression of neural progenitor proteins, nestin, vimentin, </w:t>
      </w:r>
      <w:r w:rsidRPr="008D5224">
        <w:t>β</w:t>
      </w:r>
      <w:r w:rsidRPr="008D5224">
        <w:rPr>
          <w:rFonts w:ascii="Book Antiqua" w:hAnsi="Book Antiqua"/>
          <w:vertAlign w:val="subscript"/>
        </w:rPr>
        <w:t>3</w:t>
      </w:r>
      <w:r w:rsidRPr="008D5224">
        <w:rPr>
          <w:rFonts w:ascii="Book Antiqua" w:hAnsi="Book Antiqua"/>
        </w:rPr>
        <w:t xml:space="preserve"> tubulin and glial fibrillary acidic protein (GFAP), was assessed via western blot or immunofluorescence.  In our study, MSCs generated from young and middle-aged horses did not show differences in their ability to undergo differentiation.  The effect of cell passage number, however, is inconsistent and further experiments are needed.  Ongoing work is aimed to trans-differentiate these cells into Schwann cells for transplantation into a peripheral nerve injury model in horses.  The ultimate goal is to provide practical resources for treatment of neuropathies in horses.</w:t>
      </w:r>
    </w:p>
    <w:p w14:paraId="6E9F7D7A" w14:textId="77777777" w:rsidR="002729A9" w:rsidRPr="008D5224" w:rsidRDefault="002729A9" w:rsidP="00EE712B">
      <w:pPr>
        <w:spacing w:line="360" w:lineRule="auto"/>
        <w:rPr>
          <w:rFonts w:ascii="Book Antiqua" w:hAnsi="Book Antiqua"/>
        </w:rPr>
      </w:pPr>
    </w:p>
    <w:p w14:paraId="779DAC0D" w14:textId="77777777" w:rsidR="002729A9" w:rsidRPr="008D5224" w:rsidRDefault="002729A9" w:rsidP="00EE712B">
      <w:pPr>
        <w:spacing w:line="360" w:lineRule="auto"/>
        <w:jc w:val="both"/>
        <w:rPr>
          <w:rFonts w:ascii="Book Antiqua" w:hAnsi="Book Antiqua"/>
        </w:rPr>
      </w:pPr>
      <w:r w:rsidRPr="009C46A8">
        <w:rPr>
          <w:rFonts w:ascii="Book Antiqua" w:hAnsi="Book Antiqua"/>
          <w:b/>
        </w:rPr>
        <w:t>Keywords:</w:t>
      </w:r>
      <w:r w:rsidRPr="008D5224">
        <w:rPr>
          <w:rFonts w:ascii="Book Antiqua" w:hAnsi="Book Antiqua"/>
        </w:rPr>
        <w:t xml:space="preserve"> Horse, mesenchymal stem cell, neuron, peripheral nerve, regeneration</w:t>
      </w:r>
    </w:p>
    <w:p w14:paraId="76DE5CF0" w14:textId="77777777" w:rsidR="002729A9" w:rsidRDefault="002729A9" w:rsidP="00EE712B">
      <w:pPr>
        <w:spacing w:line="360" w:lineRule="auto"/>
        <w:jc w:val="both"/>
        <w:rPr>
          <w:rFonts w:ascii="Book Antiqua" w:hAnsi="Book Antiqua"/>
        </w:rPr>
      </w:pPr>
    </w:p>
    <w:p w14:paraId="4BA06AE2" w14:textId="77777777" w:rsidR="002729A9" w:rsidRPr="008D5224" w:rsidRDefault="002729A9" w:rsidP="00EE712B">
      <w:pPr>
        <w:spacing w:line="360" w:lineRule="auto"/>
        <w:jc w:val="both"/>
        <w:rPr>
          <w:rFonts w:ascii="Book Antiqua" w:hAnsi="Book Antiqua"/>
        </w:rPr>
      </w:pPr>
    </w:p>
    <w:p w14:paraId="64313824" w14:textId="77777777" w:rsidR="002729A9" w:rsidRPr="009C46A8" w:rsidRDefault="002729A9" w:rsidP="00EE712B">
      <w:pPr>
        <w:pStyle w:val="Heading2"/>
      </w:pPr>
      <w:bookmarkStart w:id="37" w:name="_Toc274387730"/>
      <w:r w:rsidRPr="009C46A8">
        <w:t>Introduction</w:t>
      </w:r>
      <w:bookmarkEnd w:id="37"/>
    </w:p>
    <w:p w14:paraId="4F43A753" w14:textId="77777777" w:rsidR="002729A9" w:rsidRDefault="002729A9" w:rsidP="00EE712B">
      <w:pPr>
        <w:spacing w:line="360" w:lineRule="auto"/>
        <w:jc w:val="both"/>
        <w:rPr>
          <w:rFonts w:ascii="Book Antiqua" w:hAnsi="Book Antiqua"/>
        </w:rPr>
      </w:pPr>
    </w:p>
    <w:p w14:paraId="71770AB8" w14:textId="77777777" w:rsidR="002729A9" w:rsidRPr="008D5224" w:rsidRDefault="002729A9" w:rsidP="00EE712B">
      <w:pPr>
        <w:spacing w:line="360" w:lineRule="auto"/>
        <w:jc w:val="both"/>
        <w:rPr>
          <w:rFonts w:ascii="Book Antiqua" w:hAnsi="Book Antiqua"/>
        </w:rPr>
      </w:pPr>
      <w:r w:rsidRPr="008D5224">
        <w:rPr>
          <w:rFonts w:ascii="Book Antiqua" w:hAnsi="Book Antiqua"/>
        </w:rPr>
        <w:t>Spinal cord and peripheral nerve injuries in horses occur after trauma, toxic/metabolic and infectious diseases.  Less frequently, degenerative and hereditary diseases also pose a threat.  These events trigger an inflammatory cascade of events that results in poor performance, disability or death.  Additionally, the impact of peripheral nerve injuries in horses is reflected by big financial and emotional investments.  Peripheral nerves can be injured by thermal or chemical injuries, compression, crushing, stretching or transection</w:t>
      </w:r>
      <w:r>
        <w:rPr>
          <w:rFonts w:ascii="Book Antiqua" w:hAnsi="Book Antiqua"/>
        </w:rPr>
        <w:t>.</w:t>
      </w:r>
      <w:r w:rsidRPr="005360C7">
        <w:rPr>
          <w:rFonts w:ascii="Book Antiqua" w:hAnsi="Book Antiqua"/>
          <w:noProof/>
          <w:vertAlign w:val="superscript"/>
        </w:rPr>
        <w:t>1,2</w:t>
      </w:r>
      <w:r w:rsidRPr="008D5224">
        <w:rPr>
          <w:rFonts w:ascii="Book Antiqua" w:hAnsi="Book Antiqua"/>
        </w:rPr>
        <w:t xml:space="preserve">  After injury, the blood-nerve barrier permeability increases and an inflammatory response is initiated resulting in proliferation of Schwann cells and activation of local macrophages that respond to tissue damage</w:t>
      </w:r>
      <w:r>
        <w:rPr>
          <w:rFonts w:ascii="Book Antiqua" w:hAnsi="Book Antiqua"/>
        </w:rPr>
        <w:t>.</w:t>
      </w:r>
      <w:r w:rsidRPr="005360C7">
        <w:rPr>
          <w:rFonts w:ascii="Book Antiqua" w:hAnsi="Book Antiqua"/>
          <w:noProof/>
          <w:vertAlign w:val="superscript"/>
        </w:rPr>
        <w:t>2,3</w:t>
      </w:r>
      <w:r w:rsidRPr="008D5224">
        <w:rPr>
          <w:rFonts w:ascii="Book Antiqua" w:hAnsi="Book Antiqua"/>
        </w:rPr>
        <w:t xml:space="preserve">  Several of these cells secrete neurotrophic factors and other substances that eventually enhance axonal regrowth and re-myelination, depending on the magnitude of the lesion and the chronicity of it</w:t>
      </w:r>
      <w:r>
        <w:rPr>
          <w:rFonts w:ascii="Book Antiqua" w:hAnsi="Book Antiqua"/>
        </w:rPr>
        <w:t>.</w:t>
      </w:r>
      <w:r w:rsidRPr="005360C7">
        <w:rPr>
          <w:rFonts w:ascii="Book Antiqua" w:hAnsi="Book Antiqua"/>
          <w:noProof/>
          <w:vertAlign w:val="superscript"/>
        </w:rPr>
        <w:t>1,2,4-10</w:t>
      </w:r>
      <w:r w:rsidRPr="008D5224">
        <w:rPr>
          <w:rFonts w:ascii="Book Antiqua" w:hAnsi="Book Antiqua"/>
        </w:rPr>
        <w:t xml:space="preserve">  A loss of axonal continuity along with external nerve structures (neurotmesis, in the Seddon classification) has the poorest prognosis for recovery</w:t>
      </w:r>
      <w:r>
        <w:rPr>
          <w:rFonts w:ascii="Book Antiqua" w:hAnsi="Book Antiqua"/>
        </w:rPr>
        <w:t>.</w:t>
      </w:r>
      <w:r w:rsidRPr="005360C7">
        <w:rPr>
          <w:rFonts w:ascii="Book Antiqua" w:hAnsi="Book Antiqua"/>
          <w:noProof/>
          <w:vertAlign w:val="superscript"/>
        </w:rPr>
        <w:t>1</w:t>
      </w:r>
      <w:r w:rsidRPr="008D5224">
        <w:rPr>
          <w:rFonts w:ascii="Book Antiqua" w:hAnsi="Book Antiqua"/>
        </w:rPr>
        <w:t xml:space="preserve"> </w:t>
      </w:r>
    </w:p>
    <w:p w14:paraId="7EE32070" w14:textId="77777777" w:rsidR="002729A9" w:rsidRPr="008D5224" w:rsidRDefault="002729A9" w:rsidP="00EE712B">
      <w:pPr>
        <w:spacing w:line="360" w:lineRule="auto"/>
        <w:jc w:val="both"/>
        <w:rPr>
          <w:rFonts w:ascii="Book Antiqua" w:hAnsi="Book Antiqua"/>
        </w:rPr>
      </w:pPr>
      <w:r w:rsidRPr="008D5224">
        <w:rPr>
          <w:rFonts w:ascii="Book Antiqua" w:hAnsi="Book Antiqua"/>
        </w:rPr>
        <w:t xml:space="preserve"> </w:t>
      </w:r>
    </w:p>
    <w:p w14:paraId="6A606298" w14:textId="77777777" w:rsidR="002729A9" w:rsidRPr="008D5224" w:rsidRDefault="002729A9" w:rsidP="00EE712B">
      <w:pPr>
        <w:spacing w:line="360" w:lineRule="auto"/>
        <w:jc w:val="both"/>
        <w:rPr>
          <w:rFonts w:ascii="Book Antiqua" w:hAnsi="Book Antiqua"/>
        </w:rPr>
      </w:pPr>
      <w:r w:rsidRPr="008D5224">
        <w:rPr>
          <w:rFonts w:ascii="Book Antiqua" w:hAnsi="Book Antiqua"/>
        </w:rPr>
        <w:t xml:space="preserve">Mesenchymal stromal cells (MSCs) from bone marrow and adipose tissue have been demonstrated to trans-differentiate into cells of other lineages other than mesodermal lineages.  In vitro research has shown the ability of rodent and human MSCs to acquire a </w:t>
      </w:r>
      <w:r>
        <w:rPr>
          <w:rFonts w:ascii="Book Antiqua" w:hAnsi="Book Antiqua"/>
        </w:rPr>
        <w:t>neural crest-like cell</w:t>
      </w:r>
      <w:r w:rsidRPr="008D5224">
        <w:rPr>
          <w:rFonts w:ascii="Book Antiqua" w:hAnsi="Book Antiqua"/>
        </w:rPr>
        <w:t xml:space="preserve"> phenotype after induction with specific culture medium</w:t>
      </w:r>
      <w:r>
        <w:rPr>
          <w:rFonts w:ascii="Book Antiqua" w:hAnsi="Book Antiqua"/>
        </w:rPr>
        <w:t>.</w:t>
      </w:r>
      <w:r w:rsidRPr="005360C7">
        <w:rPr>
          <w:rFonts w:ascii="Book Antiqua" w:hAnsi="Book Antiqua"/>
          <w:noProof/>
          <w:vertAlign w:val="superscript"/>
        </w:rPr>
        <w:t>7-9,11-13</w:t>
      </w:r>
      <w:r w:rsidRPr="008D5224">
        <w:rPr>
          <w:rFonts w:ascii="Book Antiqua" w:hAnsi="Book Antiqua"/>
        </w:rPr>
        <w:t xml:space="preserve">  Neural protein markers, mainly, vimentin, nestin, </w:t>
      </w:r>
      <w:r w:rsidRPr="008D5224">
        <w:t>β</w:t>
      </w:r>
      <w:r w:rsidRPr="008D5224">
        <w:rPr>
          <w:rFonts w:ascii="Book Antiqua" w:hAnsi="Book Antiqua"/>
          <w:vertAlign w:val="subscript"/>
        </w:rPr>
        <w:t>3</w:t>
      </w:r>
      <w:r w:rsidRPr="008D5224">
        <w:rPr>
          <w:rFonts w:ascii="Book Antiqua" w:hAnsi="Book Antiqua"/>
        </w:rPr>
        <w:t xml:space="preserve"> tubulin and </w:t>
      </w:r>
      <w:r w:rsidRPr="008D5224">
        <w:rPr>
          <w:rFonts w:ascii="Book Antiqua" w:hAnsi="Book Antiqua"/>
          <w:lang w:val="en"/>
        </w:rPr>
        <w:t>glial fibrillary acidic protein</w:t>
      </w:r>
      <w:r w:rsidRPr="008D5224">
        <w:rPr>
          <w:rFonts w:ascii="Book Antiqua" w:hAnsi="Book Antiqua" w:cs="Arial"/>
          <w:color w:val="222222"/>
          <w:lang w:val="en"/>
        </w:rPr>
        <w:t xml:space="preserve"> (</w:t>
      </w:r>
      <w:r w:rsidRPr="008D5224">
        <w:rPr>
          <w:rFonts w:ascii="Book Antiqua" w:hAnsi="Book Antiqua"/>
        </w:rPr>
        <w:t>GFAP) were expressed in these neurally-induced cells, although results from different studies are contradictory and hence, inconclusive</w:t>
      </w:r>
      <w:r>
        <w:rPr>
          <w:rFonts w:ascii="Book Antiqua" w:hAnsi="Book Antiqua"/>
        </w:rPr>
        <w:t>.</w:t>
      </w:r>
      <w:r w:rsidRPr="005360C7">
        <w:rPr>
          <w:rFonts w:ascii="Book Antiqua" w:hAnsi="Book Antiqua"/>
          <w:noProof/>
          <w:vertAlign w:val="superscript"/>
        </w:rPr>
        <w:t>10,13-18</w:t>
      </w:r>
      <w:r w:rsidRPr="008D5224">
        <w:rPr>
          <w:rFonts w:ascii="Book Antiqua" w:hAnsi="Book Antiqua"/>
        </w:rPr>
        <w:t xml:space="preserve">  Interestingly, a novel study involving the evaluation of K</w:t>
      </w:r>
      <w:r w:rsidRPr="008D5224">
        <w:rPr>
          <w:rFonts w:ascii="Book Antiqua" w:hAnsi="Book Antiqua"/>
          <w:vertAlign w:val="superscript"/>
        </w:rPr>
        <w:t>+</w:t>
      </w:r>
      <w:r w:rsidRPr="008D5224">
        <w:rPr>
          <w:rFonts w:ascii="Book Antiqua" w:hAnsi="Book Antiqua"/>
        </w:rPr>
        <w:t xml:space="preserve"> and Na</w:t>
      </w:r>
      <w:r w:rsidRPr="008D5224">
        <w:rPr>
          <w:rFonts w:ascii="Book Antiqua" w:hAnsi="Book Antiqua"/>
          <w:vertAlign w:val="superscript"/>
        </w:rPr>
        <w:t>+</w:t>
      </w:r>
      <w:r w:rsidRPr="008D5224">
        <w:rPr>
          <w:rFonts w:ascii="Book Antiqua" w:hAnsi="Book Antiqua"/>
        </w:rPr>
        <w:t xml:space="preserve"> currents in </w:t>
      </w:r>
      <w:r>
        <w:rPr>
          <w:rFonts w:ascii="Book Antiqua" w:hAnsi="Book Antiqua"/>
        </w:rPr>
        <w:t>neural crest-like cells</w:t>
      </w:r>
      <w:r w:rsidRPr="008D5224">
        <w:rPr>
          <w:rFonts w:ascii="Book Antiqua" w:hAnsi="Book Antiqua"/>
        </w:rPr>
        <w:t xml:space="preserve"> revealed that after chemical induction of rat MSCs, these cells appeared to have lost the aforementioned electrophysiological property when compared to non-induced MSCs; concluding that despite morphological and molecular changes similar to neural cells, these chemically induced cells lacked the functional properties of neurons</w:t>
      </w:r>
      <w:r>
        <w:rPr>
          <w:rFonts w:ascii="Book Antiqua" w:hAnsi="Book Antiqua"/>
        </w:rPr>
        <w:t>.</w:t>
      </w:r>
      <w:r w:rsidRPr="005360C7">
        <w:rPr>
          <w:rFonts w:ascii="Book Antiqua" w:hAnsi="Book Antiqua"/>
          <w:noProof/>
          <w:vertAlign w:val="superscript"/>
        </w:rPr>
        <w:t>14</w:t>
      </w:r>
      <w:r w:rsidRPr="008D5224">
        <w:rPr>
          <w:rFonts w:ascii="Book Antiqua" w:hAnsi="Book Antiqua"/>
        </w:rPr>
        <w:t xml:space="preserve">  Nevertheless, several studies have shown positive correlation between in vitro and in vivo results</w:t>
      </w:r>
      <w:r>
        <w:rPr>
          <w:rFonts w:ascii="Book Antiqua" w:hAnsi="Book Antiqua"/>
        </w:rPr>
        <w:t>.</w:t>
      </w:r>
      <w:r w:rsidRPr="005360C7">
        <w:rPr>
          <w:rFonts w:ascii="Book Antiqua" w:hAnsi="Book Antiqua"/>
          <w:noProof/>
          <w:vertAlign w:val="superscript"/>
        </w:rPr>
        <w:t>2,7,9,12,14,19-21</w:t>
      </w:r>
      <w:r w:rsidRPr="008D5224">
        <w:rPr>
          <w:rFonts w:ascii="Book Antiqua" w:hAnsi="Book Antiqua"/>
        </w:rPr>
        <w:t xml:space="preserve">  For instance, bone marrow and adipose-derived undifferentiated MSCs have revealed positive outcomes when these cells were allogeneically transplanted in neurologically injured rats, rabbits and dogs</w:t>
      </w:r>
      <w:r>
        <w:rPr>
          <w:rFonts w:ascii="Book Antiqua" w:hAnsi="Book Antiqua"/>
        </w:rPr>
        <w:t>.</w:t>
      </w:r>
      <w:r w:rsidRPr="005360C7">
        <w:rPr>
          <w:rFonts w:ascii="Book Antiqua" w:hAnsi="Book Antiqua"/>
          <w:noProof/>
          <w:vertAlign w:val="superscript"/>
        </w:rPr>
        <w:t>2,9-11,18-20,22,23</w:t>
      </w:r>
      <w:r w:rsidRPr="008D5224">
        <w:rPr>
          <w:rFonts w:ascii="Book Antiqua" w:hAnsi="Book Antiqua"/>
        </w:rPr>
        <w:t xml:space="preserve">  On the other hand, studies in rats have also shown beneficial responses and regain of nerve function after transplanting either chemically-induced MSCs into a Schwann cell-like phenotype, or pure Schwann cells obtained from fresh peripheral nerve tissue</w:t>
      </w:r>
      <w:r>
        <w:rPr>
          <w:rFonts w:ascii="Book Antiqua" w:hAnsi="Book Antiqua"/>
        </w:rPr>
        <w:t>.</w:t>
      </w:r>
      <w:r w:rsidRPr="005360C7">
        <w:rPr>
          <w:rFonts w:ascii="Book Antiqua" w:hAnsi="Book Antiqua"/>
          <w:noProof/>
          <w:vertAlign w:val="superscript"/>
        </w:rPr>
        <w:t>9,11,23,24</w:t>
      </w:r>
      <w:r w:rsidRPr="008D5224">
        <w:rPr>
          <w:rFonts w:ascii="Book Antiqua" w:hAnsi="Book Antiqua"/>
        </w:rPr>
        <w:t xml:space="preserve">  It is important to mention, however, that in these studies cell therapy occurred immediately after nerve or spinal cord injury.  </w:t>
      </w:r>
    </w:p>
    <w:p w14:paraId="0EB34F71" w14:textId="77777777" w:rsidR="002729A9" w:rsidRPr="008D5224" w:rsidRDefault="002729A9" w:rsidP="00EE712B">
      <w:pPr>
        <w:spacing w:line="360" w:lineRule="auto"/>
        <w:jc w:val="both"/>
        <w:rPr>
          <w:rFonts w:ascii="Book Antiqua" w:hAnsi="Book Antiqua"/>
        </w:rPr>
      </w:pPr>
    </w:p>
    <w:p w14:paraId="0FFB5CF3" w14:textId="77777777" w:rsidR="002729A9" w:rsidRPr="008D5224" w:rsidRDefault="002729A9" w:rsidP="00EE712B">
      <w:pPr>
        <w:spacing w:line="360" w:lineRule="auto"/>
        <w:jc w:val="both"/>
        <w:rPr>
          <w:rFonts w:ascii="Book Antiqua" w:hAnsi="Book Antiqua"/>
        </w:rPr>
      </w:pPr>
      <w:r w:rsidRPr="008D5224">
        <w:rPr>
          <w:rFonts w:ascii="Book Antiqua" w:hAnsi="Book Antiqua"/>
        </w:rPr>
        <w:t>To our knowledge, there are no reports in the literature that describe the ability of equine bone marrow-derived MSCs (eBM-MSCs) to differentiate into cells of neural lineage, or demonstrate the clinical benefits after transplantation into horses suffering from neuropathies.  We have previously reported that to improve the clinical outcomes related to stem cell therapies, it is important to assess the biology and function of MSCs prior to their application in clinical cases</w:t>
      </w:r>
      <w:r>
        <w:rPr>
          <w:rFonts w:ascii="Book Antiqua" w:hAnsi="Book Antiqua"/>
        </w:rPr>
        <w:t>.</w:t>
      </w:r>
      <w:r w:rsidRPr="005360C7">
        <w:rPr>
          <w:rFonts w:ascii="Book Antiqua" w:hAnsi="Book Antiqua"/>
          <w:noProof/>
          <w:vertAlign w:val="superscript"/>
        </w:rPr>
        <w:t>25</w:t>
      </w:r>
      <w:r w:rsidRPr="008D5224">
        <w:rPr>
          <w:rFonts w:ascii="Book Antiqua" w:hAnsi="Book Antiqua"/>
        </w:rPr>
        <w:t xml:space="preserve">  In view of our long term goal of using equine MSCs in neuropathies, the present study was designed as a first step to evaluate the proliferation and survival of eBM-MSCs in vitro, and their ability to differentiate into </w:t>
      </w:r>
      <w:r>
        <w:rPr>
          <w:rFonts w:ascii="Book Antiqua" w:hAnsi="Book Antiqua"/>
        </w:rPr>
        <w:t>neural crest-like cells</w:t>
      </w:r>
      <w:r w:rsidRPr="008D5224">
        <w:rPr>
          <w:rFonts w:ascii="Book Antiqua" w:hAnsi="Book Antiqua"/>
        </w:rPr>
        <w:t xml:space="preserve"> after chemical induction.  We compared these properties and assessed changes, if any, in horses (donors) of two age groups.  Additionally, we compared changes in neural differentiation relative to the passage number of eBM-MSC cultures.  We used the expression profiles of the neural progenitor markers nestin, vimentin, </w:t>
      </w:r>
      <w:r w:rsidRPr="008D5224">
        <w:t>β</w:t>
      </w:r>
      <w:r w:rsidRPr="008D5224">
        <w:rPr>
          <w:rFonts w:ascii="Book Antiqua" w:hAnsi="Book Antiqua"/>
          <w:vertAlign w:val="subscript"/>
        </w:rPr>
        <w:t>3</w:t>
      </w:r>
      <w:r w:rsidRPr="008D5224">
        <w:rPr>
          <w:rFonts w:ascii="Book Antiqua" w:hAnsi="Book Antiqua"/>
        </w:rPr>
        <w:t xml:space="preserve"> tubulin and GFAP to investigate these changes.</w:t>
      </w:r>
    </w:p>
    <w:p w14:paraId="392980EA" w14:textId="77777777" w:rsidR="002729A9" w:rsidRDefault="002729A9" w:rsidP="00EE712B">
      <w:pPr>
        <w:spacing w:line="360" w:lineRule="auto"/>
        <w:jc w:val="both"/>
        <w:rPr>
          <w:rFonts w:ascii="Book Antiqua" w:hAnsi="Book Antiqua"/>
        </w:rPr>
      </w:pPr>
    </w:p>
    <w:p w14:paraId="0843520D" w14:textId="77777777" w:rsidR="002729A9" w:rsidRPr="008D5224" w:rsidRDefault="002729A9" w:rsidP="00EE712B">
      <w:pPr>
        <w:spacing w:line="360" w:lineRule="auto"/>
        <w:jc w:val="both"/>
        <w:rPr>
          <w:rFonts w:ascii="Book Antiqua" w:hAnsi="Book Antiqua"/>
        </w:rPr>
      </w:pPr>
    </w:p>
    <w:p w14:paraId="19AF6350" w14:textId="77777777" w:rsidR="002729A9" w:rsidRDefault="002729A9" w:rsidP="00EE712B">
      <w:pPr>
        <w:pStyle w:val="Heading2"/>
      </w:pPr>
      <w:bookmarkStart w:id="38" w:name="_Toc274387731"/>
      <w:r w:rsidRPr="009C46A8">
        <w:t>Materials and methods</w:t>
      </w:r>
      <w:bookmarkEnd w:id="38"/>
    </w:p>
    <w:p w14:paraId="7881BC71" w14:textId="77777777" w:rsidR="002729A9" w:rsidRPr="009C46A8" w:rsidRDefault="002729A9" w:rsidP="00EE712B">
      <w:pPr>
        <w:spacing w:line="360" w:lineRule="auto"/>
        <w:jc w:val="center"/>
        <w:rPr>
          <w:rFonts w:ascii="Book Antiqua" w:hAnsi="Book Antiqua"/>
          <w:b/>
          <w:u w:val="single"/>
        </w:rPr>
      </w:pPr>
    </w:p>
    <w:p w14:paraId="242726BA" w14:textId="77777777" w:rsidR="002729A9" w:rsidRPr="008D5224" w:rsidRDefault="002729A9" w:rsidP="00EE712B">
      <w:pPr>
        <w:spacing w:line="360" w:lineRule="auto"/>
        <w:jc w:val="both"/>
        <w:rPr>
          <w:rFonts w:ascii="Book Antiqua" w:hAnsi="Book Antiqua"/>
        </w:rPr>
      </w:pPr>
      <w:r w:rsidRPr="009C46A8">
        <w:rPr>
          <w:rFonts w:ascii="Book Antiqua" w:hAnsi="Book Antiqua"/>
          <w:u w:val="single"/>
        </w:rPr>
        <w:t>1. Animals and bone marrow aspiration.</w:t>
      </w:r>
      <w:r w:rsidRPr="008D5224">
        <w:rPr>
          <w:rFonts w:ascii="Book Antiqua" w:hAnsi="Book Antiqua"/>
        </w:rPr>
        <w:t xml:space="preserve">  Bone marrow aspirates were obtained from the sternum of 2 young mixed breed (range: 1-4 years old) and 4 adult American Quarter Horse (range: 9-13 years old) mares, and 1 young American Quarter Horse gelding as described previously</w:t>
      </w:r>
      <w:r>
        <w:rPr>
          <w:rFonts w:ascii="Book Antiqua" w:hAnsi="Book Antiqua"/>
        </w:rPr>
        <w:t>.</w:t>
      </w:r>
      <w:r w:rsidRPr="005360C7">
        <w:rPr>
          <w:rFonts w:ascii="Book Antiqua" w:hAnsi="Book Antiqua"/>
          <w:noProof/>
          <w:vertAlign w:val="superscript"/>
        </w:rPr>
        <w:t>26</w:t>
      </w:r>
      <w:r w:rsidRPr="008D5224">
        <w:rPr>
          <w:rFonts w:ascii="Book Antiqua" w:hAnsi="Book Antiqua"/>
        </w:rPr>
        <w:fldChar w:fldCharType="begin"/>
      </w:r>
      <w:r w:rsidRPr="008D5224">
        <w:rPr>
          <w:rFonts w:ascii="Book Antiqua" w:hAnsi="Book Antiqua"/>
        </w:rPr>
        <w:fldChar w:fldCharType="separate"/>
      </w:r>
      <w:r w:rsidRPr="008D5224">
        <w:rPr>
          <w:rFonts w:ascii="Book Antiqua" w:hAnsi="Book Antiqua"/>
        </w:rPr>
        <w:t>{Carter-Arnold, 2013 #48}</w:t>
      </w:r>
      <w:r w:rsidRPr="008D5224">
        <w:rPr>
          <w:rFonts w:ascii="Book Antiqua" w:hAnsi="Book Antiqua"/>
        </w:rPr>
        <w:fldChar w:fldCharType="end"/>
      </w:r>
      <w:r w:rsidRPr="008D5224">
        <w:rPr>
          <w:rFonts w:ascii="Book Antiqua" w:hAnsi="Book Antiqua"/>
        </w:rPr>
        <w:t xml:space="preserve">  All procedures were carried out as per an approved protocol by the Institutional Animal Care and Use Committee of the University of Tennessee, Knoxville, TN.  Briefly, horses were sedated with 0.01-0.02 mg/kg of detomidine hydrochloride, intravenously.  A 10 cm band was clipped and surgically prepared on the ventral aspect of the sternal area. Three mL of 2% lidocaine hydrochloride were injected subcutaneously and intramuscularly at the level of the 5</w:t>
      </w:r>
      <w:r w:rsidRPr="008D5224">
        <w:rPr>
          <w:rFonts w:ascii="Book Antiqua" w:hAnsi="Book Antiqua"/>
          <w:vertAlign w:val="superscript"/>
        </w:rPr>
        <w:t>th</w:t>
      </w:r>
      <w:r w:rsidRPr="008D5224">
        <w:rPr>
          <w:rFonts w:ascii="Book Antiqua" w:hAnsi="Book Antiqua"/>
        </w:rPr>
        <w:t xml:space="preserve"> or 6</w:t>
      </w:r>
      <w:r w:rsidRPr="008D5224">
        <w:rPr>
          <w:rFonts w:ascii="Book Antiqua" w:hAnsi="Book Antiqua"/>
          <w:vertAlign w:val="superscript"/>
        </w:rPr>
        <w:t>th</w:t>
      </w:r>
      <w:r w:rsidRPr="008D5224">
        <w:rPr>
          <w:rFonts w:ascii="Book Antiqua" w:hAnsi="Book Antiqua"/>
        </w:rPr>
        <w:t xml:space="preserve"> sternebrae at the ventral midline, followed by a stab incision with a 15 blade on the skin, subcutaneous tissue and musculature.  A Jamshidi needle was inserted perpendicular to the skin until it reached the periosteum. The needle was then forced into the sternum and bone marrow from either the 5</w:t>
      </w:r>
      <w:r w:rsidRPr="008D5224">
        <w:rPr>
          <w:rFonts w:ascii="Book Antiqua" w:hAnsi="Book Antiqua"/>
          <w:vertAlign w:val="superscript"/>
        </w:rPr>
        <w:t>th</w:t>
      </w:r>
      <w:r w:rsidRPr="008D5224">
        <w:rPr>
          <w:rFonts w:ascii="Book Antiqua" w:hAnsi="Book Antiqua"/>
        </w:rPr>
        <w:t xml:space="preserve"> or the 6</w:t>
      </w:r>
      <w:r w:rsidRPr="008D5224">
        <w:rPr>
          <w:rFonts w:ascii="Book Antiqua" w:hAnsi="Book Antiqua"/>
          <w:vertAlign w:val="superscript"/>
        </w:rPr>
        <w:t>th</w:t>
      </w:r>
      <w:r w:rsidRPr="008D5224">
        <w:rPr>
          <w:rFonts w:ascii="Book Antiqua" w:hAnsi="Book Antiqua"/>
        </w:rPr>
        <w:t xml:space="preserve"> sternebrae was obtained by gentle aspiration with a syringe loaded with 1000 IU/10 mL of heparin sulfate.</w:t>
      </w:r>
    </w:p>
    <w:p w14:paraId="0D0561CC" w14:textId="77777777" w:rsidR="002729A9" w:rsidRPr="008D5224" w:rsidRDefault="002729A9" w:rsidP="00EE712B">
      <w:pPr>
        <w:spacing w:line="360" w:lineRule="auto"/>
        <w:jc w:val="both"/>
        <w:rPr>
          <w:rFonts w:ascii="Book Antiqua" w:hAnsi="Book Antiqua"/>
        </w:rPr>
      </w:pPr>
    </w:p>
    <w:p w14:paraId="228599BD" w14:textId="77777777" w:rsidR="002729A9" w:rsidRPr="008D5224" w:rsidRDefault="002729A9" w:rsidP="00EE712B">
      <w:pPr>
        <w:spacing w:line="360" w:lineRule="auto"/>
        <w:jc w:val="both"/>
        <w:rPr>
          <w:rFonts w:ascii="Book Antiqua" w:hAnsi="Book Antiqua"/>
        </w:rPr>
      </w:pPr>
      <w:r w:rsidRPr="009C46A8">
        <w:rPr>
          <w:rFonts w:ascii="Book Antiqua" w:hAnsi="Book Antiqua"/>
          <w:u w:val="single"/>
        </w:rPr>
        <w:t>2. Isolation and expansion of MSCs.</w:t>
      </w:r>
      <w:r w:rsidRPr="008D5224">
        <w:rPr>
          <w:rFonts w:ascii="Book Antiqua" w:hAnsi="Book Antiqua"/>
        </w:rPr>
        <w:t xml:space="preserve">  These procedures were as described earlier</w:t>
      </w:r>
      <w:r>
        <w:rPr>
          <w:rFonts w:ascii="Book Antiqua" w:hAnsi="Book Antiqua"/>
        </w:rPr>
        <w:t>.</w:t>
      </w:r>
      <w:r w:rsidRPr="005360C7">
        <w:rPr>
          <w:rFonts w:ascii="Book Antiqua" w:hAnsi="Book Antiqua"/>
          <w:noProof/>
          <w:vertAlign w:val="superscript"/>
        </w:rPr>
        <w:t>25-27</w:t>
      </w:r>
      <w:r w:rsidRPr="008D5224">
        <w:rPr>
          <w:rFonts w:ascii="Book Antiqua" w:hAnsi="Book Antiqua"/>
        </w:rPr>
        <w:t xml:space="preserve">  Briefly, bone marrow aspirate was diluted with 1X PBS and layered on top of the lymphocyte separation media, Ficoll™.  After centrifugation at 200g for 20 min at room temperature, the buffy coat containing the mononuclear cells (MNCs) was obtained.  The MNCs were resuspended in growth media containing Dulbecco’s modified Eagle medium/Ham’s F-12 [(DMEM-F12), Cellgro™, Manassas, Virginia], 10% fetal bovine serum (FBS) and 1% penicillin/streptomycin.  Roughly 20x10</w:t>
      </w:r>
      <w:r w:rsidRPr="008D5224">
        <w:rPr>
          <w:rFonts w:ascii="Book Antiqua" w:hAnsi="Book Antiqua"/>
          <w:vertAlign w:val="superscript"/>
        </w:rPr>
        <w:t>6</w:t>
      </w:r>
      <w:r w:rsidRPr="008D5224">
        <w:rPr>
          <w:rFonts w:ascii="Book Antiqua" w:hAnsi="Book Antiqua"/>
        </w:rPr>
        <w:t xml:space="preserve"> cells were seeded in 175 cm</w:t>
      </w:r>
      <w:r w:rsidRPr="008D5224">
        <w:rPr>
          <w:rFonts w:ascii="Book Antiqua" w:hAnsi="Book Antiqua"/>
          <w:vertAlign w:val="superscript"/>
        </w:rPr>
        <w:t>2</w:t>
      </w:r>
      <w:r w:rsidRPr="008D5224">
        <w:rPr>
          <w:rFonts w:ascii="Book Antiqua" w:hAnsi="Book Antiqua"/>
        </w:rPr>
        <w:t xml:space="preserve"> vented tissue culture flasks (Thermo Scientific™, Rochester, NY), and maintained at 37 °C and 5% CO</w:t>
      </w:r>
      <w:r w:rsidRPr="008D5224">
        <w:rPr>
          <w:rFonts w:ascii="Book Antiqua" w:hAnsi="Book Antiqua"/>
          <w:vertAlign w:val="subscript"/>
        </w:rPr>
        <w:t>2</w:t>
      </w:r>
      <w:r w:rsidRPr="008D5224">
        <w:rPr>
          <w:rFonts w:ascii="Book Antiqua" w:hAnsi="Book Antiqua"/>
        </w:rPr>
        <w:t>. First growth medium change was carried out between 5-7 days when clusters of colonies were visible under the phase contrast microscope.  When 70-80% confluency was reached, the cells were harvested with 0.25% trypsin-EDTA for 2 min at 37 °C (passage 1: P1).  After centrifugation, the cell pellet was reconstituted with either the growth medium to start a new experiment, or with freezing media containing 50% DMEM-F12, 50% FBS and 5% DMSO for cryopreservation under liquid nitrogen for future experiments.  These steps were repeated as needed in order to obtain cells from passage 2 to 4 (P2 to P4; low passage), and cells from P9-P12 (high passage) and used in future experiments.</w:t>
      </w:r>
    </w:p>
    <w:p w14:paraId="7A67BE33" w14:textId="77777777" w:rsidR="002729A9" w:rsidRPr="008D5224" w:rsidRDefault="002729A9" w:rsidP="00EE712B">
      <w:pPr>
        <w:spacing w:line="360" w:lineRule="auto"/>
        <w:jc w:val="both"/>
        <w:rPr>
          <w:rFonts w:ascii="Book Antiqua" w:hAnsi="Book Antiqua"/>
        </w:rPr>
      </w:pPr>
    </w:p>
    <w:p w14:paraId="78F8A2DC" w14:textId="77777777" w:rsidR="002729A9" w:rsidRPr="009C46A8" w:rsidRDefault="002729A9" w:rsidP="00EE712B">
      <w:pPr>
        <w:spacing w:line="360" w:lineRule="auto"/>
        <w:jc w:val="both"/>
        <w:rPr>
          <w:rFonts w:ascii="Book Antiqua" w:hAnsi="Book Antiqua"/>
          <w:u w:val="single"/>
        </w:rPr>
      </w:pPr>
      <w:r w:rsidRPr="009C46A8">
        <w:rPr>
          <w:rFonts w:ascii="Book Antiqua" w:hAnsi="Book Antiqua"/>
          <w:u w:val="single"/>
        </w:rPr>
        <w:t>3. Demonstration of stemness on low passage equine MSCs from 7 donors:</w:t>
      </w:r>
    </w:p>
    <w:p w14:paraId="758CC755" w14:textId="77777777" w:rsidR="002729A9" w:rsidRPr="008D5224" w:rsidRDefault="002729A9" w:rsidP="00EE712B">
      <w:pPr>
        <w:numPr>
          <w:ilvl w:val="0"/>
          <w:numId w:val="2"/>
        </w:numPr>
        <w:spacing w:line="360" w:lineRule="auto"/>
        <w:jc w:val="both"/>
        <w:rPr>
          <w:rFonts w:ascii="Book Antiqua" w:hAnsi="Book Antiqua"/>
        </w:rPr>
      </w:pPr>
      <w:r w:rsidRPr="009C46A8">
        <w:rPr>
          <w:rFonts w:ascii="Book Antiqua" w:hAnsi="Book Antiqua"/>
          <w:b/>
        </w:rPr>
        <w:t>Colony forming unit assay (CFU).</w:t>
      </w:r>
      <w:r w:rsidRPr="008D5224">
        <w:rPr>
          <w:rFonts w:ascii="Book Antiqua" w:hAnsi="Book Antiqua"/>
        </w:rPr>
        <w:t xml:space="preserve">  Passage 1 of equine MSCs were seeded at a density of 1x10</w:t>
      </w:r>
      <w:r w:rsidRPr="008D5224">
        <w:rPr>
          <w:rFonts w:ascii="Book Antiqua" w:hAnsi="Book Antiqua"/>
          <w:vertAlign w:val="superscript"/>
        </w:rPr>
        <w:t xml:space="preserve">6 </w:t>
      </w:r>
      <w:r w:rsidRPr="008D5224">
        <w:rPr>
          <w:rFonts w:ascii="Book Antiqua" w:hAnsi="Book Antiqua"/>
        </w:rPr>
        <w:t xml:space="preserve">in 100mm tissue culture dishes (Thermo Scientific™, Rochester, NY) and maintained in growth medium for 7 to 10 days until clusters of colonies were observed.  The medium was replaced after every 2-3days.  Colonies were fixed with 4% paraformaldehyde and stained with 0.5% of crystal violet (Sigma-Aldrich®, Saint Louis, MO).  After staining, the dishes were allowed to air dry and images were acquired with a Fujifilm™ LAS-4000 imaging system (GE Healthcare Life Sciences). </w:t>
      </w:r>
    </w:p>
    <w:p w14:paraId="34C7F9FF" w14:textId="77777777" w:rsidR="002729A9" w:rsidRPr="008D5224" w:rsidRDefault="002729A9" w:rsidP="00EE712B">
      <w:pPr>
        <w:spacing w:line="360" w:lineRule="auto"/>
        <w:jc w:val="both"/>
        <w:rPr>
          <w:rFonts w:ascii="Book Antiqua" w:hAnsi="Book Antiqua"/>
        </w:rPr>
      </w:pPr>
    </w:p>
    <w:p w14:paraId="76CE77B0" w14:textId="77777777" w:rsidR="002729A9" w:rsidRPr="008D5224" w:rsidRDefault="002729A9" w:rsidP="00EE712B">
      <w:pPr>
        <w:numPr>
          <w:ilvl w:val="0"/>
          <w:numId w:val="2"/>
        </w:numPr>
        <w:spacing w:line="360" w:lineRule="auto"/>
        <w:jc w:val="both"/>
        <w:rPr>
          <w:rFonts w:ascii="Book Antiqua" w:hAnsi="Book Antiqua"/>
        </w:rPr>
      </w:pPr>
      <w:r w:rsidRPr="009C46A8">
        <w:rPr>
          <w:rFonts w:ascii="Book Antiqua" w:hAnsi="Book Antiqua"/>
          <w:b/>
        </w:rPr>
        <w:t>MTS proliferation assay.</w:t>
      </w:r>
      <w:r w:rsidRPr="008D5224">
        <w:rPr>
          <w:rFonts w:ascii="Book Antiqua" w:hAnsi="Book Antiqua"/>
        </w:rPr>
        <w:t xml:space="preserve">  Low passage (P2-P4) of equine MSCs were seeded at a density of 2x10</w:t>
      </w:r>
      <w:r w:rsidRPr="008D5224">
        <w:rPr>
          <w:rFonts w:ascii="Book Antiqua" w:hAnsi="Book Antiqua"/>
          <w:vertAlign w:val="superscript"/>
        </w:rPr>
        <w:t xml:space="preserve">4 </w:t>
      </w:r>
      <w:r w:rsidRPr="008D5224">
        <w:rPr>
          <w:rFonts w:ascii="Book Antiqua" w:hAnsi="Book Antiqua"/>
        </w:rPr>
        <w:t>per well in a 24-well tissue culture plate.  The medium was replaced every 2-3 days.  Cell proliferation was measured at 2, 4 and 7 days post seeding.  A CellTiter 96 Aqueous non-radioactive (MTS) assay (Promega™, Madison, WI) was used following the manufacturer instructions.  Briefly, MTS reagent in a 5:1 ratio relative to the media was added to each well and incubated for 3 h at 37 ° C and 5% CO</w:t>
      </w:r>
      <w:r w:rsidRPr="008D5224">
        <w:rPr>
          <w:rFonts w:ascii="Book Antiqua" w:hAnsi="Book Antiqua"/>
          <w:vertAlign w:val="subscript"/>
        </w:rPr>
        <w:t>2</w:t>
      </w:r>
      <w:r w:rsidRPr="008D5224">
        <w:rPr>
          <w:rFonts w:ascii="Book Antiqua" w:hAnsi="Book Antiqua"/>
        </w:rPr>
        <w:t>.  The absorbance at 490 nm was measured and data was obtained using Gen5 data analysis software (Biotek®, Winooski, Vermont).  Growth medium only with no cells was used as a blank to correct the readings for each of the samples.</w:t>
      </w:r>
    </w:p>
    <w:p w14:paraId="69D282C9" w14:textId="77777777" w:rsidR="002729A9" w:rsidRPr="008D5224" w:rsidRDefault="002729A9" w:rsidP="00EE712B">
      <w:pPr>
        <w:spacing w:line="360" w:lineRule="auto"/>
        <w:ind w:left="270"/>
        <w:jc w:val="both"/>
        <w:rPr>
          <w:rFonts w:ascii="Book Antiqua" w:hAnsi="Book Antiqua"/>
        </w:rPr>
      </w:pPr>
    </w:p>
    <w:p w14:paraId="4BF04FEE" w14:textId="77777777" w:rsidR="002729A9" w:rsidRPr="008D5224" w:rsidRDefault="002729A9" w:rsidP="00EE712B">
      <w:pPr>
        <w:spacing w:line="360" w:lineRule="auto"/>
        <w:jc w:val="both"/>
        <w:rPr>
          <w:rFonts w:ascii="Book Antiqua" w:hAnsi="Book Antiqua"/>
        </w:rPr>
      </w:pPr>
      <w:r w:rsidRPr="009C46A8">
        <w:rPr>
          <w:rFonts w:ascii="Book Antiqua" w:hAnsi="Book Antiqua"/>
          <w:b/>
        </w:rPr>
        <w:t xml:space="preserve">c) Induction of adipogenic, osteogenic and chondrogenic differentiation.  </w:t>
      </w:r>
      <w:r w:rsidRPr="008D5224">
        <w:rPr>
          <w:rFonts w:ascii="Book Antiqua" w:hAnsi="Book Antiqua"/>
        </w:rPr>
        <w:t>Low passage (P2-P4) of equine MSCs were seeded at a cell density of 2x10</w:t>
      </w:r>
      <w:r w:rsidRPr="008D5224">
        <w:rPr>
          <w:rFonts w:ascii="Book Antiqua" w:hAnsi="Book Antiqua"/>
          <w:vertAlign w:val="superscript"/>
        </w:rPr>
        <w:t>5</w:t>
      </w:r>
      <w:r w:rsidRPr="008D5224">
        <w:rPr>
          <w:rFonts w:ascii="Book Antiqua" w:hAnsi="Book Antiqua"/>
        </w:rPr>
        <w:t>cells</w:t>
      </w:r>
      <w:r w:rsidRPr="008D5224">
        <w:rPr>
          <w:rFonts w:ascii="Book Antiqua" w:hAnsi="Book Antiqua"/>
          <w:vertAlign w:val="superscript"/>
        </w:rPr>
        <w:t xml:space="preserve"> </w:t>
      </w:r>
      <w:r w:rsidRPr="008D5224">
        <w:rPr>
          <w:rFonts w:ascii="Book Antiqua" w:hAnsi="Book Antiqua"/>
        </w:rPr>
        <w:t>in 60 mm tissue culture dishes (BD Falcon™, New Jersey) and maintained at 37 ° C and 5% CO</w:t>
      </w:r>
      <w:r w:rsidRPr="008D5224">
        <w:rPr>
          <w:rFonts w:ascii="Book Antiqua" w:hAnsi="Book Antiqua"/>
          <w:vertAlign w:val="subscript"/>
        </w:rPr>
        <w:t xml:space="preserve">2 </w:t>
      </w:r>
      <w:r w:rsidRPr="008D5224">
        <w:rPr>
          <w:rFonts w:ascii="Book Antiqua" w:hAnsi="Book Antiqua"/>
        </w:rPr>
        <w:t>in growth medium. When the cells were roughly 70% confluent, the medium was removed and was replaced with lineage-specific differentia</w:t>
      </w:r>
      <w:r>
        <w:rPr>
          <w:rFonts w:ascii="Book Antiqua" w:hAnsi="Book Antiqua"/>
        </w:rPr>
        <w:t>tion media as described earlier.</w:t>
      </w:r>
      <w:r w:rsidRPr="005360C7">
        <w:rPr>
          <w:rFonts w:ascii="Book Antiqua" w:hAnsi="Book Antiqua"/>
          <w:noProof/>
          <w:vertAlign w:val="superscript"/>
        </w:rPr>
        <w:t>27</w:t>
      </w:r>
      <w:r w:rsidRPr="008D5224">
        <w:rPr>
          <w:rFonts w:ascii="Book Antiqua" w:hAnsi="Book Antiqua"/>
        </w:rPr>
        <w:t xml:space="preserve">  Briefly, adipogenic differentiation was induced by the addition of DMEM-F12 medium containing 15% rabbit serum, 1 </w:t>
      </w:r>
      <w:r w:rsidRPr="008D5224">
        <w:t>μ</w:t>
      </w:r>
      <w:r w:rsidRPr="008D5224">
        <w:rPr>
          <w:rFonts w:ascii="Book Antiqua" w:hAnsi="Book Antiqua"/>
        </w:rPr>
        <w:t xml:space="preserve">mol/L dexamethasone, 10 </w:t>
      </w:r>
      <w:r w:rsidRPr="008D5224">
        <w:t>μ</w:t>
      </w:r>
      <w:r w:rsidRPr="008D5224">
        <w:rPr>
          <w:rFonts w:ascii="Book Antiqua" w:hAnsi="Book Antiqua"/>
        </w:rPr>
        <w:t xml:space="preserve">g/mL recombinant human insulin, 20 </w:t>
      </w:r>
      <w:r w:rsidRPr="008D5224">
        <w:t>μ</w:t>
      </w:r>
      <w:r w:rsidRPr="008D5224">
        <w:rPr>
          <w:rFonts w:ascii="Book Antiqua" w:hAnsi="Book Antiqua"/>
        </w:rPr>
        <w:t xml:space="preserve">mol/L indomethacin, and 0.5 mmol/L 3-isobutyl-1-metylxanthine.  Osteogenic differentiation was induced by the addition of DMEM-F12 medium containing 100 nmol/L /mL of dexamethasone, 0.25 mmol/L ascorbic acid and 10 mmol/L </w:t>
      </w:r>
      <w:r w:rsidRPr="008D5224">
        <w:t>β</w:t>
      </w:r>
      <w:r w:rsidRPr="008D5224">
        <w:rPr>
          <w:rFonts w:ascii="Book Antiqua" w:hAnsi="Book Antiqua"/>
        </w:rPr>
        <w:t xml:space="preserve">-glycerophosphate.  Chondrogenic differentiation was induced by the addition of DMEM-F12, 100 nmol/L of dexamethasone, 0.25 mmol/L ascorbic acid and 5 ng/mL transforming growth factor </w:t>
      </w:r>
      <w:r w:rsidRPr="008D5224">
        <w:t>β</w:t>
      </w:r>
      <w:r w:rsidRPr="008D5224">
        <w:rPr>
          <w:rFonts w:ascii="Book Antiqua" w:hAnsi="Book Antiqua"/>
          <w:vertAlign w:val="subscript"/>
        </w:rPr>
        <w:t>1</w:t>
      </w:r>
      <w:r w:rsidRPr="008D5224">
        <w:rPr>
          <w:rFonts w:ascii="Book Antiqua" w:hAnsi="Book Antiqua"/>
        </w:rPr>
        <w:t>.  Medium was replenished every 2-3 days and differentiation was monitored via microscopic evaluation.  Undifferentiated MSCs maintained in regular growth medium without any differentiation reagents, for the same number of days served as controls.  Differentiation was confirmed using lineage-specific cell staining using previously published methods</w:t>
      </w:r>
      <w:r>
        <w:rPr>
          <w:rFonts w:ascii="Book Antiqua" w:hAnsi="Book Antiqua"/>
        </w:rPr>
        <w:t>.</w:t>
      </w:r>
      <w:r w:rsidRPr="005360C7">
        <w:rPr>
          <w:rFonts w:ascii="Book Antiqua" w:hAnsi="Book Antiqua"/>
          <w:noProof/>
          <w:vertAlign w:val="superscript"/>
        </w:rPr>
        <w:t>27</w:t>
      </w:r>
      <w:r w:rsidRPr="008D5224">
        <w:rPr>
          <w:rFonts w:ascii="Book Antiqua" w:hAnsi="Book Antiqua"/>
        </w:rPr>
        <w:t xml:space="preserve">  Specifically, adipogenic cells were stained with Oil Red-O, osteogenic cells were stained with Alizarin red, and chondrogenic cells were stained with Alcian blue.  Images were acquired with an electronic camera (Nikon™ DS-Fi2, Japan) connected to a Zeiss® microscope and evaluated with the NIS-Elements™ imaging software (Nikon™).</w:t>
      </w:r>
    </w:p>
    <w:p w14:paraId="5D37416A" w14:textId="77777777" w:rsidR="002729A9" w:rsidRPr="008D5224" w:rsidRDefault="002729A9" w:rsidP="00EE712B">
      <w:pPr>
        <w:spacing w:line="360" w:lineRule="auto"/>
        <w:jc w:val="both"/>
        <w:rPr>
          <w:rFonts w:ascii="Book Antiqua" w:hAnsi="Book Antiqua"/>
        </w:rPr>
      </w:pPr>
    </w:p>
    <w:p w14:paraId="2BD56530" w14:textId="77777777" w:rsidR="002729A9" w:rsidRPr="008D5224" w:rsidRDefault="002729A9" w:rsidP="00EE712B">
      <w:pPr>
        <w:spacing w:line="360" w:lineRule="auto"/>
        <w:jc w:val="both"/>
        <w:rPr>
          <w:rFonts w:ascii="Book Antiqua" w:hAnsi="Book Antiqua"/>
          <w:u w:val="single"/>
        </w:rPr>
      </w:pPr>
      <w:r w:rsidRPr="008D5224">
        <w:rPr>
          <w:rFonts w:ascii="Book Antiqua" w:hAnsi="Book Antiqua"/>
          <w:u w:val="single"/>
        </w:rPr>
        <w:t>4. Neural differentiation on low and high passage equine MSCs from selected donors.</w:t>
      </w:r>
    </w:p>
    <w:p w14:paraId="3497A892" w14:textId="77777777" w:rsidR="002729A9" w:rsidRDefault="002729A9" w:rsidP="00EE712B">
      <w:pPr>
        <w:spacing w:line="360" w:lineRule="auto"/>
        <w:jc w:val="both"/>
        <w:rPr>
          <w:rFonts w:ascii="Book Antiqua" w:hAnsi="Book Antiqua"/>
        </w:rPr>
      </w:pPr>
      <w:r w:rsidRPr="008D5224">
        <w:rPr>
          <w:rFonts w:ascii="Book Antiqua" w:hAnsi="Book Antiqua"/>
        </w:rPr>
        <w:t xml:space="preserve">These experiments were performed on equine MSCs obtained from one young and one middle-aged donor.  The donors were chosen based on their rates of proliferation as demonstrated by the MTS assay described above. </w:t>
      </w:r>
    </w:p>
    <w:p w14:paraId="392AC37A" w14:textId="77777777" w:rsidR="002729A9" w:rsidRPr="008D5224" w:rsidRDefault="002729A9" w:rsidP="00EE712B">
      <w:pPr>
        <w:spacing w:line="360" w:lineRule="auto"/>
        <w:jc w:val="both"/>
        <w:rPr>
          <w:rFonts w:ascii="Book Antiqua" w:hAnsi="Book Antiqua"/>
          <w:u w:val="single"/>
        </w:rPr>
      </w:pPr>
    </w:p>
    <w:p w14:paraId="389A0260" w14:textId="77777777" w:rsidR="002729A9" w:rsidRPr="008D5224" w:rsidRDefault="002729A9" w:rsidP="00EE712B">
      <w:pPr>
        <w:spacing w:line="360" w:lineRule="auto"/>
        <w:jc w:val="both"/>
        <w:rPr>
          <w:rFonts w:ascii="Book Antiqua" w:hAnsi="Book Antiqua"/>
        </w:rPr>
      </w:pPr>
      <w:r w:rsidRPr="008D5224">
        <w:rPr>
          <w:rFonts w:ascii="Book Antiqua" w:hAnsi="Book Antiqua"/>
          <w:b/>
        </w:rPr>
        <w:t xml:space="preserve">a) Cell culture.  </w:t>
      </w:r>
      <w:r w:rsidRPr="008D5224">
        <w:rPr>
          <w:rFonts w:ascii="Book Antiqua" w:hAnsi="Book Antiqua"/>
        </w:rPr>
        <w:t>Low (P2) and high (P9) of equine MSCswere seeded at a cell density of 8 to 10x10</w:t>
      </w:r>
      <w:r w:rsidRPr="008D5224">
        <w:rPr>
          <w:rFonts w:ascii="Book Antiqua" w:hAnsi="Book Antiqua"/>
          <w:vertAlign w:val="superscript"/>
        </w:rPr>
        <w:t>6</w:t>
      </w:r>
      <w:r w:rsidRPr="008D5224">
        <w:rPr>
          <w:rFonts w:ascii="Book Antiqua" w:hAnsi="Book Antiqua"/>
        </w:rPr>
        <w:t xml:space="preserve"> into either polystyrene, or Primaria™ nitrogen-coated 100 mm tissue culture dishes (Becton Dickinson Labware, Bedford, MA).  Cells were maintained in regular growth medium at 37 ° C and 5% CO</w:t>
      </w:r>
      <w:r w:rsidRPr="008D5224">
        <w:rPr>
          <w:rFonts w:ascii="Book Antiqua" w:hAnsi="Book Antiqua"/>
          <w:vertAlign w:val="subscript"/>
        </w:rPr>
        <w:t>2</w:t>
      </w:r>
      <w:r w:rsidRPr="008D5224">
        <w:rPr>
          <w:rFonts w:ascii="Book Antiqua" w:hAnsi="Book Antiqua"/>
        </w:rPr>
        <w:t xml:space="preserve">, for at least 48 h to allow attachment.  Neural differentiation was induced using a combination of previously described methods </w:t>
      </w:r>
      <w:r w:rsidRPr="005360C7">
        <w:rPr>
          <w:rFonts w:ascii="Book Antiqua" w:hAnsi="Book Antiqua"/>
          <w:noProof/>
          <w:vertAlign w:val="superscript"/>
        </w:rPr>
        <w:t>13,18</w:t>
      </w:r>
      <w:r w:rsidRPr="008D5224">
        <w:rPr>
          <w:rFonts w:ascii="Book Antiqua" w:hAnsi="Book Antiqua"/>
        </w:rPr>
        <w:t xml:space="preserve">.  Briefly, the growth medium was removed and cells were pre-incubated with medium containing DMEM-F12, 20% FBS and 1 mM </w:t>
      </w:r>
      <w:r w:rsidRPr="008D5224">
        <w:t>β</w:t>
      </w:r>
      <w:r w:rsidRPr="008D5224">
        <w:rPr>
          <w:rFonts w:ascii="Book Antiqua" w:hAnsi="Book Antiqua"/>
        </w:rPr>
        <w:t>-mercaptoethanol (Sigma-Aldrich®) at 37 °C and 5% CO</w:t>
      </w:r>
      <w:r w:rsidRPr="008D5224">
        <w:rPr>
          <w:rFonts w:ascii="Book Antiqua" w:hAnsi="Book Antiqua"/>
          <w:vertAlign w:val="subscript"/>
        </w:rPr>
        <w:t>2</w:t>
      </w:r>
      <w:r w:rsidRPr="008D5224">
        <w:rPr>
          <w:rFonts w:ascii="Book Antiqua" w:hAnsi="Book Antiqua"/>
        </w:rPr>
        <w:t>, for 18-24 h.  Subsequently, the cells were induced by the addition of the neural medium containing DMEM-F12, 2% DMSO and 200 µM butylated hydroxyanisole (BHA; Sigma-Aldrich®) and cells were incubated at 37 °C and 5% CO</w:t>
      </w:r>
      <w:r w:rsidRPr="008D5224">
        <w:rPr>
          <w:rFonts w:ascii="Book Antiqua" w:hAnsi="Book Antiqua"/>
          <w:vertAlign w:val="subscript"/>
        </w:rPr>
        <w:t>2</w:t>
      </w:r>
      <w:r w:rsidRPr="008D5224">
        <w:rPr>
          <w:rFonts w:ascii="Book Antiqua" w:hAnsi="Book Antiqua"/>
        </w:rPr>
        <w:t>, for 3, 6, 12, 24 or 48 h.  Undifferentiated MSCs maintained in regular growth medium for the same number of hours were used as corresponding controls.  Undifferentiated and differentiated cells were assayed at the end of each experiment as described below.</w:t>
      </w:r>
    </w:p>
    <w:p w14:paraId="0759FBAA" w14:textId="77777777" w:rsidR="002729A9" w:rsidRPr="008D5224" w:rsidRDefault="002729A9" w:rsidP="00EE712B">
      <w:pPr>
        <w:spacing w:line="360" w:lineRule="auto"/>
        <w:jc w:val="both"/>
        <w:rPr>
          <w:rFonts w:ascii="Book Antiqua" w:hAnsi="Book Antiqua"/>
        </w:rPr>
      </w:pPr>
    </w:p>
    <w:p w14:paraId="2218539E" w14:textId="77777777" w:rsidR="002729A9" w:rsidRPr="008D5224" w:rsidRDefault="002729A9" w:rsidP="00EE712B">
      <w:pPr>
        <w:spacing w:line="360" w:lineRule="auto"/>
        <w:jc w:val="both"/>
        <w:rPr>
          <w:rFonts w:ascii="Book Antiqua" w:hAnsi="Book Antiqua"/>
        </w:rPr>
      </w:pPr>
      <w:r w:rsidRPr="008D5224">
        <w:rPr>
          <w:rFonts w:ascii="Book Antiqua" w:hAnsi="Book Antiqua"/>
        </w:rPr>
        <w:t xml:space="preserve">b) </w:t>
      </w:r>
      <w:r w:rsidRPr="008D5224">
        <w:rPr>
          <w:rFonts w:ascii="Book Antiqua" w:hAnsi="Book Antiqua"/>
          <w:b/>
        </w:rPr>
        <w:t>Nuclear/cytoplasmic staining.</w:t>
      </w:r>
      <w:r w:rsidRPr="008D5224">
        <w:rPr>
          <w:rFonts w:ascii="Book Antiqua" w:hAnsi="Book Antiqua"/>
        </w:rPr>
        <w:t xml:space="preserve">  Nuclear/cytoplasmic fluorescent staining was used to show the neural-cell like morphology of MSCs after neural differentiation.  Low and high passages of equine MSCs were seeded at a density of 1.25x10</w:t>
      </w:r>
      <w:r w:rsidRPr="008D5224">
        <w:rPr>
          <w:rFonts w:ascii="Book Antiqua" w:hAnsi="Book Antiqua"/>
          <w:vertAlign w:val="superscript"/>
        </w:rPr>
        <w:t>6</w:t>
      </w:r>
      <w:r>
        <w:rPr>
          <w:rFonts w:ascii="Book Antiqua" w:hAnsi="Book Antiqua"/>
        </w:rPr>
        <w:t xml:space="preserve"> on Primaria™ nitrogen-coated</w:t>
      </w:r>
      <w:r w:rsidRPr="008D5224">
        <w:rPr>
          <w:rFonts w:ascii="Book Antiqua" w:hAnsi="Book Antiqua"/>
        </w:rPr>
        <w:t xml:space="preserve"> 60 mm tissue culture dishes and maintained in regular growth medium at 37 °C and 5% CO</w:t>
      </w:r>
      <w:r w:rsidRPr="008D5224">
        <w:rPr>
          <w:rFonts w:ascii="Book Antiqua" w:hAnsi="Book Antiqua"/>
          <w:vertAlign w:val="subscript"/>
        </w:rPr>
        <w:t>2</w:t>
      </w:r>
      <w:r w:rsidRPr="008D5224">
        <w:rPr>
          <w:rFonts w:ascii="Book Antiqua" w:hAnsi="Book Antiqua"/>
        </w:rPr>
        <w:t>, for at least 48 h to allow attachment.  When cells were 80-90% confluent they were chemically induced for neural differentiation as described above.  Undifferentiated control MSCs described above were maintained with regular growth medium.  For cytoplasmic staining, neurally-induced and undifferentiated MSCs at 12 h were stained with 5 µg of WGA (wheat germ agglutinin, Alexa Fluor® 488 conjugate; Life Technologies™) for 10 min, at room temperature.  To stain the nucleus, cells were further washed and stained with 5 µg of TO-PRO®-3 iodide stain (Life Technologies™, Grand Island, NY) for 10 min, at room temperature.  After washing, the cells were mounted with Slowfade® Gold antifade reagent (Molecular Probes®, Grand Island, NY) and images were obtained with a laser scanning spectral confocal microscope (Leica TCS SP2; Leica Microsystems©, Wetzlar, Germany), at 20x and 63x magnification.</w:t>
      </w:r>
    </w:p>
    <w:p w14:paraId="1A4CAA58" w14:textId="77777777" w:rsidR="002729A9" w:rsidRPr="008D5224" w:rsidRDefault="002729A9" w:rsidP="00EE712B">
      <w:pPr>
        <w:spacing w:line="360" w:lineRule="auto"/>
        <w:jc w:val="both"/>
        <w:rPr>
          <w:rFonts w:ascii="Book Antiqua" w:hAnsi="Book Antiqua"/>
        </w:rPr>
      </w:pPr>
    </w:p>
    <w:p w14:paraId="0A2FB290" w14:textId="77777777" w:rsidR="002729A9" w:rsidRPr="008D5224" w:rsidRDefault="002729A9" w:rsidP="00EE712B">
      <w:pPr>
        <w:numPr>
          <w:ilvl w:val="0"/>
          <w:numId w:val="3"/>
        </w:numPr>
        <w:spacing w:line="360" w:lineRule="auto"/>
        <w:jc w:val="both"/>
        <w:rPr>
          <w:rFonts w:ascii="Book Antiqua" w:hAnsi="Book Antiqua"/>
        </w:rPr>
      </w:pPr>
      <w:r w:rsidRPr="009C46A8">
        <w:rPr>
          <w:rFonts w:ascii="Book Antiqua" w:hAnsi="Book Antiqua"/>
          <w:b/>
        </w:rPr>
        <w:t>Protein extraction and western blot.</w:t>
      </w:r>
      <w:r w:rsidRPr="008D5224">
        <w:rPr>
          <w:rFonts w:ascii="Book Antiqua" w:hAnsi="Book Antiqua"/>
        </w:rPr>
        <w:t xml:space="preserve">  Total cell lysates were prepared from undifferentiated and neuronally-induced equine MSCs from low and high passages 12 h post-differentiation using standard protocols.  Cells on each dish were gently washed with HBSS buffer and collected via cell scraping.  To obtain total proteins in each sample, cells were lysed in 200 µL of RIPA buffer (Boston Bioproducts™, Ashland, MA), sonicated and supernatants were obtained by centrifugation.  Total protein in each sample was quantitated and concentrations were obtained using modified BCA assay at 660nm (Pierce®, Thermo Scientific™).  Equal concentrations of total proteins from neurally-induced and undifferentiated MSCs were electrophoretically separated in a 10% acrylamide gel and transferred onto nitrocellulose membranes.  The membranes were blocked with 5% bovine serum albumin (BSA) and incubated with mouse anti-</w:t>
      </w:r>
      <w:r w:rsidRPr="008D5224">
        <w:t>β</w:t>
      </w:r>
      <w:r w:rsidRPr="008D5224">
        <w:rPr>
          <w:rFonts w:ascii="Book Antiqua" w:hAnsi="Book Antiqua"/>
          <w:vertAlign w:val="subscript"/>
        </w:rPr>
        <w:t>3</w:t>
      </w:r>
      <w:r w:rsidRPr="008D5224">
        <w:rPr>
          <w:rFonts w:ascii="Book Antiqua" w:hAnsi="Book Antiqua"/>
        </w:rPr>
        <w:t xml:space="preserve"> tubulin (1:1000; Santa Cruz™) and mouse anti-GFAP (5 µg/10 mL; 1:1000; BD Pharmingen™).  HRP goat anti-mouse IgG (1:5000; BD Pharmingen™) was used as the secondary antibody.  Antigen detection was performed after exposure to ECL-2 reagent (Pierce®, Thermo Scientific™).  Beta actin was used as a loading control.</w:t>
      </w:r>
    </w:p>
    <w:p w14:paraId="62E1E174" w14:textId="77777777" w:rsidR="002729A9" w:rsidRPr="008D5224" w:rsidRDefault="002729A9" w:rsidP="00EE712B">
      <w:pPr>
        <w:spacing w:line="360" w:lineRule="auto"/>
        <w:jc w:val="both"/>
        <w:rPr>
          <w:rFonts w:ascii="Book Antiqua" w:hAnsi="Book Antiqua"/>
        </w:rPr>
      </w:pPr>
    </w:p>
    <w:p w14:paraId="0E930040" w14:textId="77777777" w:rsidR="002729A9" w:rsidRPr="008D5224" w:rsidRDefault="002729A9" w:rsidP="00EE712B">
      <w:pPr>
        <w:numPr>
          <w:ilvl w:val="0"/>
          <w:numId w:val="3"/>
        </w:numPr>
        <w:spacing w:line="360" w:lineRule="auto"/>
        <w:jc w:val="both"/>
        <w:rPr>
          <w:rFonts w:ascii="Book Antiqua" w:hAnsi="Book Antiqua"/>
        </w:rPr>
      </w:pPr>
      <w:r w:rsidRPr="009C46A8">
        <w:rPr>
          <w:rFonts w:ascii="Book Antiqua" w:hAnsi="Book Antiqua"/>
          <w:b/>
        </w:rPr>
        <w:t>Immunofluorescence (IF).</w:t>
      </w:r>
      <w:r w:rsidRPr="008D5224">
        <w:rPr>
          <w:rFonts w:ascii="Book Antiqua" w:hAnsi="Book Antiqua"/>
        </w:rPr>
        <w:t xml:space="preserve">  Low and high passages of equine MSCs were seeded at a density of 1.25x10</w:t>
      </w:r>
      <w:r w:rsidRPr="008D5224">
        <w:rPr>
          <w:rFonts w:ascii="Book Antiqua" w:hAnsi="Book Antiqua"/>
          <w:vertAlign w:val="superscript"/>
        </w:rPr>
        <w:t>6</w:t>
      </w:r>
      <w:r w:rsidRPr="008D5224">
        <w:rPr>
          <w:rFonts w:ascii="Book Antiqua" w:hAnsi="Book Antiqua"/>
        </w:rPr>
        <w:t xml:space="preserve"> on Primaria™ nitrogen-coated 60 mm tissue culture dishes and maintained in growth medium at 37 °C and 5% CO</w:t>
      </w:r>
      <w:r w:rsidRPr="008D5224">
        <w:rPr>
          <w:rFonts w:ascii="Book Antiqua" w:hAnsi="Book Antiqua"/>
          <w:vertAlign w:val="subscript"/>
        </w:rPr>
        <w:t>2</w:t>
      </w:r>
      <w:r w:rsidRPr="008D5224">
        <w:rPr>
          <w:rFonts w:ascii="Book Antiqua" w:hAnsi="Book Antiqua"/>
        </w:rPr>
        <w:t>, for at least 48 h to allow attachment.  When cells were 80-90% confluent they were chemically induced for neural differentiation as described above.   Undifferentiated MSCs used as controls were maintained with regular growth medium.  Neurally-induced and undifferentiated MSCs were fixed with 4% paraformaldehyde, permeabilized with 0.1% Triton X-100 (Sigma®) for 10 min, at room temperature, and blocked with 5% normal serum for 30 min, at room temperature.  Cells were washed and incubated overnight with 5 µg/sample of primary antibodies against nestin (BD Pharmingen™) and vimentin (BD Pharmingen™), at 4 °C.  After washing with HBSS buffer, cells were incubated with the secondary antibody (Alexa Fluor® 647 donkey anti-mouse IgG at 5 µg per sample; BD Pharmingen™) for 20 min, at room temperature.  The cells were mounted with Slowfade® Gold antifade with DAPI reagent (Molecular Probes™) and images were obtained with a laser scanning spectral confocal microscope (Leica TCS SP2; Leica Microsystems©, Wetzlar, Germany)</w:t>
      </w:r>
    </w:p>
    <w:p w14:paraId="387D5A50" w14:textId="77777777" w:rsidR="002729A9" w:rsidRPr="008D5224" w:rsidRDefault="002729A9" w:rsidP="00EE712B">
      <w:pPr>
        <w:spacing w:line="360" w:lineRule="auto"/>
        <w:jc w:val="both"/>
        <w:rPr>
          <w:rFonts w:ascii="Book Antiqua" w:hAnsi="Book Antiqua"/>
        </w:rPr>
      </w:pPr>
    </w:p>
    <w:p w14:paraId="3BFE7858" w14:textId="77777777" w:rsidR="002729A9" w:rsidRPr="008D5224" w:rsidRDefault="002729A9" w:rsidP="00EE712B">
      <w:pPr>
        <w:spacing w:line="360" w:lineRule="auto"/>
        <w:jc w:val="both"/>
        <w:rPr>
          <w:rFonts w:ascii="Book Antiqua" w:hAnsi="Book Antiqua"/>
        </w:rPr>
      </w:pPr>
      <w:r w:rsidRPr="009C46A8">
        <w:rPr>
          <w:rFonts w:ascii="Book Antiqua" w:hAnsi="Book Antiqua"/>
          <w:b/>
        </w:rPr>
        <w:t>Statistical analysis.</w:t>
      </w:r>
      <w:r w:rsidRPr="008D5224">
        <w:rPr>
          <w:rFonts w:ascii="Book Antiqua" w:hAnsi="Book Antiqua"/>
        </w:rPr>
        <w:t xml:space="preserve">  A two-tailed Student’s t-test was used to compare the average of neural – like cells</w:t>
      </w:r>
      <w:r>
        <w:rPr>
          <w:rFonts w:ascii="Book Antiqua" w:hAnsi="Book Antiqua"/>
        </w:rPr>
        <w:t>,</w:t>
      </w:r>
      <w:r w:rsidRPr="008D5224">
        <w:rPr>
          <w:rFonts w:ascii="Book Antiqua" w:hAnsi="Book Antiqua"/>
        </w:rPr>
        <w:t xml:space="preserve"> which adhered to the polystyrene-coated with those to the Primaria™ nitrogen-coated tissue culture plates.  Similarly, the expressions of nestin and vimentin between cells of P2 and P9 from middle-aged horse, and between cells of P2 from young and middle-aged horse were compared from the IF data.  The expressions of the two proteins were also compared between undifferentiated and neuronally-induced MSCs.  Differences were considered statistically significant when </w:t>
      </w:r>
      <w:r w:rsidRPr="008D5224">
        <w:rPr>
          <w:rFonts w:ascii="Book Antiqua" w:hAnsi="Book Antiqua"/>
          <w:i/>
        </w:rPr>
        <w:t>P</w:t>
      </w:r>
      <w:r w:rsidRPr="008D5224">
        <w:rPr>
          <w:rFonts w:ascii="Book Antiqua" w:hAnsi="Book Antiqua"/>
        </w:rPr>
        <w:t>&lt;0.05.</w:t>
      </w:r>
    </w:p>
    <w:p w14:paraId="2C5B942C" w14:textId="77777777" w:rsidR="002729A9" w:rsidRPr="008D5224" w:rsidRDefault="002729A9" w:rsidP="00EE712B">
      <w:pPr>
        <w:spacing w:line="360" w:lineRule="auto"/>
        <w:jc w:val="both"/>
        <w:rPr>
          <w:rFonts w:ascii="Book Antiqua" w:hAnsi="Book Antiqua"/>
        </w:rPr>
      </w:pPr>
    </w:p>
    <w:p w14:paraId="50502B68" w14:textId="77777777" w:rsidR="002729A9" w:rsidRDefault="002729A9" w:rsidP="00EE712B">
      <w:pPr>
        <w:pStyle w:val="Heading2"/>
      </w:pPr>
      <w:bookmarkStart w:id="39" w:name="_Toc274387732"/>
      <w:r w:rsidRPr="009C46A8">
        <w:t>Results</w:t>
      </w:r>
      <w:bookmarkEnd w:id="39"/>
    </w:p>
    <w:p w14:paraId="2E9E234D" w14:textId="77777777" w:rsidR="002729A9" w:rsidRPr="009C46A8" w:rsidRDefault="002729A9" w:rsidP="00EE712B">
      <w:pPr>
        <w:spacing w:line="360" w:lineRule="auto"/>
        <w:jc w:val="center"/>
        <w:rPr>
          <w:rFonts w:ascii="Book Antiqua" w:hAnsi="Book Antiqua"/>
          <w:b/>
          <w:u w:val="single"/>
        </w:rPr>
      </w:pPr>
    </w:p>
    <w:p w14:paraId="03BD17BE" w14:textId="77777777" w:rsidR="002729A9" w:rsidRPr="008D5224" w:rsidRDefault="002729A9" w:rsidP="00EE712B">
      <w:pPr>
        <w:numPr>
          <w:ilvl w:val="0"/>
          <w:numId w:val="1"/>
        </w:numPr>
        <w:spacing w:line="360" w:lineRule="auto"/>
        <w:ind w:left="270" w:hanging="270"/>
        <w:jc w:val="both"/>
        <w:rPr>
          <w:rFonts w:ascii="Book Antiqua" w:hAnsi="Book Antiqua"/>
          <w:u w:val="single"/>
        </w:rPr>
      </w:pPr>
      <w:r w:rsidRPr="008D5224">
        <w:rPr>
          <w:rFonts w:ascii="Book Antiqua" w:hAnsi="Book Antiqua"/>
          <w:u w:val="single"/>
        </w:rPr>
        <w:t>Stemness of equine MSCs</w:t>
      </w:r>
    </w:p>
    <w:p w14:paraId="0844948A" w14:textId="77777777" w:rsidR="002729A9" w:rsidRDefault="002729A9" w:rsidP="00EE712B">
      <w:pPr>
        <w:spacing w:line="360" w:lineRule="auto"/>
        <w:jc w:val="both"/>
        <w:rPr>
          <w:rFonts w:ascii="Book Antiqua" w:hAnsi="Book Antiqua"/>
        </w:rPr>
      </w:pPr>
      <w:r w:rsidRPr="008D5224">
        <w:rPr>
          <w:rFonts w:ascii="Book Antiqua" w:hAnsi="Book Antiqua"/>
        </w:rPr>
        <w:t xml:space="preserve">The stemness of cells from all equine MSC cultures was assessed solely in low passage cells.  Once the properties of stem cell were demonstrated, only 1 donor from each group (young and middle-aged) was selected and the population of MSCs was passaged for neural experiments.    </w:t>
      </w:r>
    </w:p>
    <w:p w14:paraId="4A0334AB" w14:textId="77777777" w:rsidR="002729A9" w:rsidRPr="008D5224" w:rsidRDefault="002729A9" w:rsidP="00EE712B">
      <w:pPr>
        <w:spacing w:line="360" w:lineRule="auto"/>
        <w:jc w:val="both"/>
        <w:rPr>
          <w:rFonts w:ascii="Book Antiqua" w:hAnsi="Book Antiqua"/>
          <w:b/>
        </w:rPr>
      </w:pPr>
    </w:p>
    <w:p w14:paraId="78086959" w14:textId="77777777" w:rsidR="002729A9" w:rsidRPr="008D5224" w:rsidRDefault="002729A9" w:rsidP="00EE712B">
      <w:pPr>
        <w:spacing w:line="360" w:lineRule="auto"/>
        <w:jc w:val="both"/>
        <w:rPr>
          <w:rFonts w:ascii="Book Antiqua" w:hAnsi="Book Antiqua"/>
        </w:rPr>
      </w:pPr>
      <w:r w:rsidRPr="008D5224">
        <w:rPr>
          <w:rFonts w:ascii="Book Antiqua" w:hAnsi="Book Antiqua"/>
          <w:b/>
        </w:rPr>
        <w:t xml:space="preserve">Morphology.  </w:t>
      </w:r>
      <w:r w:rsidRPr="008D5224">
        <w:rPr>
          <w:rFonts w:ascii="Book Antiqua" w:hAnsi="Book Antiqua"/>
        </w:rPr>
        <w:t xml:space="preserve">Equine MSC cultures expanded from the bone marrow harvest adhered to the polystyrene surface and displayed spindle-shaped fibroblastic morphology.  No morphological change was observed in eBM-MSC cultures generated from young and middle-aged donors. </w:t>
      </w:r>
    </w:p>
    <w:p w14:paraId="75BE6461" w14:textId="77777777" w:rsidR="002729A9" w:rsidRPr="008D5224" w:rsidRDefault="002729A9" w:rsidP="00EE712B">
      <w:pPr>
        <w:spacing w:line="360" w:lineRule="auto"/>
        <w:jc w:val="both"/>
        <w:rPr>
          <w:rFonts w:ascii="Book Antiqua" w:hAnsi="Book Antiqua"/>
        </w:rPr>
      </w:pPr>
      <w:r w:rsidRPr="008D5224">
        <w:rPr>
          <w:rFonts w:ascii="Book Antiqua" w:hAnsi="Book Antiqua"/>
        </w:rPr>
        <w:t xml:space="preserve"> </w:t>
      </w:r>
    </w:p>
    <w:p w14:paraId="241DD08E" w14:textId="77777777" w:rsidR="002729A9" w:rsidRDefault="002729A9" w:rsidP="00EE712B">
      <w:pPr>
        <w:spacing w:line="360" w:lineRule="auto"/>
        <w:jc w:val="both"/>
        <w:rPr>
          <w:rFonts w:ascii="Book Antiqua" w:hAnsi="Book Antiqua"/>
        </w:rPr>
      </w:pPr>
      <w:r w:rsidRPr="009C46A8">
        <w:rPr>
          <w:rFonts w:ascii="Book Antiqua" w:hAnsi="Book Antiqua"/>
          <w:b/>
        </w:rPr>
        <w:t>Proliferation.</w:t>
      </w:r>
      <w:r w:rsidRPr="008D5224">
        <w:rPr>
          <w:rFonts w:ascii="Book Antiqua" w:hAnsi="Book Antiqua"/>
        </w:rPr>
        <w:t xml:space="preserve">  Equine MSCs from young (</w:t>
      </w:r>
      <w:r w:rsidRPr="008D5224">
        <w:rPr>
          <w:rFonts w:ascii="Book Antiqua" w:hAnsi="Book Antiqua"/>
          <w:b/>
        </w:rPr>
        <w:t>Fig</w:t>
      </w:r>
      <w:r>
        <w:rPr>
          <w:rFonts w:ascii="Book Antiqua" w:hAnsi="Book Antiqua"/>
          <w:b/>
        </w:rPr>
        <w:t>ure 2.</w:t>
      </w:r>
      <w:r w:rsidRPr="008D5224">
        <w:rPr>
          <w:rFonts w:ascii="Book Antiqua" w:hAnsi="Book Antiqua"/>
          <w:b/>
        </w:rPr>
        <w:t xml:space="preserve">1: </w:t>
      </w:r>
      <w:r w:rsidRPr="008D5224">
        <w:rPr>
          <w:rFonts w:ascii="Book Antiqua" w:hAnsi="Book Antiqua"/>
        </w:rPr>
        <w:t>horses 1-4) and middle-aged donors (</w:t>
      </w:r>
      <w:r>
        <w:rPr>
          <w:rFonts w:ascii="Book Antiqua" w:hAnsi="Book Antiqua"/>
          <w:b/>
        </w:rPr>
        <w:t>Figure</w:t>
      </w:r>
      <w:r w:rsidRPr="008D5224">
        <w:rPr>
          <w:rFonts w:ascii="Book Antiqua" w:hAnsi="Book Antiqua"/>
          <w:b/>
        </w:rPr>
        <w:t xml:space="preserve"> </w:t>
      </w:r>
      <w:r>
        <w:rPr>
          <w:rFonts w:ascii="Book Antiqua" w:hAnsi="Book Antiqua"/>
          <w:b/>
        </w:rPr>
        <w:t>2.1</w:t>
      </w:r>
      <w:r w:rsidRPr="008D5224">
        <w:rPr>
          <w:rFonts w:ascii="Book Antiqua" w:hAnsi="Book Antiqua"/>
          <w:b/>
        </w:rPr>
        <w:t xml:space="preserve">: </w:t>
      </w:r>
      <w:r w:rsidRPr="008D5224">
        <w:rPr>
          <w:rFonts w:ascii="Book Antiqua" w:hAnsi="Book Antiqua"/>
        </w:rPr>
        <w:t>horses 5-7) were capable of self-renewal as demonstrated by their proliferation and viability measured at days 2, 4, and 7.  As demonstrated in the figure, there was a 3-6 fold increase, in absorbance for all the donors over a period of 7 days confirming their proliferation and viability.  As expected and previously reported cellular proliferation, was variable between each horse. Horses that showed the highest proliferation and thus generating enough numbers of MSCs in a given period of time were selected for all neural experiments (Donors 2 and 6).</w:t>
      </w:r>
      <w:r w:rsidRPr="008D5224" w:rsidDel="00D42735">
        <w:rPr>
          <w:rFonts w:ascii="Book Antiqua" w:hAnsi="Book Antiqua"/>
        </w:rPr>
        <w:t xml:space="preserve"> </w:t>
      </w:r>
    </w:p>
    <w:p w14:paraId="26D6A00B" w14:textId="77777777" w:rsidR="002729A9" w:rsidRDefault="002729A9" w:rsidP="00EE712B">
      <w:pPr>
        <w:spacing w:line="360" w:lineRule="auto"/>
        <w:jc w:val="both"/>
        <w:rPr>
          <w:rFonts w:ascii="Book Antiqua" w:hAnsi="Book Antiqua"/>
        </w:rPr>
      </w:pPr>
    </w:p>
    <w:p w14:paraId="12C69247" w14:textId="77777777" w:rsidR="002729A9" w:rsidRDefault="002729A9" w:rsidP="00EE712B">
      <w:pPr>
        <w:spacing w:line="360" w:lineRule="auto"/>
        <w:jc w:val="both"/>
        <w:rPr>
          <w:rFonts w:ascii="Book Antiqua" w:hAnsi="Book Antiqua"/>
        </w:rPr>
      </w:pPr>
      <w:r>
        <w:rPr>
          <w:rFonts w:ascii="Book Antiqua" w:hAnsi="Book Antiqua"/>
          <w:noProof/>
        </w:rPr>
        <w:drawing>
          <wp:inline distT="0" distB="0" distL="0" distR="0" wp14:anchorId="46581346" wp14:editId="3BE84EAE">
            <wp:extent cx="4595695" cy="2895492"/>
            <wp:effectExtent l="0" t="0" r="190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jpg"/>
                    <pic:cNvPicPr/>
                  </pic:nvPicPr>
                  <pic:blipFill>
                    <a:blip r:embed="rId12">
                      <a:extLst>
                        <a:ext uri="{28A0092B-C50C-407E-A947-70E740481C1C}">
                          <a14:useLocalDpi xmlns:a14="http://schemas.microsoft.com/office/drawing/2010/main" val="0"/>
                        </a:ext>
                      </a:extLst>
                    </a:blip>
                    <a:stretch>
                      <a:fillRect/>
                    </a:stretch>
                  </pic:blipFill>
                  <pic:spPr>
                    <a:xfrm>
                      <a:off x="0" y="0"/>
                      <a:ext cx="4595800" cy="2895558"/>
                    </a:xfrm>
                    <a:prstGeom prst="rect">
                      <a:avLst/>
                    </a:prstGeom>
                  </pic:spPr>
                </pic:pic>
              </a:graphicData>
            </a:graphic>
          </wp:inline>
        </w:drawing>
      </w:r>
    </w:p>
    <w:p w14:paraId="66E65DD2" w14:textId="77777777" w:rsidR="002729A9" w:rsidRPr="007541AB" w:rsidRDefault="002729A9" w:rsidP="007541AB">
      <w:pPr>
        <w:spacing w:line="360" w:lineRule="auto"/>
        <w:jc w:val="both"/>
        <w:rPr>
          <w:rFonts w:ascii="Book Antiqua" w:hAnsi="Book Antiqua"/>
          <w:lang w:val="en-GB"/>
        </w:rPr>
      </w:pPr>
      <w:r w:rsidRPr="007541AB">
        <w:rPr>
          <w:rFonts w:ascii="Book Antiqua" w:hAnsi="Book Antiqua"/>
          <w:b/>
          <w:bCs/>
        </w:rPr>
        <w:t>Fig</w:t>
      </w:r>
      <w:r>
        <w:rPr>
          <w:rFonts w:ascii="Book Antiqua" w:hAnsi="Book Antiqua"/>
          <w:b/>
          <w:bCs/>
        </w:rPr>
        <w:t>ure</w:t>
      </w:r>
      <w:r w:rsidRPr="007541AB">
        <w:rPr>
          <w:rFonts w:ascii="Book Antiqua" w:hAnsi="Book Antiqua"/>
          <w:b/>
          <w:bCs/>
        </w:rPr>
        <w:t xml:space="preserve"> </w:t>
      </w:r>
      <w:r>
        <w:rPr>
          <w:rFonts w:ascii="Book Antiqua" w:hAnsi="Book Antiqua"/>
          <w:b/>
          <w:bCs/>
        </w:rPr>
        <w:t>2.</w:t>
      </w:r>
      <w:r w:rsidRPr="007541AB">
        <w:rPr>
          <w:rFonts w:ascii="Book Antiqua" w:hAnsi="Book Antiqua"/>
          <w:b/>
          <w:bCs/>
        </w:rPr>
        <w:t xml:space="preserve">1.  </w:t>
      </w:r>
      <w:r w:rsidRPr="007541AB">
        <w:rPr>
          <w:rFonts w:ascii="Book Antiqua" w:hAnsi="Book Antiqua"/>
        </w:rPr>
        <w:t>Measurement of rate of proliferation of eBM-MSCs.  MTS assay was used to compare the rates of proliferation of eBM-MSCs from 4 young horses (#1-4) and 3 middle-aged horses (#5-7) over a period of 7 days.  Absorbance, is the optical density (OD) measured at 490 nm with this colorimetric assay. Note the rapid rate of self-renewal on all animals at day 7.  Mean values of each sample (n=7) are presented with the standard deviation plotted as the error bars.</w:t>
      </w:r>
      <w:r w:rsidRPr="007541AB">
        <w:rPr>
          <w:rFonts w:ascii="Book Antiqua" w:hAnsi="Book Antiqua"/>
          <w:lang w:val="en-GB"/>
        </w:rPr>
        <w:t xml:space="preserve"> </w:t>
      </w:r>
    </w:p>
    <w:p w14:paraId="2EAA2BB0" w14:textId="77777777" w:rsidR="002729A9" w:rsidRPr="008D5224" w:rsidRDefault="002729A9" w:rsidP="00EE712B">
      <w:pPr>
        <w:spacing w:line="360" w:lineRule="auto"/>
        <w:jc w:val="both"/>
        <w:rPr>
          <w:rFonts w:ascii="Book Antiqua" w:hAnsi="Book Antiqua"/>
        </w:rPr>
      </w:pPr>
    </w:p>
    <w:p w14:paraId="515AD614" w14:textId="77777777" w:rsidR="002729A9" w:rsidRPr="008D5224" w:rsidRDefault="002729A9" w:rsidP="00EE712B">
      <w:pPr>
        <w:spacing w:line="360" w:lineRule="auto"/>
        <w:jc w:val="both"/>
        <w:rPr>
          <w:rFonts w:ascii="Book Antiqua" w:hAnsi="Book Antiqua"/>
        </w:rPr>
      </w:pPr>
    </w:p>
    <w:p w14:paraId="24D3A09F" w14:textId="77777777" w:rsidR="002729A9" w:rsidRDefault="002729A9" w:rsidP="00EE712B">
      <w:pPr>
        <w:spacing w:line="360" w:lineRule="auto"/>
        <w:jc w:val="both"/>
        <w:rPr>
          <w:rFonts w:ascii="Book Antiqua" w:hAnsi="Book Antiqua"/>
          <w:b/>
        </w:rPr>
      </w:pPr>
      <w:r w:rsidRPr="009C46A8">
        <w:rPr>
          <w:rFonts w:ascii="Book Antiqua" w:hAnsi="Book Antiqua"/>
          <w:b/>
        </w:rPr>
        <w:t>CFU.</w:t>
      </w:r>
      <w:r w:rsidRPr="008D5224">
        <w:rPr>
          <w:rFonts w:ascii="Book Antiqua" w:hAnsi="Book Antiqua"/>
        </w:rPr>
        <w:t xml:space="preserve"> Equine MSCs of P1of young and middle-aged horses were capable of growing in clusters over the polystyrene - coated tissue culture dishes at day10, suggesting that the eBM-MSC cultures established represent the MSCs or the progenitor cells.</w:t>
      </w:r>
      <w:r w:rsidRPr="008D5224">
        <w:rPr>
          <w:rFonts w:ascii="Book Antiqua" w:hAnsi="Book Antiqua"/>
          <w:b/>
        </w:rPr>
        <w:t xml:space="preserve">  </w:t>
      </w:r>
      <w:r w:rsidRPr="008D5224">
        <w:rPr>
          <w:rFonts w:ascii="Book Antiqua" w:hAnsi="Book Antiqua"/>
        </w:rPr>
        <w:t>A representative CFU assay is shown</w:t>
      </w:r>
      <w:r>
        <w:rPr>
          <w:rFonts w:ascii="Book Antiqua" w:hAnsi="Book Antiqua"/>
          <w:b/>
        </w:rPr>
        <w:t xml:space="preserve"> (Figure</w:t>
      </w:r>
      <w:r w:rsidRPr="008D5224">
        <w:rPr>
          <w:rFonts w:ascii="Book Antiqua" w:hAnsi="Book Antiqua"/>
          <w:b/>
        </w:rPr>
        <w:t xml:space="preserve"> 2</w:t>
      </w:r>
      <w:r>
        <w:rPr>
          <w:rFonts w:ascii="Book Antiqua" w:hAnsi="Book Antiqua"/>
          <w:b/>
        </w:rPr>
        <w:t>.2</w:t>
      </w:r>
      <w:r w:rsidRPr="008D5224">
        <w:rPr>
          <w:rFonts w:ascii="Book Antiqua" w:hAnsi="Book Antiqua"/>
          <w:b/>
        </w:rPr>
        <w:t>).</w:t>
      </w:r>
    </w:p>
    <w:p w14:paraId="65C5C80E" w14:textId="77777777" w:rsidR="002729A9" w:rsidRDefault="002729A9" w:rsidP="00EE712B">
      <w:pPr>
        <w:spacing w:line="360" w:lineRule="auto"/>
        <w:jc w:val="both"/>
        <w:rPr>
          <w:rFonts w:ascii="Book Antiqua" w:hAnsi="Book Antiqua"/>
          <w:b/>
        </w:rPr>
      </w:pPr>
    </w:p>
    <w:p w14:paraId="6F98A82F" w14:textId="77777777" w:rsidR="002729A9" w:rsidRPr="008D5224" w:rsidRDefault="002729A9" w:rsidP="00EE712B">
      <w:pPr>
        <w:spacing w:line="360" w:lineRule="auto"/>
        <w:jc w:val="both"/>
        <w:rPr>
          <w:rFonts w:ascii="Book Antiqua" w:hAnsi="Book Antiqua"/>
        </w:rPr>
      </w:pPr>
      <w:r>
        <w:rPr>
          <w:rFonts w:ascii="Book Antiqua" w:hAnsi="Book Antiqua"/>
          <w:noProof/>
        </w:rPr>
        <w:drawing>
          <wp:inline distT="0" distB="0" distL="0" distR="0" wp14:anchorId="5A1F326A" wp14:editId="79DDF81A">
            <wp:extent cx="4457700" cy="2513498"/>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a:blip r:embed="rId13">
                      <a:extLst>
                        <a:ext uri="{28A0092B-C50C-407E-A947-70E740481C1C}">
                          <a14:useLocalDpi xmlns:a14="http://schemas.microsoft.com/office/drawing/2010/main" val="0"/>
                        </a:ext>
                      </a:extLst>
                    </a:blip>
                    <a:stretch>
                      <a:fillRect/>
                    </a:stretch>
                  </pic:blipFill>
                  <pic:spPr>
                    <a:xfrm>
                      <a:off x="0" y="0"/>
                      <a:ext cx="4458890" cy="2514169"/>
                    </a:xfrm>
                    <a:prstGeom prst="rect">
                      <a:avLst/>
                    </a:prstGeom>
                  </pic:spPr>
                </pic:pic>
              </a:graphicData>
            </a:graphic>
          </wp:inline>
        </w:drawing>
      </w:r>
    </w:p>
    <w:p w14:paraId="4E7910E1" w14:textId="77777777" w:rsidR="002729A9" w:rsidRPr="007541AB" w:rsidRDefault="002729A9" w:rsidP="007541AB">
      <w:pPr>
        <w:spacing w:line="360" w:lineRule="auto"/>
        <w:jc w:val="both"/>
        <w:rPr>
          <w:rFonts w:ascii="Book Antiqua" w:hAnsi="Book Antiqua"/>
          <w:lang w:val="en-GB"/>
        </w:rPr>
      </w:pPr>
      <w:r w:rsidRPr="007541AB">
        <w:rPr>
          <w:rFonts w:ascii="Book Antiqua" w:hAnsi="Book Antiqua"/>
          <w:b/>
          <w:bCs/>
        </w:rPr>
        <w:t>Fig</w:t>
      </w:r>
      <w:r>
        <w:rPr>
          <w:rFonts w:ascii="Book Antiqua" w:hAnsi="Book Antiqua"/>
          <w:b/>
          <w:bCs/>
        </w:rPr>
        <w:t>ure</w:t>
      </w:r>
      <w:r w:rsidRPr="007541AB">
        <w:rPr>
          <w:rFonts w:ascii="Book Antiqua" w:hAnsi="Book Antiqua"/>
          <w:b/>
          <w:bCs/>
        </w:rPr>
        <w:t xml:space="preserve"> 2</w:t>
      </w:r>
      <w:r>
        <w:rPr>
          <w:rFonts w:ascii="Book Antiqua" w:hAnsi="Book Antiqua"/>
          <w:b/>
          <w:bCs/>
        </w:rPr>
        <w:t>.2</w:t>
      </w:r>
      <w:r w:rsidRPr="007541AB">
        <w:rPr>
          <w:rFonts w:ascii="Book Antiqua" w:hAnsi="Book Antiqua"/>
          <w:b/>
          <w:bCs/>
        </w:rPr>
        <w:t xml:space="preserve">.  </w:t>
      </w:r>
      <w:r w:rsidRPr="007541AB">
        <w:rPr>
          <w:rFonts w:ascii="Book Antiqua" w:hAnsi="Book Antiqua"/>
        </w:rPr>
        <w:t>Colony forming unit assay of eBM-MSCs.  Representative image of CFU formed after 10 days of seeding passage 1 eBM-MSCs from one young (a) and one middle-aged (b) horse.  Note the ability of undifferentiated MSCs from both age groups to form CFU.</w:t>
      </w:r>
    </w:p>
    <w:p w14:paraId="158960AE" w14:textId="77777777" w:rsidR="002729A9" w:rsidRDefault="002729A9" w:rsidP="00EE712B">
      <w:pPr>
        <w:spacing w:line="360" w:lineRule="auto"/>
        <w:jc w:val="both"/>
        <w:rPr>
          <w:rFonts w:ascii="Book Antiqua" w:hAnsi="Book Antiqua"/>
        </w:rPr>
      </w:pPr>
    </w:p>
    <w:p w14:paraId="524EBDFD" w14:textId="77777777" w:rsidR="002729A9" w:rsidRPr="008D5224" w:rsidRDefault="002729A9" w:rsidP="00EE712B">
      <w:pPr>
        <w:spacing w:line="360" w:lineRule="auto"/>
        <w:jc w:val="both"/>
        <w:rPr>
          <w:rFonts w:ascii="Book Antiqua" w:hAnsi="Book Antiqua"/>
        </w:rPr>
      </w:pPr>
    </w:p>
    <w:p w14:paraId="31DB7764" w14:textId="77777777" w:rsidR="002729A9" w:rsidRPr="008D5224" w:rsidRDefault="002729A9" w:rsidP="00EE712B">
      <w:pPr>
        <w:spacing w:line="360" w:lineRule="auto"/>
        <w:jc w:val="both"/>
        <w:rPr>
          <w:rFonts w:ascii="Book Antiqua" w:hAnsi="Book Antiqua"/>
        </w:rPr>
      </w:pPr>
      <w:r w:rsidRPr="009C46A8">
        <w:rPr>
          <w:rFonts w:ascii="Book Antiqua" w:hAnsi="Book Antiqua"/>
          <w:b/>
        </w:rPr>
        <w:t>Mesodermal tri-lineage differentiation.</w:t>
      </w:r>
      <w:r w:rsidRPr="008D5224">
        <w:rPr>
          <w:rFonts w:ascii="Book Antiqua" w:hAnsi="Book Antiqua"/>
        </w:rPr>
        <w:t xml:space="preserve">  Low passage equine MSCs from both young and middle-aged donors were capable of differentiation into adipogenic, chondrogenic and osteogenic cells under lineage-specific chemical induction </w:t>
      </w:r>
      <w:r>
        <w:rPr>
          <w:rFonts w:ascii="Book Antiqua" w:hAnsi="Book Antiqua"/>
          <w:b/>
        </w:rPr>
        <w:t>(Figure</w:t>
      </w:r>
      <w:r w:rsidRPr="008D5224">
        <w:rPr>
          <w:rFonts w:ascii="Book Antiqua" w:hAnsi="Book Antiqua"/>
          <w:b/>
        </w:rPr>
        <w:t xml:space="preserve"> </w:t>
      </w:r>
      <w:r>
        <w:rPr>
          <w:rFonts w:ascii="Book Antiqua" w:hAnsi="Book Antiqua"/>
          <w:b/>
        </w:rPr>
        <w:t>2.</w:t>
      </w:r>
      <w:r w:rsidRPr="008D5224">
        <w:rPr>
          <w:rFonts w:ascii="Book Antiqua" w:hAnsi="Book Antiqua"/>
          <w:b/>
        </w:rPr>
        <w:t>3)</w:t>
      </w:r>
      <w:r w:rsidRPr="008D5224">
        <w:rPr>
          <w:rFonts w:ascii="Book Antiqua" w:hAnsi="Book Antiqua"/>
        </w:rPr>
        <w:t>.  At day 5, adipogenic cells displayed a typical pattern of lipid droplet formation, which could be stained with oil-red-o.  Osteogenic and chondrogenic differentiation potential was confirmed by Alizarin red and Alcian blue staining, respectively after 10-15 days of chemical induction.  No morphological differences were observed between horses.  Variability existed, however, on the time of reaching a differentiated phenotype, as judged by specific staining.  Undifferentiated controls remained with a spindle fibroblastic shape at all times and were not positive for lineage-specific staining.  Of importance and in accordance to our previously published paper</w:t>
      </w:r>
      <w:r w:rsidRPr="005360C7">
        <w:rPr>
          <w:rFonts w:ascii="Book Antiqua" w:hAnsi="Book Antiqua"/>
          <w:noProof/>
          <w:vertAlign w:val="superscript"/>
        </w:rPr>
        <w:t>25</w:t>
      </w:r>
      <w:r w:rsidRPr="008D5224">
        <w:rPr>
          <w:rFonts w:ascii="Book Antiqua" w:hAnsi="Book Antiqua"/>
        </w:rPr>
        <w:t>, osteogenic and chondrogenic differentiation of MSCs from one middle-age donor (horse 6), consistently occurred earlier than the rest.</w:t>
      </w:r>
    </w:p>
    <w:p w14:paraId="4B80010F" w14:textId="77777777" w:rsidR="002729A9" w:rsidRPr="008D5224" w:rsidRDefault="002729A9" w:rsidP="00EE712B">
      <w:pPr>
        <w:spacing w:line="360" w:lineRule="auto"/>
        <w:jc w:val="both"/>
        <w:rPr>
          <w:rFonts w:ascii="Book Antiqua" w:hAnsi="Book Antiqua"/>
        </w:rPr>
      </w:pPr>
    </w:p>
    <w:p w14:paraId="08B56C1A" w14:textId="77777777" w:rsidR="002729A9" w:rsidRDefault="002729A9" w:rsidP="00EE712B">
      <w:pPr>
        <w:spacing w:line="360" w:lineRule="auto"/>
        <w:jc w:val="both"/>
        <w:rPr>
          <w:rFonts w:ascii="Book Antiqua" w:hAnsi="Book Antiqua"/>
        </w:rPr>
      </w:pPr>
      <w:r w:rsidRPr="008D5224">
        <w:rPr>
          <w:rFonts w:ascii="Book Antiqua" w:hAnsi="Book Antiqua"/>
        </w:rPr>
        <w:t>All data presented above confirm that equine MSCs generated from each donor are progenitor cells, and they satisfy the criteria to be classified as the adult mesenchymal stromal/progenitor cells.</w:t>
      </w:r>
    </w:p>
    <w:p w14:paraId="3300D825" w14:textId="77777777" w:rsidR="002729A9" w:rsidRDefault="002729A9" w:rsidP="00EE712B">
      <w:pPr>
        <w:spacing w:line="360" w:lineRule="auto"/>
        <w:jc w:val="both"/>
        <w:rPr>
          <w:rFonts w:ascii="Book Antiqua" w:hAnsi="Book Antiqua"/>
        </w:rPr>
      </w:pPr>
    </w:p>
    <w:p w14:paraId="4270CDD8" w14:textId="77777777" w:rsidR="002729A9" w:rsidRPr="008D5224" w:rsidRDefault="002729A9" w:rsidP="00EE712B">
      <w:pPr>
        <w:spacing w:line="360" w:lineRule="auto"/>
        <w:jc w:val="both"/>
        <w:rPr>
          <w:rFonts w:ascii="Book Antiqua" w:hAnsi="Book Antiqua"/>
        </w:rPr>
      </w:pPr>
      <w:r>
        <w:rPr>
          <w:rFonts w:ascii="Book Antiqua" w:hAnsi="Book Antiqua"/>
          <w:noProof/>
        </w:rPr>
        <w:drawing>
          <wp:inline distT="0" distB="0" distL="0" distR="0" wp14:anchorId="5383F75A" wp14:editId="08B525EB">
            <wp:extent cx="5372100" cy="6184900"/>
            <wp:effectExtent l="0" t="0" r="12700" b="127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14">
                      <a:extLst>
                        <a:ext uri="{28A0092B-C50C-407E-A947-70E740481C1C}">
                          <a14:useLocalDpi xmlns:a14="http://schemas.microsoft.com/office/drawing/2010/main" val="0"/>
                        </a:ext>
                      </a:extLst>
                    </a:blip>
                    <a:stretch>
                      <a:fillRect/>
                    </a:stretch>
                  </pic:blipFill>
                  <pic:spPr>
                    <a:xfrm>
                      <a:off x="0" y="0"/>
                      <a:ext cx="5372100" cy="6184900"/>
                    </a:xfrm>
                    <a:prstGeom prst="rect">
                      <a:avLst/>
                    </a:prstGeom>
                  </pic:spPr>
                </pic:pic>
              </a:graphicData>
            </a:graphic>
          </wp:inline>
        </w:drawing>
      </w:r>
    </w:p>
    <w:p w14:paraId="7C95BF77" w14:textId="77777777" w:rsidR="002729A9" w:rsidRPr="00646D31" w:rsidRDefault="002729A9" w:rsidP="00646D31">
      <w:pPr>
        <w:spacing w:line="360" w:lineRule="auto"/>
        <w:jc w:val="both"/>
        <w:rPr>
          <w:rFonts w:ascii="Book Antiqua" w:hAnsi="Book Antiqua"/>
          <w:lang w:val="en-GB"/>
        </w:rPr>
      </w:pPr>
      <w:r w:rsidRPr="00646D31">
        <w:rPr>
          <w:rFonts w:ascii="Book Antiqua" w:hAnsi="Book Antiqua"/>
          <w:b/>
          <w:bCs/>
        </w:rPr>
        <w:t>Fig</w:t>
      </w:r>
      <w:r>
        <w:rPr>
          <w:rFonts w:ascii="Book Antiqua" w:hAnsi="Book Antiqua"/>
          <w:b/>
          <w:bCs/>
        </w:rPr>
        <w:t>ure</w:t>
      </w:r>
      <w:r w:rsidRPr="00646D31">
        <w:rPr>
          <w:rFonts w:ascii="Book Antiqua" w:hAnsi="Book Antiqua"/>
          <w:b/>
          <w:bCs/>
        </w:rPr>
        <w:t xml:space="preserve"> </w:t>
      </w:r>
      <w:r>
        <w:rPr>
          <w:rFonts w:ascii="Book Antiqua" w:hAnsi="Book Antiqua"/>
          <w:b/>
          <w:bCs/>
        </w:rPr>
        <w:t>2.</w:t>
      </w:r>
      <w:r w:rsidRPr="00646D31">
        <w:rPr>
          <w:rFonts w:ascii="Book Antiqua" w:hAnsi="Book Antiqua"/>
          <w:b/>
          <w:bCs/>
        </w:rPr>
        <w:t xml:space="preserve">3.  </w:t>
      </w:r>
      <w:r w:rsidRPr="00646D31">
        <w:rPr>
          <w:rFonts w:ascii="Book Antiqua" w:hAnsi="Book Antiqua"/>
        </w:rPr>
        <w:t xml:space="preserve">Mesodermal tri-lineage differentiation assays of eBM-MSCs.  Representative images from one young (1) and one middle-aged (2) horse showing oil red-o (a), alcian blue (b), and alizarin red (c) staining, of adipogenesis, chondrogenesis and osteogenesis, respectively, after </w:t>
      </w:r>
      <w:r w:rsidRPr="00646D31">
        <w:rPr>
          <w:rFonts w:ascii="Book Antiqua" w:hAnsi="Book Antiqua"/>
          <w:i/>
          <w:iCs/>
        </w:rPr>
        <w:t xml:space="preserve">in vitro </w:t>
      </w:r>
      <w:r w:rsidRPr="00646D31">
        <w:rPr>
          <w:rFonts w:ascii="Book Antiqua" w:hAnsi="Book Antiqua"/>
        </w:rPr>
        <w:t>differentiation.</w:t>
      </w:r>
      <w:r w:rsidRPr="00646D31">
        <w:rPr>
          <w:rFonts w:ascii="Book Antiqua" w:hAnsi="Book Antiqua"/>
          <w:b/>
          <w:bCs/>
        </w:rPr>
        <w:t xml:space="preserve">  </w:t>
      </w:r>
      <w:r w:rsidRPr="00646D31">
        <w:rPr>
          <w:rFonts w:ascii="Book Antiqua" w:hAnsi="Book Antiqua"/>
        </w:rPr>
        <w:t>Each undifferentiated control is shown in the lower panel. Scale bar =100 µm.</w:t>
      </w:r>
    </w:p>
    <w:p w14:paraId="17DF3CEE" w14:textId="77777777" w:rsidR="002729A9" w:rsidRDefault="002729A9" w:rsidP="00EE712B">
      <w:pPr>
        <w:spacing w:line="360" w:lineRule="auto"/>
        <w:jc w:val="both"/>
        <w:rPr>
          <w:rFonts w:ascii="Book Antiqua" w:hAnsi="Book Antiqua"/>
        </w:rPr>
      </w:pPr>
    </w:p>
    <w:p w14:paraId="6A31444F" w14:textId="77777777" w:rsidR="002729A9" w:rsidRDefault="002729A9" w:rsidP="00EE712B">
      <w:pPr>
        <w:spacing w:line="360" w:lineRule="auto"/>
        <w:jc w:val="both"/>
        <w:rPr>
          <w:rFonts w:ascii="Book Antiqua" w:hAnsi="Book Antiqua"/>
        </w:rPr>
      </w:pPr>
    </w:p>
    <w:p w14:paraId="7F168055" w14:textId="77777777" w:rsidR="002729A9" w:rsidRPr="008D5224" w:rsidRDefault="002729A9" w:rsidP="00EE712B">
      <w:pPr>
        <w:spacing w:line="360" w:lineRule="auto"/>
        <w:jc w:val="both"/>
        <w:rPr>
          <w:rFonts w:ascii="Book Antiqua" w:hAnsi="Book Antiqua"/>
        </w:rPr>
      </w:pPr>
    </w:p>
    <w:p w14:paraId="1D4643D4" w14:textId="77777777" w:rsidR="002729A9" w:rsidRPr="008D5224" w:rsidRDefault="002729A9" w:rsidP="00EE712B">
      <w:pPr>
        <w:numPr>
          <w:ilvl w:val="0"/>
          <w:numId w:val="1"/>
        </w:numPr>
        <w:spacing w:line="360" w:lineRule="auto"/>
        <w:ind w:left="270" w:hanging="270"/>
        <w:jc w:val="both"/>
        <w:rPr>
          <w:rFonts w:ascii="Book Antiqua" w:hAnsi="Book Antiqua"/>
          <w:u w:val="single"/>
        </w:rPr>
      </w:pPr>
      <w:r w:rsidRPr="008D5224">
        <w:rPr>
          <w:rFonts w:ascii="Book Antiqua" w:hAnsi="Book Antiqua"/>
          <w:u w:val="single"/>
        </w:rPr>
        <w:t xml:space="preserve">Neural differentiation </w:t>
      </w:r>
    </w:p>
    <w:p w14:paraId="2BA4D4BD" w14:textId="77777777" w:rsidR="002729A9" w:rsidRPr="008D5224" w:rsidRDefault="002729A9" w:rsidP="00EE712B">
      <w:pPr>
        <w:spacing w:line="360" w:lineRule="auto"/>
        <w:jc w:val="both"/>
        <w:rPr>
          <w:rFonts w:ascii="Book Antiqua" w:hAnsi="Book Antiqua"/>
        </w:rPr>
      </w:pPr>
      <w:r w:rsidRPr="008D5224">
        <w:rPr>
          <w:rFonts w:ascii="Book Antiqua" w:hAnsi="Book Antiqua"/>
        </w:rPr>
        <w:t xml:space="preserve">After ensuring selection of MSCs from low passage cells from the previous experiments, eBM-MSCs were further expanded, passaged, and tested for neural differentiation.  </w:t>
      </w:r>
    </w:p>
    <w:p w14:paraId="6D821D64" w14:textId="77777777" w:rsidR="002729A9" w:rsidRPr="008D5224" w:rsidRDefault="002729A9" w:rsidP="00EE712B">
      <w:pPr>
        <w:spacing w:line="360" w:lineRule="auto"/>
        <w:jc w:val="both"/>
        <w:rPr>
          <w:rFonts w:ascii="Book Antiqua" w:hAnsi="Book Antiqua"/>
        </w:rPr>
      </w:pPr>
    </w:p>
    <w:p w14:paraId="33AE7127" w14:textId="77777777" w:rsidR="002729A9" w:rsidRPr="008D5224" w:rsidRDefault="002729A9" w:rsidP="00EE712B">
      <w:pPr>
        <w:autoSpaceDE w:val="0"/>
        <w:autoSpaceDN w:val="0"/>
        <w:adjustRightInd w:val="0"/>
        <w:spacing w:line="360" w:lineRule="auto"/>
        <w:jc w:val="both"/>
        <w:rPr>
          <w:rFonts w:ascii="Book Antiqua" w:hAnsi="Book Antiqua"/>
        </w:rPr>
      </w:pPr>
      <w:r>
        <w:rPr>
          <w:rFonts w:ascii="Book Antiqua" w:hAnsi="Book Antiqua"/>
          <w:b/>
        </w:rPr>
        <w:t>Neural crest cel</w:t>
      </w:r>
      <w:r w:rsidRPr="009C46A8">
        <w:rPr>
          <w:rFonts w:ascii="Book Antiqua" w:hAnsi="Book Antiqua"/>
          <w:b/>
        </w:rPr>
        <w:t>l-like morphology.</w:t>
      </w:r>
      <w:r w:rsidRPr="008D5224">
        <w:rPr>
          <w:rFonts w:ascii="Book Antiqua" w:hAnsi="Book Antiqua"/>
        </w:rPr>
        <w:t xml:space="preserve">  For easy visualization, fluorescence microscopy was used to show an intact nucleus and a “healthy” cytoplasm. </w:t>
      </w:r>
      <w:r w:rsidRPr="008D5224">
        <w:rPr>
          <w:rFonts w:ascii="Book Antiqua" w:hAnsi="Book Antiqua"/>
          <w:color w:val="333333"/>
          <w:lang w:val="en"/>
        </w:rPr>
        <w:t xml:space="preserve">TO-PRO®-3 stain, the most sensitive probe for nucleic acid detection, along with WGA, specific to the cell membrane, were used to demonstrate the nucleus and the cytoplasmic structure of the neural-like cells. </w:t>
      </w:r>
      <w:r w:rsidRPr="008D5224">
        <w:rPr>
          <w:rFonts w:ascii="Book Antiqua" w:hAnsi="Book Antiqua"/>
        </w:rPr>
        <w:t xml:space="preserve"> Low and high passage eBM-MSCs from the selected young and middle-aged ho</w:t>
      </w:r>
      <w:r>
        <w:rPr>
          <w:rFonts w:ascii="Book Antiqua" w:hAnsi="Book Antiqua"/>
        </w:rPr>
        <w:t>rses were capable of adopting neural crest-like cell</w:t>
      </w:r>
      <w:r w:rsidRPr="008D5224">
        <w:rPr>
          <w:rFonts w:ascii="Book Antiqua" w:hAnsi="Book Antiqua"/>
        </w:rPr>
        <w:t xml:space="preserve"> morphology as early as 3 h after chemical induction.  These morphological characteristics consisted of elongation of the cell, cell body contraction, and formation of one or multiple cell processes </w:t>
      </w:r>
      <w:r>
        <w:rPr>
          <w:rFonts w:ascii="Book Antiqua" w:hAnsi="Book Antiqua"/>
          <w:b/>
        </w:rPr>
        <w:t>(Figure</w:t>
      </w:r>
      <w:r w:rsidRPr="008D5224">
        <w:rPr>
          <w:rFonts w:ascii="Book Antiqua" w:hAnsi="Book Antiqua"/>
          <w:b/>
        </w:rPr>
        <w:t xml:space="preserve"> </w:t>
      </w:r>
      <w:r>
        <w:rPr>
          <w:rFonts w:ascii="Book Antiqua" w:hAnsi="Book Antiqua"/>
          <w:b/>
        </w:rPr>
        <w:t>2.</w:t>
      </w:r>
      <w:r w:rsidRPr="008D5224">
        <w:rPr>
          <w:rFonts w:ascii="Book Antiqua" w:hAnsi="Book Antiqua"/>
          <w:b/>
        </w:rPr>
        <w:t>4)</w:t>
      </w:r>
      <w:r w:rsidRPr="008D5224">
        <w:rPr>
          <w:rFonts w:ascii="Book Antiqua" w:hAnsi="Book Antiqua"/>
        </w:rPr>
        <w:t xml:space="preserve">.  After 12 h of neural differentiation, all the cells displayed </w:t>
      </w:r>
      <w:r>
        <w:rPr>
          <w:rFonts w:ascii="Book Antiqua" w:hAnsi="Book Antiqua"/>
        </w:rPr>
        <w:t>neural crest-like cell</w:t>
      </w:r>
      <w:r w:rsidRPr="008D5224">
        <w:rPr>
          <w:rFonts w:ascii="Book Antiqua" w:hAnsi="Book Antiqua"/>
        </w:rPr>
        <w:t xml:space="preserve"> morphology.  Moreover, these cells appeared to grow in a cluster in a mesh-like pattern.  Undifferentiated controls had the spindle fibroblastic appearance of a MSC.   No differences were microscopically observed on the phenotypical characteristics of </w:t>
      </w:r>
      <w:r>
        <w:rPr>
          <w:rFonts w:ascii="Book Antiqua" w:hAnsi="Book Antiqua"/>
        </w:rPr>
        <w:t>neural crest-like cells</w:t>
      </w:r>
      <w:r w:rsidRPr="008D5224">
        <w:rPr>
          <w:rFonts w:ascii="Book Antiqua" w:hAnsi="Book Antiqua"/>
        </w:rPr>
        <w:t xml:space="preserve"> of low passage between young and middle-aged horses.  When analyzing high passage cells, subtle morphological differences were detected.  The majority of these cells also displayed the aforementioned </w:t>
      </w:r>
      <w:r>
        <w:rPr>
          <w:rFonts w:ascii="Book Antiqua" w:hAnsi="Book Antiqua"/>
        </w:rPr>
        <w:t>neural crest-like cells</w:t>
      </w:r>
      <w:r w:rsidRPr="008D5224">
        <w:rPr>
          <w:rFonts w:ascii="Book Antiqua" w:hAnsi="Book Antiqua"/>
        </w:rPr>
        <w:t xml:space="preserve"> characteristics; however, they seemed to lose their cytoplasmic integrity and some of them appeared rounded and small.  Nuclear and cytoplasmic staining helped in visual assessment of the morphological characteristics of these differentiated cells </w:t>
      </w:r>
      <w:r>
        <w:rPr>
          <w:rFonts w:ascii="Book Antiqua" w:hAnsi="Book Antiqua"/>
          <w:b/>
        </w:rPr>
        <w:t>(Figure</w:t>
      </w:r>
      <w:r w:rsidRPr="008D5224">
        <w:rPr>
          <w:rFonts w:ascii="Book Antiqua" w:hAnsi="Book Antiqua"/>
          <w:b/>
        </w:rPr>
        <w:t xml:space="preserve"> </w:t>
      </w:r>
      <w:r>
        <w:rPr>
          <w:rFonts w:ascii="Book Antiqua" w:hAnsi="Book Antiqua"/>
          <w:b/>
        </w:rPr>
        <w:t>2.5</w:t>
      </w:r>
      <w:r w:rsidRPr="008D5224">
        <w:rPr>
          <w:rFonts w:ascii="Book Antiqua" w:hAnsi="Book Antiqua"/>
          <w:b/>
        </w:rPr>
        <w:t>)</w:t>
      </w:r>
      <w:r w:rsidRPr="008D5224">
        <w:rPr>
          <w:rFonts w:ascii="Book Antiqua" w:hAnsi="Book Antiqua"/>
        </w:rPr>
        <w:t xml:space="preserve">.  These morphological differences were more specific to the passage numbers, i.e. can be attributed to the process of cell culture itself, and not to the age of the donor.  </w:t>
      </w:r>
    </w:p>
    <w:p w14:paraId="4637A754" w14:textId="77777777" w:rsidR="002729A9" w:rsidRDefault="002729A9" w:rsidP="00EE712B">
      <w:pPr>
        <w:spacing w:line="360" w:lineRule="auto"/>
        <w:jc w:val="both"/>
        <w:rPr>
          <w:rFonts w:ascii="Book Antiqua" w:hAnsi="Book Antiqua"/>
        </w:rPr>
      </w:pPr>
      <w:r>
        <w:rPr>
          <w:rFonts w:ascii="Book Antiqua" w:hAnsi="Book Antiqua"/>
          <w:noProof/>
        </w:rPr>
        <w:drawing>
          <wp:inline distT="0" distB="0" distL="0" distR="0" wp14:anchorId="287C6344" wp14:editId="46F8F8B3">
            <wp:extent cx="4686300" cy="2225733"/>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15">
                      <a:extLst>
                        <a:ext uri="{28A0092B-C50C-407E-A947-70E740481C1C}">
                          <a14:useLocalDpi xmlns:a14="http://schemas.microsoft.com/office/drawing/2010/main" val="0"/>
                        </a:ext>
                      </a:extLst>
                    </a:blip>
                    <a:stretch>
                      <a:fillRect/>
                    </a:stretch>
                  </pic:blipFill>
                  <pic:spPr>
                    <a:xfrm>
                      <a:off x="0" y="0"/>
                      <a:ext cx="4686946" cy="2226040"/>
                    </a:xfrm>
                    <a:prstGeom prst="rect">
                      <a:avLst/>
                    </a:prstGeom>
                  </pic:spPr>
                </pic:pic>
              </a:graphicData>
            </a:graphic>
          </wp:inline>
        </w:drawing>
      </w:r>
    </w:p>
    <w:p w14:paraId="601B2A44" w14:textId="77777777" w:rsidR="002729A9" w:rsidRPr="00646D31" w:rsidRDefault="002729A9" w:rsidP="00646D31">
      <w:pPr>
        <w:spacing w:line="360" w:lineRule="auto"/>
        <w:jc w:val="both"/>
        <w:rPr>
          <w:rFonts w:ascii="Book Antiqua" w:hAnsi="Book Antiqua"/>
          <w:lang w:val="en-GB"/>
        </w:rPr>
      </w:pPr>
      <w:r w:rsidRPr="00646D31">
        <w:rPr>
          <w:rFonts w:ascii="Book Antiqua" w:hAnsi="Book Antiqua"/>
          <w:b/>
          <w:bCs/>
        </w:rPr>
        <w:t>Fig</w:t>
      </w:r>
      <w:r>
        <w:rPr>
          <w:rFonts w:ascii="Book Antiqua" w:hAnsi="Book Antiqua"/>
          <w:b/>
          <w:bCs/>
        </w:rPr>
        <w:t>ure</w:t>
      </w:r>
      <w:r w:rsidRPr="00646D31">
        <w:rPr>
          <w:rFonts w:ascii="Book Antiqua" w:hAnsi="Book Antiqua"/>
          <w:b/>
          <w:bCs/>
        </w:rPr>
        <w:t xml:space="preserve"> </w:t>
      </w:r>
      <w:r>
        <w:rPr>
          <w:rFonts w:ascii="Book Antiqua" w:hAnsi="Book Antiqua"/>
          <w:b/>
          <w:bCs/>
        </w:rPr>
        <w:t>2.</w:t>
      </w:r>
      <w:r w:rsidRPr="00646D31">
        <w:rPr>
          <w:rFonts w:ascii="Book Antiqua" w:hAnsi="Book Antiqua"/>
          <w:b/>
          <w:bCs/>
        </w:rPr>
        <w:t>4</w:t>
      </w:r>
      <w:r w:rsidRPr="00646D31">
        <w:rPr>
          <w:rFonts w:ascii="Book Antiqua" w:hAnsi="Book Antiqua"/>
        </w:rPr>
        <w:t>.  Differentiation assay of eBM-MSCs.  Representative images from one young (a) and one middle-aged (b) horse showing neur</w:t>
      </w:r>
      <w:r>
        <w:rPr>
          <w:rFonts w:ascii="Book Antiqua" w:hAnsi="Book Antiqua"/>
        </w:rPr>
        <w:t>al crest</w:t>
      </w:r>
      <w:r w:rsidRPr="00646D31">
        <w:rPr>
          <w:rFonts w:ascii="Book Antiqua" w:hAnsi="Book Antiqua"/>
        </w:rPr>
        <w:t>-like cells (white arrows) at 12 h after chemical induction. Note the contraction of the cellular body and the appearance of multiple cell processes. Magnification = 40x</w:t>
      </w:r>
      <w:r w:rsidRPr="00646D31">
        <w:rPr>
          <w:rFonts w:ascii="Book Antiqua" w:hAnsi="Book Antiqua"/>
          <w:lang w:val="en-GB"/>
        </w:rPr>
        <w:t xml:space="preserve"> </w:t>
      </w:r>
    </w:p>
    <w:p w14:paraId="0D3149FF" w14:textId="77777777" w:rsidR="002729A9" w:rsidRDefault="002729A9" w:rsidP="00EE712B">
      <w:pPr>
        <w:spacing w:line="360" w:lineRule="auto"/>
        <w:jc w:val="both"/>
        <w:rPr>
          <w:rFonts w:ascii="Book Antiqua" w:hAnsi="Book Antiqua"/>
        </w:rPr>
      </w:pPr>
    </w:p>
    <w:p w14:paraId="36F08691" w14:textId="77777777" w:rsidR="002729A9" w:rsidRDefault="002729A9" w:rsidP="00EE712B">
      <w:pPr>
        <w:spacing w:line="360" w:lineRule="auto"/>
        <w:jc w:val="both"/>
        <w:rPr>
          <w:rFonts w:ascii="Book Antiqua" w:hAnsi="Book Antiqua"/>
        </w:rPr>
      </w:pPr>
      <w:r>
        <w:rPr>
          <w:rFonts w:ascii="Book Antiqua" w:hAnsi="Book Antiqua"/>
          <w:noProof/>
        </w:rPr>
        <w:drawing>
          <wp:inline distT="0" distB="0" distL="0" distR="0" wp14:anchorId="5869D26D" wp14:editId="6EBA92E9">
            <wp:extent cx="5270500" cy="3367394"/>
            <wp:effectExtent l="0" t="0" r="0" b="114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16">
                      <a:extLst>
                        <a:ext uri="{28A0092B-C50C-407E-A947-70E740481C1C}">
                          <a14:useLocalDpi xmlns:a14="http://schemas.microsoft.com/office/drawing/2010/main" val="0"/>
                        </a:ext>
                      </a:extLst>
                    </a:blip>
                    <a:stretch>
                      <a:fillRect/>
                    </a:stretch>
                  </pic:blipFill>
                  <pic:spPr>
                    <a:xfrm>
                      <a:off x="0" y="0"/>
                      <a:ext cx="5270500" cy="3367394"/>
                    </a:xfrm>
                    <a:prstGeom prst="rect">
                      <a:avLst/>
                    </a:prstGeom>
                  </pic:spPr>
                </pic:pic>
              </a:graphicData>
            </a:graphic>
          </wp:inline>
        </w:drawing>
      </w:r>
    </w:p>
    <w:p w14:paraId="446734BA" w14:textId="77777777" w:rsidR="002729A9" w:rsidRPr="00646D31" w:rsidRDefault="002729A9" w:rsidP="00646D31">
      <w:pPr>
        <w:spacing w:line="360" w:lineRule="auto"/>
        <w:jc w:val="both"/>
        <w:rPr>
          <w:rFonts w:ascii="Book Antiqua" w:hAnsi="Book Antiqua"/>
          <w:lang w:val="en-GB"/>
        </w:rPr>
      </w:pPr>
      <w:r w:rsidRPr="00646D31">
        <w:rPr>
          <w:rFonts w:ascii="Book Antiqua" w:hAnsi="Book Antiqua"/>
          <w:b/>
          <w:bCs/>
        </w:rPr>
        <w:t>Fig</w:t>
      </w:r>
      <w:r>
        <w:rPr>
          <w:rFonts w:ascii="Book Antiqua" w:hAnsi="Book Antiqua"/>
          <w:b/>
          <w:bCs/>
        </w:rPr>
        <w:t>ure</w:t>
      </w:r>
      <w:r w:rsidRPr="00646D31">
        <w:rPr>
          <w:rFonts w:ascii="Book Antiqua" w:hAnsi="Book Antiqua"/>
          <w:b/>
          <w:bCs/>
        </w:rPr>
        <w:t xml:space="preserve"> </w:t>
      </w:r>
      <w:r>
        <w:rPr>
          <w:rFonts w:ascii="Book Antiqua" w:hAnsi="Book Antiqua"/>
          <w:b/>
          <w:bCs/>
        </w:rPr>
        <w:t>2.</w:t>
      </w:r>
      <w:r w:rsidRPr="00646D31">
        <w:rPr>
          <w:rFonts w:ascii="Book Antiqua" w:hAnsi="Book Antiqua"/>
          <w:b/>
          <w:bCs/>
        </w:rPr>
        <w:t xml:space="preserve">5.  </w:t>
      </w:r>
      <w:r w:rsidRPr="00646D31">
        <w:rPr>
          <w:rFonts w:ascii="Book Antiqua" w:hAnsi="Book Antiqua"/>
        </w:rPr>
        <w:t>Nuclear/cytoplasmic staining of neural</w:t>
      </w:r>
      <w:r>
        <w:rPr>
          <w:rFonts w:ascii="Book Antiqua" w:hAnsi="Book Antiqua"/>
        </w:rPr>
        <w:t xml:space="preserve"> crest</w:t>
      </w:r>
      <w:r w:rsidRPr="00646D31">
        <w:rPr>
          <w:rFonts w:ascii="Book Antiqua" w:hAnsi="Book Antiqua"/>
        </w:rPr>
        <w:t>-like eBM-MSCs.  Representative confocal images of cytoplasmic (WGA) and nuclear (TO-PRO-3-iodide) fluorescent stains showing the integrity of neur</w:t>
      </w:r>
      <w:r>
        <w:rPr>
          <w:rFonts w:ascii="Book Antiqua" w:hAnsi="Book Antiqua"/>
        </w:rPr>
        <w:t>al crest</w:t>
      </w:r>
      <w:r w:rsidRPr="00646D31">
        <w:rPr>
          <w:rFonts w:ascii="Book Antiqua" w:hAnsi="Book Antiqua"/>
        </w:rPr>
        <w:t>-like cells from low passaged eBM-MSCs of one young (a) and one middle-aged (b) horse, and from high passaged eBM-MSC of middle-aged (</w:t>
      </w:r>
      <w:r w:rsidRPr="00646D31">
        <w:rPr>
          <w:rFonts w:ascii="Book Antiqua" w:hAnsi="Book Antiqua"/>
          <w:b/>
          <w:bCs/>
        </w:rPr>
        <w:t>c</w:t>
      </w:r>
      <w:r w:rsidRPr="00646D31">
        <w:rPr>
          <w:rFonts w:ascii="Book Antiqua" w:hAnsi="Book Antiqua"/>
        </w:rPr>
        <w:t>) horse.  Note the typical fibroblast-like morphology of the undifferentiated MSCs (d, e, f). Scale bar = 25</w:t>
      </w:r>
      <w:r w:rsidRPr="00646D31">
        <w:rPr>
          <w:rFonts w:ascii="Book Antiqua" w:hAnsi="Book Antiqua"/>
          <w:lang w:val="el-GR"/>
        </w:rPr>
        <w:t xml:space="preserve"> </w:t>
      </w:r>
      <w:r w:rsidRPr="00646D31">
        <w:rPr>
          <w:rFonts w:ascii="Noteworthy Bold" w:hAnsi="Noteworthy Bold" w:cs="Noteworthy Bold"/>
          <w:lang w:val="el-GR"/>
        </w:rPr>
        <w:t>μ</w:t>
      </w:r>
      <w:r w:rsidRPr="00646D31">
        <w:rPr>
          <w:rFonts w:ascii="Book Antiqua" w:hAnsi="Book Antiqua"/>
        </w:rPr>
        <w:t>m</w:t>
      </w:r>
      <w:r w:rsidRPr="00646D31">
        <w:rPr>
          <w:rFonts w:ascii="Book Antiqua" w:hAnsi="Book Antiqua"/>
          <w:lang w:val="en-GB"/>
        </w:rPr>
        <w:t xml:space="preserve"> </w:t>
      </w:r>
    </w:p>
    <w:p w14:paraId="465EAB6C" w14:textId="77777777" w:rsidR="002729A9" w:rsidRDefault="002729A9" w:rsidP="00EE712B">
      <w:pPr>
        <w:spacing w:line="360" w:lineRule="auto"/>
        <w:jc w:val="both"/>
        <w:rPr>
          <w:rFonts w:ascii="Book Antiqua" w:hAnsi="Book Antiqua"/>
        </w:rPr>
      </w:pPr>
      <w:r w:rsidRPr="008D5224">
        <w:rPr>
          <w:rFonts w:ascii="Book Antiqua" w:hAnsi="Book Antiqua"/>
        </w:rPr>
        <w:t>Finally, as judged by the numbers of cells adhered to the 2 different types of tissue culture plates; the nitrogen-coated plates (Primaria™) significantly enhanced cell survival and proliferation roughly, 2-fold higher than the polystyrene – coated plates (</w:t>
      </w:r>
      <w:r w:rsidRPr="008D5224">
        <w:rPr>
          <w:rFonts w:ascii="Book Antiqua" w:hAnsi="Book Antiqua"/>
          <w:i/>
        </w:rPr>
        <w:t>P</w:t>
      </w:r>
      <w:r w:rsidRPr="008D5224">
        <w:rPr>
          <w:rFonts w:ascii="Book Antiqua" w:hAnsi="Book Antiqua"/>
        </w:rPr>
        <w:t>=0.0319) after chemical induction (</w:t>
      </w:r>
      <w:r>
        <w:rPr>
          <w:rFonts w:ascii="Book Antiqua" w:hAnsi="Book Antiqua"/>
          <w:b/>
        </w:rPr>
        <w:t>Figure</w:t>
      </w:r>
      <w:r w:rsidRPr="008D5224">
        <w:rPr>
          <w:rFonts w:ascii="Book Antiqua" w:hAnsi="Book Antiqua"/>
          <w:b/>
        </w:rPr>
        <w:t xml:space="preserve"> </w:t>
      </w:r>
      <w:r>
        <w:rPr>
          <w:rFonts w:ascii="Book Antiqua" w:hAnsi="Book Antiqua"/>
          <w:b/>
        </w:rPr>
        <w:t>2.</w:t>
      </w:r>
      <w:r w:rsidRPr="008D5224">
        <w:rPr>
          <w:rFonts w:ascii="Book Antiqua" w:hAnsi="Book Antiqua"/>
          <w:b/>
        </w:rPr>
        <w:t>6)</w:t>
      </w:r>
      <w:r w:rsidRPr="008D5224">
        <w:rPr>
          <w:rFonts w:ascii="Book Antiqua" w:hAnsi="Book Antiqua"/>
        </w:rPr>
        <w:t xml:space="preserve">.  </w:t>
      </w:r>
    </w:p>
    <w:p w14:paraId="38E31EA2" w14:textId="77777777" w:rsidR="002729A9" w:rsidRPr="008D5224" w:rsidRDefault="002729A9" w:rsidP="00EE712B">
      <w:pPr>
        <w:spacing w:line="360" w:lineRule="auto"/>
        <w:jc w:val="both"/>
        <w:rPr>
          <w:rFonts w:ascii="Book Antiqua" w:hAnsi="Book Antiqua"/>
        </w:rPr>
      </w:pPr>
    </w:p>
    <w:p w14:paraId="7C1B02DE" w14:textId="77777777" w:rsidR="002729A9" w:rsidRDefault="002729A9" w:rsidP="00EE712B">
      <w:pPr>
        <w:spacing w:line="360" w:lineRule="auto"/>
        <w:jc w:val="both"/>
        <w:rPr>
          <w:rFonts w:ascii="Book Antiqua" w:hAnsi="Book Antiqua"/>
        </w:rPr>
      </w:pPr>
      <w:r>
        <w:rPr>
          <w:rFonts w:ascii="Book Antiqua" w:hAnsi="Book Antiqua"/>
          <w:noProof/>
        </w:rPr>
        <w:drawing>
          <wp:inline distT="0" distB="0" distL="0" distR="0" wp14:anchorId="06A2E364" wp14:editId="31FA38CA">
            <wp:extent cx="4800600" cy="24185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jpg"/>
                    <pic:cNvPicPr/>
                  </pic:nvPicPr>
                  <pic:blipFill>
                    <a:blip r:embed="rId17">
                      <a:extLst>
                        <a:ext uri="{28A0092B-C50C-407E-A947-70E740481C1C}">
                          <a14:useLocalDpi xmlns:a14="http://schemas.microsoft.com/office/drawing/2010/main" val="0"/>
                        </a:ext>
                      </a:extLst>
                    </a:blip>
                    <a:stretch>
                      <a:fillRect/>
                    </a:stretch>
                  </pic:blipFill>
                  <pic:spPr>
                    <a:xfrm>
                      <a:off x="0" y="0"/>
                      <a:ext cx="4800600" cy="2418530"/>
                    </a:xfrm>
                    <a:prstGeom prst="rect">
                      <a:avLst/>
                    </a:prstGeom>
                  </pic:spPr>
                </pic:pic>
              </a:graphicData>
            </a:graphic>
          </wp:inline>
        </w:drawing>
      </w:r>
    </w:p>
    <w:p w14:paraId="3349EC92" w14:textId="77777777" w:rsidR="002729A9" w:rsidRPr="00646D31" w:rsidRDefault="002729A9" w:rsidP="00646D31">
      <w:pPr>
        <w:spacing w:line="360" w:lineRule="auto"/>
        <w:jc w:val="both"/>
        <w:rPr>
          <w:rFonts w:ascii="Book Antiqua" w:hAnsi="Book Antiqua"/>
          <w:lang w:val="en-GB"/>
        </w:rPr>
      </w:pPr>
      <w:r w:rsidRPr="00646D31">
        <w:rPr>
          <w:rFonts w:ascii="Book Antiqua" w:hAnsi="Book Antiqua"/>
          <w:b/>
          <w:bCs/>
        </w:rPr>
        <w:t>Fig</w:t>
      </w:r>
      <w:r>
        <w:rPr>
          <w:rFonts w:ascii="Book Antiqua" w:hAnsi="Book Antiqua"/>
          <w:b/>
          <w:bCs/>
        </w:rPr>
        <w:t>ure</w:t>
      </w:r>
      <w:r w:rsidRPr="00646D31">
        <w:rPr>
          <w:rFonts w:ascii="Book Antiqua" w:hAnsi="Book Antiqua"/>
          <w:b/>
          <w:bCs/>
        </w:rPr>
        <w:t xml:space="preserve"> </w:t>
      </w:r>
      <w:r>
        <w:rPr>
          <w:rFonts w:ascii="Book Antiqua" w:hAnsi="Book Antiqua"/>
          <w:b/>
          <w:bCs/>
        </w:rPr>
        <w:t>2.</w:t>
      </w:r>
      <w:r w:rsidRPr="00646D31">
        <w:rPr>
          <w:rFonts w:ascii="Book Antiqua" w:hAnsi="Book Antiqua"/>
          <w:b/>
          <w:bCs/>
        </w:rPr>
        <w:t xml:space="preserve">6. </w:t>
      </w:r>
      <w:r w:rsidRPr="00646D31">
        <w:rPr>
          <w:rFonts w:ascii="Book Antiqua" w:hAnsi="Book Antiqua"/>
        </w:rPr>
        <w:t>Nuclear/cytoplasmic staining of neural</w:t>
      </w:r>
      <w:r>
        <w:rPr>
          <w:rFonts w:ascii="Book Antiqua" w:hAnsi="Book Antiqua"/>
        </w:rPr>
        <w:t xml:space="preserve"> crest</w:t>
      </w:r>
      <w:r w:rsidRPr="00646D31">
        <w:rPr>
          <w:rFonts w:ascii="Book Antiqua" w:hAnsi="Book Antiqua"/>
        </w:rPr>
        <w:t>-like eBM-MSCs on different substrates.  Representative confocal images of cytoplasmic (WGA) and nuclear (TO-PRO-3-iodide) fluorescent stains showing survival of differentiated cells from one middle-aged horse 12 h after chemical induction, on Primaria™, nitrogen-coated (a) and polystyrene-coated (b) tissue culture plates. Note scarce cells on the polystyrene tissue culture plate. Scale bar = 100</w:t>
      </w:r>
      <w:r w:rsidRPr="00646D31">
        <w:rPr>
          <w:rFonts w:ascii="Book Antiqua" w:hAnsi="Book Antiqua"/>
          <w:lang w:val="el-GR"/>
        </w:rPr>
        <w:t xml:space="preserve"> </w:t>
      </w:r>
      <w:r w:rsidRPr="00646D31">
        <w:rPr>
          <w:rFonts w:ascii="Noteworthy Bold" w:hAnsi="Noteworthy Bold" w:cs="Noteworthy Bold"/>
          <w:lang w:val="el-GR"/>
        </w:rPr>
        <w:t>μ</w:t>
      </w:r>
      <w:r w:rsidRPr="00646D31">
        <w:rPr>
          <w:rFonts w:ascii="Book Antiqua" w:hAnsi="Book Antiqua"/>
        </w:rPr>
        <w:t>m.</w:t>
      </w:r>
    </w:p>
    <w:p w14:paraId="36056280" w14:textId="77777777" w:rsidR="002729A9" w:rsidRDefault="002729A9" w:rsidP="00EE712B">
      <w:pPr>
        <w:spacing w:line="360" w:lineRule="auto"/>
        <w:jc w:val="both"/>
        <w:rPr>
          <w:rFonts w:ascii="Book Antiqua" w:hAnsi="Book Antiqua"/>
        </w:rPr>
      </w:pPr>
    </w:p>
    <w:p w14:paraId="07A08A97" w14:textId="77777777" w:rsidR="002729A9" w:rsidRPr="008D5224" w:rsidRDefault="002729A9" w:rsidP="00EE712B">
      <w:pPr>
        <w:spacing w:line="360" w:lineRule="auto"/>
        <w:jc w:val="both"/>
        <w:rPr>
          <w:rFonts w:ascii="Book Antiqua" w:hAnsi="Book Antiqua"/>
        </w:rPr>
      </w:pPr>
    </w:p>
    <w:p w14:paraId="34F17E46" w14:textId="77777777" w:rsidR="002729A9" w:rsidRPr="008D5224" w:rsidRDefault="002729A9" w:rsidP="00EE712B">
      <w:pPr>
        <w:spacing w:line="360" w:lineRule="auto"/>
        <w:jc w:val="both"/>
        <w:rPr>
          <w:rFonts w:ascii="Book Antiqua" w:hAnsi="Book Antiqua"/>
        </w:rPr>
      </w:pPr>
      <w:r w:rsidRPr="009C46A8">
        <w:rPr>
          <w:rFonts w:ascii="Book Antiqua" w:hAnsi="Book Antiqua"/>
          <w:b/>
        </w:rPr>
        <w:t>Expression of neural progenitor proteins.</w:t>
      </w:r>
      <w:r w:rsidRPr="008D5224">
        <w:rPr>
          <w:rFonts w:ascii="Book Antiqua" w:hAnsi="Book Antiqua"/>
        </w:rPr>
        <w:t xml:space="preserve">  The expression of vimentin was confirmed by IF (</w:t>
      </w:r>
      <w:r>
        <w:rPr>
          <w:rFonts w:ascii="Book Antiqua" w:hAnsi="Book Antiqua"/>
          <w:b/>
        </w:rPr>
        <w:t>Figures</w:t>
      </w:r>
      <w:r w:rsidRPr="008D5224">
        <w:rPr>
          <w:rFonts w:ascii="Book Antiqua" w:hAnsi="Book Antiqua"/>
          <w:b/>
        </w:rPr>
        <w:t xml:space="preserve"> </w:t>
      </w:r>
      <w:r>
        <w:rPr>
          <w:rFonts w:ascii="Book Antiqua" w:hAnsi="Book Antiqua"/>
          <w:b/>
        </w:rPr>
        <w:t>2.</w:t>
      </w:r>
      <w:r w:rsidRPr="008D5224">
        <w:rPr>
          <w:rFonts w:ascii="Book Antiqua" w:hAnsi="Book Antiqua"/>
          <w:b/>
        </w:rPr>
        <w:t xml:space="preserve">7 and </w:t>
      </w:r>
      <w:r>
        <w:rPr>
          <w:rFonts w:ascii="Book Antiqua" w:hAnsi="Book Antiqua"/>
          <w:b/>
        </w:rPr>
        <w:t>2.</w:t>
      </w:r>
      <w:r w:rsidRPr="008D5224">
        <w:rPr>
          <w:rFonts w:ascii="Book Antiqua" w:hAnsi="Book Antiqua"/>
          <w:b/>
        </w:rPr>
        <w:t>8</w:t>
      </w:r>
      <w:r w:rsidRPr="008D5224">
        <w:rPr>
          <w:rFonts w:ascii="Book Antiqua" w:hAnsi="Book Antiqua"/>
        </w:rPr>
        <w:t>).  Vimentin was expressed by cells of low passage for both age groups with no significant differences (</w:t>
      </w:r>
      <w:r w:rsidRPr="008D5224">
        <w:rPr>
          <w:rFonts w:ascii="Book Antiqua" w:hAnsi="Book Antiqua"/>
          <w:i/>
        </w:rPr>
        <w:t>P</w:t>
      </w:r>
      <w:r w:rsidRPr="008D5224">
        <w:rPr>
          <w:rFonts w:ascii="Book Antiqua" w:hAnsi="Book Antiqua"/>
        </w:rPr>
        <w:t>=0.7653); cell passage number did not affect vimentin expression on the middle-age horse (</w:t>
      </w:r>
      <w:r w:rsidRPr="008D5224">
        <w:rPr>
          <w:rFonts w:ascii="Book Antiqua" w:hAnsi="Book Antiqua"/>
          <w:i/>
        </w:rPr>
        <w:t>P</w:t>
      </w:r>
      <w:r w:rsidRPr="008D5224">
        <w:rPr>
          <w:rFonts w:ascii="Book Antiqua" w:hAnsi="Book Antiqua"/>
        </w:rPr>
        <w:t>=0.7774), and no difference on vimentin expression was noted between undifferentiated MSCs and neurally-induced MSCs for young (</w:t>
      </w:r>
      <w:r w:rsidRPr="008D5224">
        <w:rPr>
          <w:rFonts w:ascii="Book Antiqua" w:hAnsi="Book Antiqua"/>
          <w:i/>
        </w:rPr>
        <w:t>P</w:t>
      </w:r>
      <w:r w:rsidRPr="008D5224">
        <w:rPr>
          <w:rFonts w:ascii="Book Antiqua" w:hAnsi="Book Antiqua"/>
        </w:rPr>
        <w:t>=0.9660) or middle-aged (</w:t>
      </w:r>
      <w:r w:rsidRPr="008D5224">
        <w:rPr>
          <w:rFonts w:ascii="Book Antiqua" w:hAnsi="Book Antiqua"/>
          <w:i/>
        </w:rPr>
        <w:t>P</w:t>
      </w:r>
      <w:r w:rsidRPr="008D5224">
        <w:rPr>
          <w:rFonts w:ascii="Book Antiqua" w:hAnsi="Book Antiqua"/>
        </w:rPr>
        <w:t xml:space="preserve">=0.1577) horses.  </w:t>
      </w:r>
    </w:p>
    <w:p w14:paraId="2F861ED8" w14:textId="77777777" w:rsidR="002729A9" w:rsidRDefault="002729A9" w:rsidP="00EE712B">
      <w:pPr>
        <w:spacing w:line="360" w:lineRule="auto"/>
        <w:jc w:val="both"/>
        <w:rPr>
          <w:rFonts w:ascii="Book Antiqua" w:hAnsi="Book Antiqua"/>
        </w:rPr>
      </w:pPr>
    </w:p>
    <w:p w14:paraId="475A0F06" w14:textId="77777777" w:rsidR="002729A9" w:rsidRDefault="002729A9" w:rsidP="00EE712B">
      <w:pPr>
        <w:spacing w:line="360" w:lineRule="auto"/>
        <w:jc w:val="both"/>
        <w:rPr>
          <w:rFonts w:ascii="Book Antiqua" w:hAnsi="Book Antiqua"/>
        </w:rPr>
      </w:pPr>
      <w:r>
        <w:rPr>
          <w:rFonts w:ascii="Book Antiqua" w:hAnsi="Book Antiqua"/>
          <w:noProof/>
        </w:rPr>
        <w:drawing>
          <wp:inline distT="0" distB="0" distL="0" distR="0" wp14:anchorId="67615F78" wp14:editId="1D986061">
            <wp:extent cx="5727700" cy="3138805"/>
            <wp:effectExtent l="0" t="0" r="12700" b="1079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jpg"/>
                    <pic:cNvPicPr/>
                  </pic:nvPicPr>
                  <pic:blipFill>
                    <a:blip r:embed="rId18">
                      <a:extLst>
                        <a:ext uri="{28A0092B-C50C-407E-A947-70E740481C1C}">
                          <a14:useLocalDpi xmlns:a14="http://schemas.microsoft.com/office/drawing/2010/main" val="0"/>
                        </a:ext>
                      </a:extLst>
                    </a:blip>
                    <a:stretch>
                      <a:fillRect/>
                    </a:stretch>
                  </pic:blipFill>
                  <pic:spPr>
                    <a:xfrm>
                      <a:off x="0" y="0"/>
                      <a:ext cx="5727700" cy="3138805"/>
                    </a:xfrm>
                    <a:prstGeom prst="rect">
                      <a:avLst/>
                    </a:prstGeom>
                  </pic:spPr>
                </pic:pic>
              </a:graphicData>
            </a:graphic>
          </wp:inline>
        </w:drawing>
      </w:r>
    </w:p>
    <w:p w14:paraId="64FF28C0" w14:textId="77777777" w:rsidR="002729A9" w:rsidRPr="00646D31" w:rsidRDefault="002729A9" w:rsidP="00646D31">
      <w:pPr>
        <w:spacing w:line="360" w:lineRule="auto"/>
        <w:jc w:val="both"/>
        <w:rPr>
          <w:rFonts w:ascii="Book Antiqua" w:hAnsi="Book Antiqua"/>
          <w:lang w:val="en-GB"/>
        </w:rPr>
      </w:pPr>
      <w:r w:rsidRPr="00646D31">
        <w:rPr>
          <w:rFonts w:ascii="Book Antiqua" w:hAnsi="Book Antiqua"/>
          <w:b/>
          <w:bCs/>
        </w:rPr>
        <w:t>Fig</w:t>
      </w:r>
      <w:r>
        <w:rPr>
          <w:rFonts w:ascii="Book Antiqua" w:hAnsi="Book Antiqua"/>
          <w:b/>
          <w:bCs/>
        </w:rPr>
        <w:t>ure</w:t>
      </w:r>
      <w:r w:rsidRPr="00646D31">
        <w:rPr>
          <w:rFonts w:ascii="Book Antiqua" w:hAnsi="Book Antiqua"/>
          <w:b/>
          <w:bCs/>
        </w:rPr>
        <w:t xml:space="preserve"> </w:t>
      </w:r>
      <w:r>
        <w:rPr>
          <w:rFonts w:ascii="Book Antiqua" w:hAnsi="Book Antiqua"/>
          <w:b/>
          <w:bCs/>
        </w:rPr>
        <w:t>2.</w:t>
      </w:r>
      <w:r w:rsidRPr="00646D31">
        <w:rPr>
          <w:rFonts w:ascii="Book Antiqua" w:hAnsi="Book Antiqua"/>
          <w:b/>
          <w:bCs/>
        </w:rPr>
        <w:t xml:space="preserve">7.  </w:t>
      </w:r>
      <w:r w:rsidRPr="00646D31">
        <w:rPr>
          <w:rFonts w:ascii="Book Antiqua" w:hAnsi="Book Antiqua"/>
        </w:rPr>
        <w:t>Expression of vimentin in undifferentiated and differentiated low passage eBM-MSCs.  Confocal microscopy shows the expression of vimentin (red) in neur</w:t>
      </w:r>
      <w:r>
        <w:rPr>
          <w:rFonts w:ascii="Book Antiqua" w:hAnsi="Book Antiqua"/>
        </w:rPr>
        <w:t>al crest</w:t>
      </w:r>
      <w:r w:rsidRPr="00646D31">
        <w:rPr>
          <w:rFonts w:ascii="Book Antiqua" w:hAnsi="Book Antiqua"/>
        </w:rPr>
        <w:t>-like cells from eBM-MSCs of young and middle-aged horses after 3h and 12h of chemical induction. DAPI was used to stain the nuclei (blue).  Respective undifferentiated controls are in the lower panel. Note the diffuse localization of vimentin, which is expressed in undifferentiated and in neural progenitor cells. Scale bar = 25</w:t>
      </w:r>
      <w:r w:rsidRPr="00646D31">
        <w:rPr>
          <w:rFonts w:ascii="Book Antiqua" w:hAnsi="Book Antiqua"/>
          <w:lang w:val="el-GR"/>
        </w:rPr>
        <w:t xml:space="preserve"> </w:t>
      </w:r>
      <w:r w:rsidRPr="00646D31">
        <w:rPr>
          <w:rFonts w:ascii="Noteworthy Bold" w:hAnsi="Noteworthy Bold" w:cs="Noteworthy Bold"/>
          <w:lang w:val="el-GR"/>
        </w:rPr>
        <w:t>μ</w:t>
      </w:r>
      <w:r w:rsidRPr="00646D31">
        <w:rPr>
          <w:rFonts w:ascii="Book Antiqua" w:hAnsi="Book Antiqua"/>
        </w:rPr>
        <w:t>m.</w:t>
      </w:r>
    </w:p>
    <w:p w14:paraId="2BCB4A35" w14:textId="77777777" w:rsidR="002729A9" w:rsidRDefault="002729A9" w:rsidP="00EE712B">
      <w:pPr>
        <w:spacing w:line="360" w:lineRule="auto"/>
        <w:jc w:val="both"/>
        <w:rPr>
          <w:rFonts w:ascii="Book Antiqua" w:hAnsi="Book Antiqua"/>
        </w:rPr>
      </w:pPr>
    </w:p>
    <w:p w14:paraId="30EAA1C8" w14:textId="77777777" w:rsidR="002729A9" w:rsidRDefault="002729A9" w:rsidP="00EE712B">
      <w:pPr>
        <w:spacing w:line="360" w:lineRule="auto"/>
        <w:jc w:val="both"/>
        <w:rPr>
          <w:rFonts w:ascii="Book Antiqua" w:hAnsi="Book Antiqua"/>
        </w:rPr>
      </w:pPr>
      <w:r>
        <w:rPr>
          <w:rFonts w:ascii="Book Antiqua" w:hAnsi="Book Antiqua"/>
          <w:noProof/>
        </w:rPr>
        <w:drawing>
          <wp:inline distT="0" distB="0" distL="0" distR="0" wp14:anchorId="79B61E49" wp14:editId="5AB4C76F">
            <wp:extent cx="2000380" cy="388620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jpg"/>
                    <pic:cNvPicPr/>
                  </pic:nvPicPr>
                  <pic:blipFill>
                    <a:blip r:embed="rId19">
                      <a:extLst>
                        <a:ext uri="{28A0092B-C50C-407E-A947-70E740481C1C}">
                          <a14:useLocalDpi xmlns:a14="http://schemas.microsoft.com/office/drawing/2010/main" val="0"/>
                        </a:ext>
                      </a:extLst>
                    </a:blip>
                    <a:stretch>
                      <a:fillRect/>
                    </a:stretch>
                  </pic:blipFill>
                  <pic:spPr>
                    <a:xfrm>
                      <a:off x="0" y="0"/>
                      <a:ext cx="2000380" cy="3886200"/>
                    </a:xfrm>
                    <a:prstGeom prst="rect">
                      <a:avLst/>
                    </a:prstGeom>
                  </pic:spPr>
                </pic:pic>
              </a:graphicData>
            </a:graphic>
          </wp:inline>
        </w:drawing>
      </w:r>
    </w:p>
    <w:p w14:paraId="344D36EB" w14:textId="77777777" w:rsidR="002729A9" w:rsidRPr="005E0E50" w:rsidRDefault="002729A9" w:rsidP="005E0E50">
      <w:pPr>
        <w:spacing w:line="360" w:lineRule="auto"/>
        <w:jc w:val="both"/>
        <w:rPr>
          <w:rFonts w:ascii="Book Antiqua" w:hAnsi="Book Antiqua"/>
          <w:lang w:val="en-GB"/>
        </w:rPr>
      </w:pPr>
      <w:r w:rsidRPr="005E0E50">
        <w:rPr>
          <w:rFonts w:ascii="Book Antiqua" w:hAnsi="Book Antiqua"/>
          <w:b/>
          <w:bCs/>
        </w:rPr>
        <w:t>Fig</w:t>
      </w:r>
      <w:r>
        <w:rPr>
          <w:rFonts w:ascii="Book Antiqua" w:hAnsi="Book Antiqua"/>
          <w:b/>
          <w:bCs/>
        </w:rPr>
        <w:t>ure</w:t>
      </w:r>
      <w:r w:rsidRPr="005E0E50">
        <w:rPr>
          <w:rFonts w:ascii="Book Antiqua" w:hAnsi="Book Antiqua"/>
          <w:b/>
          <w:bCs/>
        </w:rPr>
        <w:t xml:space="preserve"> </w:t>
      </w:r>
      <w:r>
        <w:rPr>
          <w:rFonts w:ascii="Book Antiqua" w:hAnsi="Book Antiqua"/>
          <w:b/>
          <w:bCs/>
        </w:rPr>
        <w:t>2.</w:t>
      </w:r>
      <w:r w:rsidRPr="005E0E50">
        <w:rPr>
          <w:rFonts w:ascii="Book Antiqua" w:hAnsi="Book Antiqua"/>
          <w:b/>
          <w:bCs/>
        </w:rPr>
        <w:t xml:space="preserve">8.  </w:t>
      </w:r>
      <w:r w:rsidRPr="005E0E50">
        <w:rPr>
          <w:rFonts w:ascii="Book Antiqua" w:hAnsi="Book Antiqua"/>
        </w:rPr>
        <w:t>Expression of vimentin in undifferentiated and differentiated high passage eBM-MSCs.  Confocal microscopy shows the expression of vimentin (red) in neur</w:t>
      </w:r>
      <w:r>
        <w:rPr>
          <w:rFonts w:ascii="Book Antiqua" w:hAnsi="Book Antiqua"/>
        </w:rPr>
        <w:t>al crest</w:t>
      </w:r>
      <w:r w:rsidRPr="005E0E50">
        <w:rPr>
          <w:rFonts w:ascii="Book Antiqua" w:hAnsi="Book Antiqua"/>
        </w:rPr>
        <w:t>-like cells from eBM-MSCs of middle-aged horse after 12h of chemical induction. DAPI was used to stain the nuclei (blue).  Undifferentiated control eBM-MSCs are in the lower panel. Note the diffuse localization of vimentin, which is expressed in undifferentiated and in neural progenitor cells. Scale bar = 25</w:t>
      </w:r>
      <w:r w:rsidRPr="005E0E50">
        <w:rPr>
          <w:rFonts w:ascii="Book Antiqua" w:hAnsi="Book Antiqua"/>
          <w:lang w:val="el-GR"/>
        </w:rPr>
        <w:t xml:space="preserve"> </w:t>
      </w:r>
      <w:r w:rsidRPr="005E0E50">
        <w:rPr>
          <w:rFonts w:ascii="Noteworthy Bold" w:hAnsi="Noteworthy Bold" w:cs="Noteworthy Bold"/>
          <w:lang w:val="el-GR"/>
        </w:rPr>
        <w:t>μ</w:t>
      </w:r>
      <w:r w:rsidRPr="005E0E50">
        <w:rPr>
          <w:rFonts w:ascii="Book Antiqua" w:hAnsi="Book Antiqua"/>
        </w:rPr>
        <w:t>m.</w:t>
      </w:r>
      <w:r w:rsidRPr="005E0E50">
        <w:rPr>
          <w:rFonts w:ascii="Book Antiqua" w:hAnsi="Book Antiqua"/>
          <w:lang w:val="en-GB"/>
        </w:rPr>
        <w:t xml:space="preserve"> </w:t>
      </w:r>
    </w:p>
    <w:p w14:paraId="1140B73B" w14:textId="77777777" w:rsidR="002729A9" w:rsidRDefault="002729A9" w:rsidP="00EE712B">
      <w:pPr>
        <w:spacing w:line="360" w:lineRule="auto"/>
        <w:jc w:val="both"/>
        <w:rPr>
          <w:rFonts w:ascii="Book Antiqua" w:hAnsi="Book Antiqua"/>
        </w:rPr>
      </w:pPr>
    </w:p>
    <w:p w14:paraId="7AC20E73" w14:textId="77777777" w:rsidR="002729A9" w:rsidRPr="008D5224" w:rsidRDefault="002729A9" w:rsidP="00EE712B">
      <w:pPr>
        <w:spacing w:line="360" w:lineRule="auto"/>
        <w:jc w:val="both"/>
        <w:rPr>
          <w:rFonts w:ascii="Book Antiqua" w:hAnsi="Book Antiqua"/>
        </w:rPr>
      </w:pPr>
    </w:p>
    <w:p w14:paraId="01B13E94" w14:textId="77777777" w:rsidR="002729A9" w:rsidRDefault="002729A9" w:rsidP="00EE712B">
      <w:pPr>
        <w:spacing w:line="360" w:lineRule="auto"/>
        <w:jc w:val="both"/>
        <w:rPr>
          <w:rFonts w:ascii="Book Antiqua" w:hAnsi="Book Antiqua"/>
        </w:rPr>
      </w:pPr>
      <w:r w:rsidRPr="008D5224">
        <w:rPr>
          <w:rFonts w:ascii="Book Antiqua" w:hAnsi="Book Antiqua"/>
        </w:rPr>
        <w:t>Immun</w:t>
      </w:r>
      <w:r>
        <w:rPr>
          <w:rFonts w:ascii="Book Antiqua" w:hAnsi="Book Antiqua"/>
        </w:rPr>
        <w:t>o</w:t>
      </w:r>
      <w:r w:rsidRPr="008D5224">
        <w:rPr>
          <w:rFonts w:ascii="Book Antiqua" w:hAnsi="Book Antiqua"/>
        </w:rPr>
        <w:t xml:space="preserve">blot analysis was carried out to assess the expression of GFAP and </w:t>
      </w:r>
      <w:r w:rsidRPr="008D5224">
        <w:t>β</w:t>
      </w:r>
      <w:r w:rsidRPr="008D5224">
        <w:rPr>
          <w:rFonts w:ascii="Book Antiqua" w:hAnsi="Book Antiqua"/>
          <w:vertAlign w:val="subscript"/>
        </w:rPr>
        <w:t>3</w:t>
      </w:r>
      <w:r w:rsidRPr="008D5224">
        <w:rPr>
          <w:rFonts w:ascii="Book Antiqua" w:hAnsi="Book Antiqua"/>
        </w:rPr>
        <w:t xml:space="preserve"> tubulin (</w:t>
      </w:r>
      <w:r>
        <w:rPr>
          <w:rFonts w:ascii="Book Antiqua" w:hAnsi="Book Antiqua"/>
          <w:b/>
        </w:rPr>
        <w:t>Figure</w:t>
      </w:r>
      <w:r w:rsidRPr="00E676F5">
        <w:rPr>
          <w:rFonts w:ascii="Book Antiqua" w:hAnsi="Book Antiqua"/>
          <w:b/>
        </w:rPr>
        <w:t xml:space="preserve"> </w:t>
      </w:r>
      <w:r>
        <w:rPr>
          <w:rFonts w:ascii="Book Antiqua" w:hAnsi="Book Antiqua"/>
          <w:b/>
        </w:rPr>
        <w:t>2.</w:t>
      </w:r>
      <w:r w:rsidRPr="00E676F5">
        <w:rPr>
          <w:rFonts w:ascii="Book Antiqua" w:hAnsi="Book Antiqua"/>
          <w:b/>
        </w:rPr>
        <w:t>9</w:t>
      </w:r>
      <w:r w:rsidRPr="008D5224">
        <w:rPr>
          <w:rFonts w:ascii="Book Antiqua" w:hAnsi="Book Antiqua"/>
        </w:rPr>
        <w:t xml:space="preserve">).  Differentiated cells from low passaged cells obtained from middle aged and young MSC cultures showed the expression of both the GFAP and </w:t>
      </w:r>
      <w:r w:rsidRPr="008D5224">
        <w:t>β</w:t>
      </w:r>
      <w:r w:rsidRPr="008D5224">
        <w:rPr>
          <w:rFonts w:ascii="Book Antiqua" w:hAnsi="Book Antiqua"/>
          <w:vertAlign w:val="subscript"/>
        </w:rPr>
        <w:t>3</w:t>
      </w:r>
      <w:r w:rsidRPr="008D5224">
        <w:rPr>
          <w:rFonts w:ascii="Book Antiqua" w:hAnsi="Book Antiqua"/>
        </w:rPr>
        <w:t xml:space="preserve"> tubulin.  </w:t>
      </w:r>
      <w:r w:rsidRPr="008D5224">
        <w:t>β</w:t>
      </w:r>
      <w:r w:rsidRPr="008D5224">
        <w:rPr>
          <w:rFonts w:ascii="Book Antiqua" w:hAnsi="Book Antiqua"/>
          <w:vertAlign w:val="subscript"/>
        </w:rPr>
        <w:t>3</w:t>
      </w:r>
      <w:r w:rsidRPr="008D5224">
        <w:rPr>
          <w:rFonts w:ascii="Book Antiqua" w:hAnsi="Book Antiqua"/>
        </w:rPr>
        <w:t xml:space="preserve"> tubulin, was not expressed in the differentiated cells from high passaged cells obtained from the young MSC culture.  The importance, if any, is not known at this time.  Interestingly, low and high passaged undifferentiated cells generated from both donors expressed both proteins, suggesting plasticity of MSCs outside of mesodermal lineages. </w:t>
      </w:r>
    </w:p>
    <w:p w14:paraId="07BA5D5B" w14:textId="77777777" w:rsidR="002729A9" w:rsidRPr="008D5224" w:rsidRDefault="002729A9" w:rsidP="00EE712B">
      <w:pPr>
        <w:spacing w:line="360" w:lineRule="auto"/>
        <w:jc w:val="both"/>
        <w:rPr>
          <w:rFonts w:ascii="Book Antiqua" w:hAnsi="Book Antiqua"/>
        </w:rPr>
      </w:pPr>
      <w:r>
        <w:rPr>
          <w:rFonts w:ascii="Book Antiqua" w:hAnsi="Book Antiqua"/>
          <w:noProof/>
        </w:rPr>
        <w:drawing>
          <wp:inline distT="0" distB="0" distL="0" distR="0" wp14:anchorId="6453E356" wp14:editId="0145374F">
            <wp:extent cx="4000500" cy="142678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jpg"/>
                    <pic:cNvPicPr/>
                  </pic:nvPicPr>
                  <pic:blipFill>
                    <a:blip r:embed="rId20">
                      <a:extLst>
                        <a:ext uri="{28A0092B-C50C-407E-A947-70E740481C1C}">
                          <a14:useLocalDpi xmlns:a14="http://schemas.microsoft.com/office/drawing/2010/main" val="0"/>
                        </a:ext>
                      </a:extLst>
                    </a:blip>
                    <a:stretch>
                      <a:fillRect/>
                    </a:stretch>
                  </pic:blipFill>
                  <pic:spPr>
                    <a:xfrm>
                      <a:off x="0" y="0"/>
                      <a:ext cx="4001892" cy="1427282"/>
                    </a:xfrm>
                    <a:prstGeom prst="rect">
                      <a:avLst/>
                    </a:prstGeom>
                  </pic:spPr>
                </pic:pic>
              </a:graphicData>
            </a:graphic>
          </wp:inline>
        </w:drawing>
      </w:r>
    </w:p>
    <w:p w14:paraId="139C1846" w14:textId="77777777" w:rsidR="002729A9" w:rsidRPr="005E0E50" w:rsidRDefault="002729A9" w:rsidP="005E0E50">
      <w:pPr>
        <w:spacing w:line="360" w:lineRule="auto"/>
        <w:jc w:val="both"/>
        <w:rPr>
          <w:rFonts w:ascii="Book Antiqua" w:hAnsi="Book Antiqua"/>
          <w:lang w:val="en-GB"/>
        </w:rPr>
      </w:pPr>
      <w:r w:rsidRPr="005E0E50">
        <w:rPr>
          <w:rFonts w:ascii="Book Antiqua" w:hAnsi="Book Antiqua"/>
          <w:b/>
          <w:bCs/>
        </w:rPr>
        <w:t>Fig</w:t>
      </w:r>
      <w:r>
        <w:rPr>
          <w:rFonts w:ascii="Book Antiqua" w:hAnsi="Book Antiqua"/>
          <w:b/>
          <w:bCs/>
        </w:rPr>
        <w:t>ure</w:t>
      </w:r>
      <w:r w:rsidRPr="005E0E50">
        <w:rPr>
          <w:rFonts w:ascii="Book Antiqua" w:hAnsi="Book Antiqua"/>
          <w:b/>
          <w:bCs/>
        </w:rPr>
        <w:t xml:space="preserve"> </w:t>
      </w:r>
      <w:r>
        <w:rPr>
          <w:rFonts w:ascii="Book Antiqua" w:hAnsi="Book Antiqua"/>
          <w:b/>
          <w:bCs/>
        </w:rPr>
        <w:t>2.</w:t>
      </w:r>
      <w:r w:rsidRPr="005E0E50">
        <w:rPr>
          <w:rFonts w:ascii="Book Antiqua" w:hAnsi="Book Antiqua"/>
          <w:b/>
          <w:bCs/>
        </w:rPr>
        <w:t xml:space="preserve">9.  </w:t>
      </w:r>
      <w:r w:rsidRPr="005E0E50">
        <w:rPr>
          <w:rFonts w:ascii="Book Antiqua" w:hAnsi="Book Antiqua"/>
        </w:rPr>
        <w:t xml:space="preserve">Expression of neural-progenitor proteins by immunoblot analysis.  Western blot analysis shows the expression of the neural progenitor proteins, </w:t>
      </w:r>
      <w:r w:rsidRPr="005E0E50">
        <w:rPr>
          <w:rFonts w:ascii="Noteworthy Bold" w:hAnsi="Noteworthy Bold" w:cs="Noteworthy Bold"/>
          <w:lang w:val="el-GR"/>
        </w:rPr>
        <w:t>β</w:t>
      </w:r>
      <w:r w:rsidRPr="005E0E50">
        <w:rPr>
          <w:rFonts w:ascii="Book Antiqua" w:hAnsi="Book Antiqua"/>
          <w:vertAlign w:val="subscript"/>
          <w:lang w:val="es-ES"/>
        </w:rPr>
        <w:t>3</w:t>
      </w:r>
      <w:r w:rsidRPr="005E0E50">
        <w:rPr>
          <w:rFonts w:ascii="Book Antiqua" w:hAnsi="Book Antiqua"/>
          <w:lang w:val="es-ES"/>
        </w:rPr>
        <w:t xml:space="preserve"> tubulin</w:t>
      </w:r>
      <w:r w:rsidRPr="005E0E50">
        <w:rPr>
          <w:rFonts w:ascii="Book Antiqua" w:hAnsi="Book Antiqua"/>
        </w:rPr>
        <w:t xml:space="preserve"> and GFAP in differentiated (A) and undifferentiated (B) eBM- MSCs generated from low and high passaged cells from middle-aged (lanes 1 and 2, respectively) and young (lanes 3 and 4, respectively) horses. Beta-actin was used as an internal control. </w:t>
      </w:r>
      <w:r w:rsidRPr="005E0E50">
        <w:rPr>
          <w:rFonts w:ascii="Book Antiqua" w:hAnsi="Book Antiqua"/>
          <w:lang w:val="el-GR"/>
        </w:rPr>
        <w:t xml:space="preserve">5 </w:t>
      </w:r>
      <w:r w:rsidRPr="005E0E50">
        <w:rPr>
          <w:rFonts w:ascii="Noteworthy Bold" w:hAnsi="Noteworthy Bold" w:cs="Noteworthy Bold"/>
          <w:lang w:val="el-GR"/>
        </w:rPr>
        <w:t>μ</w:t>
      </w:r>
      <w:r w:rsidRPr="005E0E50">
        <w:rPr>
          <w:rFonts w:ascii="Book Antiqua" w:hAnsi="Book Antiqua"/>
        </w:rPr>
        <w:t>g of protein was loaded per lane.  It is interesting to note the expression of neural progenitor proteins in undifferentiated MSCs, suggesting that the plasticity of equine MSCs may go beyond extra-mesodermal lineages.</w:t>
      </w:r>
    </w:p>
    <w:p w14:paraId="665BDFFA" w14:textId="77777777" w:rsidR="002729A9" w:rsidRPr="008D5224" w:rsidRDefault="002729A9" w:rsidP="00EE712B">
      <w:pPr>
        <w:spacing w:line="360" w:lineRule="auto"/>
        <w:jc w:val="both"/>
        <w:rPr>
          <w:rFonts w:ascii="Book Antiqua" w:hAnsi="Book Antiqua"/>
        </w:rPr>
      </w:pPr>
    </w:p>
    <w:p w14:paraId="6DAC715E" w14:textId="77777777" w:rsidR="002729A9" w:rsidRDefault="002729A9" w:rsidP="00EE712B">
      <w:pPr>
        <w:spacing w:line="360" w:lineRule="auto"/>
        <w:jc w:val="both"/>
        <w:rPr>
          <w:rFonts w:ascii="Book Antiqua" w:hAnsi="Book Antiqua"/>
        </w:rPr>
      </w:pPr>
    </w:p>
    <w:p w14:paraId="0B8608C1" w14:textId="77777777" w:rsidR="002729A9" w:rsidRPr="008D5224" w:rsidRDefault="002729A9" w:rsidP="00EE712B">
      <w:pPr>
        <w:spacing w:line="360" w:lineRule="auto"/>
        <w:jc w:val="both"/>
        <w:rPr>
          <w:rFonts w:ascii="Book Antiqua" w:hAnsi="Book Antiqua"/>
        </w:rPr>
      </w:pPr>
      <w:r w:rsidRPr="008D5224">
        <w:rPr>
          <w:rFonts w:ascii="Book Antiqua" w:hAnsi="Book Antiqua"/>
        </w:rPr>
        <w:t>We were not able to detect nestin expression by western blot analysis, even when 3 different primary antibodies with various dilutions (1:1000, 1:2000) or secondary antibody concentrations (1:5000, 1:10 000).  Interestingly, nestin expression was evident in undifferentiated and neurally-differentiated MSCs of low and high passages for both age groups by IF (</w:t>
      </w:r>
      <w:r>
        <w:rPr>
          <w:rFonts w:ascii="Book Antiqua" w:hAnsi="Book Antiqua"/>
          <w:b/>
        </w:rPr>
        <w:t>Figure</w:t>
      </w:r>
      <w:r w:rsidRPr="008D5224">
        <w:rPr>
          <w:rFonts w:ascii="Book Antiqua" w:hAnsi="Book Antiqua"/>
          <w:b/>
        </w:rPr>
        <w:t xml:space="preserve"> </w:t>
      </w:r>
      <w:r>
        <w:rPr>
          <w:rFonts w:ascii="Book Antiqua" w:hAnsi="Book Antiqua"/>
          <w:b/>
        </w:rPr>
        <w:t>2.</w:t>
      </w:r>
      <w:r w:rsidRPr="008D5224">
        <w:rPr>
          <w:rFonts w:ascii="Book Antiqua" w:hAnsi="Book Antiqua"/>
          <w:b/>
        </w:rPr>
        <w:t>10)</w:t>
      </w:r>
      <w:r w:rsidRPr="008D5224">
        <w:rPr>
          <w:rFonts w:ascii="Book Antiqua" w:hAnsi="Book Antiqua"/>
        </w:rPr>
        <w:t>.  Nestin expression on cells of low passage for both age groups was observed with no significant differences (</w:t>
      </w:r>
      <w:r w:rsidRPr="008D5224">
        <w:rPr>
          <w:rFonts w:ascii="Book Antiqua" w:hAnsi="Book Antiqua"/>
          <w:i/>
        </w:rPr>
        <w:t>P</w:t>
      </w:r>
      <w:r w:rsidRPr="008D5224">
        <w:rPr>
          <w:rFonts w:ascii="Book Antiqua" w:hAnsi="Book Antiqua"/>
        </w:rPr>
        <w:t>=0.7325).  Additionally, cell passage number did not affect significantly the expression of nestin on the middle-aged horse (</w:t>
      </w:r>
      <w:r w:rsidRPr="008D5224">
        <w:rPr>
          <w:rFonts w:ascii="Book Antiqua" w:hAnsi="Book Antiqua"/>
          <w:i/>
        </w:rPr>
        <w:t>P</w:t>
      </w:r>
      <w:r w:rsidRPr="008D5224">
        <w:rPr>
          <w:rFonts w:ascii="Book Antiqua" w:hAnsi="Book Antiqua"/>
        </w:rPr>
        <w:t>=0.3467), and no difference on nestin expression was noted between undifferentiated MSCs and neurally-induced MSCs for young (</w:t>
      </w:r>
      <w:r w:rsidRPr="008D5224">
        <w:rPr>
          <w:rFonts w:ascii="Book Antiqua" w:hAnsi="Book Antiqua"/>
          <w:i/>
        </w:rPr>
        <w:t>P</w:t>
      </w:r>
      <w:r w:rsidRPr="008D5224">
        <w:rPr>
          <w:rFonts w:ascii="Book Antiqua" w:hAnsi="Book Antiqua"/>
        </w:rPr>
        <w:t>=0.9616) or middle-aged (</w:t>
      </w:r>
      <w:r w:rsidRPr="008D5224">
        <w:rPr>
          <w:rFonts w:ascii="Book Antiqua" w:hAnsi="Book Antiqua"/>
          <w:i/>
        </w:rPr>
        <w:t>P</w:t>
      </w:r>
      <w:r w:rsidRPr="008D5224">
        <w:rPr>
          <w:rFonts w:ascii="Book Antiqua" w:hAnsi="Book Antiqua"/>
        </w:rPr>
        <w:t>=0.0830) horses.  A perinuclear location of nestin was evident on undifferentiated and neurally-differentiated MSCs of low passage, and on undifferentiated MSCs of high passage both age groups (</w:t>
      </w:r>
      <w:r>
        <w:rPr>
          <w:rFonts w:ascii="Book Antiqua" w:hAnsi="Book Antiqua"/>
          <w:b/>
        </w:rPr>
        <w:t>Figure</w:t>
      </w:r>
      <w:r w:rsidRPr="008D5224">
        <w:rPr>
          <w:rFonts w:ascii="Book Antiqua" w:hAnsi="Book Antiqua"/>
          <w:b/>
        </w:rPr>
        <w:t xml:space="preserve"> </w:t>
      </w:r>
      <w:r>
        <w:rPr>
          <w:rFonts w:ascii="Book Antiqua" w:hAnsi="Book Antiqua"/>
          <w:b/>
        </w:rPr>
        <w:t>2.</w:t>
      </w:r>
      <w:r w:rsidRPr="008D5224">
        <w:rPr>
          <w:rFonts w:ascii="Book Antiqua" w:hAnsi="Book Antiqua"/>
          <w:b/>
        </w:rPr>
        <w:t>10</w:t>
      </w:r>
      <w:r w:rsidRPr="008D5224">
        <w:rPr>
          <w:rFonts w:ascii="Book Antiqua" w:hAnsi="Book Antiqua"/>
        </w:rPr>
        <w:t xml:space="preserve">).  The location of nestin in neurally-differentiated cells of high passage, however, was inconsistent, with some cells displaying a perinuclear location and others showing a more diffuse, cytoplasmic expression </w:t>
      </w:r>
      <w:r>
        <w:rPr>
          <w:rFonts w:ascii="Book Antiqua" w:hAnsi="Book Antiqua"/>
          <w:b/>
        </w:rPr>
        <w:t>(Figure</w:t>
      </w:r>
      <w:r w:rsidRPr="008D5224">
        <w:rPr>
          <w:rFonts w:ascii="Book Antiqua" w:hAnsi="Book Antiqua"/>
          <w:b/>
        </w:rPr>
        <w:t xml:space="preserve"> </w:t>
      </w:r>
      <w:r>
        <w:rPr>
          <w:rFonts w:ascii="Book Antiqua" w:hAnsi="Book Antiqua"/>
          <w:b/>
        </w:rPr>
        <w:t>2.</w:t>
      </w:r>
      <w:r w:rsidRPr="008D5224">
        <w:rPr>
          <w:rFonts w:ascii="Book Antiqua" w:hAnsi="Book Antiqua"/>
          <w:b/>
        </w:rPr>
        <w:t>11)</w:t>
      </w:r>
      <w:r w:rsidRPr="008D5224">
        <w:rPr>
          <w:rFonts w:ascii="Book Antiqua" w:hAnsi="Book Antiqua"/>
        </w:rPr>
        <w:t xml:space="preserve">.  It is possible that cells of high passages undergo changes that alter the structure of some filamentous proteins (i.e. nestin). </w:t>
      </w:r>
    </w:p>
    <w:p w14:paraId="300A9347" w14:textId="77777777" w:rsidR="002729A9" w:rsidRDefault="002729A9" w:rsidP="00EE712B">
      <w:pPr>
        <w:spacing w:line="360" w:lineRule="auto"/>
        <w:jc w:val="both"/>
        <w:rPr>
          <w:rFonts w:ascii="Book Antiqua" w:hAnsi="Book Antiqua"/>
        </w:rPr>
      </w:pPr>
    </w:p>
    <w:p w14:paraId="20C0E95B" w14:textId="77777777" w:rsidR="002729A9" w:rsidRPr="008D5224" w:rsidRDefault="002729A9" w:rsidP="00EE712B">
      <w:pPr>
        <w:spacing w:line="360" w:lineRule="auto"/>
        <w:jc w:val="both"/>
        <w:rPr>
          <w:rFonts w:ascii="Book Antiqua" w:hAnsi="Book Antiqua"/>
        </w:rPr>
      </w:pPr>
      <w:r>
        <w:rPr>
          <w:rFonts w:ascii="Book Antiqua" w:hAnsi="Book Antiqua"/>
          <w:noProof/>
        </w:rPr>
        <w:drawing>
          <wp:inline distT="0" distB="0" distL="0" distR="0" wp14:anchorId="576775BD" wp14:editId="371CBBAA">
            <wp:extent cx="5727700" cy="3159760"/>
            <wp:effectExtent l="0" t="0" r="1270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21">
                      <a:extLst>
                        <a:ext uri="{28A0092B-C50C-407E-A947-70E740481C1C}">
                          <a14:useLocalDpi xmlns:a14="http://schemas.microsoft.com/office/drawing/2010/main" val="0"/>
                        </a:ext>
                      </a:extLst>
                    </a:blip>
                    <a:stretch>
                      <a:fillRect/>
                    </a:stretch>
                  </pic:blipFill>
                  <pic:spPr>
                    <a:xfrm>
                      <a:off x="0" y="0"/>
                      <a:ext cx="5727700" cy="3159760"/>
                    </a:xfrm>
                    <a:prstGeom prst="rect">
                      <a:avLst/>
                    </a:prstGeom>
                  </pic:spPr>
                </pic:pic>
              </a:graphicData>
            </a:graphic>
          </wp:inline>
        </w:drawing>
      </w:r>
    </w:p>
    <w:p w14:paraId="23C50461" w14:textId="77777777" w:rsidR="002729A9" w:rsidRPr="005E0E50" w:rsidRDefault="002729A9" w:rsidP="005E0E50">
      <w:pPr>
        <w:spacing w:line="360" w:lineRule="auto"/>
        <w:jc w:val="both"/>
        <w:rPr>
          <w:rFonts w:ascii="Book Antiqua" w:hAnsi="Book Antiqua"/>
          <w:lang w:val="en-GB"/>
        </w:rPr>
      </w:pPr>
      <w:r w:rsidRPr="005E0E50">
        <w:rPr>
          <w:rFonts w:ascii="Book Antiqua" w:hAnsi="Book Antiqua"/>
          <w:b/>
          <w:bCs/>
        </w:rPr>
        <w:t>Fig</w:t>
      </w:r>
      <w:r>
        <w:rPr>
          <w:rFonts w:ascii="Book Antiqua" w:hAnsi="Book Antiqua"/>
          <w:b/>
          <w:bCs/>
        </w:rPr>
        <w:t>ure</w:t>
      </w:r>
      <w:r w:rsidRPr="005E0E50">
        <w:rPr>
          <w:rFonts w:ascii="Book Antiqua" w:hAnsi="Book Antiqua"/>
          <w:b/>
          <w:bCs/>
        </w:rPr>
        <w:t xml:space="preserve"> </w:t>
      </w:r>
      <w:r>
        <w:rPr>
          <w:rFonts w:ascii="Book Antiqua" w:hAnsi="Book Antiqua"/>
          <w:b/>
          <w:bCs/>
        </w:rPr>
        <w:t>2.</w:t>
      </w:r>
      <w:r w:rsidRPr="005E0E50">
        <w:rPr>
          <w:rFonts w:ascii="Book Antiqua" w:hAnsi="Book Antiqua"/>
          <w:b/>
          <w:bCs/>
        </w:rPr>
        <w:t xml:space="preserve">10.  </w:t>
      </w:r>
      <w:r w:rsidRPr="005E0E50">
        <w:rPr>
          <w:rFonts w:ascii="Book Antiqua" w:hAnsi="Book Antiqua"/>
        </w:rPr>
        <w:t>Expression of nestin in undifferentiated and differentiated low passage eBM-MSCs.  Confocal microscopy shows the expression of nestin (red) in neuron-like cells (upper panel) and in undifferentiated controls (lower panel) from eBM-MSCs of young and middle-aged horses after 3h and 12h of chemical induction. DAPI was used to stain the nuclei (blue).  Note the predominant perinuclear localization of nestin. Scale bar = 25</w:t>
      </w:r>
      <w:r w:rsidRPr="005E0E50">
        <w:rPr>
          <w:rFonts w:ascii="Book Antiqua" w:hAnsi="Book Antiqua"/>
          <w:lang w:val="el-GR"/>
        </w:rPr>
        <w:t xml:space="preserve"> </w:t>
      </w:r>
      <w:r w:rsidRPr="005E0E50">
        <w:rPr>
          <w:rFonts w:ascii="Noteworthy Bold" w:hAnsi="Noteworthy Bold" w:cs="Noteworthy Bold"/>
          <w:lang w:val="el-GR"/>
        </w:rPr>
        <w:t>μ</w:t>
      </w:r>
      <w:r w:rsidRPr="005E0E50">
        <w:rPr>
          <w:rFonts w:ascii="Book Antiqua" w:hAnsi="Book Antiqua"/>
        </w:rPr>
        <w:t>m.</w:t>
      </w:r>
    </w:p>
    <w:p w14:paraId="5845B92E" w14:textId="77777777" w:rsidR="002729A9" w:rsidRDefault="002729A9" w:rsidP="00EE712B">
      <w:pPr>
        <w:spacing w:line="360" w:lineRule="auto"/>
        <w:jc w:val="both"/>
        <w:rPr>
          <w:rFonts w:ascii="Book Antiqua" w:hAnsi="Book Antiqua"/>
        </w:rPr>
      </w:pPr>
    </w:p>
    <w:p w14:paraId="05DDFF8B" w14:textId="77777777" w:rsidR="002729A9" w:rsidRDefault="002729A9" w:rsidP="00EE712B">
      <w:pPr>
        <w:spacing w:line="360" w:lineRule="auto"/>
        <w:jc w:val="both"/>
        <w:rPr>
          <w:rFonts w:ascii="Book Antiqua" w:hAnsi="Book Antiqua"/>
        </w:rPr>
      </w:pPr>
      <w:r>
        <w:rPr>
          <w:rFonts w:ascii="Book Antiqua" w:hAnsi="Book Antiqua"/>
          <w:noProof/>
        </w:rPr>
        <w:drawing>
          <wp:inline distT="0" distB="0" distL="0" distR="0" wp14:anchorId="64582C31" wp14:editId="25A43FED">
            <wp:extent cx="2231199" cy="4343400"/>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1.jpg"/>
                    <pic:cNvPicPr/>
                  </pic:nvPicPr>
                  <pic:blipFill>
                    <a:blip r:embed="rId22">
                      <a:extLst>
                        <a:ext uri="{28A0092B-C50C-407E-A947-70E740481C1C}">
                          <a14:useLocalDpi xmlns:a14="http://schemas.microsoft.com/office/drawing/2010/main" val="0"/>
                        </a:ext>
                      </a:extLst>
                    </a:blip>
                    <a:stretch>
                      <a:fillRect/>
                    </a:stretch>
                  </pic:blipFill>
                  <pic:spPr>
                    <a:xfrm>
                      <a:off x="0" y="0"/>
                      <a:ext cx="2231522" cy="4344029"/>
                    </a:xfrm>
                    <a:prstGeom prst="rect">
                      <a:avLst/>
                    </a:prstGeom>
                  </pic:spPr>
                </pic:pic>
              </a:graphicData>
            </a:graphic>
          </wp:inline>
        </w:drawing>
      </w:r>
    </w:p>
    <w:p w14:paraId="30A12534" w14:textId="77777777" w:rsidR="002729A9" w:rsidRPr="005E0E50" w:rsidRDefault="002729A9" w:rsidP="005E0E50">
      <w:pPr>
        <w:spacing w:line="360" w:lineRule="auto"/>
        <w:jc w:val="both"/>
        <w:rPr>
          <w:rFonts w:ascii="Book Antiqua" w:hAnsi="Book Antiqua"/>
          <w:lang w:val="en-GB"/>
        </w:rPr>
      </w:pPr>
      <w:r w:rsidRPr="005E0E50">
        <w:rPr>
          <w:rFonts w:ascii="Book Antiqua" w:hAnsi="Book Antiqua"/>
          <w:b/>
          <w:bCs/>
        </w:rPr>
        <w:t>Fig</w:t>
      </w:r>
      <w:r>
        <w:rPr>
          <w:rFonts w:ascii="Book Antiqua" w:hAnsi="Book Antiqua"/>
          <w:b/>
          <w:bCs/>
        </w:rPr>
        <w:t>ure</w:t>
      </w:r>
      <w:r w:rsidRPr="005E0E50">
        <w:rPr>
          <w:rFonts w:ascii="Book Antiqua" w:hAnsi="Book Antiqua"/>
          <w:b/>
          <w:bCs/>
        </w:rPr>
        <w:t xml:space="preserve"> </w:t>
      </w:r>
      <w:r>
        <w:rPr>
          <w:rFonts w:ascii="Book Antiqua" w:hAnsi="Book Antiqua"/>
          <w:b/>
          <w:bCs/>
        </w:rPr>
        <w:t>2.</w:t>
      </w:r>
      <w:r w:rsidRPr="005E0E50">
        <w:rPr>
          <w:rFonts w:ascii="Book Antiqua" w:hAnsi="Book Antiqua"/>
          <w:b/>
          <w:bCs/>
        </w:rPr>
        <w:t xml:space="preserve">11.  </w:t>
      </w:r>
      <w:r w:rsidRPr="005E0E50">
        <w:rPr>
          <w:rFonts w:ascii="Book Antiqua" w:hAnsi="Book Antiqua"/>
        </w:rPr>
        <w:t>Expression of nestin in undifferentiated and differentiated high passage eBM-MSCs.  Confocal microscopy shows the expression of nestin (red) in neuron-like cells (upper panel) and in undifferentiated controls (lower panel) from eBM-MSCs of middle-aged horse after 12h of chemical induction. DAPI was used to stain the nuclei (blue).  Note that nestin is inconsistently found perinuclearly or diffusely in the cytoplasm in the differentiated cells. Expression of nestin in the control is perinuclear. Additionally, based on the intensity of the signal, its expression appears less when compared to cells from the low passage. Scale bar = 25</w:t>
      </w:r>
      <w:r w:rsidRPr="005E0E50">
        <w:rPr>
          <w:rFonts w:ascii="Book Antiqua" w:hAnsi="Book Antiqua"/>
          <w:lang w:val="el-GR"/>
        </w:rPr>
        <w:t xml:space="preserve"> </w:t>
      </w:r>
      <w:r w:rsidRPr="005E0E50">
        <w:rPr>
          <w:rFonts w:ascii="Noteworthy Bold" w:hAnsi="Noteworthy Bold" w:cs="Noteworthy Bold"/>
          <w:lang w:val="el-GR"/>
        </w:rPr>
        <w:t>μ</w:t>
      </w:r>
      <w:r w:rsidRPr="005E0E50">
        <w:rPr>
          <w:rFonts w:ascii="Book Antiqua" w:hAnsi="Book Antiqua"/>
        </w:rPr>
        <w:t>m.</w:t>
      </w:r>
    </w:p>
    <w:p w14:paraId="311D0E17" w14:textId="77777777" w:rsidR="002729A9" w:rsidRDefault="002729A9" w:rsidP="00EE712B">
      <w:pPr>
        <w:spacing w:line="360" w:lineRule="auto"/>
        <w:jc w:val="both"/>
        <w:rPr>
          <w:rFonts w:ascii="Book Antiqua" w:hAnsi="Book Antiqua"/>
        </w:rPr>
      </w:pPr>
    </w:p>
    <w:p w14:paraId="42B245CC" w14:textId="77777777" w:rsidR="002729A9" w:rsidRPr="008D5224" w:rsidRDefault="002729A9" w:rsidP="00EE712B">
      <w:pPr>
        <w:spacing w:line="360" w:lineRule="auto"/>
        <w:jc w:val="both"/>
        <w:rPr>
          <w:rFonts w:ascii="Book Antiqua" w:hAnsi="Book Antiqua"/>
        </w:rPr>
      </w:pPr>
    </w:p>
    <w:p w14:paraId="4C2C7ADA" w14:textId="77777777" w:rsidR="002729A9" w:rsidRPr="00D07D10" w:rsidRDefault="002729A9" w:rsidP="00EE712B">
      <w:pPr>
        <w:pStyle w:val="Heading2"/>
      </w:pPr>
      <w:bookmarkStart w:id="40" w:name="_Toc274387733"/>
      <w:r w:rsidRPr="00D07D10">
        <w:t>Discussion</w:t>
      </w:r>
      <w:bookmarkEnd w:id="40"/>
    </w:p>
    <w:p w14:paraId="6171CB92" w14:textId="77777777" w:rsidR="002729A9" w:rsidRDefault="002729A9" w:rsidP="00EE712B">
      <w:pPr>
        <w:pStyle w:val="BodyA"/>
        <w:spacing w:line="360" w:lineRule="auto"/>
        <w:jc w:val="both"/>
        <w:rPr>
          <w:rFonts w:ascii="Book Antiqua" w:hAnsi="Book Antiqua"/>
          <w:szCs w:val="24"/>
        </w:rPr>
      </w:pPr>
    </w:p>
    <w:p w14:paraId="659B79BA" w14:textId="77777777" w:rsidR="002729A9" w:rsidRPr="008D5224" w:rsidRDefault="002729A9" w:rsidP="00EE712B">
      <w:pPr>
        <w:pStyle w:val="BodyA"/>
        <w:spacing w:line="360" w:lineRule="auto"/>
        <w:jc w:val="both"/>
        <w:rPr>
          <w:rFonts w:ascii="Book Antiqua" w:hAnsi="Book Antiqua"/>
          <w:szCs w:val="24"/>
        </w:rPr>
      </w:pPr>
      <w:r w:rsidRPr="008D5224">
        <w:rPr>
          <w:rFonts w:ascii="Book Antiqua" w:hAnsi="Book Antiqua"/>
          <w:szCs w:val="24"/>
        </w:rPr>
        <w:t>Peripheral nerve injuries are a cause of poor performance in horses. These injuries are difficult to manage and treatment mostly relies on physical therapy and anti-inflammatories; however, the long-term effects are time and personnel consuming.  The development of neuronal cells is divided into various stages.  After determination of their fate, these cells migrate to specific locations of the nervous system and accomplish different functions</w:t>
      </w:r>
      <w:r>
        <w:rPr>
          <w:rFonts w:ascii="Book Antiqua" w:hAnsi="Book Antiqua"/>
          <w:szCs w:val="24"/>
        </w:rPr>
        <w:t>.</w:t>
      </w:r>
      <w:r w:rsidRPr="005360C7">
        <w:rPr>
          <w:rFonts w:ascii="Book Antiqua" w:hAnsi="Book Antiqua"/>
          <w:noProof/>
          <w:szCs w:val="24"/>
          <w:vertAlign w:val="superscript"/>
        </w:rPr>
        <w:t>18,28</w:t>
      </w:r>
      <w:r w:rsidRPr="008D5224">
        <w:rPr>
          <w:rFonts w:ascii="Book Antiqua" w:hAnsi="Book Antiqua"/>
          <w:szCs w:val="24"/>
        </w:rPr>
        <w:t xml:space="preserve">  Previous studies have demonstrated that undifferentiated MSCs are able to express some neural protein markers, leading to the question whether MSCs are in advance committed to a neural lineage</w:t>
      </w:r>
      <w:r>
        <w:rPr>
          <w:rFonts w:ascii="Book Antiqua" w:hAnsi="Book Antiqua"/>
          <w:szCs w:val="24"/>
        </w:rPr>
        <w:t>.</w:t>
      </w:r>
      <w:r w:rsidRPr="005360C7">
        <w:rPr>
          <w:rFonts w:ascii="Book Antiqua" w:hAnsi="Book Antiqua"/>
          <w:noProof/>
          <w:szCs w:val="24"/>
          <w:vertAlign w:val="superscript"/>
        </w:rPr>
        <w:t>29-32</w:t>
      </w:r>
      <w:r w:rsidRPr="008D5224">
        <w:rPr>
          <w:rFonts w:ascii="Book Antiqua" w:hAnsi="Book Antiqua"/>
          <w:szCs w:val="24"/>
        </w:rPr>
        <w:t xml:space="preserve">  Moreover, as neural progenitors develop into more specialized cells, changes in protein markers are also evident</w:t>
      </w:r>
      <w:r>
        <w:rPr>
          <w:rFonts w:ascii="Book Antiqua" w:hAnsi="Book Antiqua"/>
          <w:szCs w:val="24"/>
        </w:rPr>
        <w:t>.</w:t>
      </w:r>
      <w:r w:rsidRPr="005360C7">
        <w:rPr>
          <w:rFonts w:ascii="Book Antiqua" w:hAnsi="Book Antiqua"/>
          <w:noProof/>
          <w:szCs w:val="24"/>
          <w:vertAlign w:val="superscript"/>
        </w:rPr>
        <w:t>4,13,17,30,33</w:t>
      </w:r>
      <w:r w:rsidRPr="008D5224">
        <w:rPr>
          <w:rFonts w:ascii="Book Antiqua" w:hAnsi="Book Antiqua"/>
          <w:szCs w:val="24"/>
        </w:rPr>
        <w:t xml:space="preserve"> </w:t>
      </w:r>
    </w:p>
    <w:p w14:paraId="1899BEAC" w14:textId="77777777" w:rsidR="002729A9" w:rsidRPr="008D5224" w:rsidRDefault="002729A9" w:rsidP="00EE712B">
      <w:pPr>
        <w:pStyle w:val="BodyA"/>
        <w:spacing w:line="360" w:lineRule="auto"/>
        <w:jc w:val="both"/>
        <w:rPr>
          <w:rFonts w:ascii="Book Antiqua" w:hAnsi="Book Antiqua"/>
          <w:szCs w:val="24"/>
        </w:rPr>
      </w:pPr>
    </w:p>
    <w:p w14:paraId="5D3487C0" w14:textId="77777777" w:rsidR="002729A9" w:rsidRPr="008D5224" w:rsidRDefault="002729A9" w:rsidP="00EE712B">
      <w:pPr>
        <w:pStyle w:val="BodyA"/>
        <w:spacing w:line="360" w:lineRule="auto"/>
        <w:jc w:val="both"/>
        <w:rPr>
          <w:rFonts w:ascii="Book Antiqua" w:hAnsi="Book Antiqua"/>
          <w:szCs w:val="24"/>
        </w:rPr>
      </w:pPr>
      <w:r w:rsidRPr="008D5224">
        <w:rPr>
          <w:rFonts w:ascii="Book Antiqua" w:hAnsi="Book Antiqua"/>
          <w:szCs w:val="24"/>
        </w:rPr>
        <w:t>Adipose-derived and bone marrow-derived MSCs from humans and rats are able to differentiate into neural lineages</w:t>
      </w:r>
      <w:r>
        <w:rPr>
          <w:rFonts w:ascii="Book Antiqua" w:hAnsi="Book Antiqua"/>
          <w:szCs w:val="24"/>
        </w:rPr>
        <w:t>.</w:t>
      </w:r>
      <w:r w:rsidRPr="005360C7">
        <w:rPr>
          <w:rFonts w:ascii="Book Antiqua" w:hAnsi="Book Antiqua"/>
          <w:noProof/>
          <w:szCs w:val="24"/>
          <w:vertAlign w:val="superscript"/>
        </w:rPr>
        <w:t>4,13,18,28,29,33-37</w:t>
      </w:r>
      <w:r w:rsidRPr="008D5224">
        <w:rPr>
          <w:rFonts w:ascii="Book Antiqua" w:hAnsi="Book Antiqua"/>
          <w:szCs w:val="24"/>
        </w:rPr>
        <w:t xml:space="preserve">  Several reports have described different methods of chemical induction for neural differentiation</w:t>
      </w:r>
      <w:r>
        <w:rPr>
          <w:rFonts w:ascii="Book Antiqua" w:hAnsi="Book Antiqua"/>
          <w:szCs w:val="24"/>
        </w:rPr>
        <w:t>.</w:t>
      </w:r>
      <w:r w:rsidRPr="005360C7">
        <w:rPr>
          <w:rFonts w:ascii="Book Antiqua" w:hAnsi="Book Antiqua"/>
          <w:noProof/>
          <w:szCs w:val="24"/>
          <w:vertAlign w:val="superscript"/>
        </w:rPr>
        <w:t>13,30,33,37,38</w:t>
      </w:r>
      <w:r w:rsidRPr="008D5224">
        <w:rPr>
          <w:rFonts w:ascii="Book Antiqua" w:hAnsi="Book Antiqua"/>
          <w:szCs w:val="24"/>
        </w:rPr>
        <w:t xml:space="preserve">  Medium containing trans-retinoic acid or </w:t>
      </w:r>
      <w:r w:rsidRPr="008D5224">
        <w:rPr>
          <w:rFonts w:ascii="Book Antiqua" w:hAnsi="Book Antiqua"/>
          <w:szCs w:val="24"/>
          <w:lang w:val="en-US"/>
        </w:rPr>
        <w:t>butylated hydroxyanisole</w:t>
      </w:r>
      <w:r w:rsidRPr="008D5224">
        <w:rPr>
          <w:rFonts w:ascii="Book Antiqua" w:hAnsi="Book Antiqua"/>
          <w:szCs w:val="24"/>
        </w:rPr>
        <w:t xml:space="preserve"> is the most frequently reported.  Additionally, co-culture systems with MSCs and cells from nervous tissue have also proven successful for the induction of neural differentiation of MSCs</w:t>
      </w:r>
      <w:r>
        <w:rPr>
          <w:rFonts w:ascii="Book Antiqua" w:hAnsi="Book Antiqua"/>
          <w:szCs w:val="24"/>
        </w:rPr>
        <w:t>.</w:t>
      </w:r>
      <w:r w:rsidRPr="005360C7">
        <w:rPr>
          <w:rFonts w:ascii="Book Antiqua" w:hAnsi="Book Antiqua"/>
          <w:noProof/>
          <w:szCs w:val="24"/>
          <w:vertAlign w:val="superscript"/>
        </w:rPr>
        <w:t>29</w:t>
      </w:r>
      <w:r w:rsidRPr="008D5224">
        <w:rPr>
          <w:rFonts w:ascii="Book Antiqua" w:hAnsi="Book Antiqua"/>
          <w:szCs w:val="24"/>
        </w:rPr>
        <w:t xml:space="preserve"> </w:t>
      </w:r>
    </w:p>
    <w:p w14:paraId="4348C497" w14:textId="77777777" w:rsidR="002729A9" w:rsidRPr="008D5224" w:rsidRDefault="002729A9" w:rsidP="00EE712B">
      <w:pPr>
        <w:pStyle w:val="BodyA"/>
        <w:spacing w:line="360" w:lineRule="auto"/>
        <w:jc w:val="both"/>
        <w:rPr>
          <w:rFonts w:ascii="Book Antiqua" w:hAnsi="Book Antiqua"/>
          <w:szCs w:val="24"/>
        </w:rPr>
      </w:pPr>
    </w:p>
    <w:p w14:paraId="59AAA7A6" w14:textId="77777777" w:rsidR="002729A9" w:rsidRPr="008D5224" w:rsidRDefault="002729A9" w:rsidP="00EE712B">
      <w:pPr>
        <w:pStyle w:val="BodyA"/>
        <w:spacing w:line="360" w:lineRule="auto"/>
        <w:jc w:val="both"/>
        <w:rPr>
          <w:rFonts w:ascii="Book Antiqua" w:hAnsi="Book Antiqua"/>
          <w:szCs w:val="24"/>
        </w:rPr>
      </w:pPr>
      <w:r w:rsidRPr="008D5224">
        <w:rPr>
          <w:rFonts w:ascii="Book Antiqua" w:hAnsi="Book Antiqua"/>
          <w:szCs w:val="24"/>
        </w:rPr>
        <w:t>We conducted chemical induction of bone marrow-derived MSCs from young and middle-aged horses to characterize their viability and plasticity into mesodermal and neuronal (ectodermal) lineages.  Cells from all horses were capable of self-renewal and underwent differentiation into adipogenic, osteogenic and chondrogenic lineages.  This was consistent with a previous report published from our laboratory</w:t>
      </w:r>
      <w:r w:rsidRPr="005360C7">
        <w:rPr>
          <w:rFonts w:ascii="Book Antiqua" w:hAnsi="Book Antiqua"/>
          <w:noProof/>
          <w:szCs w:val="24"/>
          <w:vertAlign w:val="superscript"/>
        </w:rPr>
        <w:t>25</w:t>
      </w:r>
      <w:r w:rsidRPr="008D5224">
        <w:rPr>
          <w:rFonts w:ascii="Book Antiqua" w:hAnsi="Book Antiqua"/>
          <w:szCs w:val="24"/>
        </w:rPr>
        <w:t xml:space="preserve"> and, thus, confirmed the stemness of the cultured MSCs.  For the neural differentiation, fluorescence microscopy revealed that morphological changes were observed as early as 3 h after chemical induction in all horses.  Using nuclear/cytoplasmic staining we were able to demonstrate that differentiated cells acquired a </w:t>
      </w:r>
      <w:r>
        <w:rPr>
          <w:rFonts w:ascii="Book Antiqua" w:hAnsi="Book Antiqua"/>
        </w:rPr>
        <w:t>neural crest-like cell</w:t>
      </w:r>
      <w:r w:rsidRPr="008D5224">
        <w:rPr>
          <w:rFonts w:ascii="Book Antiqua" w:hAnsi="Book Antiqua"/>
          <w:szCs w:val="24"/>
        </w:rPr>
        <w:t xml:space="preserve"> morphology in which retraction of the cell soma and formation of multiple cell processes were observed.  Most importantly, the proliferation of differentiated MSCs under the neural media was higher on the nitrogen-coated plates (Primaria</w:t>
      </w:r>
      <w:r w:rsidRPr="008D5224">
        <w:rPr>
          <w:rFonts w:ascii="Book Antiqua" w:hAnsi="Book Antiqua" w:cs="Lucida Grande"/>
          <w:szCs w:val="24"/>
        </w:rPr>
        <w:t>™</w:t>
      </w:r>
      <w:r w:rsidRPr="008D5224">
        <w:rPr>
          <w:rFonts w:ascii="Book Antiqua" w:hAnsi="Book Antiqua"/>
          <w:szCs w:val="24"/>
        </w:rPr>
        <w:t xml:space="preserve">) than on the polystyrene tissue culture plates, suggesting stabilization of the cell membrane by providing a positive charge. </w:t>
      </w:r>
    </w:p>
    <w:p w14:paraId="02EE807F" w14:textId="77777777" w:rsidR="002729A9" w:rsidRPr="008D5224" w:rsidRDefault="002729A9" w:rsidP="00EE712B">
      <w:pPr>
        <w:pStyle w:val="BodyA"/>
        <w:spacing w:line="360" w:lineRule="auto"/>
        <w:jc w:val="both"/>
        <w:rPr>
          <w:rFonts w:ascii="Book Antiqua" w:hAnsi="Book Antiqua"/>
          <w:szCs w:val="24"/>
        </w:rPr>
      </w:pPr>
    </w:p>
    <w:p w14:paraId="12C43EEA" w14:textId="77777777" w:rsidR="002729A9" w:rsidRPr="008D5224" w:rsidRDefault="002729A9" w:rsidP="00EE712B">
      <w:pPr>
        <w:pStyle w:val="BodyA"/>
        <w:spacing w:line="360" w:lineRule="auto"/>
        <w:jc w:val="both"/>
        <w:rPr>
          <w:rFonts w:ascii="Book Antiqua" w:hAnsi="Book Antiqua"/>
          <w:szCs w:val="24"/>
        </w:rPr>
      </w:pPr>
      <w:r w:rsidRPr="008D5224">
        <w:rPr>
          <w:rFonts w:ascii="Book Antiqua" w:hAnsi="Book Antiqua"/>
          <w:szCs w:val="24"/>
        </w:rPr>
        <w:t xml:space="preserve">By the combination of western blot and IF analyses, we found that all MSCs, undifferentiated and differentiated, expressed neural progenitor markers, namely, vimentin, nestin, GFAP and </w:t>
      </w:r>
      <w:r w:rsidRPr="008D5224">
        <w:rPr>
          <w:rFonts w:ascii="Times New Roman" w:hAnsi="Times New Roman"/>
          <w:szCs w:val="24"/>
        </w:rPr>
        <w:t>β</w:t>
      </w:r>
      <w:r w:rsidRPr="008D5224">
        <w:rPr>
          <w:rFonts w:ascii="Book Antiqua" w:hAnsi="Book Antiqua"/>
          <w:szCs w:val="24"/>
          <w:vertAlign w:val="subscript"/>
        </w:rPr>
        <w:t>3</w:t>
      </w:r>
      <w:r w:rsidRPr="008D5224">
        <w:rPr>
          <w:rFonts w:ascii="Book Antiqua" w:hAnsi="Book Antiqua"/>
          <w:szCs w:val="24"/>
        </w:rPr>
        <w:t xml:space="preserve"> tubulin were evident.  The expressions of GFAP and </w:t>
      </w:r>
      <w:r w:rsidRPr="008D5224">
        <w:rPr>
          <w:rFonts w:ascii="Times New Roman" w:hAnsi="Times New Roman"/>
          <w:szCs w:val="24"/>
        </w:rPr>
        <w:t>β</w:t>
      </w:r>
      <w:r w:rsidRPr="008D5224">
        <w:rPr>
          <w:rFonts w:ascii="Book Antiqua" w:hAnsi="Book Antiqua"/>
          <w:szCs w:val="24"/>
          <w:vertAlign w:val="subscript"/>
        </w:rPr>
        <w:t>3</w:t>
      </w:r>
      <w:r w:rsidRPr="008D5224">
        <w:rPr>
          <w:rFonts w:ascii="Book Antiqua" w:hAnsi="Book Antiqua"/>
          <w:szCs w:val="24"/>
        </w:rPr>
        <w:t xml:space="preserve"> tubulin in undifferentiated MSCs were particularly interesting and data is supported by previous studies in rats and humans, suggesting their ability for neuronal differentiation</w:t>
      </w:r>
      <w:r>
        <w:rPr>
          <w:rFonts w:ascii="Book Antiqua" w:hAnsi="Book Antiqua"/>
          <w:szCs w:val="24"/>
        </w:rPr>
        <w:t>.</w:t>
      </w:r>
      <w:r w:rsidRPr="005360C7">
        <w:rPr>
          <w:rFonts w:ascii="Book Antiqua" w:hAnsi="Book Antiqua"/>
          <w:noProof/>
          <w:szCs w:val="24"/>
          <w:vertAlign w:val="superscript"/>
        </w:rPr>
        <w:t>39,40</w:t>
      </w:r>
      <w:r w:rsidRPr="008D5224">
        <w:rPr>
          <w:rFonts w:ascii="Book Antiqua" w:hAnsi="Book Antiqua"/>
          <w:szCs w:val="24"/>
        </w:rPr>
        <w:t xml:space="preserve">  Nestin has been shown to be expressed in muscle and neural progenitor cells, as well as in highly proliferative cells (i.e. following injuries, high mitotic rate, etc.) or undergoing development</w:t>
      </w:r>
      <w:r>
        <w:rPr>
          <w:rFonts w:ascii="Book Antiqua" w:hAnsi="Book Antiqua"/>
          <w:szCs w:val="24"/>
        </w:rPr>
        <w:t>.</w:t>
      </w:r>
      <w:r w:rsidRPr="005360C7">
        <w:rPr>
          <w:rFonts w:ascii="Book Antiqua" w:hAnsi="Book Antiqua"/>
          <w:noProof/>
          <w:szCs w:val="24"/>
          <w:vertAlign w:val="superscript"/>
        </w:rPr>
        <w:t>41-43</w:t>
      </w:r>
      <w:r w:rsidRPr="008D5224">
        <w:rPr>
          <w:rFonts w:ascii="Book Antiqua" w:hAnsi="Book Antiqua"/>
          <w:szCs w:val="24"/>
        </w:rPr>
        <w:t xml:space="preserve">  In IF data, nestin subjectively appeared weaker in cells from high passage than cells from low passage, suggesting the loss of cellular mechanisms for proliferation and plasticity as the cell ages.  We detected a perinuclear location of nestin in undifferentiated and neurally-differentiated MSCs from P2.  In differentiated cells from P9 in nestin location extended from the perinuclear region towards other regions in the cytoplasm.  This was similar to previous reports</w:t>
      </w:r>
      <w:r w:rsidRPr="005360C7">
        <w:rPr>
          <w:rFonts w:ascii="Book Antiqua" w:hAnsi="Book Antiqua"/>
          <w:noProof/>
          <w:szCs w:val="24"/>
          <w:vertAlign w:val="superscript"/>
        </w:rPr>
        <w:t>43,44</w:t>
      </w:r>
      <w:r w:rsidRPr="008D5224">
        <w:rPr>
          <w:rFonts w:ascii="Book Antiqua" w:hAnsi="Book Antiqua"/>
          <w:szCs w:val="24"/>
        </w:rPr>
        <w:t xml:space="preserve"> and may suggest post-translational modifications of nestin</w:t>
      </w:r>
      <w:r w:rsidRPr="005360C7">
        <w:rPr>
          <w:rFonts w:ascii="Book Antiqua" w:hAnsi="Book Antiqua"/>
          <w:noProof/>
          <w:szCs w:val="24"/>
          <w:vertAlign w:val="superscript"/>
        </w:rPr>
        <w:t>42-44</w:t>
      </w:r>
      <w:r w:rsidRPr="008D5224">
        <w:rPr>
          <w:rFonts w:ascii="Book Antiqua" w:hAnsi="Book Antiqua"/>
          <w:szCs w:val="24"/>
        </w:rPr>
        <w:t>, the analysis of which was beyond the scope of our study.  Similarly, the effect of cell passage number on the expression of these markers also suggested modifications or structural changes as the cells age, but further studies are needed to confirm this.</w:t>
      </w:r>
    </w:p>
    <w:p w14:paraId="0DAE4206" w14:textId="77777777" w:rsidR="002729A9" w:rsidRPr="008D5224" w:rsidRDefault="002729A9" w:rsidP="00EE712B">
      <w:pPr>
        <w:pStyle w:val="BodyA"/>
        <w:spacing w:line="360" w:lineRule="auto"/>
        <w:jc w:val="both"/>
        <w:rPr>
          <w:rFonts w:ascii="Book Antiqua" w:hAnsi="Book Antiqua"/>
          <w:szCs w:val="24"/>
        </w:rPr>
      </w:pPr>
    </w:p>
    <w:p w14:paraId="71278E55" w14:textId="77777777" w:rsidR="002729A9" w:rsidRPr="008D5224" w:rsidRDefault="002729A9" w:rsidP="00EE712B">
      <w:pPr>
        <w:pStyle w:val="BodyA"/>
        <w:spacing w:line="360" w:lineRule="auto"/>
        <w:jc w:val="both"/>
        <w:rPr>
          <w:rFonts w:ascii="Book Antiqua" w:hAnsi="Book Antiqua"/>
          <w:szCs w:val="24"/>
        </w:rPr>
      </w:pPr>
      <w:r w:rsidRPr="008D5224">
        <w:rPr>
          <w:rFonts w:ascii="Book Antiqua" w:hAnsi="Book Antiqua"/>
          <w:szCs w:val="24"/>
        </w:rPr>
        <w:t xml:space="preserve">Our study mainly relies on morphological changes and neural marker protein expression to describe the events occurring during neural differentiation of eBM-MSCs.  Our results agree with previous </w:t>
      </w:r>
      <w:r w:rsidRPr="008D5224">
        <w:rPr>
          <w:rFonts w:ascii="Book Antiqua" w:hAnsi="Book Antiqua"/>
          <w:i/>
          <w:szCs w:val="24"/>
        </w:rPr>
        <w:t>in vitro</w:t>
      </w:r>
      <w:r w:rsidRPr="008D5224">
        <w:rPr>
          <w:rFonts w:ascii="Book Antiqua" w:hAnsi="Book Antiqua"/>
          <w:szCs w:val="24"/>
        </w:rPr>
        <w:t xml:space="preserve"> studies performed in bone marrow-derived MSCs from rat, human and dogs in which eBM-MSCs are chemically induced into cells that display morphologic, genetic and protein characteristics of neural progenitors.  To our knowledge, this is the first report describing the plasticity, morphological characteristics and protein expression changes of eBM-MSCs into cells of neural lineage after chemical induction.  We have not only demonstrated the in vitro differentiation patterns but also validated the cross-reactivity of human neural-specific antibodies with equine protein samples.  Further studies are however, warranted for investigating the functionality of these horse cells </w:t>
      </w:r>
      <w:r w:rsidRPr="008D5224">
        <w:rPr>
          <w:rFonts w:ascii="Book Antiqua" w:hAnsi="Book Antiqua"/>
          <w:i/>
          <w:szCs w:val="24"/>
        </w:rPr>
        <w:t>in vivo</w:t>
      </w:r>
      <w:r w:rsidRPr="008D5224">
        <w:rPr>
          <w:rFonts w:ascii="Book Antiqua" w:hAnsi="Book Antiqua"/>
          <w:szCs w:val="24"/>
        </w:rPr>
        <w:t xml:space="preserve">. </w:t>
      </w:r>
    </w:p>
    <w:p w14:paraId="158C4EE3" w14:textId="77777777" w:rsidR="002729A9" w:rsidRPr="008D5224" w:rsidRDefault="002729A9" w:rsidP="00EE712B">
      <w:pPr>
        <w:spacing w:line="360" w:lineRule="auto"/>
        <w:jc w:val="both"/>
        <w:rPr>
          <w:rFonts w:ascii="Book Antiqua" w:hAnsi="Book Antiqua"/>
        </w:rPr>
      </w:pPr>
    </w:p>
    <w:p w14:paraId="42BB259E" w14:textId="77777777" w:rsidR="002729A9" w:rsidRDefault="002729A9" w:rsidP="00EE712B">
      <w:pPr>
        <w:spacing w:line="360" w:lineRule="auto"/>
        <w:jc w:val="both"/>
        <w:rPr>
          <w:rFonts w:ascii="Book Antiqua" w:hAnsi="Book Antiqua"/>
        </w:rPr>
      </w:pPr>
    </w:p>
    <w:p w14:paraId="209EFF5C" w14:textId="77777777" w:rsidR="002729A9" w:rsidRPr="008D5224" w:rsidRDefault="002729A9" w:rsidP="00EE712B">
      <w:pPr>
        <w:spacing w:line="360" w:lineRule="auto"/>
        <w:jc w:val="both"/>
        <w:rPr>
          <w:rFonts w:ascii="Book Antiqua" w:hAnsi="Book Antiqua"/>
        </w:rPr>
      </w:pPr>
    </w:p>
    <w:p w14:paraId="0EB7218D" w14:textId="77777777" w:rsidR="002729A9" w:rsidRDefault="002729A9">
      <w:pPr>
        <w:rPr>
          <w:rFonts w:ascii="Book Antiqua" w:hAnsi="Book Antiqua"/>
          <w:b/>
          <w:bCs/>
          <w:iCs/>
          <w:u w:val="single"/>
        </w:rPr>
      </w:pPr>
      <w:bookmarkStart w:id="41" w:name="GoBack"/>
      <w:bookmarkEnd w:id="41"/>
      <w:r>
        <w:br w:type="page"/>
      </w:r>
    </w:p>
    <w:p w14:paraId="228EC962" w14:textId="77777777" w:rsidR="002729A9" w:rsidRPr="008C0C61" w:rsidRDefault="002729A9" w:rsidP="008C0C61">
      <w:pPr>
        <w:pStyle w:val="Heading2"/>
      </w:pPr>
      <w:bookmarkStart w:id="42" w:name="_Toc274387734"/>
      <w:r w:rsidRPr="00D07D10">
        <w:t>References</w:t>
      </w:r>
      <w:bookmarkEnd w:id="42"/>
    </w:p>
    <w:p w14:paraId="5AD0800E" w14:textId="77777777" w:rsidR="002729A9" w:rsidRPr="00A07A00" w:rsidRDefault="002729A9" w:rsidP="00A07A00">
      <w:pPr>
        <w:pStyle w:val="Heading1"/>
        <w:jc w:val="both"/>
        <w:rPr>
          <w:caps/>
          <w:szCs w:val="24"/>
        </w:rPr>
      </w:pPr>
    </w:p>
    <w:p w14:paraId="0BCD6F8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  Campbell WW. Evaluation and management of peripheral nerve injury. Clin Neurophysiol 2008;119:1951-1965.</w:t>
      </w:r>
    </w:p>
    <w:p w14:paraId="633D6596"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  Forostyak S, Jendelova P, Sykova E. The role of mesenchymal stromal cells in spinal cord injury, regenerative medicine and possible clinical applications. Biochimie 2013;95:2257-2270.</w:t>
      </w:r>
    </w:p>
    <w:p w14:paraId="456F24E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  Woodhoo A, Alonso MB, Droggiti A, et al. Notch controls embryonic Schwann cell differentiation, postnatal myelination and adult plasticity. Nature neuroscience 2009;12:839-847.</w:t>
      </w:r>
    </w:p>
    <w:p w14:paraId="53E6891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  Cardozo AJ, Gomez DE, Argibay PF. Neurogenic differentiation of human adipose-derived stem cells: relevance of different signaling molecules, transcription factors, and key marker genes. Gene 2012;511:427-436.</w:t>
      </w:r>
    </w:p>
    <w:p w14:paraId="4E26A19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  Jessen KR, Mirsky R. The origin and development of glial cells in peripheral nerves. Nature reviews Neuroscience 2005;6:671-682.</w:t>
      </w:r>
    </w:p>
    <w:p w14:paraId="3B11A3A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  Kuffler DP. An assessment of current techniques for inducing axon regeneration and neurological recovery following peripheral nerve trauma. Prog Neurobiol 2013.</w:t>
      </w:r>
    </w:p>
    <w:p w14:paraId="2EBF0A7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  Pan Y, Cai S. Current state of the development of mesenchymal stem cells into clinically applicable Schwann cell transplants. Molecular and cellular biochemistry 2012;368:127-135.</w:t>
      </w:r>
    </w:p>
    <w:p w14:paraId="7200584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  Ren Z, Wang Y, Peng J, et al. Role of stem cells in the regeneration and repair of peripheral nerves. Reviews in the neurosciences 2012;23:135-143.</w:t>
      </w:r>
    </w:p>
    <w:p w14:paraId="12489E9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9.  Schaakxs D, Kalbermatten DF, Raffoul W, et al. Regenerative cell injection in denervated muscle reduces atrophy and enhances recovery following nerve repair. Muscle &amp; nerve 2013;47:691-701.</w:t>
      </w:r>
    </w:p>
    <w:p w14:paraId="06F8392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10.  Spejo AB, Carvalho JL, Goes AM, et al. Neuroprotective effects of mesenchymal stem cells on spinal motoneurons following ventral root axotomy: synapse stability and axonal regeneration. Neuroscience 2013;250:715-732.</w:t>
      </w:r>
    </w:p>
    <w:p w14:paraId="7BB57F8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11.  Keilhoff G, Goihl A, Langnase K, et al. Transdifferentiation of mesenchymal stem cells into Schwann cell-like myelinating cells. Eur J Cell Biol 2006;85:11-24.</w:t>
      </w:r>
    </w:p>
    <w:p w14:paraId="7CE97F1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12.  Keilhoff G, Stang F, Goihl A, et al. Transdifferentiated mesenchymal stem cells as alternative therapy in supporting nerve regeneration and myelination. Cellular and molecular neurobiology 2006;26:1235-1252.</w:t>
      </w:r>
    </w:p>
    <w:p w14:paraId="24BE29C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13.  Woodbury D, Schwarz EJ, Prockop DJ, et al. Adult rat and human bone marrow stromal cells differentiate into neurons. Journal of neuroscience research 2000;61:364-370.</w:t>
      </w:r>
    </w:p>
    <w:p w14:paraId="2E5520E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14.  Barnabe GF, Schwindt TT, Calcagnotto ME, et al. Chemically-induced RAT mesenchymal stem cells adopt molecular properties of neuronal-like cells but do not have basic neuronal functional properties. PloS one 2009;4:e5222.</w:t>
      </w:r>
    </w:p>
    <w:p w14:paraId="12DB98C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15.  Bossio C, Mastrangelo R, Morini R, et al. A simple method to generate adipose stem cell-derived neurons for screening purposes. J Mol Neurosci 2013;51:274-281.</w:t>
      </w:r>
    </w:p>
    <w:p w14:paraId="0D7FFA5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16.  Gong M, Bi Y, Jiang W, et al. Retinoic acid receptor beta mediates all-trans retinoic acid facilitation of mesenchymal stem cells neuronal differentiation. Int J Biochem Cell Biol 2013;45:866-875.</w:t>
      </w:r>
    </w:p>
    <w:p w14:paraId="01B45186"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17.  Wislet-Gendebien S, Leprince P, Moonen G, et al. Regulation of neural markers nestin and GFAP expression by cultivated bone marrow stromal cells. Journal of cell science 2003;116:3295-3302.</w:t>
      </w:r>
    </w:p>
    <w:p w14:paraId="7DA83AB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18.  Munoz-Elias G, Woodbury D, Black IB. Marrow stromal cells, mitosis, and neuronal differentiation: stem cell and precursor functions. Stem cells (Dayton, Ohio) 2003;21:437-448.</w:t>
      </w:r>
    </w:p>
    <w:p w14:paraId="39E0C7A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19.  Himeno T, Kamiya H, Naruse K, et al. Mesenchymal stem cell-like cells derived from mouse induced pluripotent stem cells ameliorate diabetic polyneuropathy in mice. BioMed research international 2013;2013:259187.</w:t>
      </w:r>
    </w:p>
    <w:p w14:paraId="7F57844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20.  Nishida H, Nakayama M, Tanaka H, et al. Evaluation of transplantation of autologous bone marrow stromal cells into the cerebrospinal fluid for treatment of chronic spinal cord injury in dogs. American journal of veterinary research 2011;72:1118-1123.</w:t>
      </w:r>
    </w:p>
    <w:p w14:paraId="5B7A0C8D"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21.  Voulgari-Kokota A, Fairless R, Karamita M, et al. Mesenchymal stem cells protect CNS neurons against glutamate excitotoxicity by inhibiting glutamate receptor expression and function. Exp Neurol 2012;236:161-170.</w:t>
      </w:r>
    </w:p>
    <w:p w14:paraId="7440742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22.  Al-Timmemi HI, R.; Al-Jashamy, K.; Abz, Z.; Ti, A.; Ramasamy, R. Neurobiological Observations of Bone Mesenchymal Stem Cells in vitro and in vivo of Injured Sciatic Nerve in Rabbit. Journal of Animal and Veterinary Advances 2011;10:686-691.</w:t>
      </w:r>
    </w:p>
    <w:p w14:paraId="67B4204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23.  Tremp M, Schwabedissen MM, Kappos EA, et al. The regeneration potential after human and autologous stem cell transplantation in a rat sciatic nerve injury model can be monitored by MRI. Cell Transplant 2013.</w:t>
      </w:r>
    </w:p>
    <w:p w14:paraId="0448362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24.  Stassart RM, Fledrich R, Velanac V, et al. A role for Schwann cell-derived neuregulin-1 in remyelination. Nature neuroscience 2013;16:48-54.</w:t>
      </w:r>
    </w:p>
    <w:p w14:paraId="6152BD5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25.  Carter-Arnold JL, Neilsen NL, Amelse LL, et al. In vitro analysis of equine, bone marrow-derived mesenchymal stem cells demonstrates differences within age- and gender-matched horses. Equine Vet J 2013.</w:t>
      </w:r>
    </w:p>
    <w:p w14:paraId="3E3611B6"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26.  Kasashima Y, Ueno T, Tomita A, et al. Optimisation of bone marrow aspiration from the equine sternum for the safe recovery of mesenchymal stem cells. Equine Vet J 2011;43:288-294.</w:t>
      </w:r>
    </w:p>
    <w:p w14:paraId="3B5256E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27.  Arnhold SJ, Goletz I, Klein H, et al. Isolation and characterization of bone marrow-derived equine mesenchymal stem cells. American journal of veterinary research 2007;68:1095-1105.</w:t>
      </w:r>
    </w:p>
    <w:p w14:paraId="60DD737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28.  Kopen GC, Prockop DJ, Phinney DG. Marrow stromal cells migrate throughout forebrain and cerebellum, and they differentiate into astrocytes after injection into neonatal mouse brains. Proc Natl Acad Sci U S A 1999;96:10711-10716.</w:t>
      </w:r>
    </w:p>
    <w:p w14:paraId="2AA3DDB2"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29.  Bossolasco P, Cova L, Calzarossa C, et al. Neuro-glial differentiation of human bone marrow stem cells in vitro. Experimental neurology 2005;193:312-325.</w:t>
      </w:r>
    </w:p>
    <w:p w14:paraId="6B7CCF5A"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30.  Hermann A, Liebau S, Gastl R, et al. Comparative analysis of neuroectodermal differentiation capacity of human bone marrow stromal cells using various conversion protocols. Journal of neuroscience research 2006;83:1502-1514.</w:t>
      </w:r>
    </w:p>
    <w:p w14:paraId="2E2B99C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31.  Tremain N, Korkko J, Ibberson D, et al. MicroSAGE analysis of 2,353 expressed genes in a single cell-derived colony of undifferentiated human mesenchymal stem cells reveals mRNAs of multiple cell lineages. Stem cells (Dayton, Ohio) 2001;19:408-418.</w:t>
      </w:r>
    </w:p>
    <w:p w14:paraId="59B7E26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32.  Woodbury D, Reynolds K, Black IB. Adult bone marrow stromal stem cells express germline, ectodermal, endodermal, and mesodermal genes prior to neurogenesis. Journal of neuroscience research 2002;69:908-917.</w:t>
      </w:r>
    </w:p>
    <w:p w14:paraId="7E7470B6"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33.  Sanchez-Ramos JR. Neural cells derived from adult bone marrow and umbilical cord blood. Journal of neuroscience research 2002;69:880-893.</w:t>
      </w:r>
    </w:p>
    <w:p w14:paraId="5414EF46"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34.  Hermann A, Gastl R, Liebau S, et al. Efficient generation of neural stem cell-like cells from adult human bone marrow stromal cells. J Cell Sci 2004;117:4411-4422.</w:t>
      </w:r>
    </w:p>
    <w:p w14:paraId="422C45B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35.  Pittenger MF, Mackay AM, Beck SC, et al. Multilineage potential of adult human mesenchymal stem cells. Science 1999;284:143-147.</w:t>
      </w:r>
    </w:p>
    <w:p w14:paraId="377A7B6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36.  Reynolds BA, Tetzlaff W, Weiss S. A multipotent EGF-responsive striatal embryonic progenitor cell produces neurons and astrocytes. The Journal of neuroscience : the official journal of the Society for Neuroscience 1992;12:4565-4574.</w:t>
      </w:r>
    </w:p>
    <w:p w14:paraId="70DD120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37.  Sanchez-Ramos J, Song S, Cardozo-Pelaez F, et al. Adult bone marrow stromal cells differentiate into neural cells in vitro. Experimental neurology 2000;164:247-256.</w:t>
      </w:r>
    </w:p>
    <w:p w14:paraId="6C09A12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38.  Choong PF, Mok PL, Cheong SK, et al. Generating neuron-like cells from BM-derived mesenchymal stromal cells in vitro. Cytotherapy 2007;9:170-183.</w:t>
      </w:r>
    </w:p>
    <w:p w14:paraId="48787D3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39.  Tondreau T, Lagneaux L, Dejeneffe M, et al. Bone marrow-derived mesenchymal stem cells already express specific neural proteins before any differentiation. Differentiation 2004;72:319-326.</w:t>
      </w:r>
    </w:p>
    <w:p w14:paraId="51692A75"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40.  Foudah D, Monfrini M, Donzelli E, et al. Expression of neural markers by undifferentiated mesenchymal-like stem cells from different sources. J Immunol Res 2014;2014:987678.</w:t>
      </w:r>
    </w:p>
    <w:p w14:paraId="4A8EA52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41.  Boulland JL, Mastrangelopoulou M, Boquest AC, et al. Epigenetic regulation of nestin expression during neurogenic differentiation of adipose tissue stem cells. Stem Cells Dev 2013;22:1042-1052.</w:t>
      </w:r>
    </w:p>
    <w:p w14:paraId="5D633437"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42.  Hyder CL, Isoniemi KO, Torvaldson ES, et al. Insights into intermediate filament regulation from development to ageing. J Cell Sci 2011;124:1363-1372.</w:t>
      </w:r>
    </w:p>
    <w:p w14:paraId="41D71AC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43.  Jin X, Jin X, Jung JE, et al. Cell surface Nestin is a biomarker for glioma stem cells. Biochem Biophys Res Commun 2013;433:496-501.</w:t>
      </w:r>
    </w:p>
    <w:p w14:paraId="742AA38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44.  Michalczyk K, Ziman M. Nestin structure and predicted function in cellular cytoskeletal organisation. Histol Histopathol 2005;20:665-671.</w:t>
      </w:r>
    </w:p>
    <w:p w14:paraId="22D1239A" w14:textId="77777777" w:rsidR="002729A9" w:rsidRPr="00A07A00" w:rsidRDefault="002729A9" w:rsidP="00A07A00">
      <w:pPr>
        <w:pStyle w:val="Heading1"/>
        <w:jc w:val="both"/>
        <w:rPr>
          <w:caps/>
          <w:szCs w:val="24"/>
        </w:rPr>
        <w:sectPr w:rsidR="002729A9" w:rsidRPr="00A07A00" w:rsidSect="009C55EA">
          <w:pgSz w:w="11900" w:h="16840"/>
          <w:pgMar w:top="1440" w:right="1440" w:bottom="1440" w:left="1440" w:header="706" w:footer="706" w:gutter="0"/>
          <w:cols w:space="708"/>
          <w:docGrid w:linePitch="360"/>
        </w:sectPr>
      </w:pPr>
    </w:p>
    <w:p w14:paraId="4C4F9A98" w14:textId="77777777" w:rsidR="002729A9" w:rsidRDefault="002729A9" w:rsidP="008C0C61">
      <w:pPr>
        <w:pStyle w:val="Heading1"/>
        <w:rPr>
          <w:caps/>
          <w:szCs w:val="24"/>
        </w:rPr>
      </w:pPr>
      <w:bookmarkStart w:id="43" w:name="_Toc274387735"/>
      <w:r w:rsidRPr="005F4407">
        <w:rPr>
          <w:caps/>
          <w:szCs w:val="24"/>
        </w:rPr>
        <w:t>CHAPTER III:</w:t>
      </w:r>
      <w:bookmarkEnd w:id="43"/>
    </w:p>
    <w:p w14:paraId="24EA9648" w14:textId="77777777" w:rsidR="002729A9" w:rsidRPr="005F4407" w:rsidRDefault="002729A9" w:rsidP="008C0C61">
      <w:pPr>
        <w:pStyle w:val="Heading1"/>
        <w:rPr>
          <w:caps/>
          <w:szCs w:val="24"/>
        </w:rPr>
      </w:pPr>
      <w:bookmarkStart w:id="44" w:name="_Toc274387736"/>
      <w:r w:rsidRPr="005F4407">
        <w:rPr>
          <w:caps/>
          <w:szCs w:val="24"/>
        </w:rPr>
        <w:t xml:space="preserve">A preliminary, </w:t>
      </w:r>
      <w:r w:rsidRPr="005F4407">
        <w:rPr>
          <w:i/>
          <w:caps/>
          <w:szCs w:val="24"/>
        </w:rPr>
        <w:t>in vivo</w:t>
      </w:r>
      <w:r w:rsidRPr="005F4407">
        <w:rPr>
          <w:caps/>
          <w:szCs w:val="24"/>
        </w:rPr>
        <w:t xml:space="preserve"> study evaluating the effects of mesenchymal stromal cells in speeding regeneration of transected peripheral nerves of horses</w:t>
      </w:r>
      <w:bookmarkEnd w:id="44"/>
    </w:p>
    <w:p w14:paraId="5694128F" w14:textId="77777777" w:rsidR="002729A9" w:rsidRPr="00BF6456" w:rsidRDefault="002729A9" w:rsidP="008C0C61">
      <w:pPr>
        <w:rPr>
          <w:rFonts w:ascii="Book Antiqua" w:hAnsi="Book Antiqua"/>
          <w:b/>
        </w:rPr>
      </w:pPr>
      <w:r>
        <w:rPr>
          <w:rFonts w:ascii="Book Antiqua" w:hAnsi="Book Antiqua"/>
          <w:b/>
        </w:rPr>
        <w:br w:type="page"/>
      </w:r>
    </w:p>
    <w:p w14:paraId="0998DFF4" w14:textId="77777777" w:rsidR="002729A9" w:rsidRPr="00BF6456" w:rsidRDefault="002729A9" w:rsidP="00BC276E">
      <w:pPr>
        <w:spacing w:line="360" w:lineRule="auto"/>
        <w:jc w:val="center"/>
        <w:rPr>
          <w:rFonts w:ascii="Book Antiqua" w:hAnsi="Book Antiqua"/>
        </w:rPr>
      </w:pPr>
      <w:r w:rsidRPr="00BF6456">
        <w:rPr>
          <w:rFonts w:ascii="Book Antiqua" w:hAnsi="Book Antiqua"/>
        </w:rPr>
        <w:t>Claudia Cruz Villagrán</w:t>
      </w:r>
      <w:r w:rsidRPr="00BF6456">
        <w:rPr>
          <w:rFonts w:ascii="Book Antiqua" w:hAnsi="Book Antiqua"/>
          <w:vertAlign w:val="superscript"/>
        </w:rPr>
        <w:t>1</w:t>
      </w:r>
      <w:r w:rsidRPr="00BF6456">
        <w:rPr>
          <w:rFonts w:ascii="Book Antiqua" w:hAnsi="Book Antiqua"/>
        </w:rPr>
        <w:t>, Jim Schumacher</w:t>
      </w:r>
      <w:r w:rsidRPr="00BF6456">
        <w:rPr>
          <w:rFonts w:ascii="Book Antiqua" w:hAnsi="Book Antiqua"/>
          <w:vertAlign w:val="superscript"/>
        </w:rPr>
        <w:t>2</w:t>
      </w:r>
      <w:r w:rsidRPr="00BF6456">
        <w:rPr>
          <w:rFonts w:ascii="Book Antiqua" w:hAnsi="Book Antiqua"/>
        </w:rPr>
        <w:t>, Nancy Neilsen</w:t>
      </w:r>
      <w:r w:rsidRPr="00BF6456">
        <w:rPr>
          <w:rFonts w:ascii="Book Antiqua" w:hAnsi="Book Antiqua"/>
          <w:vertAlign w:val="superscript"/>
        </w:rPr>
        <w:t>3</w:t>
      </w:r>
      <w:r w:rsidRPr="00BF6456">
        <w:rPr>
          <w:rFonts w:ascii="Book Antiqua" w:hAnsi="Book Antiqua"/>
        </w:rPr>
        <w:t>,</w:t>
      </w:r>
      <w:r w:rsidRPr="00BF6456">
        <w:rPr>
          <w:rFonts w:ascii="Book Antiqua" w:hAnsi="Book Antiqua"/>
          <w:vertAlign w:val="superscript"/>
        </w:rPr>
        <w:t xml:space="preserve"> </w:t>
      </w:r>
      <w:r w:rsidRPr="00BF6456">
        <w:rPr>
          <w:rFonts w:ascii="Book Antiqua" w:hAnsi="Book Antiqua"/>
        </w:rPr>
        <w:t>Robert Donell</w:t>
      </w:r>
      <w:r w:rsidRPr="00BF6456">
        <w:rPr>
          <w:rFonts w:ascii="Book Antiqua" w:hAnsi="Book Antiqua"/>
          <w:vertAlign w:val="superscript"/>
        </w:rPr>
        <w:t>3</w:t>
      </w:r>
      <w:r w:rsidRPr="00BF6456">
        <w:rPr>
          <w:rFonts w:ascii="Book Antiqua" w:hAnsi="Book Antiqua"/>
        </w:rPr>
        <w:t>, and Madhu Dhar</w:t>
      </w:r>
      <w:r w:rsidRPr="00BF6456">
        <w:rPr>
          <w:rFonts w:ascii="Book Antiqua" w:hAnsi="Book Antiqua"/>
          <w:vertAlign w:val="superscript"/>
        </w:rPr>
        <w:t>2</w:t>
      </w:r>
    </w:p>
    <w:p w14:paraId="48D44B9D" w14:textId="77777777" w:rsidR="002729A9" w:rsidRPr="00BF6456" w:rsidRDefault="002729A9" w:rsidP="00BC276E">
      <w:pPr>
        <w:spacing w:line="360" w:lineRule="auto"/>
        <w:jc w:val="center"/>
        <w:rPr>
          <w:rFonts w:ascii="Book Antiqua" w:hAnsi="Book Antiqua"/>
        </w:rPr>
      </w:pPr>
    </w:p>
    <w:p w14:paraId="136593D0" w14:textId="77777777" w:rsidR="002729A9" w:rsidRPr="00BF6456" w:rsidRDefault="002729A9" w:rsidP="00BC276E">
      <w:pPr>
        <w:spacing w:line="360" w:lineRule="auto"/>
        <w:jc w:val="center"/>
        <w:rPr>
          <w:rFonts w:ascii="Book Antiqua" w:hAnsi="Book Antiqua"/>
        </w:rPr>
      </w:pPr>
      <w:r w:rsidRPr="00BF6456">
        <w:rPr>
          <w:rFonts w:ascii="Book Antiqua" w:hAnsi="Book Antiqua"/>
        </w:rPr>
        <w:t>Departments of Comparative and Experimental Medicine</w:t>
      </w:r>
      <w:r w:rsidRPr="00BF6456">
        <w:rPr>
          <w:rFonts w:ascii="Book Antiqua" w:hAnsi="Book Antiqua"/>
          <w:vertAlign w:val="superscript"/>
        </w:rPr>
        <w:t>1</w:t>
      </w:r>
      <w:r w:rsidRPr="00BF6456">
        <w:rPr>
          <w:rFonts w:ascii="Book Antiqua" w:hAnsi="Book Antiqua"/>
        </w:rPr>
        <w:t>, Large Animal Clinical Sciences</w:t>
      </w:r>
      <w:r w:rsidRPr="00BF6456">
        <w:rPr>
          <w:rFonts w:ascii="Book Antiqua" w:hAnsi="Book Antiqua"/>
          <w:vertAlign w:val="superscript"/>
        </w:rPr>
        <w:t>2</w:t>
      </w:r>
      <w:r w:rsidRPr="00BF6456">
        <w:rPr>
          <w:rFonts w:ascii="Book Antiqua" w:hAnsi="Book Antiqua"/>
        </w:rPr>
        <w:t>, and Biomedical and Diagnostic Sciences</w:t>
      </w:r>
      <w:r w:rsidRPr="00BF6456">
        <w:rPr>
          <w:rFonts w:ascii="Book Antiqua" w:hAnsi="Book Antiqua"/>
          <w:vertAlign w:val="superscript"/>
        </w:rPr>
        <w:t>3</w:t>
      </w:r>
      <w:r w:rsidRPr="00BF6456">
        <w:rPr>
          <w:rFonts w:ascii="Book Antiqua" w:hAnsi="Book Antiqua"/>
        </w:rPr>
        <w:t>, University of Tennessee College of Veterinary Medicine, Knoxville, TN.</w:t>
      </w:r>
    </w:p>
    <w:p w14:paraId="3AE45ADE" w14:textId="77777777" w:rsidR="002729A9" w:rsidRDefault="002729A9" w:rsidP="00BC276E">
      <w:pPr>
        <w:spacing w:line="360" w:lineRule="auto"/>
        <w:jc w:val="both"/>
        <w:rPr>
          <w:rFonts w:ascii="Book Antiqua" w:hAnsi="Book Antiqua"/>
        </w:rPr>
      </w:pPr>
    </w:p>
    <w:p w14:paraId="657EDB5A" w14:textId="77777777" w:rsidR="002729A9" w:rsidRPr="008D5224" w:rsidRDefault="002729A9" w:rsidP="00EE4309">
      <w:pPr>
        <w:spacing w:line="360" w:lineRule="auto"/>
        <w:jc w:val="center"/>
        <w:rPr>
          <w:rFonts w:ascii="Book Antiqua" w:hAnsi="Book Antiqua"/>
        </w:rPr>
      </w:pPr>
      <w:r>
        <w:rPr>
          <w:rFonts w:ascii="Book Antiqua" w:hAnsi="Book Antiqua"/>
        </w:rPr>
        <w:t xml:space="preserve">Manuscript will be submitted to Equine Veterinary Journal </w:t>
      </w:r>
    </w:p>
    <w:p w14:paraId="4EB1EA54" w14:textId="77777777" w:rsidR="002729A9" w:rsidRPr="00BF6456" w:rsidRDefault="002729A9" w:rsidP="00BC276E">
      <w:pPr>
        <w:spacing w:line="360" w:lineRule="auto"/>
        <w:jc w:val="both"/>
        <w:rPr>
          <w:rFonts w:ascii="Book Antiqua" w:hAnsi="Book Antiqua"/>
        </w:rPr>
      </w:pPr>
    </w:p>
    <w:p w14:paraId="1A77822B" w14:textId="77777777" w:rsidR="002729A9" w:rsidRPr="00BF6456" w:rsidRDefault="002729A9" w:rsidP="00BC276E">
      <w:pPr>
        <w:spacing w:line="360" w:lineRule="auto"/>
        <w:jc w:val="both"/>
        <w:rPr>
          <w:rFonts w:ascii="Book Antiqua" w:hAnsi="Book Antiqua"/>
        </w:rPr>
      </w:pPr>
    </w:p>
    <w:p w14:paraId="75C96371" w14:textId="77777777" w:rsidR="002729A9" w:rsidRPr="00BF6456" w:rsidRDefault="002729A9" w:rsidP="00BC276E">
      <w:pPr>
        <w:spacing w:line="360" w:lineRule="auto"/>
        <w:jc w:val="center"/>
        <w:rPr>
          <w:rFonts w:ascii="Book Antiqua" w:hAnsi="Book Antiqua"/>
          <w:b/>
        </w:rPr>
      </w:pPr>
      <w:r w:rsidRPr="00BF6456">
        <w:rPr>
          <w:rFonts w:ascii="Book Antiqua" w:hAnsi="Book Antiqua"/>
          <w:b/>
        </w:rPr>
        <w:t>Abstract</w:t>
      </w:r>
    </w:p>
    <w:p w14:paraId="49F8CC41" w14:textId="77777777" w:rsidR="002729A9" w:rsidRPr="00BF6456" w:rsidRDefault="002729A9" w:rsidP="00BC276E">
      <w:pPr>
        <w:spacing w:line="360" w:lineRule="auto"/>
        <w:jc w:val="both"/>
        <w:rPr>
          <w:rFonts w:ascii="Book Antiqua" w:hAnsi="Book Antiqua"/>
          <w:b/>
        </w:rPr>
      </w:pPr>
    </w:p>
    <w:p w14:paraId="68C0AA29" w14:textId="77777777" w:rsidR="002729A9" w:rsidRDefault="002729A9" w:rsidP="00BC276E">
      <w:pPr>
        <w:spacing w:line="360" w:lineRule="auto"/>
        <w:jc w:val="both"/>
        <w:rPr>
          <w:rFonts w:ascii="Book Antiqua" w:hAnsi="Book Antiqua"/>
        </w:rPr>
      </w:pPr>
      <w:r>
        <w:rPr>
          <w:rFonts w:ascii="Book Antiqua" w:hAnsi="Book Antiqua"/>
        </w:rPr>
        <w:t xml:space="preserve">Peripheral nerve injuries cause poor performance in horses and their outcome is frequently unfavorable. Autografting a peripheral nerve is the ideal approach for repairing a nerve. This, however, represents difficulties in obtaining enough tissue and in causing morbidity to the donor site. Alternative approaches include the insertion of biocompatible scaffolds and transplantation of mesenchymal stromal cells (MSCs) into the affected individual. Transplantation of MSCs differentiated into Schwann-like cells is still under investigation, with promising results in laboratory animals. There are no current reports of bone marrow-derived MSCs from horse and their ability to differentiate into Schwann-like cells. Likewise, there are no reports describing a model for peripheral nerve injury in horses. Our objectives were to evaluate the ability of equine bone marrow-derived MSCs to differentiate into Schwann-like cells, to propose a model for peripheral nerve injury in horses, and to evaluate the effects of MSCs on nerve regeneration after transplantation </w:t>
      </w:r>
      <w:r w:rsidRPr="00187F55">
        <w:rPr>
          <w:rFonts w:ascii="Book Antiqua" w:hAnsi="Book Antiqua"/>
          <w:i/>
        </w:rPr>
        <w:t>in situ</w:t>
      </w:r>
      <w:r>
        <w:rPr>
          <w:rFonts w:ascii="Book Antiqua" w:hAnsi="Book Antiqua"/>
        </w:rPr>
        <w:t xml:space="preserve">. Equine bone marrow-derived MSCs were differentiated into Schwann-like cells for 7 days, and assessed via microscopy, immunofluorescence and western blot by using Schwann cell markers. Results showed that MSCs from young and middle-aged horses displayed Schwann cell morphology and were able to express </w:t>
      </w:r>
      <w:r w:rsidRPr="008D5224">
        <w:rPr>
          <w:rFonts w:ascii="Book Antiqua" w:hAnsi="Book Antiqua"/>
        </w:rPr>
        <w:t>glial f</w:t>
      </w:r>
      <w:r>
        <w:rPr>
          <w:rFonts w:ascii="Book Antiqua" w:hAnsi="Book Antiqua"/>
        </w:rPr>
        <w:t>ibrillary acidic protein and S-100b at day 7</w:t>
      </w:r>
      <w:r w:rsidRPr="008D5224">
        <w:rPr>
          <w:rFonts w:ascii="Book Antiqua" w:hAnsi="Book Antiqua"/>
        </w:rPr>
        <w:t>.</w:t>
      </w:r>
      <w:r>
        <w:rPr>
          <w:rFonts w:ascii="Book Antiqua" w:hAnsi="Book Antiqua"/>
        </w:rPr>
        <w:t xml:space="preserve"> Furthermore, histological analyses were performed on peripheral nerve sections from 3 horses, 45 days after nerve transection followed by </w:t>
      </w:r>
      <w:r w:rsidRPr="005F5DB4">
        <w:rPr>
          <w:rFonts w:ascii="Book Antiqua" w:hAnsi="Book Antiqua"/>
          <w:i/>
        </w:rPr>
        <w:t>in situ</w:t>
      </w:r>
      <w:r>
        <w:rPr>
          <w:rFonts w:ascii="Book Antiqua" w:hAnsi="Book Antiqua"/>
        </w:rPr>
        <w:t xml:space="preserve"> transplantation of undifferentiated MSCs. Our</w:t>
      </w:r>
      <w:r w:rsidRPr="008D5224">
        <w:rPr>
          <w:rFonts w:ascii="Book Antiqua" w:hAnsi="Book Antiqua"/>
        </w:rPr>
        <w:t xml:space="preserve"> fundamental goal is to provide practical resources for treatment of </w:t>
      </w:r>
      <w:r>
        <w:rPr>
          <w:rFonts w:ascii="Book Antiqua" w:hAnsi="Book Antiqua"/>
        </w:rPr>
        <w:t>peripheral nerve disease</w:t>
      </w:r>
      <w:r w:rsidRPr="008D5224">
        <w:rPr>
          <w:rFonts w:ascii="Book Antiqua" w:hAnsi="Book Antiqua"/>
        </w:rPr>
        <w:t xml:space="preserve"> in horses</w:t>
      </w:r>
      <w:r>
        <w:rPr>
          <w:rFonts w:ascii="Book Antiqua" w:hAnsi="Book Antiqua"/>
        </w:rPr>
        <w:t>.</w:t>
      </w:r>
      <w:r w:rsidRPr="008D5224">
        <w:rPr>
          <w:rFonts w:ascii="Book Antiqua" w:hAnsi="Book Antiqua"/>
        </w:rPr>
        <w:t xml:space="preserve"> </w:t>
      </w:r>
    </w:p>
    <w:p w14:paraId="424CCAD9" w14:textId="77777777" w:rsidR="002729A9" w:rsidRPr="00BF6456" w:rsidRDefault="002729A9" w:rsidP="00BC276E">
      <w:pPr>
        <w:spacing w:line="360" w:lineRule="auto"/>
        <w:jc w:val="both"/>
        <w:rPr>
          <w:rFonts w:ascii="Book Antiqua" w:hAnsi="Book Antiqua"/>
        </w:rPr>
      </w:pPr>
    </w:p>
    <w:p w14:paraId="170ECC83" w14:textId="77777777" w:rsidR="002729A9" w:rsidRPr="00BF6456" w:rsidRDefault="002729A9" w:rsidP="00BC276E">
      <w:pPr>
        <w:spacing w:line="360" w:lineRule="auto"/>
        <w:jc w:val="both"/>
        <w:rPr>
          <w:rFonts w:ascii="Book Antiqua" w:hAnsi="Book Antiqua"/>
        </w:rPr>
      </w:pPr>
    </w:p>
    <w:p w14:paraId="2DC883B9" w14:textId="77777777" w:rsidR="002729A9" w:rsidRPr="002A1FDC" w:rsidRDefault="002729A9" w:rsidP="00BC276E">
      <w:pPr>
        <w:pStyle w:val="Heading2"/>
      </w:pPr>
      <w:bookmarkStart w:id="45" w:name="_Toc274387737"/>
      <w:r w:rsidRPr="002A1FDC">
        <w:t>Introduction</w:t>
      </w:r>
      <w:bookmarkEnd w:id="45"/>
    </w:p>
    <w:p w14:paraId="00722AA6" w14:textId="77777777" w:rsidR="002729A9" w:rsidRPr="00BF6456" w:rsidRDefault="002729A9" w:rsidP="00BC276E">
      <w:pPr>
        <w:spacing w:line="360" w:lineRule="auto"/>
        <w:jc w:val="both"/>
        <w:rPr>
          <w:rFonts w:ascii="Book Antiqua" w:hAnsi="Book Antiqua"/>
          <w:b/>
        </w:rPr>
      </w:pPr>
    </w:p>
    <w:p w14:paraId="36DADEFF" w14:textId="77777777" w:rsidR="002729A9" w:rsidRPr="00BF6456" w:rsidRDefault="002729A9" w:rsidP="00BC276E">
      <w:pPr>
        <w:spacing w:line="360" w:lineRule="auto"/>
        <w:jc w:val="both"/>
        <w:rPr>
          <w:rFonts w:ascii="Book Antiqua" w:hAnsi="Book Antiqua"/>
        </w:rPr>
      </w:pPr>
      <w:r w:rsidRPr="00BF6456">
        <w:rPr>
          <w:rFonts w:ascii="Book Antiqua" w:hAnsi="Book Antiqua"/>
        </w:rPr>
        <w:t>In veterinary medicine, horses can suffer peripheral nerve injuries after traumatism, metabolic, toxic, hereditary, degenerative and infectious diseases. The sequel</w:t>
      </w:r>
      <w:r>
        <w:rPr>
          <w:rFonts w:ascii="Book Antiqua" w:hAnsi="Book Antiqua"/>
        </w:rPr>
        <w:t>s of nerve injury in horses are</w:t>
      </w:r>
      <w:r w:rsidRPr="00BF6456">
        <w:rPr>
          <w:rFonts w:ascii="Book Antiqua" w:hAnsi="Book Antiqua"/>
        </w:rPr>
        <w:t xml:space="preserve"> frequently </w:t>
      </w:r>
      <w:r>
        <w:rPr>
          <w:rFonts w:ascii="Book Antiqua" w:hAnsi="Book Antiqua"/>
        </w:rPr>
        <w:t>undesirable</w:t>
      </w:r>
      <w:r w:rsidRPr="00BF6456">
        <w:rPr>
          <w:rFonts w:ascii="Book Antiqua" w:hAnsi="Book Antiqua"/>
        </w:rPr>
        <w:t xml:space="preserve">, resulting in poor performance, disability or even death. This, consequently, causes a profound financial and emotional impact afterwards. </w:t>
      </w:r>
    </w:p>
    <w:p w14:paraId="05A9BB6D" w14:textId="77777777" w:rsidR="002729A9" w:rsidRPr="00BF6456" w:rsidRDefault="002729A9" w:rsidP="00BC276E">
      <w:pPr>
        <w:spacing w:line="360" w:lineRule="auto"/>
        <w:jc w:val="both"/>
        <w:rPr>
          <w:rFonts w:ascii="Book Antiqua" w:hAnsi="Book Antiqua"/>
        </w:rPr>
      </w:pPr>
    </w:p>
    <w:p w14:paraId="5B87FAEB" w14:textId="77777777" w:rsidR="002729A9" w:rsidRPr="00BF6456" w:rsidRDefault="002729A9" w:rsidP="00BC276E">
      <w:pPr>
        <w:spacing w:line="360" w:lineRule="auto"/>
        <w:jc w:val="both"/>
        <w:rPr>
          <w:rFonts w:ascii="Book Antiqua" w:hAnsi="Book Antiqua"/>
        </w:rPr>
      </w:pPr>
      <w:r w:rsidRPr="00BF6456">
        <w:rPr>
          <w:rFonts w:ascii="Book Antiqua" w:hAnsi="Book Antiqua"/>
        </w:rPr>
        <w:t>Peripheral nerves have the ability to regenerate after injury due to the secretion of cytokines and neurotrophic factors from the damaged cells (mainly by Schwann cells), and because phagocytosis is initiated</w:t>
      </w:r>
      <w:r>
        <w:rPr>
          <w:rFonts w:ascii="Book Antiqua" w:hAnsi="Book Antiqua"/>
        </w:rPr>
        <w:t xml:space="preserve"> by local macrophages to remove</w:t>
      </w:r>
      <w:r w:rsidRPr="00BF6456">
        <w:rPr>
          <w:rFonts w:ascii="Book Antiqua" w:hAnsi="Book Antiqua"/>
        </w:rPr>
        <w:t xml:space="preserve"> cell debris.</w:t>
      </w:r>
      <w:r w:rsidRPr="005360C7">
        <w:rPr>
          <w:rFonts w:ascii="Book Antiqua" w:hAnsi="Book Antiqua"/>
          <w:noProof/>
          <w:vertAlign w:val="superscript"/>
        </w:rPr>
        <w:t>1-3</w:t>
      </w:r>
      <w:r w:rsidRPr="00BF6456">
        <w:rPr>
          <w:rFonts w:ascii="Book Antiqua" w:hAnsi="Book Antiqua"/>
        </w:rPr>
        <w:t xml:space="preserve"> The regaining of nerve function, however, will depend on the magnitude of the nerve lesion and its chronicity.</w:t>
      </w:r>
      <w:r w:rsidRPr="005360C7">
        <w:rPr>
          <w:rFonts w:ascii="Book Antiqua" w:hAnsi="Book Antiqua"/>
          <w:noProof/>
          <w:vertAlign w:val="superscript"/>
        </w:rPr>
        <w:t>4</w:t>
      </w:r>
      <w:r w:rsidRPr="00BF6456">
        <w:rPr>
          <w:rFonts w:ascii="Book Antiqua" w:hAnsi="Book Antiqua"/>
        </w:rPr>
        <w:t xml:space="preserve"> The prognosis for recovery is poorest when a nerve is transected and its nerve fibers and surrounding fascia (connective tissue) have been completely disrupted. This is known as neurotmesis in Seddon’s classification for peripheral nerve injuries.</w:t>
      </w:r>
      <w:r w:rsidRPr="005360C7">
        <w:rPr>
          <w:rFonts w:ascii="Book Antiqua" w:hAnsi="Book Antiqua"/>
          <w:noProof/>
          <w:vertAlign w:val="superscript"/>
        </w:rPr>
        <w:t>5,6</w:t>
      </w:r>
      <w:r w:rsidRPr="00BF6456">
        <w:rPr>
          <w:rFonts w:ascii="Book Antiqua" w:hAnsi="Book Antiqua"/>
        </w:rPr>
        <w:t xml:space="preserve"> Surgical techniques for nerve repair involve suturing the nerve stumps together or inserting a graft that bridges the gap. In tissue engineering, some of the most commonly utilized materials for fabricating grafts or scaffolds consist of vein, artery, nerve, silicone, collagen, laminin, gels made of platelet rich plasma (PRP), and synthetic polymers.</w:t>
      </w:r>
      <w:r w:rsidRPr="005360C7">
        <w:rPr>
          <w:rFonts w:ascii="Book Antiqua" w:hAnsi="Book Antiqua"/>
          <w:noProof/>
          <w:vertAlign w:val="superscript"/>
        </w:rPr>
        <w:t>7,8</w:t>
      </w:r>
      <w:r w:rsidRPr="00BF6456">
        <w:rPr>
          <w:rFonts w:ascii="Book Antiqua" w:hAnsi="Book Antiqua"/>
        </w:rPr>
        <w:t xml:space="preserve"> Regardless of the technique used or the duration of the nerve repair, clinical results are often disappointing.</w:t>
      </w:r>
      <w:r w:rsidRPr="005360C7">
        <w:rPr>
          <w:rFonts w:ascii="Book Antiqua" w:hAnsi="Book Antiqua"/>
          <w:noProof/>
          <w:vertAlign w:val="superscript"/>
        </w:rPr>
        <w:t>6,9</w:t>
      </w:r>
      <w:r w:rsidRPr="00BF6456">
        <w:rPr>
          <w:rFonts w:ascii="Book Antiqua" w:hAnsi="Book Antiqua"/>
        </w:rPr>
        <w:t xml:space="preserve"> </w:t>
      </w:r>
    </w:p>
    <w:p w14:paraId="0AB1FDAA" w14:textId="77777777" w:rsidR="002729A9" w:rsidRPr="00BF6456" w:rsidRDefault="002729A9" w:rsidP="00BC276E">
      <w:pPr>
        <w:spacing w:line="360" w:lineRule="auto"/>
        <w:jc w:val="both"/>
        <w:rPr>
          <w:rFonts w:ascii="Book Antiqua" w:hAnsi="Book Antiqua"/>
        </w:rPr>
      </w:pPr>
    </w:p>
    <w:p w14:paraId="695D12A3" w14:textId="77777777" w:rsidR="002729A9" w:rsidRPr="00BF6456" w:rsidRDefault="002729A9" w:rsidP="00BC276E">
      <w:pPr>
        <w:spacing w:line="360" w:lineRule="auto"/>
        <w:jc w:val="both"/>
        <w:rPr>
          <w:rFonts w:ascii="Book Antiqua" w:hAnsi="Book Antiqua"/>
        </w:rPr>
      </w:pPr>
      <w:r w:rsidRPr="00BF6456">
        <w:rPr>
          <w:rFonts w:ascii="Book Antiqua" w:hAnsi="Book Antiqua"/>
        </w:rPr>
        <w:t>Currently, research regarding cell therapy with mesenchymal stromal cells (MSCs) suggests this might be an alternative approach for nervous tissue repair, including spinal cord and peripheral nerve injuries.</w:t>
      </w:r>
      <w:r w:rsidRPr="005360C7">
        <w:rPr>
          <w:rFonts w:ascii="Book Antiqua" w:hAnsi="Book Antiqua"/>
          <w:noProof/>
          <w:vertAlign w:val="superscript"/>
        </w:rPr>
        <w:t>10-12</w:t>
      </w:r>
      <w:r w:rsidRPr="00BF6456">
        <w:rPr>
          <w:rFonts w:ascii="Book Antiqua" w:hAnsi="Book Antiqua"/>
        </w:rPr>
        <w:t xml:space="preserve"> The neuroprotective effects of MSCs have been widely described, and they involve anti-inflammatory, immunomodulatory, angiogenic and nurturing mechanisms.</w:t>
      </w:r>
      <w:r w:rsidRPr="005360C7">
        <w:rPr>
          <w:rFonts w:ascii="Book Antiqua" w:hAnsi="Book Antiqua"/>
          <w:noProof/>
          <w:vertAlign w:val="superscript"/>
        </w:rPr>
        <w:t>13-16</w:t>
      </w:r>
      <w:r w:rsidRPr="00BF6456">
        <w:rPr>
          <w:rFonts w:ascii="Book Antiqua" w:hAnsi="Book Antiqua"/>
        </w:rPr>
        <w:t xml:space="preserve"> Furthermore, MSCs from bone marrow and adipose tissue are able to differentiate into Schwann-like cells after chemical induction with specific conditions.</w:t>
      </w:r>
      <w:r w:rsidRPr="005360C7">
        <w:rPr>
          <w:rFonts w:ascii="Book Antiqua" w:hAnsi="Book Antiqua"/>
          <w:noProof/>
          <w:vertAlign w:val="superscript"/>
        </w:rPr>
        <w:t>12,17,18</w:t>
      </w:r>
      <w:r w:rsidRPr="00BF6456">
        <w:rPr>
          <w:rFonts w:ascii="Book Antiqua" w:hAnsi="Book Antiqua"/>
        </w:rPr>
        <w:t xml:space="preserve"> In experimental models in laboratory animals, when Schwann-like cells are transplanted into nervous lesions, the results for axonal and myelin</w:t>
      </w:r>
      <w:r>
        <w:rPr>
          <w:rFonts w:ascii="Book Antiqua" w:hAnsi="Book Antiqua"/>
        </w:rPr>
        <w:t xml:space="preserve"> repair as well</w:t>
      </w:r>
      <w:r w:rsidRPr="00BF6456">
        <w:rPr>
          <w:rFonts w:ascii="Book Antiqua" w:hAnsi="Book Antiqua"/>
        </w:rPr>
        <w:t xml:space="preserve"> as the sensory and motor functions, appear promising. This is believed to be consequence of the secretion of specific neurotrophic factors that promote nerve repair.</w:t>
      </w:r>
      <w:r w:rsidRPr="005360C7">
        <w:rPr>
          <w:rFonts w:ascii="Book Antiqua" w:hAnsi="Book Antiqua"/>
          <w:noProof/>
          <w:vertAlign w:val="superscript"/>
        </w:rPr>
        <w:t>11,12,16</w:t>
      </w:r>
    </w:p>
    <w:p w14:paraId="32A0D3AD" w14:textId="77777777" w:rsidR="002729A9" w:rsidRPr="00BF6456" w:rsidRDefault="002729A9" w:rsidP="00BC276E">
      <w:pPr>
        <w:spacing w:line="360" w:lineRule="auto"/>
        <w:jc w:val="both"/>
        <w:rPr>
          <w:rFonts w:ascii="Book Antiqua" w:hAnsi="Book Antiqua"/>
        </w:rPr>
      </w:pPr>
    </w:p>
    <w:p w14:paraId="5EE5733B" w14:textId="77777777" w:rsidR="002729A9" w:rsidRPr="00BF6456" w:rsidRDefault="002729A9" w:rsidP="00BC276E">
      <w:pPr>
        <w:spacing w:line="360" w:lineRule="auto"/>
        <w:jc w:val="both"/>
        <w:rPr>
          <w:rFonts w:ascii="Book Antiqua" w:hAnsi="Book Antiqua"/>
        </w:rPr>
      </w:pPr>
      <w:r w:rsidRPr="00BF6456">
        <w:rPr>
          <w:rFonts w:ascii="Book Antiqua" w:hAnsi="Book Antiqua"/>
        </w:rPr>
        <w:t>To our knowledge, there are no reports in the literature regarding outcomes of peripheral nerve injuries after cell therapy in the horse.  Similarly, we can find no reports that describe the ability of equine bone marrow-derived MSCs (eBM-MSCs) to differentiate into myelinated Schwann-like cells. We have recently reported that eBM-MSCs are able to display morphological and protein characteristics of neural progenitors.  In this preliminary study, we evaluated the ability of eBM-MSCs to differentiate into Schwann-like cells after chemical induction. Additionally, we propose a new model for peripheral nerve injury in the horse and its outcome after transplantation of undifferentiated MSCs.</w:t>
      </w:r>
    </w:p>
    <w:p w14:paraId="2382810B" w14:textId="77777777" w:rsidR="002729A9" w:rsidRPr="00BF6456" w:rsidRDefault="002729A9" w:rsidP="00BC276E">
      <w:pPr>
        <w:spacing w:line="360" w:lineRule="auto"/>
        <w:jc w:val="both"/>
        <w:rPr>
          <w:rFonts w:ascii="Book Antiqua" w:hAnsi="Book Antiqua"/>
        </w:rPr>
      </w:pPr>
    </w:p>
    <w:p w14:paraId="609D37F8" w14:textId="77777777" w:rsidR="002729A9" w:rsidRPr="00BF6456" w:rsidRDefault="002729A9" w:rsidP="00BC276E">
      <w:pPr>
        <w:spacing w:line="360" w:lineRule="auto"/>
        <w:jc w:val="both"/>
        <w:rPr>
          <w:rFonts w:ascii="Book Antiqua" w:hAnsi="Book Antiqua"/>
        </w:rPr>
      </w:pPr>
    </w:p>
    <w:p w14:paraId="0A790F0C" w14:textId="77777777" w:rsidR="002729A9" w:rsidRPr="002A1FDC" w:rsidRDefault="002729A9" w:rsidP="00BC276E">
      <w:pPr>
        <w:pStyle w:val="Heading2"/>
      </w:pPr>
      <w:bookmarkStart w:id="46" w:name="_Toc274387738"/>
      <w:bookmarkStart w:id="47" w:name="_GoBack"/>
      <w:bookmarkEnd w:id="47"/>
      <w:r w:rsidRPr="002A1FDC">
        <w:t>Materials and methods</w:t>
      </w:r>
      <w:bookmarkEnd w:id="46"/>
    </w:p>
    <w:p w14:paraId="6142ECB0" w14:textId="77777777" w:rsidR="002729A9" w:rsidRPr="00BF6456" w:rsidRDefault="002729A9" w:rsidP="00BC276E">
      <w:pPr>
        <w:spacing w:line="360" w:lineRule="auto"/>
        <w:jc w:val="both"/>
        <w:rPr>
          <w:rFonts w:ascii="Book Antiqua" w:hAnsi="Book Antiqua"/>
          <w:b/>
        </w:rPr>
      </w:pPr>
    </w:p>
    <w:p w14:paraId="5F7F1804" w14:textId="77777777" w:rsidR="002729A9" w:rsidRPr="00BF6456" w:rsidRDefault="002729A9" w:rsidP="00BC276E">
      <w:pPr>
        <w:spacing w:line="360" w:lineRule="auto"/>
        <w:jc w:val="both"/>
        <w:rPr>
          <w:rFonts w:ascii="Book Antiqua" w:hAnsi="Book Antiqua"/>
        </w:rPr>
      </w:pPr>
      <w:r w:rsidRPr="00BF6456">
        <w:rPr>
          <w:rFonts w:ascii="Book Antiqua" w:hAnsi="Book Antiqua"/>
        </w:rPr>
        <w:t>1.</w:t>
      </w:r>
      <w:r w:rsidRPr="00BF6456">
        <w:rPr>
          <w:rFonts w:ascii="Book Antiqua" w:hAnsi="Book Antiqua"/>
          <w:b/>
        </w:rPr>
        <w:t xml:space="preserve"> </w:t>
      </w:r>
      <w:r w:rsidRPr="00BF6456">
        <w:rPr>
          <w:rFonts w:ascii="Book Antiqua" w:hAnsi="Book Antiqua"/>
          <w:u w:val="single"/>
        </w:rPr>
        <w:t>Animals</w:t>
      </w:r>
      <w:r>
        <w:rPr>
          <w:rFonts w:ascii="Book Antiqua" w:hAnsi="Book Antiqua"/>
        </w:rPr>
        <w:t>.  Three</w:t>
      </w:r>
      <w:r w:rsidRPr="00BF6456">
        <w:rPr>
          <w:rFonts w:ascii="Book Antiqua" w:hAnsi="Book Antiqua"/>
        </w:rPr>
        <w:t xml:space="preserve"> healthy American Quarter Horse crossbred mares from our Institution’s teaching herd were used for the study.  The mares were transplanted allogeneic undifferentiated MSCs from a donor whose cells have been previously characterized.  These cells were transplanted immediately after the first surgery (see No. 2). All procedures were carried out as per an approved protocol by the Institutional Animal Care and Use Committee of the University of Tennessee, Knoxville, TN.  </w:t>
      </w:r>
    </w:p>
    <w:p w14:paraId="29C949DD" w14:textId="77777777" w:rsidR="002729A9" w:rsidRPr="00BF6456" w:rsidRDefault="002729A9" w:rsidP="00BC276E">
      <w:pPr>
        <w:spacing w:line="360" w:lineRule="auto"/>
        <w:jc w:val="both"/>
        <w:rPr>
          <w:rFonts w:ascii="Book Antiqua" w:hAnsi="Book Antiqua"/>
        </w:rPr>
      </w:pPr>
    </w:p>
    <w:p w14:paraId="2A237928" w14:textId="77777777" w:rsidR="002729A9" w:rsidRPr="00BF6456" w:rsidRDefault="002729A9" w:rsidP="00BC276E">
      <w:pPr>
        <w:spacing w:line="360" w:lineRule="auto"/>
        <w:jc w:val="both"/>
        <w:rPr>
          <w:rFonts w:ascii="Book Antiqua" w:hAnsi="Book Antiqua"/>
        </w:rPr>
      </w:pPr>
      <w:r w:rsidRPr="00BF6456">
        <w:rPr>
          <w:rFonts w:ascii="Book Antiqua" w:hAnsi="Book Antiqua"/>
        </w:rPr>
        <w:t xml:space="preserve">2. </w:t>
      </w:r>
      <w:r w:rsidRPr="00BF6456">
        <w:rPr>
          <w:rFonts w:ascii="Book Antiqua" w:hAnsi="Book Antiqua"/>
          <w:u w:val="single"/>
        </w:rPr>
        <w:t xml:space="preserve">Transection of the </w:t>
      </w:r>
      <w:r w:rsidRPr="00BF6456">
        <w:rPr>
          <w:rFonts w:ascii="Book Antiqua" w:hAnsi="Book Antiqua"/>
          <w:i/>
          <w:u w:val="single"/>
        </w:rPr>
        <w:t>ramus communicans</w:t>
      </w:r>
      <w:r w:rsidRPr="00BF6456">
        <w:rPr>
          <w:rFonts w:ascii="Book Antiqua" w:hAnsi="Book Antiqua"/>
          <w:u w:val="single"/>
        </w:rPr>
        <w:t xml:space="preserve"> with the horses standing</w:t>
      </w:r>
      <w:r w:rsidRPr="00BF6456">
        <w:rPr>
          <w:rFonts w:ascii="Book Antiqua" w:hAnsi="Book Antiqua"/>
        </w:rPr>
        <w:t xml:space="preserve">.  Horses were sedated with 0.01-0.02 mg/kg of detomidine hydrochloride and 0.01-0.02 mg/kg of butorphanol tartate, IV.  The palmar aspect of both metacarpal regions was prepared for aseptic surgery and 2 mL of 2% mepivacaine hydrochloride were subcutaneously deposited adjacent to the medial palmar nerve and adjacent to lateral palmar nerve proximal to the palpable </w:t>
      </w:r>
      <w:r w:rsidRPr="00BF6456">
        <w:rPr>
          <w:rFonts w:ascii="Book Antiqua" w:hAnsi="Book Antiqua"/>
          <w:i/>
        </w:rPr>
        <w:t>ramus communicans</w:t>
      </w:r>
      <w:r w:rsidRPr="00BF6456">
        <w:rPr>
          <w:rFonts w:ascii="Book Antiqua" w:hAnsi="Book Antiqua"/>
        </w:rPr>
        <w:t>, palmar to the superficial digital flexor tendon (</w:t>
      </w:r>
      <w:r w:rsidRPr="00BF6456">
        <w:rPr>
          <w:rFonts w:ascii="Book Antiqua" w:hAnsi="Book Antiqua"/>
          <w:b/>
        </w:rPr>
        <w:t xml:space="preserve">Figure </w:t>
      </w:r>
      <w:r>
        <w:rPr>
          <w:rFonts w:ascii="Book Antiqua" w:hAnsi="Book Antiqua"/>
          <w:b/>
        </w:rPr>
        <w:t>3.</w:t>
      </w:r>
      <w:r w:rsidRPr="00BF6456">
        <w:rPr>
          <w:rFonts w:ascii="Book Antiqua" w:hAnsi="Book Antiqua"/>
          <w:b/>
        </w:rPr>
        <w:t>1</w:t>
      </w:r>
      <w:r w:rsidRPr="00BF6456">
        <w:rPr>
          <w:rFonts w:ascii="Book Antiqua" w:hAnsi="Book Antiqua"/>
        </w:rPr>
        <w:t xml:space="preserve">).  A scalpel blade was used to create a cutaneous, longitudinal incision over the </w:t>
      </w:r>
      <w:r w:rsidRPr="00BF6456">
        <w:rPr>
          <w:rFonts w:ascii="Book Antiqua" w:hAnsi="Book Antiqua"/>
          <w:i/>
        </w:rPr>
        <w:t>ramus communicans</w:t>
      </w:r>
      <w:r w:rsidRPr="00BF6456">
        <w:rPr>
          <w:rFonts w:ascii="Book Antiqua" w:hAnsi="Book Antiqua"/>
        </w:rPr>
        <w:t>.  Using a 6 mm punch biopsy the center of this anastomotic nerve, which connects the medial and lateral palmar nerves, was removed and placed in formalin.  Following nerve transection, 10x10</w:t>
      </w:r>
      <w:r w:rsidRPr="00BF6456">
        <w:rPr>
          <w:rFonts w:ascii="Book Antiqua" w:hAnsi="Book Antiqua"/>
          <w:vertAlign w:val="superscript"/>
        </w:rPr>
        <w:t>6</w:t>
      </w:r>
      <w:r w:rsidRPr="00BF6456">
        <w:rPr>
          <w:rFonts w:ascii="Book Antiqua" w:hAnsi="Book Antiqua"/>
        </w:rPr>
        <w:t xml:space="preserve"> allogeneic MSCs suspended in a volume of 1 mL of sterile saline were instilled into the fascia surrounding this nerve (</w:t>
      </w:r>
      <w:r w:rsidRPr="00BF6456">
        <w:rPr>
          <w:rFonts w:ascii="Book Antiqua" w:hAnsi="Book Antiqua"/>
          <w:b/>
        </w:rPr>
        <w:t xml:space="preserve">Figure </w:t>
      </w:r>
      <w:r>
        <w:rPr>
          <w:rFonts w:ascii="Book Antiqua" w:hAnsi="Book Antiqua"/>
          <w:b/>
        </w:rPr>
        <w:t>3.</w:t>
      </w:r>
      <w:r w:rsidRPr="00BF6456">
        <w:rPr>
          <w:rFonts w:ascii="Book Antiqua" w:hAnsi="Book Antiqua"/>
          <w:b/>
        </w:rPr>
        <w:t>2</w:t>
      </w:r>
      <w:r w:rsidRPr="00BF6456">
        <w:rPr>
          <w:rFonts w:ascii="Book Antiqua" w:hAnsi="Book Antiqua"/>
        </w:rPr>
        <w:t xml:space="preserve">).  The contralateral transected nerve received an injection with the same volume of sterile saline (control).  The cutaneous incision was closed with staples, and the distal portion of the limbs was bandaged.  The horses received phenylbutazone (4.4 mg/kg, PO) at the time of surgery and the day after surgery (2.2 mg/kg, PO).  The bandage was changed every third day until the staples were removed at day 14. The horses underwent </w:t>
      </w:r>
      <w:r>
        <w:rPr>
          <w:rFonts w:ascii="Book Antiqua" w:hAnsi="Book Antiqua"/>
        </w:rPr>
        <w:t xml:space="preserve">general anesthesia for complete removal of both </w:t>
      </w:r>
      <w:r w:rsidRPr="00BF6456">
        <w:rPr>
          <w:rFonts w:ascii="Book Antiqua" w:hAnsi="Book Antiqua"/>
          <w:i/>
        </w:rPr>
        <w:t>ramus communican</w:t>
      </w:r>
      <w:r>
        <w:rPr>
          <w:rFonts w:ascii="Book Antiqua" w:hAnsi="Book Antiqua"/>
          <w:i/>
        </w:rPr>
        <w:t xml:space="preserve">s </w:t>
      </w:r>
      <w:r>
        <w:rPr>
          <w:rFonts w:ascii="Book Antiqua" w:hAnsi="Book Antiqua"/>
        </w:rPr>
        <w:t>approximately 45</w:t>
      </w:r>
      <w:r w:rsidRPr="00BF6456">
        <w:rPr>
          <w:rFonts w:ascii="Book Antiqua" w:hAnsi="Book Antiqua"/>
        </w:rPr>
        <w:t xml:space="preserve"> days after the cell transplant.  </w:t>
      </w:r>
      <w:r>
        <w:rPr>
          <w:rFonts w:ascii="Book Antiqua" w:hAnsi="Book Antiqua"/>
        </w:rPr>
        <w:t xml:space="preserve">Briefly, the horses were induced with 0.5 mg/kg of xylazine and 2.2 mg/ kg of ketamine, IV. They were intubated, placed in lateral recumbence, connected to the ventilator and maintained with isofluorane.  </w:t>
      </w:r>
      <w:r w:rsidRPr="00BF6456">
        <w:rPr>
          <w:rFonts w:ascii="Book Antiqua" w:hAnsi="Book Antiqua"/>
        </w:rPr>
        <w:t>A scalpel blade was used to create a cutaneous, longitudinal incision over the</w:t>
      </w:r>
      <w:r>
        <w:rPr>
          <w:rFonts w:ascii="Book Antiqua" w:hAnsi="Book Antiqua"/>
        </w:rPr>
        <w:t xml:space="preserve"> medial and lateral aspects of the</w:t>
      </w:r>
      <w:r w:rsidRPr="00BF6456">
        <w:rPr>
          <w:rFonts w:ascii="Book Antiqua" w:hAnsi="Book Antiqua"/>
        </w:rPr>
        <w:t xml:space="preserve"> </w:t>
      </w:r>
      <w:r w:rsidRPr="00BF6456">
        <w:rPr>
          <w:rFonts w:ascii="Book Antiqua" w:hAnsi="Book Antiqua"/>
          <w:i/>
        </w:rPr>
        <w:t>ramus communicans</w:t>
      </w:r>
      <w:r w:rsidRPr="00BF6456">
        <w:rPr>
          <w:rFonts w:ascii="Book Antiqua" w:hAnsi="Book Antiqua"/>
        </w:rPr>
        <w:t xml:space="preserve"> </w:t>
      </w:r>
      <w:r>
        <w:rPr>
          <w:rFonts w:ascii="Book Antiqua" w:hAnsi="Book Antiqua"/>
        </w:rPr>
        <w:t xml:space="preserve">of both fore limbs. The subcutaneous tissue and surrounding fascia were bluntly dissected and once the nerve was identified, it was exposed and transected with scissors. The nerves were placed in Carson’s fixative and sent to pathology for histological analyses. </w:t>
      </w:r>
      <w:r w:rsidRPr="00BF6456">
        <w:rPr>
          <w:rFonts w:ascii="Book Antiqua" w:hAnsi="Book Antiqua"/>
        </w:rPr>
        <w:t xml:space="preserve">The horses received phenylbutazone (4.4 mg/kg, PO) </w:t>
      </w:r>
      <w:r>
        <w:rPr>
          <w:rFonts w:ascii="Book Antiqua" w:hAnsi="Book Antiqua"/>
        </w:rPr>
        <w:t>prior to</w:t>
      </w:r>
      <w:r w:rsidRPr="00BF6456">
        <w:rPr>
          <w:rFonts w:ascii="Book Antiqua" w:hAnsi="Book Antiqua"/>
        </w:rPr>
        <w:t xml:space="preserve"> surgery and the day after surgery.  The bandages were changed every third day until the staples were removed 14 days after surgery.</w:t>
      </w:r>
    </w:p>
    <w:p w14:paraId="2DEBAD27" w14:textId="77777777" w:rsidR="002729A9" w:rsidRPr="00BF6456" w:rsidRDefault="002729A9" w:rsidP="00BC276E">
      <w:pPr>
        <w:spacing w:line="360" w:lineRule="auto"/>
        <w:jc w:val="both"/>
        <w:rPr>
          <w:rFonts w:ascii="Book Antiqua" w:hAnsi="Book Antiqua"/>
        </w:rPr>
      </w:pPr>
    </w:p>
    <w:p w14:paraId="455E7ECB" w14:textId="77777777" w:rsidR="002729A9" w:rsidRPr="00BF6456" w:rsidRDefault="002729A9" w:rsidP="00BC276E">
      <w:pPr>
        <w:spacing w:line="360" w:lineRule="auto"/>
        <w:jc w:val="both"/>
        <w:rPr>
          <w:rFonts w:ascii="Book Antiqua" w:hAnsi="Book Antiqua"/>
        </w:rPr>
      </w:pPr>
      <w:r>
        <w:rPr>
          <w:rFonts w:ascii="Book Antiqua" w:hAnsi="Book Antiqua"/>
          <w:noProof/>
        </w:rPr>
        <w:drawing>
          <wp:inline distT="0" distB="0" distL="0" distR="0" wp14:anchorId="29351EB2" wp14:editId="75E763F5">
            <wp:extent cx="3200400" cy="338030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jpg"/>
                    <pic:cNvPicPr/>
                  </pic:nvPicPr>
                  <pic:blipFill>
                    <a:blip r:embed="rId23">
                      <a:extLst>
                        <a:ext uri="{28A0092B-C50C-407E-A947-70E740481C1C}">
                          <a14:useLocalDpi xmlns:a14="http://schemas.microsoft.com/office/drawing/2010/main" val="0"/>
                        </a:ext>
                      </a:extLst>
                    </a:blip>
                    <a:stretch>
                      <a:fillRect/>
                    </a:stretch>
                  </pic:blipFill>
                  <pic:spPr>
                    <a:xfrm>
                      <a:off x="0" y="0"/>
                      <a:ext cx="3201041" cy="3380983"/>
                    </a:xfrm>
                    <a:prstGeom prst="rect">
                      <a:avLst/>
                    </a:prstGeom>
                  </pic:spPr>
                </pic:pic>
              </a:graphicData>
            </a:graphic>
          </wp:inline>
        </w:drawing>
      </w:r>
    </w:p>
    <w:p w14:paraId="5533127A" w14:textId="77777777" w:rsidR="002729A9" w:rsidRPr="00A171C9" w:rsidRDefault="002729A9" w:rsidP="00A171C9">
      <w:pPr>
        <w:spacing w:line="360" w:lineRule="auto"/>
        <w:jc w:val="both"/>
        <w:rPr>
          <w:rFonts w:ascii="Book Antiqua" w:hAnsi="Book Antiqua"/>
          <w:lang w:val="en-GB"/>
        </w:rPr>
      </w:pPr>
      <w:r>
        <w:rPr>
          <w:rFonts w:ascii="Book Antiqua" w:hAnsi="Book Antiqua"/>
          <w:b/>
          <w:bCs/>
        </w:rPr>
        <w:t>Figure</w:t>
      </w:r>
      <w:r w:rsidRPr="00A171C9">
        <w:rPr>
          <w:rFonts w:ascii="Book Antiqua" w:hAnsi="Book Antiqua"/>
          <w:b/>
          <w:bCs/>
        </w:rPr>
        <w:t xml:space="preserve"> </w:t>
      </w:r>
      <w:r>
        <w:rPr>
          <w:rFonts w:ascii="Book Antiqua" w:hAnsi="Book Antiqua"/>
          <w:b/>
          <w:bCs/>
        </w:rPr>
        <w:t>3.</w:t>
      </w:r>
      <w:r w:rsidRPr="00A171C9">
        <w:rPr>
          <w:rFonts w:ascii="Book Antiqua" w:hAnsi="Book Antiqua"/>
          <w:b/>
          <w:bCs/>
        </w:rPr>
        <w:t xml:space="preserve">1. </w:t>
      </w:r>
      <w:r w:rsidRPr="00A171C9">
        <w:rPr>
          <w:rFonts w:ascii="Book Antiqua" w:hAnsi="Book Antiqua"/>
        </w:rPr>
        <w:t>Local anesthesia (nerve block) of the medial (a) and lateral (b) palmar nerves of a horse.</w:t>
      </w:r>
    </w:p>
    <w:p w14:paraId="2358BF45" w14:textId="77777777" w:rsidR="002729A9" w:rsidRDefault="002729A9" w:rsidP="00BC276E">
      <w:pPr>
        <w:spacing w:line="360" w:lineRule="auto"/>
        <w:jc w:val="both"/>
        <w:rPr>
          <w:rFonts w:ascii="Book Antiqua" w:hAnsi="Book Antiqua"/>
        </w:rPr>
      </w:pPr>
    </w:p>
    <w:p w14:paraId="1EAE7197" w14:textId="77777777" w:rsidR="002729A9" w:rsidRDefault="002729A9" w:rsidP="00BC276E">
      <w:pPr>
        <w:spacing w:line="360" w:lineRule="auto"/>
        <w:jc w:val="both"/>
        <w:rPr>
          <w:rFonts w:ascii="Book Antiqua" w:hAnsi="Book Antiqua"/>
        </w:rPr>
      </w:pPr>
      <w:r>
        <w:rPr>
          <w:rFonts w:ascii="Book Antiqua" w:hAnsi="Book Antiqua"/>
          <w:noProof/>
        </w:rPr>
        <w:drawing>
          <wp:inline distT="0" distB="0" distL="0" distR="0" wp14:anchorId="48F2B147" wp14:editId="2187D3A0">
            <wp:extent cx="5264606" cy="2962070"/>
            <wp:effectExtent l="0" t="0" r="0" b="1016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jpg"/>
                    <pic:cNvPicPr/>
                  </pic:nvPicPr>
                  <pic:blipFill>
                    <a:blip r:embed="rId24">
                      <a:extLst>
                        <a:ext uri="{28A0092B-C50C-407E-A947-70E740481C1C}">
                          <a14:useLocalDpi xmlns:a14="http://schemas.microsoft.com/office/drawing/2010/main" val="0"/>
                        </a:ext>
                      </a:extLst>
                    </a:blip>
                    <a:stretch>
                      <a:fillRect/>
                    </a:stretch>
                  </pic:blipFill>
                  <pic:spPr>
                    <a:xfrm>
                      <a:off x="0" y="0"/>
                      <a:ext cx="5265221" cy="2962416"/>
                    </a:xfrm>
                    <a:prstGeom prst="rect">
                      <a:avLst/>
                    </a:prstGeom>
                  </pic:spPr>
                </pic:pic>
              </a:graphicData>
            </a:graphic>
          </wp:inline>
        </w:drawing>
      </w:r>
    </w:p>
    <w:p w14:paraId="25487830" w14:textId="77777777" w:rsidR="002729A9" w:rsidRPr="00A171C9" w:rsidRDefault="002729A9" w:rsidP="00A171C9">
      <w:pPr>
        <w:spacing w:line="360" w:lineRule="auto"/>
        <w:jc w:val="both"/>
        <w:rPr>
          <w:rFonts w:ascii="Book Antiqua" w:hAnsi="Book Antiqua"/>
          <w:lang w:val="en-GB"/>
        </w:rPr>
      </w:pPr>
      <w:r>
        <w:rPr>
          <w:rFonts w:ascii="Book Antiqua" w:hAnsi="Book Antiqua"/>
          <w:b/>
          <w:bCs/>
        </w:rPr>
        <w:t>Figure</w:t>
      </w:r>
      <w:r w:rsidRPr="00A171C9">
        <w:rPr>
          <w:rFonts w:ascii="Book Antiqua" w:hAnsi="Book Antiqua"/>
          <w:b/>
          <w:bCs/>
        </w:rPr>
        <w:t xml:space="preserve"> </w:t>
      </w:r>
      <w:r>
        <w:rPr>
          <w:rFonts w:ascii="Book Antiqua" w:hAnsi="Book Antiqua"/>
          <w:b/>
          <w:bCs/>
        </w:rPr>
        <w:t>3.</w:t>
      </w:r>
      <w:r w:rsidRPr="00A171C9">
        <w:rPr>
          <w:rFonts w:ascii="Book Antiqua" w:hAnsi="Book Antiqua"/>
          <w:b/>
          <w:bCs/>
        </w:rPr>
        <w:t xml:space="preserve">2. </w:t>
      </w:r>
      <w:r w:rsidRPr="00A171C9">
        <w:rPr>
          <w:rFonts w:ascii="Book Antiqua" w:hAnsi="Book Antiqua"/>
        </w:rPr>
        <w:t xml:space="preserve">Dissection (a) and transection (b) of the </w:t>
      </w:r>
      <w:r w:rsidRPr="00A171C9">
        <w:rPr>
          <w:rFonts w:ascii="Book Antiqua" w:hAnsi="Book Antiqua"/>
          <w:i/>
          <w:iCs/>
        </w:rPr>
        <w:t xml:space="preserve">ramus communicans </w:t>
      </w:r>
      <w:r w:rsidRPr="00A171C9">
        <w:rPr>
          <w:rFonts w:ascii="Book Antiqua" w:hAnsi="Book Antiqua"/>
        </w:rPr>
        <w:t>of the fore limb of a horse, followed by transplantation of undifferentiated MSCs into the surrounding fascia (c). These procedures were performed with the horse standing.</w:t>
      </w:r>
    </w:p>
    <w:p w14:paraId="6837841B" w14:textId="77777777" w:rsidR="002729A9" w:rsidRDefault="002729A9" w:rsidP="00BC276E">
      <w:pPr>
        <w:spacing w:line="360" w:lineRule="auto"/>
        <w:jc w:val="both"/>
        <w:rPr>
          <w:rFonts w:ascii="Book Antiqua" w:hAnsi="Book Antiqua"/>
        </w:rPr>
      </w:pPr>
    </w:p>
    <w:p w14:paraId="34D3E244" w14:textId="77777777" w:rsidR="002729A9" w:rsidRPr="00BF6456" w:rsidRDefault="002729A9" w:rsidP="00BC276E">
      <w:pPr>
        <w:spacing w:line="360" w:lineRule="auto"/>
        <w:jc w:val="both"/>
        <w:rPr>
          <w:rFonts w:ascii="Book Antiqua" w:hAnsi="Book Antiqua"/>
        </w:rPr>
      </w:pPr>
    </w:p>
    <w:p w14:paraId="3F9C181B" w14:textId="77777777" w:rsidR="002729A9" w:rsidRPr="00BF6456" w:rsidRDefault="002729A9" w:rsidP="00BC276E">
      <w:pPr>
        <w:spacing w:line="360" w:lineRule="auto"/>
        <w:jc w:val="both"/>
        <w:rPr>
          <w:rFonts w:ascii="Book Antiqua" w:hAnsi="Book Antiqua"/>
        </w:rPr>
      </w:pPr>
      <w:r w:rsidRPr="00BF6456">
        <w:rPr>
          <w:rFonts w:ascii="Book Antiqua" w:hAnsi="Book Antiqua"/>
        </w:rPr>
        <w:t xml:space="preserve">3. </w:t>
      </w:r>
      <w:r w:rsidRPr="00BF6456">
        <w:rPr>
          <w:rFonts w:ascii="Book Antiqua" w:hAnsi="Book Antiqua"/>
          <w:u w:val="single"/>
        </w:rPr>
        <w:t>MSCs</w:t>
      </w:r>
      <w:r w:rsidRPr="00BF6456">
        <w:rPr>
          <w:rFonts w:ascii="Book Antiqua" w:hAnsi="Book Antiqua"/>
        </w:rPr>
        <w:t>.  Low passage (P1 to P4) bone marrow-derived MSCs previously cryopreserved from an allogeneic horse donor were used for cell expansion or for cell transplantation into the mares. These MSCs had been previously characterized, as described in the section of materials and methods of Chapter II (see “Demonstration of stemness on low passage equine MSCs from 7 donors”).</w:t>
      </w:r>
    </w:p>
    <w:p w14:paraId="62558FA2" w14:textId="77777777" w:rsidR="002729A9" w:rsidRPr="00BF6456" w:rsidRDefault="002729A9" w:rsidP="00BC276E">
      <w:pPr>
        <w:spacing w:line="360" w:lineRule="auto"/>
        <w:jc w:val="both"/>
        <w:rPr>
          <w:rFonts w:ascii="Book Antiqua" w:hAnsi="Book Antiqua"/>
        </w:rPr>
      </w:pPr>
    </w:p>
    <w:p w14:paraId="0774332A" w14:textId="77777777" w:rsidR="002729A9" w:rsidRPr="00BF6456" w:rsidRDefault="002729A9" w:rsidP="00BC276E">
      <w:pPr>
        <w:spacing w:line="360" w:lineRule="auto"/>
        <w:jc w:val="both"/>
        <w:rPr>
          <w:rFonts w:ascii="Book Antiqua" w:hAnsi="Book Antiqua"/>
          <w:u w:val="single"/>
        </w:rPr>
      </w:pPr>
      <w:r w:rsidRPr="00BF6456">
        <w:rPr>
          <w:rFonts w:ascii="Book Antiqua" w:hAnsi="Book Antiqua"/>
        </w:rPr>
        <w:t xml:space="preserve">4. </w:t>
      </w:r>
      <w:r w:rsidRPr="00BF6456">
        <w:rPr>
          <w:rFonts w:ascii="Book Antiqua" w:hAnsi="Book Antiqua"/>
          <w:u w:val="single"/>
        </w:rPr>
        <w:t>Schwann cell differentiation.</w:t>
      </w:r>
    </w:p>
    <w:p w14:paraId="0FDB88A9" w14:textId="77777777" w:rsidR="002729A9" w:rsidRPr="00BF6456" w:rsidRDefault="002729A9" w:rsidP="00BC276E">
      <w:pPr>
        <w:pStyle w:val="ColorfulList-Accent11"/>
        <w:spacing w:line="360" w:lineRule="auto"/>
        <w:ind w:left="0"/>
        <w:jc w:val="both"/>
        <w:rPr>
          <w:rFonts w:ascii="Book Antiqua" w:hAnsi="Book Antiqua"/>
        </w:rPr>
      </w:pPr>
      <w:r w:rsidRPr="00BF6456">
        <w:rPr>
          <w:rFonts w:ascii="Book Antiqua" w:hAnsi="Book Antiqua"/>
          <w:b/>
        </w:rPr>
        <w:t xml:space="preserve">a) Cell culture.  </w:t>
      </w:r>
      <w:r w:rsidRPr="00BF6456">
        <w:rPr>
          <w:rFonts w:ascii="Book Antiqua" w:hAnsi="Book Antiqua"/>
        </w:rPr>
        <w:t>Low passage (passage 1-5) equine MSCs were seeded at a cell density of 8 to 10x10</w:t>
      </w:r>
      <w:r w:rsidRPr="00BF6456">
        <w:rPr>
          <w:rFonts w:ascii="Book Antiqua" w:hAnsi="Book Antiqua"/>
          <w:vertAlign w:val="superscript"/>
        </w:rPr>
        <w:t>6</w:t>
      </w:r>
      <w:r w:rsidRPr="00BF6456">
        <w:rPr>
          <w:rFonts w:ascii="Book Antiqua" w:hAnsi="Book Antiqua"/>
        </w:rPr>
        <w:t xml:space="preserve"> into </w:t>
      </w:r>
      <w:r>
        <w:rPr>
          <w:rFonts w:ascii="Book Antiqua" w:hAnsi="Book Antiqua"/>
        </w:rPr>
        <w:t xml:space="preserve">100 mm </w:t>
      </w:r>
      <w:r w:rsidRPr="00BF6456">
        <w:rPr>
          <w:rFonts w:ascii="Book Antiqua" w:hAnsi="Book Antiqua"/>
        </w:rPr>
        <w:t>Primaria™ nitrogen-coated tissue culture dishes (Becton Dickinson Labware, Bedford, MA).  Cells were maintained in regular growth medium containing containing Dulbecco’s modified Eagle medium/Ham’s F-12 [(DMEM-F12), Cellgro™, Manassas, Virginia], 10% fetal bovine serum (FBS) and 1% penicillin/streptomycin, at 37 ° C and 5% CO</w:t>
      </w:r>
      <w:r w:rsidRPr="00BF6456">
        <w:rPr>
          <w:rFonts w:ascii="Book Antiqua" w:hAnsi="Book Antiqua"/>
          <w:vertAlign w:val="subscript"/>
        </w:rPr>
        <w:t>2</w:t>
      </w:r>
      <w:r w:rsidRPr="00BF6456">
        <w:rPr>
          <w:rFonts w:ascii="Book Antiqua" w:hAnsi="Book Antiqua"/>
        </w:rPr>
        <w:t>, for 48 h to allow attachment.  Neural differentiation was induced using a previously described method.</w:t>
      </w:r>
      <w:r w:rsidRPr="005360C7">
        <w:rPr>
          <w:rFonts w:ascii="Book Antiqua" w:hAnsi="Book Antiqua"/>
          <w:noProof/>
          <w:vertAlign w:val="superscript"/>
        </w:rPr>
        <w:t>12</w:t>
      </w:r>
      <w:r w:rsidRPr="00BF6456">
        <w:rPr>
          <w:rFonts w:ascii="Book Antiqua" w:hAnsi="Book Antiqua"/>
        </w:rPr>
        <w:t xml:space="preserve">  Briefly, the growth medium was removed and cells were pre-incubated with medium containing DMEM-F12, 20% FBS and 1 mM </w:t>
      </w:r>
      <w:r w:rsidRPr="00BF6456">
        <w:rPr>
          <w:color w:val="000000"/>
        </w:rPr>
        <w:t>β</w:t>
      </w:r>
      <w:r w:rsidRPr="00BF6456">
        <w:rPr>
          <w:rFonts w:ascii="Book Antiqua" w:hAnsi="Book Antiqua"/>
        </w:rPr>
        <w:t>-mercaptoethanol (Sigma-Aldrich®) at 37 °C and 5% CO</w:t>
      </w:r>
      <w:r w:rsidRPr="00BF6456">
        <w:rPr>
          <w:rFonts w:ascii="Book Antiqua" w:hAnsi="Book Antiqua"/>
          <w:vertAlign w:val="subscript"/>
        </w:rPr>
        <w:t>2</w:t>
      </w:r>
      <w:r w:rsidRPr="00BF6456">
        <w:rPr>
          <w:rFonts w:ascii="Book Antiqua" w:hAnsi="Book Antiqua"/>
        </w:rPr>
        <w:t>, for 18-24 h.  Subsequently, the cells were induced by the addition of the neural medium containing DMEM-F12, 10% FBS and 35 ng/mL all-</w:t>
      </w:r>
      <w:r w:rsidRPr="00BF6456">
        <w:rPr>
          <w:rFonts w:ascii="Book Antiqua" w:hAnsi="Book Antiqua"/>
          <w:i/>
        </w:rPr>
        <w:t>trans</w:t>
      </w:r>
      <w:r w:rsidRPr="00BF6456">
        <w:rPr>
          <w:rFonts w:ascii="Book Antiqua" w:hAnsi="Book Antiqua"/>
        </w:rPr>
        <w:t xml:space="preserve">-retinoic acid for 3 days.  </w:t>
      </w:r>
      <w:r>
        <w:rPr>
          <w:rFonts w:ascii="Book Antiqua" w:hAnsi="Book Antiqua"/>
        </w:rPr>
        <w:t>The medium was then replaced with</w:t>
      </w:r>
      <w:r w:rsidRPr="00BF6456">
        <w:rPr>
          <w:rFonts w:ascii="Book Antiqua" w:hAnsi="Book Antiqua"/>
        </w:rPr>
        <w:t xml:space="preserve"> DMEM-F12, 10%FBS and a cytokine cocktail containing: 5 </w:t>
      </w:r>
      <w:r w:rsidRPr="00BF6456">
        <w:rPr>
          <w:rFonts w:ascii="Noteworthy Bold" w:hAnsi="Noteworthy Bold" w:cs="Noteworthy Bold"/>
          <w:lang w:val="el-GR"/>
        </w:rPr>
        <w:t>μ</w:t>
      </w:r>
      <w:r w:rsidRPr="00BF6456">
        <w:rPr>
          <w:rFonts w:ascii="Book Antiqua" w:hAnsi="Book Antiqua"/>
        </w:rPr>
        <w:t>M forskolin, 200 ng/mL recombinant human heregulin-</w:t>
      </w:r>
      <w:r w:rsidRPr="00BF6456">
        <w:t>β</w:t>
      </w:r>
      <w:r w:rsidRPr="00BF6456">
        <w:rPr>
          <w:rFonts w:ascii="Book Antiqua" w:hAnsi="Book Antiqua"/>
        </w:rPr>
        <w:t>1 (HRG-</w:t>
      </w:r>
      <w:r w:rsidRPr="00BF6456">
        <w:t>β</w:t>
      </w:r>
      <w:r w:rsidRPr="00BF6456">
        <w:rPr>
          <w:rFonts w:ascii="Book Antiqua" w:hAnsi="Book Antiqua"/>
        </w:rPr>
        <w:t>1), 5 ng/mL platelet-derived growth factor, and 10 ng/mL recombinant human basic fibroblast growth factor (all reagents from Sigma-Aldrich®), for 7 days, replacing the medium every 72 h.</w:t>
      </w:r>
    </w:p>
    <w:p w14:paraId="741669EC" w14:textId="77777777" w:rsidR="002729A9" w:rsidRPr="00BF6456" w:rsidRDefault="002729A9" w:rsidP="00BC276E">
      <w:pPr>
        <w:pStyle w:val="ColorfulList-Accent11"/>
        <w:spacing w:line="360" w:lineRule="auto"/>
        <w:ind w:left="0"/>
        <w:jc w:val="both"/>
        <w:rPr>
          <w:rFonts w:ascii="Book Antiqua" w:hAnsi="Book Antiqua"/>
        </w:rPr>
      </w:pPr>
    </w:p>
    <w:p w14:paraId="1AEA7B39" w14:textId="77777777" w:rsidR="002729A9" w:rsidRPr="00BF6456" w:rsidRDefault="002729A9" w:rsidP="00BC276E">
      <w:pPr>
        <w:pStyle w:val="ColorfulList-Accent11"/>
        <w:spacing w:line="360" w:lineRule="auto"/>
        <w:ind w:left="0"/>
        <w:jc w:val="both"/>
        <w:rPr>
          <w:rFonts w:ascii="Book Antiqua" w:hAnsi="Book Antiqua"/>
        </w:rPr>
      </w:pPr>
      <w:r w:rsidRPr="00BF6456">
        <w:rPr>
          <w:rFonts w:ascii="Book Antiqua" w:hAnsi="Book Antiqua"/>
          <w:b/>
        </w:rPr>
        <w:t>b) Nuclear/cytoplasmic staining.</w:t>
      </w:r>
      <w:r w:rsidRPr="00BF6456">
        <w:rPr>
          <w:rFonts w:ascii="Book Antiqua" w:hAnsi="Book Antiqua"/>
        </w:rPr>
        <w:t xml:space="preserve">  Equine MSCs were seeded at a density of 8-10x10</w:t>
      </w:r>
      <w:r w:rsidRPr="00BF6456">
        <w:rPr>
          <w:rFonts w:ascii="Book Antiqua" w:hAnsi="Book Antiqua"/>
          <w:vertAlign w:val="superscript"/>
        </w:rPr>
        <w:t>6</w:t>
      </w:r>
      <w:r w:rsidRPr="00BF6456">
        <w:rPr>
          <w:rFonts w:ascii="Book Antiqua" w:hAnsi="Book Antiqua"/>
        </w:rPr>
        <w:t xml:space="preserve"> on </w:t>
      </w:r>
      <w:r>
        <w:rPr>
          <w:rFonts w:ascii="Book Antiqua" w:hAnsi="Book Antiqua"/>
        </w:rPr>
        <w:t xml:space="preserve">100 mm </w:t>
      </w:r>
      <w:r w:rsidRPr="00BF6456">
        <w:rPr>
          <w:rFonts w:ascii="Book Antiqua" w:hAnsi="Book Antiqua"/>
        </w:rPr>
        <w:t>Primaria™ nitrogen-coated tissue culture dishes and maintained in regular growth medium at 37 °C and 5% CO</w:t>
      </w:r>
      <w:r w:rsidRPr="00BF6456">
        <w:rPr>
          <w:rFonts w:ascii="Book Antiqua" w:hAnsi="Book Antiqua"/>
          <w:vertAlign w:val="subscript"/>
        </w:rPr>
        <w:t>2</w:t>
      </w:r>
      <w:r w:rsidRPr="00BF6456">
        <w:rPr>
          <w:rFonts w:ascii="Book Antiqua" w:hAnsi="Book Antiqua"/>
        </w:rPr>
        <w:t xml:space="preserve">, for 48 h to allow attachment.  After 48h when cells were 80-90% confluent they were chemically induced for Schwann cell differentiation as described above.  Undifferentiated MSCs (control) mentioned above were maintained with regular growth medium.  For cytoplasmic staining, Schwann-like cells and undifferentiated MSCs at 12 h were stained with 5 µg of WGA (wheat germ agglutinin, Alexa Fluor® 488 conjugate; Life Technologies™) for 10 min, at room temperature.  To stain the nucleus, cells were further washed and stained with 5 µg of TO-PRO®-3 iodide stain (Life Technologies™, Grand Island, NY) for 10 min, at room temperature.  After washing, the cells were mounted with Slowfade® Gold antifade reagent (Molecular Probes®, Grand Island, NY) and images were obtained with a laser scanning spectral confocal microscope (Leica TCS SP2; Leica Microsystems©, Wetzlar, Germany), at 20x and 63x magnification. </w:t>
      </w:r>
    </w:p>
    <w:p w14:paraId="3085F02E" w14:textId="77777777" w:rsidR="002729A9" w:rsidRPr="00BF6456" w:rsidRDefault="002729A9" w:rsidP="00BC276E">
      <w:pPr>
        <w:pStyle w:val="ColorfulList-Accent11"/>
        <w:spacing w:line="360" w:lineRule="auto"/>
        <w:ind w:left="0"/>
        <w:jc w:val="both"/>
        <w:rPr>
          <w:rFonts w:ascii="Book Antiqua" w:hAnsi="Book Antiqua"/>
        </w:rPr>
      </w:pPr>
    </w:p>
    <w:p w14:paraId="1D5BF093" w14:textId="77777777" w:rsidR="002729A9" w:rsidRPr="00BF6456" w:rsidRDefault="002729A9" w:rsidP="00BC276E">
      <w:pPr>
        <w:pStyle w:val="ColorfulList-Accent11"/>
        <w:spacing w:line="360" w:lineRule="auto"/>
        <w:ind w:left="0"/>
        <w:jc w:val="both"/>
        <w:rPr>
          <w:rFonts w:ascii="Book Antiqua" w:hAnsi="Book Antiqua"/>
        </w:rPr>
      </w:pPr>
      <w:r w:rsidRPr="00BF6456">
        <w:rPr>
          <w:rFonts w:ascii="Book Antiqua" w:hAnsi="Book Antiqua"/>
          <w:b/>
        </w:rPr>
        <w:t>c) Protein extraction and western blot.</w:t>
      </w:r>
      <w:r w:rsidRPr="00BF6456">
        <w:rPr>
          <w:rFonts w:ascii="Book Antiqua" w:hAnsi="Book Antiqua"/>
        </w:rPr>
        <w:t xml:space="preserve">  Total cell lysates were prepared from Schwann-like cells and undifferentiated MSCs at 12 h using standard protocols.  Cells on each dish were gently washed with HBSS buffer and collected via cell scraping.  To obtain total proteins in each sample, cells were lysed in 200 </w:t>
      </w:r>
      <w:r w:rsidRPr="00BF6456">
        <w:rPr>
          <w:rFonts w:ascii="Noteworthy Bold" w:hAnsi="Noteworthy Bold" w:cs="Noteworthy Bold"/>
          <w:lang w:val="el-GR"/>
        </w:rPr>
        <w:t>μ</w:t>
      </w:r>
      <w:r w:rsidRPr="00BF6456">
        <w:rPr>
          <w:rFonts w:ascii="Book Antiqua" w:hAnsi="Book Antiqua"/>
        </w:rPr>
        <w:t xml:space="preserve">L of RIPA buffer (Boston Bioproducts™, Ashland, MA), sonicated and supernatants containing total proteins were obtained by centrifugation.  Total proteins in each sample were quantitated and concentrations were obtained using BCA assay at 660nm (Pierce®, Thermo Scientific™).  Equal concentrations (20 </w:t>
      </w:r>
      <w:r w:rsidRPr="00BF6456">
        <w:rPr>
          <w:rFonts w:ascii="Noteworthy Bold" w:hAnsi="Noteworthy Bold" w:cs="Noteworthy Bold"/>
          <w:lang w:val="el-GR"/>
        </w:rPr>
        <w:t>μ</w:t>
      </w:r>
      <w:r w:rsidRPr="00BF6456">
        <w:rPr>
          <w:rFonts w:ascii="Book Antiqua" w:hAnsi="Book Antiqua"/>
        </w:rPr>
        <w:t>g per lane) of total proteins from Schwann cell-induced and undifferentiated MSCs were electrophoretically separated in a 12% acrylamide gel and transferred onto nitrocellulose membranes.  The membranes were blocked with 5% bovine serum albumin (BSA) and incubated with mouse anti-S-100</w:t>
      </w:r>
      <w:r w:rsidRPr="00BF6456">
        <w:rPr>
          <w:rFonts w:ascii="Book Antiqua" w:hAnsi="Book Antiqua"/>
          <w:lang w:val="el-GR"/>
        </w:rPr>
        <w:t>b (1:1000; BD Pharmingen</w:t>
      </w:r>
      <w:r w:rsidRPr="00BF6456">
        <w:rPr>
          <w:rFonts w:ascii="Book Antiqua" w:hAnsi="Book Antiqua"/>
        </w:rPr>
        <w:t>™</w:t>
      </w:r>
      <w:r w:rsidRPr="00BF6456">
        <w:rPr>
          <w:rFonts w:ascii="Book Antiqua" w:hAnsi="Book Antiqua"/>
          <w:lang w:val="el-GR"/>
        </w:rPr>
        <w:t>),</w:t>
      </w:r>
      <w:r w:rsidRPr="00BF6456">
        <w:rPr>
          <w:rFonts w:ascii="Book Antiqua" w:hAnsi="Book Antiqua"/>
        </w:rPr>
        <w:t xml:space="preserve"> mouse anti-</w:t>
      </w:r>
      <w:r w:rsidRPr="00BF6456">
        <w:t>β</w:t>
      </w:r>
      <w:r w:rsidRPr="00BF6456">
        <w:rPr>
          <w:rFonts w:ascii="Book Antiqua" w:hAnsi="Book Antiqua"/>
          <w:vertAlign w:val="subscript"/>
        </w:rPr>
        <w:t>3</w:t>
      </w:r>
      <w:r w:rsidRPr="00BF6456">
        <w:rPr>
          <w:rFonts w:ascii="Book Antiqua" w:hAnsi="Book Antiqua"/>
        </w:rPr>
        <w:t xml:space="preserve"> tubulin (1:1000; Santa Cruz™) and mouse anti-GFAP (1:1000; BD Pharmingen™).  HRP goat anti-mouse IgG (1:5000; BD Pharmingen™) was used as the secondary antibody.  Antigen detection was performed after exposure to ECL-2 reagent (Pierce®, Thermo Scientific™).  Beta actin was used as a loading control.</w:t>
      </w:r>
    </w:p>
    <w:p w14:paraId="6B290566" w14:textId="77777777" w:rsidR="002729A9" w:rsidRPr="00BF6456" w:rsidRDefault="002729A9" w:rsidP="00BC276E">
      <w:pPr>
        <w:spacing w:line="360" w:lineRule="auto"/>
        <w:jc w:val="both"/>
        <w:rPr>
          <w:rFonts w:ascii="Book Antiqua" w:hAnsi="Book Antiqua"/>
        </w:rPr>
      </w:pPr>
    </w:p>
    <w:p w14:paraId="1FC11DA2" w14:textId="77777777" w:rsidR="002729A9" w:rsidRPr="00BF6456" w:rsidRDefault="002729A9" w:rsidP="00BC276E">
      <w:pPr>
        <w:pStyle w:val="ListParagraph"/>
        <w:spacing w:line="360" w:lineRule="auto"/>
        <w:ind w:left="0"/>
        <w:jc w:val="both"/>
        <w:rPr>
          <w:rFonts w:ascii="Book Antiqua" w:hAnsi="Book Antiqua"/>
        </w:rPr>
      </w:pPr>
      <w:r w:rsidRPr="00BF6456">
        <w:rPr>
          <w:rFonts w:ascii="Book Antiqua" w:hAnsi="Book Antiqua"/>
          <w:b/>
        </w:rPr>
        <w:t>d) Immunofluorescence (IF).</w:t>
      </w:r>
      <w:r w:rsidRPr="00BF6456">
        <w:rPr>
          <w:rFonts w:ascii="Book Antiqua" w:hAnsi="Book Antiqua"/>
        </w:rPr>
        <w:t xml:space="preserve">  Low passage (P1-P5) MSCs from young and middle-aged horse were seeded at a density of 8 to 10x10</w:t>
      </w:r>
      <w:r w:rsidRPr="00BF6456">
        <w:rPr>
          <w:rFonts w:ascii="Book Antiqua" w:hAnsi="Book Antiqua"/>
          <w:vertAlign w:val="superscript"/>
        </w:rPr>
        <w:t>6</w:t>
      </w:r>
      <w:r w:rsidRPr="00BF6456">
        <w:rPr>
          <w:rFonts w:ascii="Book Antiqua" w:hAnsi="Book Antiqua"/>
        </w:rPr>
        <w:t xml:space="preserve"> cells on </w:t>
      </w:r>
      <w:r>
        <w:rPr>
          <w:rFonts w:ascii="Book Antiqua" w:hAnsi="Book Antiqua"/>
        </w:rPr>
        <w:t xml:space="preserve">100 mm </w:t>
      </w:r>
      <w:r w:rsidRPr="00BF6456">
        <w:rPr>
          <w:rFonts w:ascii="Book Antiqua" w:hAnsi="Book Antiqua"/>
        </w:rPr>
        <w:t>Primaria™ nitrogen-coated tissue culture dishes and maintained in growth medium at 37 °C and 5% CO</w:t>
      </w:r>
      <w:r w:rsidRPr="00BF6456">
        <w:rPr>
          <w:rFonts w:ascii="Book Antiqua" w:hAnsi="Book Antiqua"/>
          <w:vertAlign w:val="subscript"/>
        </w:rPr>
        <w:t>2</w:t>
      </w:r>
      <w:r w:rsidRPr="00BF6456">
        <w:rPr>
          <w:rFonts w:ascii="Book Antiqua" w:hAnsi="Book Antiqua"/>
        </w:rPr>
        <w:t>, for at least 48 h to allow attachment.  When cells were 80-90% confluent they were chemically induced for neural differentiation as described above.   Undifferentiated MSCs used as controls were maintained with regular growth medium.  Schwann cell-induced and undifferentiated MSCs were fixed with 4% paraformaldehyde, permeabilized with 0.1% Triton X-100 (Sigma®) for 10 min, at room temperature, and blocked with 5% normal serum for 30 min, at room temperature.  Cells were washed and incubated overnight with 5 µg/dish of primary antibodies against S-100b (BD Pharmingen™) and GFAP (BD Pharmingen™), at 4 °C.  After washing with HBSS buffer, cells were incubated with the secondary antibody (Alexa Fluor® 647 donkey anti-mouse IgG at 5 µg per dish; BD Pharmingen™) for 20 min, at room temperature.  The cells were mounted with Slowfade® Gold antifade with DAPI reagent (Molecular Probes™) and images were obtained with a laser scanning spectral confocal microscope (Leica TCS SP2; Leica Microsystems©, Wetzlar, Germany).</w:t>
      </w:r>
    </w:p>
    <w:p w14:paraId="4E9A81D4" w14:textId="77777777" w:rsidR="002729A9" w:rsidRPr="00BF6456" w:rsidRDefault="002729A9" w:rsidP="00BC276E">
      <w:pPr>
        <w:spacing w:line="360" w:lineRule="auto"/>
        <w:jc w:val="both"/>
        <w:rPr>
          <w:rFonts w:ascii="Book Antiqua" w:hAnsi="Book Antiqua"/>
        </w:rPr>
      </w:pPr>
    </w:p>
    <w:p w14:paraId="187381C7" w14:textId="77777777" w:rsidR="002729A9" w:rsidRPr="00BF6456" w:rsidRDefault="002729A9" w:rsidP="00BC276E">
      <w:pPr>
        <w:spacing w:line="360" w:lineRule="auto"/>
        <w:jc w:val="both"/>
        <w:rPr>
          <w:rFonts w:ascii="Book Antiqua" w:hAnsi="Book Antiqua"/>
        </w:rPr>
      </w:pPr>
    </w:p>
    <w:p w14:paraId="22466804" w14:textId="77777777" w:rsidR="002729A9" w:rsidRPr="00BF6456" w:rsidRDefault="002729A9" w:rsidP="008F3D95">
      <w:pPr>
        <w:spacing w:line="360" w:lineRule="auto"/>
        <w:jc w:val="both"/>
        <w:rPr>
          <w:rFonts w:ascii="Book Antiqua" w:hAnsi="Book Antiqua"/>
          <w:i/>
        </w:rPr>
      </w:pPr>
      <w:r w:rsidRPr="00BF6456">
        <w:rPr>
          <w:rFonts w:ascii="Book Antiqua" w:hAnsi="Book Antiqua"/>
        </w:rPr>
        <w:t xml:space="preserve">5. </w:t>
      </w:r>
      <w:r w:rsidRPr="00BF6456">
        <w:rPr>
          <w:rFonts w:ascii="Book Antiqua" w:hAnsi="Book Antiqua"/>
          <w:u w:val="single"/>
        </w:rPr>
        <w:t>Histological analysis of nerve tissue</w:t>
      </w:r>
      <w:r w:rsidRPr="00BF6456">
        <w:rPr>
          <w:rFonts w:ascii="Book Antiqua" w:hAnsi="Book Antiqua"/>
        </w:rPr>
        <w:t xml:space="preserve">.  The central portion the </w:t>
      </w:r>
      <w:r w:rsidRPr="00BF6456">
        <w:rPr>
          <w:rFonts w:ascii="Book Antiqua" w:hAnsi="Book Antiqua"/>
          <w:i/>
        </w:rPr>
        <w:t>ramus communicans</w:t>
      </w:r>
      <w:r w:rsidRPr="00BF6456">
        <w:rPr>
          <w:rFonts w:ascii="Book Antiqua" w:hAnsi="Book Antiqua"/>
        </w:rPr>
        <w:t xml:space="preserve"> transected from bo</w:t>
      </w:r>
      <w:r>
        <w:rPr>
          <w:rFonts w:ascii="Book Antiqua" w:hAnsi="Book Antiqua"/>
        </w:rPr>
        <w:t>th fore limbs of each horse (n=3</w:t>
      </w:r>
      <w:r w:rsidRPr="00BF6456">
        <w:rPr>
          <w:rFonts w:ascii="Book Antiqua" w:hAnsi="Book Antiqua"/>
        </w:rPr>
        <w:t xml:space="preserve">) during the first surgery was placed on </w:t>
      </w:r>
      <w:r>
        <w:rPr>
          <w:rFonts w:ascii="Book Antiqua" w:hAnsi="Book Antiqua"/>
        </w:rPr>
        <w:t xml:space="preserve">Carson’s fixative </w:t>
      </w:r>
      <w:r w:rsidRPr="00BF6456">
        <w:rPr>
          <w:rFonts w:ascii="Book Antiqua" w:hAnsi="Book Antiqua"/>
        </w:rPr>
        <w:t>for histological analyses.</w:t>
      </w:r>
      <w:r>
        <w:rPr>
          <w:rFonts w:ascii="Book Antiqua" w:hAnsi="Book Antiqua"/>
        </w:rPr>
        <w:t xml:space="preserve"> Approximately 45 days after cell transplantation, the whole nerve was collected from both fore limbs on these horses placed on Carson’s fixative for histological analyses.</w:t>
      </w:r>
      <w:r w:rsidRPr="00BF6456">
        <w:rPr>
          <w:rFonts w:ascii="Book Antiqua" w:hAnsi="Book Antiqua"/>
        </w:rPr>
        <w:t xml:space="preserve"> </w:t>
      </w:r>
    </w:p>
    <w:p w14:paraId="02112831" w14:textId="77777777" w:rsidR="002729A9" w:rsidRPr="00BF6456" w:rsidRDefault="002729A9" w:rsidP="00BC276E">
      <w:pPr>
        <w:spacing w:line="360" w:lineRule="auto"/>
        <w:ind w:firstLine="720"/>
        <w:jc w:val="both"/>
        <w:rPr>
          <w:rFonts w:ascii="Book Antiqua" w:hAnsi="Book Antiqua"/>
        </w:rPr>
      </w:pPr>
    </w:p>
    <w:p w14:paraId="673F7EE5" w14:textId="77777777" w:rsidR="002729A9" w:rsidRPr="00BF6456" w:rsidRDefault="002729A9" w:rsidP="00BC276E">
      <w:pPr>
        <w:spacing w:line="360" w:lineRule="auto"/>
        <w:ind w:firstLine="720"/>
        <w:jc w:val="both"/>
        <w:rPr>
          <w:rFonts w:ascii="Book Antiqua" w:hAnsi="Book Antiqua"/>
        </w:rPr>
      </w:pPr>
    </w:p>
    <w:p w14:paraId="09F3FFA6" w14:textId="77777777" w:rsidR="002729A9" w:rsidRPr="002A1FDC" w:rsidRDefault="002729A9" w:rsidP="00BC276E">
      <w:pPr>
        <w:pStyle w:val="Heading2"/>
      </w:pPr>
      <w:bookmarkStart w:id="48" w:name="_Toc274387739"/>
      <w:r w:rsidRPr="002A1FDC">
        <w:t>Results</w:t>
      </w:r>
      <w:bookmarkEnd w:id="48"/>
    </w:p>
    <w:p w14:paraId="70A32F5C" w14:textId="77777777" w:rsidR="002729A9" w:rsidRPr="00BF6456" w:rsidRDefault="002729A9" w:rsidP="00BC276E">
      <w:pPr>
        <w:spacing w:line="360" w:lineRule="auto"/>
        <w:jc w:val="both"/>
        <w:rPr>
          <w:rFonts w:ascii="Book Antiqua" w:hAnsi="Book Antiqua"/>
        </w:rPr>
      </w:pPr>
    </w:p>
    <w:p w14:paraId="3F5CD522" w14:textId="77777777" w:rsidR="002729A9" w:rsidRPr="00BF6456" w:rsidRDefault="002729A9" w:rsidP="00BC276E">
      <w:pPr>
        <w:pStyle w:val="ListParagraph"/>
        <w:numPr>
          <w:ilvl w:val="3"/>
          <w:numId w:val="3"/>
        </w:numPr>
        <w:spacing w:line="360" w:lineRule="auto"/>
        <w:ind w:firstLine="0"/>
        <w:jc w:val="both"/>
        <w:rPr>
          <w:rFonts w:ascii="Book Antiqua" w:hAnsi="Book Antiqua"/>
          <w:u w:val="single"/>
        </w:rPr>
      </w:pPr>
      <w:r w:rsidRPr="00BF6456">
        <w:rPr>
          <w:rFonts w:ascii="Book Antiqua" w:hAnsi="Book Antiqua"/>
        </w:rPr>
        <w:t xml:space="preserve"> </w:t>
      </w:r>
      <w:r w:rsidRPr="00BF6456">
        <w:rPr>
          <w:rFonts w:ascii="Book Antiqua" w:hAnsi="Book Antiqua"/>
          <w:u w:val="single"/>
        </w:rPr>
        <w:t xml:space="preserve">Schwann cell differentiation </w:t>
      </w:r>
    </w:p>
    <w:p w14:paraId="676944CD" w14:textId="77777777" w:rsidR="002729A9" w:rsidRPr="00BF6456" w:rsidRDefault="002729A9" w:rsidP="00BC276E">
      <w:pPr>
        <w:autoSpaceDE w:val="0"/>
        <w:autoSpaceDN w:val="0"/>
        <w:adjustRightInd w:val="0"/>
        <w:spacing w:line="360" w:lineRule="auto"/>
        <w:jc w:val="both"/>
        <w:rPr>
          <w:rFonts w:ascii="Book Antiqua" w:hAnsi="Book Antiqua"/>
        </w:rPr>
      </w:pPr>
      <w:r w:rsidRPr="00BF6456">
        <w:rPr>
          <w:rFonts w:ascii="Book Antiqua" w:hAnsi="Book Antiqua"/>
          <w:b/>
        </w:rPr>
        <w:t>Schwann-like cell morphology.</w:t>
      </w:r>
      <w:r w:rsidRPr="00BF6456">
        <w:rPr>
          <w:rFonts w:ascii="Book Antiqua" w:hAnsi="Book Antiqua"/>
        </w:rPr>
        <w:t xml:space="preserve">  For better visualization, fluorescence microscopy was used to show the integrity of nucleus and cytoplasm on the cells. </w:t>
      </w:r>
      <w:r w:rsidRPr="00BF6456">
        <w:rPr>
          <w:rFonts w:ascii="Book Antiqua" w:hAnsi="Book Antiqua"/>
          <w:color w:val="333333"/>
          <w:lang w:val="en"/>
        </w:rPr>
        <w:t xml:space="preserve">TO-PRO®-3 stain, the most sensitive probe for nucleic acid detection, along with WGA, specific to the cell membrane, were used to demonstrate the nucleus and the cytoplasmic structure of the Schwann-like cells. </w:t>
      </w:r>
      <w:r w:rsidRPr="00BF6456">
        <w:rPr>
          <w:rFonts w:ascii="Book Antiqua" w:hAnsi="Book Antiqua"/>
        </w:rPr>
        <w:t xml:space="preserve"> Low passage MSCs from young and middle-aged horses were capable of adopting a Schwann-like morphology 7 days after chemical induction. The cells elongated until they displayed spindle-shape morphology and one or 2 cell processes appeared (</w:t>
      </w:r>
      <w:r w:rsidRPr="00BF6456">
        <w:rPr>
          <w:rFonts w:ascii="Book Antiqua" w:hAnsi="Book Antiqua"/>
          <w:b/>
        </w:rPr>
        <w:t xml:space="preserve">Figures </w:t>
      </w:r>
      <w:r>
        <w:rPr>
          <w:rFonts w:ascii="Book Antiqua" w:hAnsi="Book Antiqua"/>
          <w:b/>
        </w:rPr>
        <w:t>3.</w:t>
      </w:r>
      <w:r w:rsidRPr="00BF6456">
        <w:rPr>
          <w:rFonts w:ascii="Book Antiqua" w:hAnsi="Book Antiqua"/>
          <w:b/>
        </w:rPr>
        <w:t xml:space="preserve">3 and </w:t>
      </w:r>
      <w:r>
        <w:rPr>
          <w:rFonts w:ascii="Book Antiqua" w:hAnsi="Book Antiqua"/>
          <w:b/>
        </w:rPr>
        <w:t>3.</w:t>
      </w:r>
      <w:r w:rsidRPr="00BF6456">
        <w:rPr>
          <w:rFonts w:ascii="Book Antiqua" w:hAnsi="Book Antiqua"/>
          <w:b/>
        </w:rPr>
        <w:t>4</w:t>
      </w:r>
      <w:r w:rsidRPr="00BF6456">
        <w:rPr>
          <w:rFonts w:ascii="Book Antiqua" w:hAnsi="Book Antiqua"/>
        </w:rPr>
        <w:t>).  At 4 days of chemical induction, some of these cells began displaying this morphology, but at 7 days, most of the cells were as described.  Moreover, these cells seemed to grow in a “whorl-like” pattern.  Undifferentiated controls had the typical fibroblastic appearance of a MSC.   No differences were microscopically obse</w:t>
      </w:r>
      <w:r>
        <w:rPr>
          <w:rFonts w:ascii="Book Antiqua" w:hAnsi="Book Antiqua"/>
        </w:rPr>
        <w:t>rved in the phenotypic</w:t>
      </w:r>
      <w:r w:rsidRPr="00BF6456">
        <w:rPr>
          <w:rFonts w:ascii="Book Antiqua" w:hAnsi="Book Antiqua"/>
        </w:rPr>
        <w:t xml:space="preserve"> characteristics of Schwann-like cells between young and middle-aged horses. Subjectively, approximately 80% of the cells had acquired a Schwann cell phenotype at 7 days after chemical induction.</w:t>
      </w:r>
    </w:p>
    <w:p w14:paraId="4C81694E" w14:textId="77777777" w:rsidR="002729A9" w:rsidRPr="00BF6456" w:rsidRDefault="002729A9" w:rsidP="00BC276E">
      <w:pPr>
        <w:autoSpaceDE w:val="0"/>
        <w:autoSpaceDN w:val="0"/>
        <w:adjustRightInd w:val="0"/>
        <w:spacing w:line="360" w:lineRule="auto"/>
        <w:jc w:val="both"/>
        <w:rPr>
          <w:rFonts w:ascii="Book Antiqua" w:hAnsi="Book Antiqua"/>
        </w:rPr>
      </w:pPr>
    </w:p>
    <w:p w14:paraId="1BB1A057" w14:textId="77777777" w:rsidR="002729A9" w:rsidRPr="00BF6456" w:rsidRDefault="002729A9" w:rsidP="00BC276E">
      <w:pPr>
        <w:spacing w:line="360" w:lineRule="auto"/>
        <w:jc w:val="both"/>
        <w:rPr>
          <w:rFonts w:ascii="Book Antiqua" w:hAnsi="Book Antiqua"/>
        </w:rPr>
      </w:pPr>
      <w:r>
        <w:rPr>
          <w:rFonts w:ascii="Book Antiqua" w:hAnsi="Book Antiqua"/>
          <w:noProof/>
        </w:rPr>
        <w:drawing>
          <wp:inline distT="0" distB="0" distL="0" distR="0" wp14:anchorId="72CE6B00" wp14:editId="73EBE2F2">
            <wp:extent cx="5372100" cy="2204824"/>
            <wp:effectExtent l="0" t="0" r="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jpg"/>
                    <pic:cNvPicPr/>
                  </pic:nvPicPr>
                  <pic:blipFill>
                    <a:blip r:embed="rId25">
                      <a:extLst>
                        <a:ext uri="{28A0092B-C50C-407E-A947-70E740481C1C}">
                          <a14:useLocalDpi xmlns:a14="http://schemas.microsoft.com/office/drawing/2010/main" val="0"/>
                        </a:ext>
                      </a:extLst>
                    </a:blip>
                    <a:stretch>
                      <a:fillRect/>
                    </a:stretch>
                  </pic:blipFill>
                  <pic:spPr>
                    <a:xfrm>
                      <a:off x="0" y="0"/>
                      <a:ext cx="5372100" cy="2204824"/>
                    </a:xfrm>
                    <a:prstGeom prst="rect">
                      <a:avLst/>
                    </a:prstGeom>
                  </pic:spPr>
                </pic:pic>
              </a:graphicData>
            </a:graphic>
          </wp:inline>
        </w:drawing>
      </w:r>
    </w:p>
    <w:p w14:paraId="0860FCA1" w14:textId="77777777" w:rsidR="002729A9" w:rsidRPr="00A171C9" w:rsidRDefault="002729A9" w:rsidP="00A171C9">
      <w:pPr>
        <w:spacing w:line="360" w:lineRule="auto"/>
        <w:jc w:val="both"/>
        <w:rPr>
          <w:rFonts w:ascii="Book Antiqua" w:hAnsi="Book Antiqua"/>
          <w:lang w:val="en-GB"/>
        </w:rPr>
      </w:pPr>
      <w:r>
        <w:rPr>
          <w:rFonts w:ascii="Book Antiqua" w:hAnsi="Book Antiqua"/>
          <w:b/>
          <w:bCs/>
        </w:rPr>
        <w:t>Figure</w:t>
      </w:r>
      <w:r w:rsidRPr="00A171C9">
        <w:rPr>
          <w:rFonts w:ascii="Book Antiqua" w:hAnsi="Book Antiqua"/>
          <w:b/>
          <w:bCs/>
        </w:rPr>
        <w:t xml:space="preserve"> </w:t>
      </w:r>
      <w:r>
        <w:rPr>
          <w:rFonts w:ascii="Book Antiqua" w:hAnsi="Book Antiqua"/>
          <w:b/>
          <w:bCs/>
        </w:rPr>
        <w:t>3.</w:t>
      </w:r>
      <w:r w:rsidRPr="00A171C9">
        <w:rPr>
          <w:rFonts w:ascii="Book Antiqua" w:hAnsi="Book Antiqua"/>
          <w:b/>
          <w:bCs/>
        </w:rPr>
        <w:t xml:space="preserve">3. </w:t>
      </w:r>
      <w:r w:rsidRPr="00A171C9">
        <w:rPr>
          <w:rFonts w:ascii="Book Antiqua" w:hAnsi="Book Antiqua"/>
        </w:rPr>
        <w:t>Phase-contrast microscopy of Schwann-like cells (black arrows) from P2 of young (</w:t>
      </w:r>
      <w:r w:rsidRPr="00A171C9">
        <w:rPr>
          <w:rFonts w:ascii="Book Antiqua" w:hAnsi="Book Antiqua"/>
          <w:b/>
          <w:bCs/>
        </w:rPr>
        <w:t>a</w:t>
      </w:r>
      <w:r w:rsidRPr="00A171C9">
        <w:rPr>
          <w:rFonts w:ascii="Book Antiqua" w:hAnsi="Book Antiqua"/>
        </w:rPr>
        <w:t>) and middle-aged (</w:t>
      </w:r>
      <w:r w:rsidRPr="00A171C9">
        <w:rPr>
          <w:rFonts w:ascii="Book Antiqua" w:hAnsi="Book Antiqua"/>
          <w:b/>
          <w:bCs/>
        </w:rPr>
        <w:t>b</w:t>
      </w:r>
      <w:r w:rsidRPr="00A171C9">
        <w:rPr>
          <w:rFonts w:ascii="Book Antiqua" w:hAnsi="Book Antiqua"/>
        </w:rPr>
        <w:t>) horses 7 days after differentiation. Note the elongation of the cell body and the appearance of one or multiple cell processes. Magnification, 40x</w:t>
      </w:r>
    </w:p>
    <w:p w14:paraId="0BC869DC" w14:textId="77777777" w:rsidR="002729A9" w:rsidRDefault="002729A9" w:rsidP="00BC276E">
      <w:pPr>
        <w:spacing w:line="360" w:lineRule="auto"/>
        <w:jc w:val="both"/>
        <w:rPr>
          <w:rFonts w:ascii="Book Antiqua" w:hAnsi="Book Antiqua"/>
        </w:rPr>
      </w:pPr>
    </w:p>
    <w:p w14:paraId="2291C755" w14:textId="77777777" w:rsidR="002729A9" w:rsidRDefault="002729A9" w:rsidP="00BC276E">
      <w:pPr>
        <w:spacing w:line="360" w:lineRule="auto"/>
        <w:jc w:val="both"/>
        <w:rPr>
          <w:rFonts w:ascii="Book Antiqua" w:hAnsi="Book Antiqua"/>
        </w:rPr>
      </w:pPr>
      <w:r>
        <w:rPr>
          <w:rFonts w:ascii="Book Antiqua" w:hAnsi="Book Antiqua"/>
          <w:noProof/>
        </w:rPr>
        <w:drawing>
          <wp:inline distT="0" distB="0" distL="0" distR="0" wp14:anchorId="3B6E592C" wp14:editId="135FBF2F">
            <wp:extent cx="2971800" cy="236815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jpg"/>
                    <pic:cNvPicPr/>
                  </pic:nvPicPr>
                  <pic:blipFill>
                    <a:blip r:embed="rId26">
                      <a:extLst>
                        <a:ext uri="{28A0092B-C50C-407E-A947-70E740481C1C}">
                          <a14:useLocalDpi xmlns:a14="http://schemas.microsoft.com/office/drawing/2010/main" val="0"/>
                        </a:ext>
                      </a:extLst>
                    </a:blip>
                    <a:stretch>
                      <a:fillRect/>
                    </a:stretch>
                  </pic:blipFill>
                  <pic:spPr>
                    <a:xfrm>
                      <a:off x="0" y="0"/>
                      <a:ext cx="2972471" cy="2368688"/>
                    </a:xfrm>
                    <a:prstGeom prst="rect">
                      <a:avLst/>
                    </a:prstGeom>
                  </pic:spPr>
                </pic:pic>
              </a:graphicData>
            </a:graphic>
          </wp:inline>
        </w:drawing>
      </w:r>
    </w:p>
    <w:p w14:paraId="4D98DA60" w14:textId="77777777" w:rsidR="002729A9" w:rsidRPr="00A171C9" w:rsidRDefault="002729A9" w:rsidP="00BC276E">
      <w:pPr>
        <w:spacing w:line="360" w:lineRule="auto"/>
        <w:jc w:val="both"/>
        <w:rPr>
          <w:rFonts w:ascii="Book Antiqua" w:hAnsi="Book Antiqua"/>
          <w:lang w:val="en-GB"/>
        </w:rPr>
      </w:pPr>
      <w:r>
        <w:rPr>
          <w:rFonts w:ascii="Book Antiqua" w:hAnsi="Book Antiqua"/>
          <w:b/>
          <w:bCs/>
        </w:rPr>
        <w:t>Figure</w:t>
      </w:r>
      <w:r w:rsidRPr="00A171C9">
        <w:rPr>
          <w:rFonts w:ascii="Book Antiqua" w:hAnsi="Book Antiqua"/>
          <w:b/>
          <w:bCs/>
        </w:rPr>
        <w:t xml:space="preserve"> </w:t>
      </w:r>
      <w:r>
        <w:rPr>
          <w:rFonts w:ascii="Book Antiqua" w:hAnsi="Book Antiqua"/>
          <w:b/>
          <w:bCs/>
        </w:rPr>
        <w:t>3.</w:t>
      </w:r>
      <w:r w:rsidRPr="00A171C9">
        <w:rPr>
          <w:rFonts w:ascii="Book Antiqua" w:hAnsi="Book Antiqua"/>
          <w:b/>
          <w:bCs/>
        </w:rPr>
        <w:t xml:space="preserve">4. </w:t>
      </w:r>
      <w:r w:rsidRPr="00A171C9">
        <w:rPr>
          <w:rFonts w:ascii="Book Antiqua" w:hAnsi="Book Antiqua"/>
        </w:rPr>
        <w:t>WGA cytoplasmic and To-Pro-3-iodide nuclear fluorescent stains showing the integrity of Schwann-like cells from P2 of a middle-aged horse 7 days after differentiation. Magnification, 20x; scale bar 100</w:t>
      </w:r>
      <w:r w:rsidRPr="00A171C9">
        <w:rPr>
          <w:rFonts w:ascii="Book Antiqua" w:hAnsi="Book Antiqua"/>
          <w:lang w:val="el-GR"/>
        </w:rPr>
        <w:t xml:space="preserve"> </w:t>
      </w:r>
      <w:r w:rsidRPr="00A171C9">
        <w:rPr>
          <w:rFonts w:ascii="Noteworthy Bold" w:hAnsi="Noteworthy Bold" w:cs="Noteworthy Bold"/>
          <w:lang w:val="el-GR"/>
        </w:rPr>
        <w:t>μ</w:t>
      </w:r>
      <w:r w:rsidRPr="00A171C9">
        <w:rPr>
          <w:rFonts w:ascii="Book Antiqua" w:hAnsi="Book Antiqua"/>
        </w:rPr>
        <w:t>m.</w:t>
      </w:r>
    </w:p>
    <w:p w14:paraId="7BFE6E30" w14:textId="77777777" w:rsidR="002729A9" w:rsidRPr="00BF6456" w:rsidRDefault="002729A9" w:rsidP="00BC276E">
      <w:pPr>
        <w:spacing w:line="360" w:lineRule="auto"/>
        <w:jc w:val="both"/>
        <w:rPr>
          <w:rFonts w:ascii="Book Antiqua" w:hAnsi="Book Antiqua"/>
        </w:rPr>
      </w:pPr>
      <w:r w:rsidRPr="00BF6456">
        <w:rPr>
          <w:rFonts w:ascii="Book Antiqua" w:hAnsi="Book Antiqua"/>
          <w:b/>
        </w:rPr>
        <w:t>Expression of Schwann cell markers.</w:t>
      </w:r>
      <w:r w:rsidRPr="00BF6456">
        <w:rPr>
          <w:rFonts w:ascii="Book Antiqua" w:hAnsi="Book Antiqua"/>
        </w:rPr>
        <w:t xml:space="preserve">  The expression of S-100b and GFAP was confirmed by IF in Schwann-like cells from young and middle-aged horses (</w:t>
      </w:r>
      <w:r w:rsidRPr="00BF6456">
        <w:rPr>
          <w:rFonts w:ascii="Book Antiqua" w:hAnsi="Book Antiqua"/>
          <w:b/>
        </w:rPr>
        <w:t xml:space="preserve">Figure </w:t>
      </w:r>
      <w:r>
        <w:rPr>
          <w:rFonts w:ascii="Book Antiqua" w:hAnsi="Book Antiqua"/>
          <w:b/>
        </w:rPr>
        <w:t>3.</w:t>
      </w:r>
      <w:r w:rsidRPr="00BF6456">
        <w:rPr>
          <w:rFonts w:ascii="Book Antiqua" w:hAnsi="Book Antiqua"/>
          <w:b/>
        </w:rPr>
        <w:t>5</w:t>
      </w:r>
      <w:r w:rsidRPr="00BF6456">
        <w:rPr>
          <w:rFonts w:ascii="Book Antiqua" w:hAnsi="Book Antiqua"/>
        </w:rPr>
        <w:t xml:space="preserve">). Immunoblot analysis via western blot also demonstrated the expression of S-100b, GFAP and </w:t>
      </w:r>
      <w:r w:rsidRPr="00BF6456">
        <w:t>β</w:t>
      </w:r>
      <w:r w:rsidRPr="00BF6456">
        <w:rPr>
          <w:rFonts w:ascii="Book Antiqua" w:hAnsi="Book Antiqua"/>
          <w:vertAlign w:val="subscript"/>
        </w:rPr>
        <w:t>3</w:t>
      </w:r>
      <w:r w:rsidRPr="00BF6456">
        <w:rPr>
          <w:rFonts w:ascii="Book Antiqua" w:hAnsi="Book Antiqua"/>
        </w:rPr>
        <w:t xml:space="preserve"> tubulin on these Schwann-like cells. As reported in our previous work (see Chapter II), undifferentiated cells generated from young and middle-aged horses also expressed GFAP, suggesting that the ability of MSCs to differentiate into other cell lineages goes beyond of mesodermal lineages. The expres</w:t>
      </w:r>
      <w:r>
        <w:rPr>
          <w:rFonts w:ascii="Book Antiqua" w:hAnsi="Book Antiqua"/>
        </w:rPr>
        <w:t>sion of S-100b was not evident i</w:t>
      </w:r>
      <w:r w:rsidRPr="00BF6456">
        <w:rPr>
          <w:rFonts w:ascii="Book Antiqua" w:hAnsi="Book Antiqua"/>
        </w:rPr>
        <w:t>n undifferentiated MSCs (</w:t>
      </w:r>
      <w:r w:rsidRPr="00BF6456">
        <w:rPr>
          <w:rFonts w:ascii="Book Antiqua" w:hAnsi="Book Antiqua"/>
          <w:b/>
        </w:rPr>
        <w:t xml:space="preserve">Figure </w:t>
      </w:r>
      <w:r>
        <w:rPr>
          <w:rFonts w:ascii="Book Antiqua" w:hAnsi="Book Antiqua"/>
          <w:b/>
        </w:rPr>
        <w:t>3.</w:t>
      </w:r>
      <w:r w:rsidRPr="00BF6456">
        <w:rPr>
          <w:rFonts w:ascii="Book Antiqua" w:hAnsi="Book Antiqua"/>
          <w:b/>
        </w:rPr>
        <w:t>6</w:t>
      </w:r>
      <w:r w:rsidRPr="00BF6456">
        <w:rPr>
          <w:rFonts w:ascii="Book Antiqua" w:hAnsi="Book Antiqua"/>
        </w:rPr>
        <w:t>).</w:t>
      </w:r>
    </w:p>
    <w:p w14:paraId="6AD6150E" w14:textId="77777777" w:rsidR="002729A9" w:rsidRPr="00BF6456" w:rsidRDefault="002729A9" w:rsidP="00BC276E">
      <w:pPr>
        <w:spacing w:line="360" w:lineRule="auto"/>
        <w:jc w:val="both"/>
        <w:rPr>
          <w:rFonts w:ascii="Book Antiqua" w:hAnsi="Book Antiqua"/>
        </w:rPr>
      </w:pPr>
    </w:p>
    <w:p w14:paraId="31F2B066" w14:textId="77777777" w:rsidR="002729A9" w:rsidRPr="00BF6456" w:rsidRDefault="002729A9" w:rsidP="00BC276E">
      <w:pPr>
        <w:spacing w:line="360" w:lineRule="auto"/>
        <w:jc w:val="both"/>
        <w:rPr>
          <w:rFonts w:ascii="Book Antiqua" w:hAnsi="Book Antiqua"/>
        </w:rPr>
      </w:pPr>
      <w:r>
        <w:rPr>
          <w:rFonts w:ascii="Book Antiqua" w:hAnsi="Book Antiqua"/>
          <w:noProof/>
        </w:rPr>
        <w:drawing>
          <wp:inline distT="0" distB="0" distL="0" distR="0" wp14:anchorId="5B362B84" wp14:editId="48303EB2">
            <wp:extent cx="4800600" cy="22166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jpg"/>
                    <pic:cNvPicPr/>
                  </pic:nvPicPr>
                  <pic:blipFill>
                    <a:blip r:embed="rId27">
                      <a:extLst>
                        <a:ext uri="{28A0092B-C50C-407E-A947-70E740481C1C}">
                          <a14:useLocalDpi xmlns:a14="http://schemas.microsoft.com/office/drawing/2010/main" val="0"/>
                        </a:ext>
                      </a:extLst>
                    </a:blip>
                    <a:stretch>
                      <a:fillRect/>
                    </a:stretch>
                  </pic:blipFill>
                  <pic:spPr>
                    <a:xfrm>
                      <a:off x="0" y="0"/>
                      <a:ext cx="4801982" cy="2217323"/>
                    </a:xfrm>
                    <a:prstGeom prst="rect">
                      <a:avLst/>
                    </a:prstGeom>
                  </pic:spPr>
                </pic:pic>
              </a:graphicData>
            </a:graphic>
          </wp:inline>
        </w:drawing>
      </w:r>
    </w:p>
    <w:p w14:paraId="46660BB3" w14:textId="77777777" w:rsidR="002729A9" w:rsidRPr="00A171C9" w:rsidRDefault="002729A9" w:rsidP="00A171C9">
      <w:pPr>
        <w:spacing w:line="360" w:lineRule="auto"/>
        <w:jc w:val="both"/>
        <w:rPr>
          <w:rFonts w:ascii="Book Antiqua" w:hAnsi="Book Antiqua"/>
          <w:lang w:val="en-GB"/>
        </w:rPr>
      </w:pPr>
      <w:r>
        <w:rPr>
          <w:rFonts w:ascii="Book Antiqua" w:hAnsi="Book Antiqua"/>
          <w:b/>
          <w:bCs/>
        </w:rPr>
        <w:t>Figure</w:t>
      </w:r>
      <w:r w:rsidRPr="00A171C9">
        <w:rPr>
          <w:rFonts w:ascii="Book Antiqua" w:hAnsi="Book Antiqua"/>
          <w:b/>
          <w:bCs/>
        </w:rPr>
        <w:t xml:space="preserve"> </w:t>
      </w:r>
      <w:r>
        <w:rPr>
          <w:rFonts w:ascii="Book Antiqua" w:hAnsi="Book Antiqua"/>
          <w:b/>
          <w:bCs/>
        </w:rPr>
        <w:t>3.</w:t>
      </w:r>
      <w:r w:rsidRPr="00A171C9">
        <w:rPr>
          <w:rFonts w:ascii="Book Antiqua" w:hAnsi="Book Antiqua"/>
          <w:b/>
          <w:bCs/>
        </w:rPr>
        <w:t xml:space="preserve">5. </w:t>
      </w:r>
      <w:r w:rsidRPr="00A171C9">
        <w:rPr>
          <w:rFonts w:ascii="Book Antiqua" w:hAnsi="Book Antiqua"/>
        </w:rPr>
        <w:t>Immunofluorescence images of S-100b (red) and GFAP (green) in Schwann-like cells from P2 of middle-aged horse after 7 days of differentiation. DAPI was used to stain the nuclei (blue). Magnification, 20x; scale bar 100</w:t>
      </w:r>
      <w:r w:rsidRPr="00A171C9">
        <w:rPr>
          <w:rFonts w:ascii="Book Antiqua" w:hAnsi="Book Antiqua"/>
          <w:lang w:val="el-GR"/>
        </w:rPr>
        <w:t xml:space="preserve"> </w:t>
      </w:r>
      <w:r w:rsidRPr="00A171C9">
        <w:rPr>
          <w:rFonts w:ascii="Noteworthy Bold" w:hAnsi="Noteworthy Bold" w:cs="Noteworthy Bold"/>
          <w:lang w:val="el-GR"/>
        </w:rPr>
        <w:t>μ</w:t>
      </w:r>
      <w:r w:rsidRPr="00A171C9">
        <w:rPr>
          <w:rFonts w:ascii="Book Antiqua" w:hAnsi="Book Antiqua"/>
        </w:rPr>
        <w:t>m.</w:t>
      </w:r>
    </w:p>
    <w:p w14:paraId="53DBB947" w14:textId="77777777" w:rsidR="002729A9" w:rsidRDefault="002729A9" w:rsidP="00BC276E">
      <w:pPr>
        <w:spacing w:line="360" w:lineRule="auto"/>
        <w:jc w:val="both"/>
        <w:rPr>
          <w:rFonts w:ascii="Book Antiqua" w:hAnsi="Book Antiqua"/>
        </w:rPr>
      </w:pPr>
    </w:p>
    <w:p w14:paraId="2F5FBE2C" w14:textId="77777777" w:rsidR="002729A9" w:rsidRDefault="002729A9" w:rsidP="00BC276E">
      <w:pPr>
        <w:spacing w:line="360" w:lineRule="auto"/>
        <w:jc w:val="both"/>
        <w:rPr>
          <w:rFonts w:ascii="Book Antiqua" w:hAnsi="Book Antiqua"/>
        </w:rPr>
      </w:pPr>
      <w:r>
        <w:rPr>
          <w:rFonts w:ascii="Book Antiqua" w:hAnsi="Book Antiqua"/>
          <w:noProof/>
        </w:rPr>
        <w:drawing>
          <wp:inline distT="0" distB="0" distL="0" distR="0" wp14:anchorId="7DE20109" wp14:editId="624EB652">
            <wp:extent cx="3086100" cy="155331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jpg"/>
                    <pic:cNvPicPr/>
                  </pic:nvPicPr>
                  <pic:blipFill>
                    <a:blip r:embed="rId28">
                      <a:extLst>
                        <a:ext uri="{28A0092B-C50C-407E-A947-70E740481C1C}">
                          <a14:useLocalDpi xmlns:a14="http://schemas.microsoft.com/office/drawing/2010/main" val="0"/>
                        </a:ext>
                      </a:extLst>
                    </a:blip>
                    <a:stretch>
                      <a:fillRect/>
                    </a:stretch>
                  </pic:blipFill>
                  <pic:spPr>
                    <a:xfrm>
                      <a:off x="0" y="0"/>
                      <a:ext cx="3086694" cy="1553614"/>
                    </a:xfrm>
                    <a:prstGeom prst="rect">
                      <a:avLst/>
                    </a:prstGeom>
                  </pic:spPr>
                </pic:pic>
              </a:graphicData>
            </a:graphic>
          </wp:inline>
        </w:drawing>
      </w:r>
    </w:p>
    <w:p w14:paraId="070F6E9C" w14:textId="77777777" w:rsidR="002729A9" w:rsidRPr="00A171C9" w:rsidRDefault="002729A9" w:rsidP="00BC276E">
      <w:pPr>
        <w:spacing w:line="360" w:lineRule="auto"/>
        <w:jc w:val="both"/>
        <w:rPr>
          <w:rFonts w:ascii="Book Antiqua" w:hAnsi="Book Antiqua"/>
          <w:lang w:val="en-GB"/>
        </w:rPr>
      </w:pPr>
      <w:r>
        <w:rPr>
          <w:rFonts w:ascii="Book Antiqua" w:hAnsi="Book Antiqua"/>
          <w:b/>
          <w:bCs/>
        </w:rPr>
        <w:t>Figure</w:t>
      </w:r>
      <w:r w:rsidRPr="00A171C9">
        <w:rPr>
          <w:rFonts w:ascii="Book Antiqua" w:hAnsi="Book Antiqua"/>
          <w:b/>
          <w:bCs/>
        </w:rPr>
        <w:t xml:space="preserve"> </w:t>
      </w:r>
      <w:r>
        <w:rPr>
          <w:rFonts w:ascii="Book Antiqua" w:hAnsi="Book Antiqua"/>
          <w:b/>
          <w:bCs/>
        </w:rPr>
        <w:t>3.</w:t>
      </w:r>
      <w:r w:rsidRPr="00A171C9">
        <w:rPr>
          <w:rFonts w:ascii="Book Antiqua" w:hAnsi="Book Antiqua"/>
          <w:b/>
          <w:bCs/>
        </w:rPr>
        <w:t xml:space="preserve">6. </w:t>
      </w:r>
      <w:r w:rsidRPr="00A171C9">
        <w:rPr>
          <w:rFonts w:ascii="Book Antiqua" w:hAnsi="Book Antiqua"/>
        </w:rPr>
        <w:t xml:space="preserve">Western blot analysis of the expression of </w:t>
      </w:r>
      <w:r w:rsidRPr="00A171C9">
        <w:rPr>
          <w:rFonts w:ascii="Noteworthy Bold" w:hAnsi="Noteworthy Bold" w:cs="Noteworthy Bold"/>
          <w:lang w:val="el-GR"/>
        </w:rPr>
        <w:t>β</w:t>
      </w:r>
      <w:r w:rsidRPr="00A171C9">
        <w:rPr>
          <w:rFonts w:ascii="Book Antiqua" w:hAnsi="Book Antiqua"/>
          <w:vertAlign w:val="subscript"/>
          <w:lang w:val="es-ES"/>
        </w:rPr>
        <w:t>3</w:t>
      </w:r>
      <w:r w:rsidRPr="00A171C9">
        <w:rPr>
          <w:rFonts w:ascii="Book Antiqua" w:hAnsi="Book Antiqua"/>
          <w:lang w:val="es-ES"/>
        </w:rPr>
        <w:t xml:space="preserve"> tubulin,</w:t>
      </w:r>
      <w:r w:rsidRPr="00A171C9">
        <w:rPr>
          <w:rFonts w:ascii="Book Antiqua" w:hAnsi="Book Antiqua"/>
        </w:rPr>
        <w:t xml:space="preserve"> GFAP and S-100b on equine Schwann-like cells from middle-aged (lane 1) and young (lane 2) horses, and undifferentiated MSCs from middle-aged (lane 3) and young (lane 4) horses. Beta-actin was used as a control; 20 </w:t>
      </w:r>
      <w:r w:rsidRPr="00A171C9">
        <w:t>μ</w:t>
      </w:r>
      <w:r w:rsidRPr="00A171C9">
        <w:rPr>
          <w:rFonts w:ascii="Book Antiqua" w:hAnsi="Book Antiqua"/>
        </w:rPr>
        <w:t>g of protein per lane.</w:t>
      </w:r>
    </w:p>
    <w:p w14:paraId="76131B3A" w14:textId="77777777" w:rsidR="002729A9" w:rsidRPr="00BF6456" w:rsidRDefault="002729A9" w:rsidP="00BC276E">
      <w:pPr>
        <w:spacing w:line="360" w:lineRule="auto"/>
        <w:jc w:val="both"/>
        <w:rPr>
          <w:rFonts w:ascii="Book Antiqua" w:hAnsi="Book Antiqua"/>
        </w:rPr>
      </w:pPr>
    </w:p>
    <w:p w14:paraId="560887FD" w14:textId="77777777" w:rsidR="002729A9" w:rsidRPr="00BF6456" w:rsidRDefault="002729A9" w:rsidP="00BC276E">
      <w:pPr>
        <w:spacing w:line="360" w:lineRule="auto"/>
        <w:jc w:val="both"/>
        <w:rPr>
          <w:rFonts w:ascii="Book Antiqua" w:hAnsi="Book Antiqua"/>
          <w:u w:val="single"/>
        </w:rPr>
      </w:pPr>
      <w:r w:rsidRPr="00BF6456">
        <w:rPr>
          <w:rFonts w:ascii="Book Antiqua" w:hAnsi="Book Antiqua"/>
        </w:rPr>
        <w:t>2.</w:t>
      </w:r>
      <w:r w:rsidRPr="00BF6456">
        <w:rPr>
          <w:rFonts w:ascii="Book Antiqua" w:hAnsi="Book Antiqua"/>
          <w:u w:val="single"/>
        </w:rPr>
        <w:t xml:space="preserve"> Peripheral nerve regeneration.</w:t>
      </w:r>
    </w:p>
    <w:p w14:paraId="2055E1EF" w14:textId="77777777" w:rsidR="002729A9" w:rsidRPr="00BF6456" w:rsidRDefault="002729A9" w:rsidP="00BC276E">
      <w:pPr>
        <w:spacing w:line="360" w:lineRule="auto"/>
        <w:jc w:val="both"/>
        <w:rPr>
          <w:rFonts w:ascii="Book Antiqua" w:hAnsi="Book Antiqua"/>
          <w:i/>
        </w:rPr>
      </w:pPr>
      <w:r w:rsidRPr="00BF6456">
        <w:rPr>
          <w:rFonts w:ascii="Book Antiqua" w:hAnsi="Book Antiqua"/>
          <w:i/>
          <w:highlight w:val="yellow"/>
        </w:rPr>
        <w:t>**Axonal count</w:t>
      </w:r>
    </w:p>
    <w:p w14:paraId="19C94C51" w14:textId="77777777" w:rsidR="002729A9" w:rsidRPr="00BF6456" w:rsidRDefault="002729A9" w:rsidP="00BC276E">
      <w:pPr>
        <w:spacing w:line="360" w:lineRule="auto"/>
        <w:jc w:val="both"/>
        <w:rPr>
          <w:rFonts w:ascii="Book Antiqua" w:hAnsi="Book Antiqua"/>
          <w:i/>
        </w:rPr>
      </w:pPr>
      <w:r w:rsidRPr="00BF6456">
        <w:rPr>
          <w:rFonts w:ascii="Book Antiqua" w:hAnsi="Book Antiqua"/>
          <w:i/>
          <w:highlight w:val="yellow"/>
        </w:rPr>
        <w:t>**Pattern of regeneration</w:t>
      </w:r>
    </w:p>
    <w:p w14:paraId="5A8185A2" w14:textId="77777777" w:rsidR="002729A9" w:rsidRPr="00BF6456" w:rsidRDefault="002729A9" w:rsidP="00BC276E">
      <w:pPr>
        <w:spacing w:line="360" w:lineRule="auto"/>
        <w:ind w:firstLine="720"/>
        <w:jc w:val="both"/>
        <w:rPr>
          <w:rFonts w:ascii="Book Antiqua" w:hAnsi="Book Antiqua"/>
        </w:rPr>
      </w:pPr>
    </w:p>
    <w:p w14:paraId="35F07942" w14:textId="77777777" w:rsidR="002729A9" w:rsidRPr="00BF6456" w:rsidRDefault="002729A9" w:rsidP="00BC276E">
      <w:pPr>
        <w:spacing w:line="360" w:lineRule="auto"/>
        <w:jc w:val="both"/>
        <w:rPr>
          <w:rFonts w:ascii="Book Antiqua" w:hAnsi="Book Antiqua"/>
        </w:rPr>
      </w:pPr>
    </w:p>
    <w:p w14:paraId="6568B7E9" w14:textId="77777777" w:rsidR="002729A9" w:rsidRPr="002A1FDC" w:rsidRDefault="002729A9" w:rsidP="00BC276E">
      <w:pPr>
        <w:pStyle w:val="Heading2"/>
      </w:pPr>
      <w:bookmarkStart w:id="49" w:name="_Toc274387740"/>
      <w:r w:rsidRPr="002A1FDC">
        <w:t>Discussion</w:t>
      </w:r>
      <w:bookmarkEnd w:id="49"/>
    </w:p>
    <w:p w14:paraId="7D6444CD" w14:textId="77777777" w:rsidR="002729A9" w:rsidRPr="00BF6456" w:rsidRDefault="002729A9" w:rsidP="00E9548B">
      <w:pPr>
        <w:spacing w:line="360" w:lineRule="auto"/>
        <w:jc w:val="both"/>
        <w:rPr>
          <w:rFonts w:ascii="Book Antiqua" w:hAnsi="Book Antiqua"/>
        </w:rPr>
      </w:pPr>
    </w:p>
    <w:p w14:paraId="0AB0608A" w14:textId="77777777" w:rsidR="002729A9" w:rsidRDefault="002729A9" w:rsidP="00E9548B">
      <w:pPr>
        <w:spacing w:line="360" w:lineRule="auto"/>
        <w:jc w:val="both"/>
        <w:rPr>
          <w:rFonts w:ascii="Book Antiqua" w:hAnsi="Book Antiqua"/>
        </w:rPr>
      </w:pPr>
      <w:r>
        <w:rPr>
          <w:rFonts w:ascii="Book Antiqua" w:hAnsi="Book Antiqua"/>
        </w:rPr>
        <w:t>Peripheral nerves can be injured by chemical, thermal or mechanical trauma.</w:t>
      </w:r>
      <w:r w:rsidRPr="00487B88">
        <w:rPr>
          <w:rFonts w:ascii="Book Antiqua" w:hAnsi="Book Antiqua"/>
          <w:noProof/>
          <w:vertAlign w:val="superscript"/>
        </w:rPr>
        <w:t>19</w:t>
      </w:r>
      <w:r>
        <w:rPr>
          <w:rFonts w:ascii="Book Antiqua" w:hAnsi="Book Antiqua"/>
        </w:rPr>
        <w:t xml:space="preserve"> Direct traumatism, metabolic disease, or idiopathic disease such as damage to the branch of the left recurrent laryngeal nerve (laryngeal hemiplegia) appears to be the nerve injuries most commonly reported in the horse. Treatment with anti-inflammatories and physical rehabilitation are often unrewarding. In human medicine when the nerve fibers are transected, the ideal method for repair is closing the gap by suturing the nerve endings and their surrounding fascia, or by inserting an autograft.</w:t>
      </w:r>
      <w:r w:rsidRPr="00487B88">
        <w:rPr>
          <w:rFonts w:ascii="Book Antiqua" w:hAnsi="Book Antiqua"/>
          <w:noProof/>
          <w:vertAlign w:val="superscript"/>
        </w:rPr>
        <w:t>7</w:t>
      </w:r>
      <w:r>
        <w:rPr>
          <w:rFonts w:ascii="Book Antiqua" w:hAnsi="Book Antiqua"/>
        </w:rPr>
        <w:t xml:space="preserve"> The use of autografts, however, is non-practical and can cause sequelae.</w:t>
      </w:r>
      <w:r w:rsidRPr="00487B88">
        <w:rPr>
          <w:rFonts w:ascii="Book Antiqua" w:hAnsi="Book Antiqua"/>
          <w:noProof/>
          <w:vertAlign w:val="superscript"/>
        </w:rPr>
        <w:t>20</w:t>
      </w:r>
    </w:p>
    <w:p w14:paraId="2B744F8C" w14:textId="77777777" w:rsidR="002729A9" w:rsidRDefault="002729A9" w:rsidP="00E9548B">
      <w:pPr>
        <w:spacing w:line="360" w:lineRule="auto"/>
        <w:jc w:val="both"/>
        <w:rPr>
          <w:rFonts w:ascii="Book Antiqua" w:hAnsi="Book Antiqua"/>
        </w:rPr>
      </w:pPr>
    </w:p>
    <w:p w14:paraId="281C774A" w14:textId="77777777" w:rsidR="002729A9" w:rsidRDefault="002729A9" w:rsidP="00E9548B">
      <w:pPr>
        <w:spacing w:line="360" w:lineRule="auto"/>
        <w:jc w:val="both"/>
        <w:rPr>
          <w:rFonts w:ascii="Book Antiqua" w:hAnsi="Book Antiqua"/>
        </w:rPr>
      </w:pPr>
      <w:r>
        <w:rPr>
          <w:rFonts w:ascii="Book Antiqua" w:hAnsi="Book Antiqua"/>
        </w:rPr>
        <w:t>The field of regenerative medicine is developing possible alternatives for nerve repair by the use of cell transplantation alone or in combination with bioengineered materials with the purpose of providing proper environmental conditions for survival and proliferation of cells that will aid on nerve repair, particularly Schwann cells.</w:t>
      </w:r>
      <w:r w:rsidRPr="00767523">
        <w:rPr>
          <w:rFonts w:ascii="Book Antiqua" w:hAnsi="Book Antiqua"/>
          <w:noProof/>
          <w:vertAlign w:val="superscript"/>
        </w:rPr>
        <w:t>16,21</w:t>
      </w:r>
      <w:r>
        <w:rPr>
          <w:rFonts w:ascii="Book Antiqua" w:hAnsi="Book Antiqua"/>
        </w:rPr>
        <w:t xml:space="preserve"> Based on experimental studies in laboratory animals, the transplantation of MSCs after peripheral nerve injury results in regain of motor and sensory nerve functions.</w:t>
      </w:r>
      <w:r w:rsidRPr="008E1ED1">
        <w:rPr>
          <w:rFonts w:ascii="Book Antiqua" w:hAnsi="Book Antiqua"/>
          <w:noProof/>
          <w:vertAlign w:val="superscript"/>
        </w:rPr>
        <w:t>11,16,22,23</w:t>
      </w:r>
      <w:r>
        <w:rPr>
          <w:rFonts w:ascii="Book Antiqua" w:hAnsi="Book Antiqua"/>
        </w:rPr>
        <w:t xml:space="preserve"> Additionally, previous studies have demonstrated that MSCs are capable of extra-mesodermal differentiation, including cells from neural lineage. Transplantation of MSCs differentiated into Schwann-like cells has revealed better results on nerve function and morphology after nerve injury.</w:t>
      </w:r>
      <w:r w:rsidRPr="008E1ED1">
        <w:rPr>
          <w:rFonts w:ascii="Book Antiqua" w:hAnsi="Book Antiqua"/>
          <w:noProof/>
          <w:vertAlign w:val="superscript"/>
        </w:rPr>
        <w:t>10,11,24</w:t>
      </w:r>
      <w:r>
        <w:rPr>
          <w:rFonts w:ascii="Book Antiqua" w:hAnsi="Book Antiqua"/>
        </w:rPr>
        <w:t xml:space="preserve">  </w:t>
      </w:r>
    </w:p>
    <w:p w14:paraId="67192C05" w14:textId="77777777" w:rsidR="002729A9" w:rsidRDefault="002729A9" w:rsidP="00E9548B">
      <w:pPr>
        <w:spacing w:line="360" w:lineRule="auto"/>
        <w:jc w:val="both"/>
        <w:rPr>
          <w:rFonts w:ascii="Book Antiqua" w:hAnsi="Book Antiqua"/>
        </w:rPr>
      </w:pPr>
    </w:p>
    <w:p w14:paraId="4BBAA95C" w14:textId="77777777" w:rsidR="002729A9" w:rsidRDefault="002729A9" w:rsidP="00E9548B">
      <w:pPr>
        <w:spacing w:line="360" w:lineRule="auto"/>
        <w:jc w:val="both"/>
        <w:rPr>
          <w:rFonts w:ascii="Book Antiqua" w:hAnsi="Book Antiqua"/>
        </w:rPr>
      </w:pPr>
      <w:r>
        <w:rPr>
          <w:rFonts w:ascii="Book Antiqua" w:hAnsi="Book Antiqua"/>
        </w:rPr>
        <w:t>We conducted chemical induction of low passage bone marrow-derived MSCs from young and middle-aged horses to describe their plasticity into Schwann-like cells. Phase-contrast and fluorescence microscopies revealed that morphological changes were evident seven days after chemical induction in all horses. Differentiated cells were elongated, with an oval-shaped cytoplasm, and the formation of one or multiple cell processes. These cells appeared to grow in patches as compared to the flat even layer that undifferentiated MSCs produce.</w:t>
      </w:r>
    </w:p>
    <w:p w14:paraId="53001DB1" w14:textId="77777777" w:rsidR="002729A9" w:rsidRDefault="002729A9" w:rsidP="00E9548B">
      <w:pPr>
        <w:spacing w:line="360" w:lineRule="auto"/>
        <w:jc w:val="both"/>
        <w:rPr>
          <w:rFonts w:ascii="Book Antiqua" w:hAnsi="Book Antiqua"/>
        </w:rPr>
      </w:pPr>
    </w:p>
    <w:p w14:paraId="467FDF06" w14:textId="77777777" w:rsidR="002729A9" w:rsidRDefault="002729A9" w:rsidP="00E9548B">
      <w:pPr>
        <w:spacing w:line="360" w:lineRule="auto"/>
        <w:jc w:val="both"/>
        <w:rPr>
          <w:rFonts w:ascii="Book Antiqua" w:hAnsi="Book Antiqua"/>
        </w:rPr>
      </w:pPr>
      <w:r>
        <w:rPr>
          <w:rFonts w:ascii="Book Antiqua" w:hAnsi="Book Antiqua"/>
        </w:rPr>
        <w:t>Western blot and IF analyses revealed the expression of the Schwann cell markers S-100b and GFAP in Schwann-like cells. Undifferentiated MSCs also expressed GFAP, as previously reported by our group (see Chapter II, manuscript under review), but not S-100b. This suggests that bone marrow-derived MSCs are able to differentiate into extra-mesodermal lineages</w:t>
      </w:r>
      <w:r w:rsidRPr="008E1ED1">
        <w:rPr>
          <w:rFonts w:ascii="Book Antiqua" w:hAnsi="Book Antiqua"/>
          <w:noProof/>
          <w:vertAlign w:val="superscript"/>
        </w:rPr>
        <w:t>25</w:t>
      </w:r>
      <w:r>
        <w:rPr>
          <w:rFonts w:ascii="Book Antiqua" w:hAnsi="Book Antiqua"/>
        </w:rPr>
        <w:t xml:space="preserve">, including those from horses. </w:t>
      </w:r>
    </w:p>
    <w:p w14:paraId="329BCD36" w14:textId="77777777" w:rsidR="002729A9" w:rsidRDefault="002729A9" w:rsidP="00E9548B">
      <w:pPr>
        <w:spacing w:line="360" w:lineRule="auto"/>
        <w:jc w:val="both"/>
        <w:rPr>
          <w:rFonts w:ascii="Book Antiqua" w:hAnsi="Book Antiqua"/>
        </w:rPr>
      </w:pPr>
    </w:p>
    <w:p w14:paraId="1E1C56E7" w14:textId="77777777" w:rsidR="002729A9" w:rsidRDefault="002729A9" w:rsidP="00E9548B">
      <w:pPr>
        <w:spacing w:line="360" w:lineRule="auto"/>
        <w:jc w:val="both"/>
        <w:rPr>
          <w:rFonts w:ascii="Book Antiqua" w:hAnsi="Book Antiqua"/>
        </w:rPr>
      </w:pPr>
      <w:r>
        <w:rPr>
          <w:rFonts w:ascii="Book Antiqua" w:hAnsi="Book Antiqua"/>
        </w:rPr>
        <w:t xml:space="preserve">Moreover, we created a core lesion at the center of the </w:t>
      </w:r>
      <w:r w:rsidRPr="00977800">
        <w:rPr>
          <w:rFonts w:ascii="Book Antiqua" w:hAnsi="Book Antiqua"/>
          <w:i/>
        </w:rPr>
        <w:t>ramus communicans</w:t>
      </w:r>
      <w:r>
        <w:rPr>
          <w:rFonts w:ascii="Book Antiqua" w:hAnsi="Book Antiqua"/>
        </w:rPr>
        <w:t xml:space="preserve"> in both fore limbs of three horses. After this procedure, cell transplantation with allogeneic MSCs was immediately performed in one of the limbs on all horses. Approximately 45 days after these procedures, the horses underwent a second surgical procedure to re-harvest the whole nerve on both fore limbs. </w:t>
      </w:r>
    </w:p>
    <w:p w14:paraId="403E9DEE" w14:textId="77777777" w:rsidR="002729A9" w:rsidRDefault="002729A9" w:rsidP="00E9548B">
      <w:pPr>
        <w:spacing w:line="360" w:lineRule="auto"/>
        <w:jc w:val="both"/>
        <w:rPr>
          <w:rFonts w:ascii="Book Antiqua" w:hAnsi="Book Antiqua"/>
        </w:rPr>
      </w:pPr>
    </w:p>
    <w:p w14:paraId="3D3D8E46" w14:textId="77777777" w:rsidR="002729A9" w:rsidRDefault="002729A9" w:rsidP="00E9548B">
      <w:pPr>
        <w:spacing w:line="360" w:lineRule="auto"/>
        <w:jc w:val="both"/>
        <w:rPr>
          <w:rFonts w:ascii="Book Antiqua" w:hAnsi="Book Antiqua"/>
        </w:rPr>
      </w:pPr>
      <w:r>
        <w:rPr>
          <w:rFonts w:ascii="Book Antiqua" w:hAnsi="Book Antiqua"/>
        </w:rPr>
        <w:t xml:space="preserve">The </w:t>
      </w:r>
      <w:r w:rsidRPr="00750579">
        <w:rPr>
          <w:rFonts w:ascii="Book Antiqua" w:hAnsi="Book Antiqua"/>
          <w:i/>
        </w:rPr>
        <w:t>in vitro</w:t>
      </w:r>
      <w:r>
        <w:rPr>
          <w:rFonts w:ascii="Book Antiqua" w:hAnsi="Book Antiqua"/>
        </w:rPr>
        <w:t xml:space="preserve"> portion of this study mainly relies on morphological and Schwann cell protein markers to describe the events occurring during differentiation of equine bone marrow-derived MSCs into Schwann-like cells. Our results agree with experiments performed in bone marrow-derived MSCs from rats and humans, in which cells are able to undergo differentiation and express typical Schwann cell markers.</w:t>
      </w:r>
      <w:r w:rsidRPr="008E1ED1">
        <w:rPr>
          <w:rFonts w:ascii="Book Antiqua" w:hAnsi="Book Antiqua"/>
          <w:noProof/>
          <w:vertAlign w:val="superscript"/>
        </w:rPr>
        <w:t>3,17,24,26</w:t>
      </w:r>
    </w:p>
    <w:p w14:paraId="7D87F2F6" w14:textId="77777777" w:rsidR="002729A9" w:rsidRDefault="002729A9" w:rsidP="00E9548B">
      <w:pPr>
        <w:spacing w:line="360" w:lineRule="auto"/>
        <w:jc w:val="both"/>
        <w:rPr>
          <w:rFonts w:ascii="Book Antiqua" w:hAnsi="Book Antiqua"/>
        </w:rPr>
      </w:pPr>
    </w:p>
    <w:p w14:paraId="6380B7E8" w14:textId="77777777" w:rsidR="002729A9" w:rsidRDefault="002729A9" w:rsidP="00E9548B">
      <w:pPr>
        <w:spacing w:line="360" w:lineRule="auto"/>
        <w:jc w:val="both"/>
        <w:rPr>
          <w:rFonts w:ascii="Book Antiqua" w:hAnsi="Book Antiqua"/>
        </w:rPr>
      </w:pPr>
      <w:r>
        <w:rPr>
          <w:rFonts w:ascii="Book Antiqua" w:hAnsi="Book Antiqua"/>
        </w:rPr>
        <w:t xml:space="preserve">The </w:t>
      </w:r>
      <w:r w:rsidRPr="00750579">
        <w:rPr>
          <w:rFonts w:ascii="Book Antiqua" w:hAnsi="Book Antiqua"/>
          <w:i/>
        </w:rPr>
        <w:t>in vivo</w:t>
      </w:r>
      <w:r>
        <w:rPr>
          <w:rFonts w:ascii="Book Antiqua" w:hAnsi="Book Antiqua"/>
        </w:rPr>
        <w:t xml:space="preserve"> portion of this study proposes a model for acute peripheral nerve injury in the horse, which has not previously been reported. Additionally, we evaluated the effects on speed and pattern of nerve regeneration after transplantation with allogeneic MSCs. Cell transplantation with MSCs differentiated into Schwann-like cells was not possible due to poor viability of the cells (25%) after detachment from the tissue culture flasks. A method for optimizing collection of equine Schwann-like cells is necessary.</w:t>
      </w:r>
    </w:p>
    <w:p w14:paraId="5C1C38E3" w14:textId="77777777" w:rsidR="002729A9" w:rsidRDefault="002729A9" w:rsidP="00E9548B">
      <w:pPr>
        <w:spacing w:line="360" w:lineRule="auto"/>
        <w:jc w:val="both"/>
        <w:rPr>
          <w:rFonts w:ascii="Book Antiqua" w:hAnsi="Book Antiqua"/>
        </w:rPr>
      </w:pPr>
    </w:p>
    <w:p w14:paraId="41BF551A" w14:textId="77777777" w:rsidR="002729A9" w:rsidRPr="00746949" w:rsidRDefault="002729A9" w:rsidP="00E9548B">
      <w:pPr>
        <w:spacing w:line="360" w:lineRule="auto"/>
        <w:jc w:val="both"/>
        <w:rPr>
          <w:rFonts w:ascii="Book Antiqua" w:hAnsi="Book Antiqua"/>
        </w:rPr>
      </w:pPr>
      <w:r>
        <w:rPr>
          <w:rFonts w:ascii="Book Antiqua" w:hAnsi="Book Antiqua"/>
        </w:rPr>
        <w:t xml:space="preserve">To the knowledge of the authors, this is the first report describing the morphological features and protein expression changes of equine bone marrow-derived MSCs into Schwann-like cells. We have also validated the cross-reactivity of rat Schwann cell-specific antibodies with protein samples from horse. Further studies are warranted for exploring the viability, homing, and functionality of both MSCs and Schwann-like cells after transplantation in horses with peripheral nerve injuries. Similarly, a practical and affordable method for delivering these cells is essential. </w:t>
      </w:r>
    </w:p>
    <w:p w14:paraId="64308ADA" w14:textId="77777777" w:rsidR="002729A9" w:rsidRPr="008C0C61" w:rsidRDefault="002729A9" w:rsidP="00E9548B">
      <w:pPr>
        <w:spacing w:line="360" w:lineRule="auto"/>
        <w:jc w:val="both"/>
        <w:rPr>
          <w:rFonts w:ascii="Book Antiqua" w:hAnsi="Book Antiqua"/>
        </w:rPr>
      </w:pPr>
      <w:r>
        <w:rPr>
          <w:rFonts w:ascii="Book Antiqua" w:hAnsi="Book Antiqua"/>
        </w:rPr>
        <w:br w:type="page"/>
      </w:r>
    </w:p>
    <w:p w14:paraId="354BC72E" w14:textId="77777777" w:rsidR="002729A9" w:rsidRDefault="002729A9" w:rsidP="00854FD8">
      <w:pPr>
        <w:pStyle w:val="Heading2"/>
      </w:pPr>
      <w:bookmarkStart w:id="50" w:name="_Toc274387741"/>
      <w:r w:rsidRPr="002A1FDC">
        <w:t>References</w:t>
      </w:r>
      <w:bookmarkEnd w:id="50"/>
    </w:p>
    <w:p w14:paraId="3724FE76" w14:textId="77777777" w:rsidR="002729A9" w:rsidRPr="00A07A00" w:rsidRDefault="002729A9" w:rsidP="00A07A00">
      <w:pPr>
        <w:spacing w:line="360" w:lineRule="auto"/>
        <w:jc w:val="both"/>
        <w:rPr>
          <w:rFonts w:ascii="Book Antiqua" w:hAnsi="Book Antiqua"/>
        </w:rPr>
      </w:pPr>
    </w:p>
    <w:p w14:paraId="2142CB09"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  Lindsay RM. Role of neurotrophins and trk receptors in the development and maintenance of sensory neurons: an overview. Philosophical transactions of the Royal Society of London Series B, Biological sciences 1996;351:365-373.</w:t>
      </w:r>
    </w:p>
    <w:p w14:paraId="1A73EDC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  Cho HH, Jang S, Lee SC, et al. Effect of neural-induced mesenchymal stem cells and platelet-rich plasma on facial nerve regeneration in an acute nerve injury model. Laryngoscope 2010;120:907-913.</w:t>
      </w:r>
    </w:p>
    <w:p w14:paraId="6C75355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3.  Mahay D, Terenghi G, Shawcross SG. Schwann cell mediated trophic effects by differentiated mesenchymal stem cells. Experimental cell research 2008;314:2692-2701.</w:t>
      </w:r>
    </w:p>
    <w:p w14:paraId="678C533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4.  Dyck P. J. TPK. Peripheral neuropathy. Pennsylvania, USA: Elsevier Saunders; 2005.</w:t>
      </w:r>
    </w:p>
    <w:p w14:paraId="0D60AA77"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5.  Seddon HJ. A Classification of Nerve Injuries. British medical journal 1942;2:237-239.</w:t>
      </w:r>
    </w:p>
    <w:p w14:paraId="50785007"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6.  Lee SK, Wolfe SW. Peripheral nerve injury and repair. The Journal of the American Academy of Orthopaedic Surgeons 2000;8:243-252.</w:t>
      </w:r>
    </w:p>
    <w:p w14:paraId="32A2EA3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7.  Kuffler DP. An assessment of current techniques for inducing axon regeneration and neurological recovery following peripheral nerve trauma. Prog Neurobiol 2013.</w:t>
      </w:r>
    </w:p>
    <w:p w14:paraId="2F01343A"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8.  Desouches C, Alluin O, Mutaftschiev N, et al. [Peripheral nerve repair: 30 centuries of scientific research]. Revue neurologique 2005;161:1045-1059.</w:t>
      </w:r>
    </w:p>
    <w:p w14:paraId="5C3D5788"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9.  Seckel BR. Enhancement of peripheral nerve regeneration. Muscle &amp; nerve 1990;13:785-800.</w:t>
      </w:r>
    </w:p>
    <w:p w14:paraId="3853DAA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10.  Keilhoff G, Stang F, Goihl A, et al. Transdifferentiated mesenchymal stem cells as alternative therapy in supporting nerve regeneration and myelination. Cell Mol Neurobiol 2006;26:1235-1252.</w:t>
      </w:r>
    </w:p>
    <w:p w14:paraId="03F898E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11.  Schaakxs D, Kalbermatten DF, Raffoul W, et al. Regenerative cell injection in denervated muscle reduces atrophy and enhances recovery following nerve repair. Muscle &amp; nerve 2013;47:691-701.</w:t>
      </w:r>
    </w:p>
    <w:p w14:paraId="730FAEE3"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12.  Dezawa M, Takahashi I, Esaki M, et al. Sciatic nerve regeneration in rats induced by transplantation of in vitro differentiated bone-marrow stromal cells. The European journal of neuroscience 2001;14:1771-1776.</w:t>
      </w:r>
    </w:p>
    <w:p w14:paraId="3BB51ECB"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13.  Di Nicola M, Carlo-Stella C, Magni M, et al. Human bone marrow stromal cells suppress T-lymphocyte proliferation induced by cellular or nonspecific mitogenic stimuli. Blood 2002;99:3838-3843.</w:t>
      </w:r>
    </w:p>
    <w:p w14:paraId="2E6B33FA"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14.  Liotta F, Angeli R, Cosmi L, et al. Toll-like receptors 3 and 4 are expressed by human bone marrow-derived mesenchymal stem cells and can inhibit their T-cell modulatory activity by impairing Notch signaling. Stem cells (Dayton, Ohio) 2008;26:279-289.</w:t>
      </w:r>
    </w:p>
    <w:p w14:paraId="61B5DCA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15.  Wilkins A, Kemp K, Ginty M, et al. Human bone marrow-derived mesenchymal stem cells secrete brain-derived neurotrophic factor which promotes neuronal survival in vitro. Stem cell research 2009;3:63-70.</w:t>
      </w:r>
    </w:p>
    <w:p w14:paraId="18DFD767"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16.  Spejo AB, Carvalho JL, Goes AM, et al. Neuroprotective effects of mesenchymal stem cells on spinal motoneurons following ventral root axotomy: synapse stability and axonal regeneration. Neuroscience 2013;250:715-732.</w:t>
      </w:r>
    </w:p>
    <w:p w14:paraId="5E575C3D"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17.  Keilhoff G, Goihl A, Langnase K, et al. Transdifferentiation of mesenchymal stem cells into Schwann cell-like myelinating cells. Eur J Cell Biol 2006;85:11-24.</w:t>
      </w:r>
    </w:p>
    <w:p w14:paraId="587A777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18.  Kingham PJ, Kalbermatten DF, Mahay D, et al. Adipose-derived stem cells differentiate into a Schwann cell phenotype and promote neurite outgrowth in vitro. Experimental neurology 2007;207:267-274.</w:t>
      </w:r>
    </w:p>
    <w:p w14:paraId="6D46BC64"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19.  Campbell WW. Evaluation and management of peripheral nerve injury. Clin Neurophysiol 2008;119:1951-1965.</w:t>
      </w:r>
    </w:p>
    <w:p w14:paraId="4DB63B3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20.  Forostyak S, Jendelova P, Sykova E. The role of mesenchymal stromal cells in spinal cord injury, regenerative medicine and possible clinical applications. Biochimie 2013;95:2257-2270.</w:t>
      </w:r>
    </w:p>
    <w:p w14:paraId="6309B22C"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21.  Widgerow AD, Salibian AA, Lalezari S, et al. Neuromodulatory nerve regeneration: adipose tissue-derived stem cells and neurotrophic mediation in peripheral nerve regeneration. Journal of neuroscience research 2013;91:1517-1524.</w:t>
      </w:r>
    </w:p>
    <w:p w14:paraId="060526FE"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22.  Himeno T, Kamiya H, Naruse K, et al. Mesenchymal stem cell-like cells derived from mouse induced pluripotent stem cells ameliorate diabetic polyneuropathy in mice. BioMed research international 2013;2013:259187.</w:t>
      </w:r>
    </w:p>
    <w:p w14:paraId="0EB58C0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23.  Nishida H, Nakayama M, Tanaka H, et al. Evaluation of transplantation of autologous bone marrow stromal cells into the cerebrospinal fluid for treatment of chronic spinal cord injury in dogs. American journal of veterinary research 2011;72:1118-1123.</w:t>
      </w:r>
    </w:p>
    <w:p w14:paraId="65CACE40"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24.  Caddick J, Kingham PJ, Gardiner NJ, et al. Phenotypic and functional characteristics of mesenchymal stem cells differentiated along a Schwann cell lineage. Glia 2006;54:840-849.</w:t>
      </w:r>
    </w:p>
    <w:p w14:paraId="30574CEF"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25.  Tondreau T, Lagneaux L, Dejeneffe M, et al. Bone marrow-derived mesenchymal stem cells already express specific neural proteins before any differentiation. Differentiation 2004;72:319-326.</w:t>
      </w:r>
    </w:p>
    <w:p w14:paraId="202F44F1" w14:textId="77777777" w:rsidR="002729A9" w:rsidRPr="00A07A00" w:rsidRDefault="002729A9" w:rsidP="00A07A00">
      <w:pPr>
        <w:pStyle w:val="EndNoteBibliography"/>
        <w:rPr>
          <w:rFonts w:ascii="Book Antiqua" w:hAnsi="Book Antiqua"/>
          <w:noProof/>
        </w:rPr>
      </w:pPr>
      <w:r w:rsidRPr="00A07A00">
        <w:rPr>
          <w:rFonts w:ascii="Book Antiqua" w:hAnsi="Book Antiqua"/>
          <w:noProof/>
        </w:rPr>
        <w:t>26.  Zhu H, Yang A, Du J, et al. Basic fibroblast growth factor is a key factor that induces bone marrow mesenchymal stem cells towards cells with Schwann cell phenotype. Neurosci Lett 2014;559:82-87.</w:t>
      </w:r>
    </w:p>
    <w:p w14:paraId="50749C67" w14:textId="77777777" w:rsidR="002729A9" w:rsidRPr="00A07A00" w:rsidRDefault="002729A9" w:rsidP="00A07A00">
      <w:pPr>
        <w:spacing w:line="360" w:lineRule="auto"/>
        <w:jc w:val="both"/>
        <w:rPr>
          <w:rFonts w:ascii="Book Antiqua" w:hAnsi="Book Antiqua"/>
        </w:rPr>
      </w:pPr>
    </w:p>
    <w:p w14:paraId="24A106DE" w14:textId="77777777" w:rsidR="002729A9" w:rsidRPr="00A07A00" w:rsidRDefault="002729A9" w:rsidP="00A07A00">
      <w:pPr>
        <w:jc w:val="both"/>
        <w:rPr>
          <w:rFonts w:ascii="Book Antiqua" w:hAnsi="Book Antiqua"/>
        </w:rPr>
      </w:pPr>
      <w:bookmarkStart w:id="51" w:name="_Toc286145921"/>
      <w:r w:rsidRPr="00A07A00">
        <w:rPr>
          <w:rFonts w:ascii="Book Antiqua" w:hAnsi="Book Antiqua"/>
          <w:b/>
          <w:bCs/>
        </w:rPr>
        <w:br w:type="page"/>
      </w:r>
    </w:p>
    <w:p w14:paraId="50913842" w14:textId="77777777" w:rsidR="002729A9" w:rsidRPr="00E9548B" w:rsidRDefault="002729A9" w:rsidP="00E9548B">
      <w:pPr>
        <w:pStyle w:val="Heading1"/>
        <w:spacing w:line="360" w:lineRule="auto"/>
      </w:pPr>
      <w:bookmarkStart w:id="52" w:name="_Toc274387742"/>
      <w:r w:rsidRPr="00E9548B">
        <w:t>CONCLUSION</w:t>
      </w:r>
      <w:bookmarkEnd w:id="52"/>
    </w:p>
    <w:p w14:paraId="6E280BFF" w14:textId="77777777" w:rsidR="002729A9" w:rsidRDefault="002729A9" w:rsidP="00E9548B">
      <w:pPr>
        <w:numPr>
          <w:ilvl w:val="12"/>
          <w:numId w:val="0"/>
        </w:numPr>
        <w:spacing w:line="360" w:lineRule="auto"/>
        <w:jc w:val="both"/>
        <w:rPr>
          <w:rFonts w:ascii="Book Antiqua" w:hAnsi="Book Antiqua"/>
        </w:rPr>
      </w:pPr>
    </w:p>
    <w:p w14:paraId="1161358B" w14:textId="77777777" w:rsidR="002729A9" w:rsidRPr="00E9548B" w:rsidRDefault="002729A9" w:rsidP="00E9548B">
      <w:pPr>
        <w:numPr>
          <w:ilvl w:val="12"/>
          <w:numId w:val="0"/>
        </w:numPr>
        <w:spacing w:line="360" w:lineRule="auto"/>
        <w:jc w:val="both"/>
        <w:rPr>
          <w:rFonts w:ascii="Book Antiqua" w:hAnsi="Book Antiqua"/>
        </w:rPr>
      </w:pPr>
    </w:p>
    <w:p w14:paraId="594FCB5E" w14:textId="77777777" w:rsidR="002729A9" w:rsidRDefault="002729A9" w:rsidP="00E9548B">
      <w:pPr>
        <w:numPr>
          <w:ilvl w:val="12"/>
          <w:numId w:val="0"/>
        </w:numPr>
        <w:spacing w:line="360" w:lineRule="auto"/>
        <w:jc w:val="both"/>
        <w:rPr>
          <w:rFonts w:ascii="Book Antiqua" w:hAnsi="Book Antiqua"/>
        </w:rPr>
      </w:pPr>
      <w:r w:rsidRPr="00E9548B">
        <w:rPr>
          <w:rFonts w:ascii="Book Antiqua" w:hAnsi="Book Antiqua"/>
        </w:rPr>
        <w:t xml:space="preserve">This research </w:t>
      </w:r>
      <w:r>
        <w:rPr>
          <w:rFonts w:ascii="Book Antiqua" w:hAnsi="Book Antiqua"/>
        </w:rPr>
        <w:t>focuses</w:t>
      </w:r>
      <w:r w:rsidRPr="00E9548B">
        <w:rPr>
          <w:rFonts w:ascii="Book Antiqua" w:hAnsi="Book Antiqua"/>
        </w:rPr>
        <w:t xml:space="preserve"> on evaluating and optimizing the </w:t>
      </w:r>
      <w:r w:rsidRPr="00E9548B">
        <w:rPr>
          <w:rFonts w:ascii="Book Antiqua" w:hAnsi="Book Antiqua"/>
          <w:i/>
        </w:rPr>
        <w:t>in vitro</w:t>
      </w:r>
      <w:r w:rsidRPr="00E9548B">
        <w:rPr>
          <w:rFonts w:ascii="Book Antiqua" w:hAnsi="Book Antiqua"/>
        </w:rPr>
        <w:t xml:space="preserve"> conditions necessary for equine bone marrow-derived</w:t>
      </w:r>
      <w:r>
        <w:rPr>
          <w:rFonts w:ascii="Book Antiqua" w:hAnsi="Book Antiqua"/>
        </w:rPr>
        <w:t xml:space="preserve"> MSCs to differentiate into cells of neural lineage. It also describes the use of neural markers on equine MSCs or on protein samples derived from equine MSCs, which has not been previously reported in the literature. Subsequent work focuses on further optimization of </w:t>
      </w:r>
      <w:r w:rsidRPr="00A02940">
        <w:rPr>
          <w:rFonts w:ascii="Book Antiqua" w:hAnsi="Book Antiqua"/>
          <w:i/>
        </w:rPr>
        <w:t>in vitro</w:t>
      </w:r>
      <w:r>
        <w:rPr>
          <w:rFonts w:ascii="Book Antiqua" w:hAnsi="Book Antiqua"/>
        </w:rPr>
        <w:t xml:space="preserve"> conditions necessary for committing these neural cells into Schwann cells. Finally, an </w:t>
      </w:r>
      <w:r w:rsidRPr="0084704D">
        <w:rPr>
          <w:rFonts w:ascii="Book Antiqua" w:hAnsi="Book Antiqua"/>
          <w:i/>
        </w:rPr>
        <w:t>in vivo</w:t>
      </w:r>
      <w:r>
        <w:rPr>
          <w:rFonts w:ascii="Book Antiqua" w:hAnsi="Book Antiqua"/>
        </w:rPr>
        <w:t xml:space="preserve"> project evaluating a model of peripheral nerve transection in horses is presented for the evaluation of nerve regeneration after undifferentiated MSCs are transplanted into the lesion immediately after nerve injury.</w:t>
      </w:r>
    </w:p>
    <w:p w14:paraId="6539C5FD" w14:textId="77777777" w:rsidR="002729A9" w:rsidRDefault="002729A9" w:rsidP="00E9548B">
      <w:pPr>
        <w:numPr>
          <w:ilvl w:val="12"/>
          <w:numId w:val="0"/>
        </w:numPr>
        <w:spacing w:line="360" w:lineRule="auto"/>
        <w:jc w:val="both"/>
        <w:rPr>
          <w:rFonts w:ascii="Book Antiqua" w:hAnsi="Book Antiqua"/>
        </w:rPr>
      </w:pPr>
    </w:p>
    <w:p w14:paraId="746D69E0" w14:textId="77777777" w:rsidR="002729A9" w:rsidRDefault="002729A9" w:rsidP="00E9548B">
      <w:pPr>
        <w:numPr>
          <w:ilvl w:val="12"/>
          <w:numId w:val="0"/>
        </w:numPr>
        <w:spacing w:line="360" w:lineRule="auto"/>
        <w:jc w:val="both"/>
        <w:rPr>
          <w:rFonts w:ascii="Book Antiqua" w:hAnsi="Book Antiqua"/>
        </w:rPr>
      </w:pPr>
      <w:r>
        <w:rPr>
          <w:rFonts w:ascii="Book Antiqua" w:hAnsi="Book Antiqua"/>
        </w:rPr>
        <w:t xml:space="preserve">Further research is required to investigate several aspects of peripheral nerve repair in horses, including the optimization of a method for obtaining viable equine Schwann-like cells after cultured </w:t>
      </w:r>
      <w:r w:rsidRPr="00C910E2">
        <w:rPr>
          <w:rFonts w:ascii="Book Antiqua" w:hAnsi="Book Antiqua"/>
          <w:i/>
        </w:rPr>
        <w:t>in vitro</w:t>
      </w:r>
      <w:r>
        <w:rPr>
          <w:rFonts w:ascii="Book Antiqua" w:hAnsi="Book Antiqua"/>
        </w:rPr>
        <w:t xml:space="preserve">, labeling of cells to track their migration after transplantation in horses, studying the effects of inserting a scaffold with MSCs after peripheral nerve injury in horses, and developing a practical and affordable method of delivery of MSCs in the horse. These studies should combine </w:t>
      </w:r>
      <w:r w:rsidRPr="00AF4D91">
        <w:rPr>
          <w:rFonts w:ascii="Book Antiqua" w:hAnsi="Book Antiqua"/>
          <w:i/>
        </w:rPr>
        <w:t>in vitro</w:t>
      </w:r>
      <w:r>
        <w:rPr>
          <w:rFonts w:ascii="Book Antiqua" w:hAnsi="Book Antiqua"/>
        </w:rPr>
        <w:t xml:space="preserve"> and </w:t>
      </w:r>
      <w:r w:rsidRPr="00AF4D91">
        <w:rPr>
          <w:rFonts w:ascii="Book Antiqua" w:hAnsi="Book Antiqua"/>
          <w:i/>
        </w:rPr>
        <w:t>in vivo</w:t>
      </w:r>
      <w:r>
        <w:rPr>
          <w:rFonts w:ascii="Book Antiqua" w:hAnsi="Book Antiqua"/>
        </w:rPr>
        <w:t xml:space="preserve"> findings for application in real cases in veterinary practice. The ultimate goal is to provide alternative methods for peripheral nerve regeneration by using cell therapy with MSCs and engineered biomaterials; consequently, improving not only the performance but also the quality of life of horses affected with peripheral nerve and, ultimately, spinal cord disorders.</w:t>
      </w:r>
    </w:p>
    <w:p w14:paraId="2483B6F4" w14:textId="77777777" w:rsidR="002729A9" w:rsidRDefault="002729A9">
      <w:pPr>
        <w:rPr>
          <w:rFonts w:ascii="Book Antiqua" w:eastAsiaTheme="majorEastAsia" w:hAnsi="Book Antiqua" w:cstheme="majorBidi"/>
          <w:b/>
          <w:bCs/>
          <w:caps/>
        </w:rPr>
      </w:pPr>
      <w:r>
        <w:rPr>
          <w:caps/>
        </w:rPr>
        <w:br w:type="page"/>
      </w:r>
    </w:p>
    <w:p w14:paraId="6C0E7CCA" w14:textId="77777777" w:rsidR="002729A9" w:rsidRPr="007913AD" w:rsidRDefault="002729A9" w:rsidP="008C0C61">
      <w:pPr>
        <w:pStyle w:val="Heading1"/>
        <w:rPr>
          <w:caps/>
          <w:szCs w:val="24"/>
        </w:rPr>
      </w:pPr>
      <w:bookmarkStart w:id="53" w:name="_Toc274387743"/>
      <w:r w:rsidRPr="007913AD">
        <w:rPr>
          <w:caps/>
          <w:szCs w:val="24"/>
        </w:rPr>
        <w:t>Vita</w:t>
      </w:r>
      <w:bookmarkEnd w:id="51"/>
      <w:bookmarkEnd w:id="53"/>
    </w:p>
    <w:p w14:paraId="02D63C89" w14:textId="77777777" w:rsidR="002729A9" w:rsidRPr="00690A7B" w:rsidRDefault="002729A9" w:rsidP="007913AD">
      <w:pPr>
        <w:spacing w:line="360" w:lineRule="auto"/>
        <w:jc w:val="both"/>
        <w:rPr>
          <w:rFonts w:ascii="Book Antiqua" w:hAnsi="Book Antiqua"/>
        </w:rPr>
      </w:pPr>
    </w:p>
    <w:p w14:paraId="6FDCFDA7" w14:textId="77777777" w:rsidR="002729A9" w:rsidRPr="00690A7B" w:rsidRDefault="002729A9" w:rsidP="007913AD">
      <w:pPr>
        <w:spacing w:line="360" w:lineRule="auto"/>
        <w:jc w:val="both"/>
        <w:rPr>
          <w:rFonts w:ascii="Book Antiqua" w:hAnsi="Book Antiqua"/>
        </w:rPr>
      </w:pPr>
    </w:p>
    <w:p w14:paraId="0BFBDE1E" w14:textId="77777777" w:rsidR="002729A9" w:rsidRPr="008D5224" w:rsidRDefault="002729A9" w:rsidP="007913AD">
      <w:pPr>
        <w:spacing w:line="360" w:lineRule="auto"/>
        <w:jc w:val="both"/>
        <w:rPr>
          <w:rFonts w:ascii="Book Antiqua" w:hAnsi="Book Antiqua"/>
        </w:rPr>
      </w:pPr>
      <w:r w:rsidRPr="00690A7B">
        <w:rPr>
          <w:rFonts w:ascii="Book Antiqua" w:hAnsi="Book Antiqua"/>
          <w:lang w:val="es-ES_tradnl"/>
        </w:rPr>
        <w:t>Claudia Cruz Villagrán was born in Ciudad de</w:t>
      </w:r>
      <w:r w:rsidRPr="00690A7B">
        <w:rPr>
          <w:rFonts w:ascii="Book Antiqua" w:hAnsi="Book Antiqua"/>
        </w:rPr>
        <w:t xml:space="preserve"> </w:t>
      </w:r>
      <w:r w:rsidRPr="00690A7B">
        <w:rPr>
          <w:rFonts w:ascii="Book Antiqua" w:hAnsi="Book Antiqua"/>
          <w:lang w:val="es-ES_tradnl"/>
        </w:rPr>
        <w:t>México, México. She obtained her veterinary degree from Universidad Nacional Autónoma de</w:t>
      </w:r>
      <w:r w:rsidRPr="00690A7B">
        <w:rPr>
          <w:rFonts w:ascii="Book Antiqua" w:hAnsi="Book Antiqua"/>
        </w:rPr>
        <w:t xml:space="preserve"> </w:t>
      </w:r>
      <w:r w:rsidRPr="00690A7B">
        <w:rPr>
          <w:rFonts w:ascii="Book Antiqua" w:hAnsi="Book Antiqua"/>
          <w:lang w:val="es-ES_tradnl"/>
        </w:rPr>
        <w:t xml:space="preserve">México (UNAM) in 2008. She arrived to the United States on 2008 to pursue profesional development. She became a large animal Diplomate of the American College of Veterinary Internal Medicine in 2013. Her main research interest is regenerative medicine in horses.  </w:t>
      </w:r>
    </w:p>
    <w:p w14:paraId="5884E569" w14:textId="77777777" w:rsidR="002729A9" w:rsidRPr="008D5224" w:rsidRDefault="002729A9" w:rsidP="00EE712B">
      <w:pPr>
        <w:pStyle w:val="BodyA"/>
        <w:spacing w:line="360" w:lineRule="auto"/>
        <w:jc w:val="both"/>
        <w:rPr>
          <w:rFonts w:ascii="Book Antiqua" w:hAnsi="Book Antiqua"/>
          <w:szCs w:val="24"/>
        </w:rPr>
      </w:pPr>
    </w:p>
    <w:p w14:paraId="7D61D60A" w14:textId="77777777" w:rsidR="002729A9" w:rsidRPr="008D5224" w:rsidRDefault="002729A9" w:rsidP="00EE712B">
      <w:pPr>
        <w:spacing w:line="360" w:lineRule="auto"/>
        <w:jc w:val="both"/>
        <w:rPr>
          <w:rFonts w:ascii="Book Antiqua" w:hAnsi="Book Antiqua"/>
        </w:rPr>
      </w:pPr>
    </w:p>
    <w:p w14:paraId="2D5D493A" w14:textId="77777777" w:rsidR="002729A9" w:rsidRPr="008D5224" w:rsidRDefault="002729A9" w:rsidP="00EE712B">
      <w:pPr>
        <w:spacing w:line="360" w:lineRule="auto"/>
        <w:jc w:val="both"/>
        <w:rPr>
          <w:rFonts w:ascii="Book Antiqua" w:hAnsi="Book Antiqua"/>
        </w:rPr>
      </w:pPr>
    </w:p>
    <w:p w14:paraId="6ECEF8D4" w14:textId="77777777" w:rsidR="002729A9" w:rsidRPr="008D5224" w:rsidRDefault="002729A9" w:rsidP="00EE712B">
      <w:pPr>
        <w:spacing w:line="360" w:lineRule="auto"/>
        <w:jc w:val="both"/>
        <w:rPr>
          <w:rFonts w:ascii="Book Antiqua" w:hAnsi="Book Antiqua"/>
        </w:rPr>
      </w:pPr>
    </w:p>
    <w:p w14:paraId="152CD727" w14:textId="77777777" w:rsidR="002729A9" w:rsidRPr="008D5224" w:rsidRDefault="002729A9" w:rsidP="00EE712B">
      <w:pPr>
        <w:spacing w:line="360" w:lineRule="auto"/>
        <w:jc w:val="both"/>
        <w:rPr>
          <w:rFonts w:ascii="Book Antiqua" w:hAnsi="Book Antiqua"/>
        </w:rPr>
      </w:pPr>
    </w:p>
    <w:p w14:paraId="7446A9A3" w14:textId="77777777" w:rsidR="002729A9" w:rsidRDefault="002729A9" w:rsidP="00EE712B">
      <w:pPr>
        <w:spacing w:line="360" w:lineRule="auto"/>
        <w:jc w:val="both"/>
      </w:pPr>
    </w:p>
    <w:p w14:paraId="55E6D470" w14:textId="77777777" w:rsidR="00E37376" w:rsidRDefault="00E37376"/>
    <w:sectPr w:rsidR="00E37376" w:rsidSect="00952C8E">
      <w:pgSz w:w="11900" w:h="16840"/>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05DCCB" w14:textId="77777777" w:rsidR="002729A9" w:rsidRDefault="002729A9" w:rsidP="002729A9">
      <w:r>
        <w:separator/>
      </w:r>
    </w:p>
  </w:endnote>
  <w:endnote w:type="continuationSeparator" w:id="0">
    <w:p w14:paraId="2FC5D1AA" w14:textId="77777777" w:rsidR="002729A9" w:rsidRDefault="002729A9" w:rsidP="00272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Book Antiqua">
    <w:panose1 w:val="020406020503050303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altName w:val="Arial"/>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00000001" w:usb1="08070000" w:usb2="00000010" w:usb3="00000000" w:csb0="00020000" w:csb1="00000000"/>
  </w:font>
  <w:font w:name="Noteworthy Bold">
    <w:altName w:val="Arial Unicode MS"/>
    <w:panose1 w:val="02000400000000000000"/>
    <w:charset w:val="00"/>
    <w:family w:val="auto"/>
    <w:pitch w:val="variable"/>
    <w:sig w:usb0="8000006F" w:usb1="08000048" w:usb2="14600000" w:usb3="00000000" w:csb0="00000111" w:csb1="00000000"/>
  </w:font>
  <w:font w:name="Noteworthy Light">
    <w:panose1 w:val="02000400000000000000"/>
    <w:charset w:val="00"/>
    <w:family w:val="auto"/>
    <w:pitch w:val="variable"/>
    <w:sig w:usb0="8000006F" w:usb1="08000048" w:usb2="14600000" w:usb3="00000000" w:csb0="00000111"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9B8F4B" w14:textId="77777777" w:rsidR="004901DD" w:rsidRDefault="009C55EA" w:rsidP="002729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D4EF90" w14:textId="77777777" w:rsidR="004901DD" w:rsidRDefault="00F5401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9748DB" w14:textId="77777777" w:rsidR="004901DD" w:rsidRDefault="009C55EA" w:rsidP="002729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4019">
      <w:rPr>
        <w:rStyle w:val="PageNumber"/>
        <w:noProof/>
      </w:rPr>
      <w:t>61</w:t>
    </w:r>
    <w:r>
      <w:rPr>
        <w:rStyle w:val="PageNumber"/>
      </w:rPr>
      <w:fldChar w:fldCharType="end"/>
    </w:r>
  </w:p>
  <w:p w14:paraId="37D2B641" w14:textId="77777777" w:rsidR="004901DD" w:rsidRDefault="00F5401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B551F7" w14:textId="77777777" w:rsidR="002729A9" w:rsidRDefault="002729A9" w:rsidP="002729A9">
      <w:r>
        <w:separator/>
      </w:r>
    </w:p>
  </w:footnote>
  <w:footnote w:type="continuationSeparator" w:id="0">
    <w:p w14:paraId="39AE1D73" w14:textId="77777777" w:rsidR="002729A9" w:rsidRDefault="002729A9" w:rsidP="002729A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70B38"/>
    <w:multiLevelType w:val="hybridMultilevel"/>
    <w:tmpl w:val="6A4201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C9392F"/>
    <w:multiLevelType w:val="multilevel"/>
    <w:tmpl w:val="CA6E8D78"/>
    <w:lvl w:ilvl="0">
      <w:start w:val="1"/>
      <w:numFmt w:val="lowerLetter"/>
      <w:lvlText w:val="%1)"/>
      <w:lvlJc w:val="left"/>
      <w:pPr>
        <w:tabs>
          <w:tab w:val="num" w:pos="270"/>
        </w:tabs>
        <w:ind w:left="0" w:firstLine="0"/>
      </w:pPr>
      <w:rPr>
        <w:rFonts w:hint="default"/>
        <w:position w:val="0"/>
        <w:sz w:val="22"/>
      </w:rPr>
    </w:lvl>
    <w:lvl w:ilvl="1">
      <w:start w:val="1"/>
      <w:numFmt w:val="lowerLetter"/>
      <w:suff w:val="nothing"/>
      <w:lvlText w:val="%2."/>
      <w:lvlJc w:val="left"/>
      <w:pPr>
        <w:ind w:left="0" w:firstLine="1440"/>
      </w:pPr>
      <w:rPr>
        <w:rFonts w:hint="default"/>
        <w:position w:val="0"/>
        <w:sz w:val="22"/>
      </w:rPr>
    </w:lvl>
    <w:lvl w:ilvl="2">
      <w:start w:val="1"/>
      <w:numFmt w:val="lowerRoman"/>
      <w:suff w:val="nothing"/>
      <w:lvlText w:val="%3."/>
      <w:lvlJc w:val="left"/>
      <w:pPr>
        <w:ind w:left="0" w:firstLine="2160"/>
      </w:pPr>
      <w:rPr>
        <w:rFonts w:hint="default"/>
        <w:position w:val="0"/>
        <w:sz w:val="22"/>
      </w:rPr>
    </w:lvl>
    <w:lvl w:ilvl="3">
      <w:start w:val="1"/>
      <w:numFmt w:val="decimal"/>
      <w:isLgl/>
      <w:suff w:val="nothing"/>
      <w:lvlText w:val="%4."/>
      <w:lvlJc w:val="left"/>
      <w:pPr>
        <w:ind w:left="0" w:firstLine="2880"/>
      </w:pPr>
      <w:rPr>
        <w:rFonts w:hint="default"/>
        <w:position w:val="0"/>
        <w:sz w:val="22"/>
      </w:rPr>
    </w:lvl>
    <w:lvl w:ilvl="4">
      <w:start w:val="1"/>
      <w:numFmt w:val="lowerLetter"/>
      <w:suff w:val="nothing"/>
      <w:lvlText w:val="%5."/>
      <w:lvlJc w:val="left"/>
      <w:pPr>
        <w:ind w:left="0" w:firstLine="3600"/>
      </w:pPr>
      <w:rPr>
        <w:rFonts w:hint="default"/>
        <w:position w:val="0"/>
        <w:sz w:val="22"/>
      </w:rPr>
    </w:lvl>
    <w:lvl w:ilvl="5">
      <w:start w:val="1"/>
      <w:numFmt w:val="lowerRoman"/>
      <w:suff w:val="nothing"/>
      <w:lvlText w:val="%6."/>
      <w:lvlJc w:val="left"/>
      <w:pPr>
        <w:ind w:left="0" w:firstLine="4320"/>
      </w:pPr>
      <w:rPr>
        <w:rFonts w:hint="default"/>
        <w:position w:val="0"/>
        <w:sz w:val="22"/>
      </w:rPr>
    </w:lvl>
    <w:lvl w:ilvl="6">
      <w:start w:val="1"/>
      <w:numFmt w:val="decimal"/>
      <w:isLgl/>
      <w:suff w:val="nothing"/>
      <w:lvlText w:val="%7."/>
      <w:lvlJc w:val="left"/>
      <w:pPr>
        <w:ind w:left="0" w:firstLine="5040"/>
      </w:pPr>
      <w:rPr>
        <w:rFonts w:hint="default"/>
        <w:position w:val="0"/>
        <w:sz w:val="22"/>
      </w:rPr>
    </w:lvl>
    <w:lvl w:ilvl="7">
      <w:start w:val="1"/>
      <w:numFmt w:val="lowerLetter"/>
      <w:suff w:val="nothing"/>
      <w:lvlText w:val="%8."/>
      <w:lvlJc w:val="left"/>
      <w:pPr>
        <w:ind w:left="0" w:firstLine="5760"/>
      </w:pPr>
      <w:rPr>
        <w:rFonts w:hint="default"/>
        <w:position w:val="0"/>
        <w:sz w:val="22"/>
      </w:rPr>
    </w:lvl>
    <w:lvl w:ilvl="8">
      <w:start w:val="1"/>
      <w:numFmt w:val="lowerRoman"/>
      <w:suff w:val="nothing"/>
      <w:lvlText w:val="%9."/>
      <w:lvlJc w:val="left"/>
      <w:pPr>
        <w:ind w:left="0" w:firstLine="6480"/>
      </w:pPr>
      <w:rPr>
        <w:rFonts w:hint="default"/>
        <w:position w:val="0"/>
        <w:sz w:val="22"/>
      </w:rPr>
    </w:lvl>
  </w:abstractNum>
  <w:abstractNum w:abstractNumId="2">
    <w:nsid w:val="3DCA297B"/>
    <w:multiLevelType w:val="multilevel"/>
    <w:tmpl w:val="557ABF54"/>
    <w:lvl w:ilvl="0">
      <w:start w:val="3"/>
      <w:numFmt w:val="lowerLetter"/>
      <w:lvlText w:val="%1)"/>
      <w:lvlJc w:val="left"/>
      <w:pPr>
        <w:tabs>
          <w:tab w:val="num" w:pos="270"/>
        </w:tabs>
        <w:ind w:left="0" w:firstLine="0"/>
      </w:pPr>
      <w:rPr>
        <w:rFonts w:hint="default"/>
        <w:position w:val="0"/>
        <w:sz w:val="22"/>
      </w:rPr>
    </w:lvl>
    <w:lvl w:ilvl="1">
      <w:start w:val="1"/>
      <w:numFmt w:val="lowerLetter"/>
      <w:suff w:val="nothing"/>
      <w:lvlText w:val="%2."/>
      <w:lvlJc w:val="left"/>
      <w:pPr>
        <w:ind w:left="0" w:firstLine="1440"/>
      </w:pPr>
      <w:rPr>
        <w:rFonts w:hint="default"/>
        <w:position w:val="0"/>
        <w:sz w:val="22"/>
      </w:rPr>
    </w:lvl>
    <w:lvl w:ilvl="2">
      <w:start w:val="1"/>
      <w:numFmt w:val="lowerRoman"/>
      <w:suff w:val="nothing"/>
      <w:lvlText w:val="%3."/>
      <w:lvlJc w:val="left"/>
      <w:pPr>
        <w:ind w:left="0" w:firstLine="2160"/>
      </w:pPr>
      <w:rPr>
        <w:rFonts w:hint="default"/>
        <w:position w:val="0"/>
        <w:sz w:val="22"/>
      </w:rPr>
    </w:lvl>
    <w:lvl w:ilvl="3">
      <w:start w:val="1"/>
      <w:numFmt w:val="decimal"/>
      <w:isLgl/>
      <w:suff w:val="nothing"/>
      <w:lvlText w:val="%4."/>
      <w:lvlJc w:val="left"/>
      <w:pPr>
        <w:ind w:left="0" w:firstLine="2880"/>
      </w:pPr>
      <w:rPr>
        <w:rFonts w:hint="default"/>
        <w:position w:val="0"/>
        <w:sz w:val="22"/>
      </w:rPr>
    </w:lvl>
    <w:lvl w:ilvl="4">
      <w:start w:val="1"/>
      <w:numFmt w:val="lowerLetter"/>
      <w:suff w:val="nothing"/>
      <w:lvlText w:val="%5."/>
      <w:lvlJc w:val="left"/>
      <w:pPr>
        <w:ind w:left="0" w:firstLine="3600"/>
      </w:pPr>
      <w:rPr>
        <w:rFonts w:hint="default"/>
        <w:position w:val="0"/>
        <w:sz w:val="22"/>
      </w:rPr>
    </w:lvl>
    <w:lvl w:ilvl="5">
      <w:start w:val="1"/>
      <w:numFmt w:val="lowerRoman"/>
      <w:suff w:val="nothing"/>
      <w:lvlText w:val="%6."/>
      <w:lvlJc w:val="left"/>
      <w:pPr>
        <w:ind w:left="0" w:firstLine="4320"/>
      </w:pPr>
      <w:rPr>
        <w:rFonts w:hint="default"/>
        <w:position w:val="0"/>
        <w:sz w:val="22"/>
      </w:rPr>
    </w:lvl>
    <w:lvl w:ilvl="6">
      <w:start w:val="1"/>
      <w:numFmt w:val="decimal"/>
      <w:isLgl/>
      <w:suff w:val="nothing"/>
      <w:lvlText w:val="%7."/>
      <w:lvlJc w:val="left"/>
      <w:pPr>
        <w:ind w:left="0" w:firstLine="5040"/>
      </w:pPr>
      <w:rPr>
        <w:rFonts w:hint="default"/>
        <w:position w:val="0"/>
        <w:sz w:val="22"/>
      </w:rPr>
    </w:lvl>
    <w:lvl w:ilvl="7">
      <w:start w:val="1"/>
      <w:numFmt w:val="lowerLetter"/>
      <w:suff w:val="nothing"/>
      <w:lvlText w:val="%8."/>
      <w:lvlJc w:val="left"/>
      <w:pPr>
        <w:ind w:left="0" w:firstLine="5760"/>
      </w:pPr>
      <w:rPr>
        <w:rFonts w:hint="default"/>
        <w:position w:val="0"/>
        <w:sz w:val="22"/>
      </w:rPr>
    </w:lvl>
    <w:lvl w:ilvl="8">
      <w:start w:val="1"/>
      <w:numFmt w:val="lowerRoman"/>
      <w:suff w:val="nothing"/>
      <w:lvlText w:val="%9."/>
      <w:lvlJc w:val="left"/>
      <w:pPr>
        <w:ind w:left="0" w:firstLine="6480"/>
      </w:pPr>
      <w:rPr>
        <w:rFonts w:hint="default"/>
        <w:position w:val="0"/>
        <w:sz w:val="22"/>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2729A9"/>
    <w:rsid w:val="002729A9"/>
    <w:rsid w:val="00711AAF"/>
    <w:rsid w:val="009C55EA"/>
    <w:rsid w:val="00E37376"/>
    <w:rsid w:val="00F540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3EF8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9A9"/>
    <w:rPr>
      <w:rFonts w:ascii="Times New Roman" w:eastAsia="Times New Roman" w:hAnsi="Times New Roman" w:cs="Times New Roman"/>
    </w:rPr>
  </w:style>
  <w:style w:type="paragraph" w:styleId="Heading1">
    <w:name w:val="heading 1"/>
    <w:basedOn w:val="Normal"/>
    <w:next w:val="Normal"/>
    <w:link w:val="Heading1Char"/>
    <w:uiPriority w:val="9"/>
    <w:qFormat/>
    <w:rsid w:val="002729A9"/>
    <w:pPr>
      <w:keepNext/>
      <w:keepLines/>
      <w:jc w:val="center"/>
      <w:outlineLvl w:val="0"/>
    </w:pPr>
    <w:rPr>
      <w:rFonts w:ascii="Book Antiqua" w:eastAsiaTheme="majorEastAsia" w:hAnsi="Book Antiqua" w:cstheme="majorBidi"/>
      <w:b/>
      <w:bCs/>
      <w:szCs w:val="32"/>
    </w:rPr>
  </w:style>
  <w:style w:type="paragraph" w:styleId="Heading2">
    <w:name w:val="heading 2"/>
    <w:basedOn w:val="Normal"/>
    <w:next w:val="Normal"/>
    <w:link w:val="Heading2Char"/>
    <w:qFormat/>
    <w:rsid w:val="002729A9"/>
    <w:pPr>
      <w:keepNext/>
      <w:spacing w:line="360" w:lineRule="auto"/>
      <w:jc w:val="center"/>
      <w:outlineLvl w:val="1"/>
    </w:pPr>
    <w:rPr>
      <w:rFonts w:ascii="Book Antiqua" w:hAnsi="Book Antiqua"/>
      <w:b/>
      <w:bCs/>
      <w:iCs/>
      <w:u w:val="single"/>
    </w:rPr>
  </w:style>
  <w:style w:type="paragraph" w:styleId="Heading3">
    <w:name w:val="heading 3"/>
    <w:basedOn w:val="Normal"/>
    <w:next w:val="Normal"/>
    <w:link w:val="Heading3Char"/>
    <w:qFormat/>
    <w:rsid w:val="002729A9"/>
    <w:pPr>
      <w:keepNext/>
      <w:spacing w:line="360" w:lineRule="auto"/>
      <w:jc w:val="both"/>
      <w:outlineLvl w:val="2"/>
    </w:pPr>
    <w:rPr>
      <w:rFonts w:ascii="Book Antiqua" w:hAnsi="Book Antiqua"/>
      <w:b/>
      <w:bCs/>
      <w:i/>
    </w:rPr>
  </w:style>
  <w:style w:type="paragraph" w:styleId="Heading4">
    <w:name w:val="heading 4"/>
    <w:basedOn w:val="Normal"/>
    <w:next w:val="Normal"/>
    <w:link w:val="Heading4Char"/>
    <w:uiPriority w:val="9"/>
    <w:unhideWhenUsed/>
    <w:qFormat/>
    <w:rsid w:val="002729A9"/>
    <w:pPr>
      <w:keepNext/>
      <w:keepLines/>
      <w:spacing w:before="200"/>
      <w:outlineLvl w:val="3"/>
    </w:pPr>
    <w:rPr>
      <w:rFonts w:ascii="Book Antiqua" w:eastAsiaTheme="majorEastAsia" w:hAnsi="Book Antiqua" w:cstheme="majorBidi"/>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9A9"/>
    <w:rPr>
      <w:rFonts w:ascii="Book Antiqua" w:eastAsiaTheme="majorEastAsia" w:hAnsi="Book Antiqua" w:cstheme="majorBidi"/>
      <w:b/>
      <w:bCs/>
      <w:szCs w:val="32"/>
    </w:rPr>
  </w:style>
  <w:style w:type="character" w:customStyle="1" w:styleId="Heading2Char">
    <w:name w:val="Heading 2 Char"/>
    <w:basedOn w:val="DefaultParagraphFont"/>
    <w:link w:val="Heading2"/>
    <w:rsid w:val="002729A9"/>
    <w:rPr>
      <w:rFonts w:ascii="Book Antiqua" w:eastAsia="Times New Roman" w:hAnsi="Book Antiqua" w:cs="Times New Roman"/>
      <w:b/>
      <w:bCs/>
      <w:iCs/>
      <w:u w:val="single"/>
    </w:rPr>
  </w:style>
  <w:style w:type="character" w:customStyle="1" w:styleId="Heading3Char">
    <w:name w:val="Heading 3 Char"/>
    <w:basedOn w:val="DefaultParagraphFont"/>
    <w:link w:val="Heading3"/>
    <w:rsid w:val="002729A9"/>
    <w:rPr>
      <w:rFonts w:ascii="Book Antiqua" w:eastAsia="Times New Roman" w:hAnsi="Book Antiqua" w:cs="Times New Roman"/>
      <w:b/>
      <w:bCs/>
      <w:i/>
    </w:rPr>
  </w:style>
  <w:style w:type="character" w:customStyle="1" w:styleId="Heading4Char">
    <w:name w:val="Heading 4 Char"/>
    <w:basedOn w:val="DefaultParagraphFont"/>
    <w:link w:val="Heading4"/>
    <w:uiPriority w:val="9"/>
    <w:rsid w:val="002729A9"/>
    <w:rPr>
      <w:rFonts w:ascii="Book Antiqua" w:eastAsiaTheme="majorEastAsia" w:hAnsi="Book Antiqua" w:cstheme="majorBidi"/>
      <w:bCs/>
      <w:i/>
      <w:iCs/>
      <w:u w:val="single"/>
    </w:rPr>
  </w:style>
  <w:style w:type="paragraph" w:styleId="Footer">
    <w:name w:val="footer"/>
    <w:basedOn w:val="Normal"/>
    <w:link w:val="FooterChar"/>
    <w:rsid w:val="002729A9"/>
    <w:pPr>
      <w:tabs>
        <w:tab w:val="center" w:pos="4320"/>
        <w:tab w:val="right" w:pos="8640"/>
      </w:tabs>
    </w:pPr>
  </w:style>
  <w:style w:type="character" w:customStyle="1" w:styleId="FooterChar">
    <w:name w:val="Footer Char"/>
    <w:basedOn w:val="DefaultParagraphFont"/>
    <w:link w:val="Footer"/>
    <w:rsid w:val="002729A9"/>
    <w:rPr>
      <w:rFonts w:ascii="Times New Roman" w:eastAsia="Times New Roman" w:hAnsi="Times New Roman" w:cs="Times New Roman"/>
    </w:rPr>
  </w:style>
  <w:style w:type="character" w:styleId="Hyperlink">
    <w:name w:val="Hyperlink"/>
    <w:rsid w:val="002729A9"/>
    <w:rPr>
      <w:color w:val="0000FF"/>
      <w:u w:val="single"/>
    </w:rPr>
  </w:style>
  <w:style w:type="paragraph" w:customStyle="1" w:styleId="StyleHeading1Centered">
    <w:name w:val="Style Heading 1 + Centered"/>
    <w:basedOn w:val="Heading1"/>
    <w:link w:val="StyleHeading1CenteredChar"/>
    <w:rsid w:val="002729A9"/>
    <w:pPr>
      <w:keepNext w:val="0"/>
      <w:keepLines w:val="0"/>
      <w:autoSpaceDE w:val="0"/>
      <w:autoSpaceDN w:val="0"/>
      <w:adjustRightInd w:val="0"/>
    </w:pPr>
    <w:rPr>
      <w:rFonts w:ascii="Arial" w:eastAsia="Times New Roman" w:hAnsi="Arial" w:cs="Times New Roman"/>
      <w:caps/>
      <w:sz w:val="28"/>
      <w:szCs w:val="28"/>
    </w:rPr>
  </w:style>
  <w:style w:type="character" w:customStyle="1" w:styleId="StyleHeading1CenteredChar">
    <w:name w:val="Style Heading 1 + Centered Char"/>
    <w:link w:val="StyleHeading1Centered"/>
    <w:rsid w:val="002729A9"/>
    <w:rPr>
      <w:rFonts w:ascii="Arial" w:eastAsia="Times New Roman" w:hAnsi="Arial" w:cs="Times New Roman"/>
      <w:b/>
      <w:bCs/>
      <w:caps/>
      <w:sz w:val="28"/>
      <w:szCs w:val="28"/>
    </w:rPr>
  </w:style>
  <w:style w:type="paragraph" w:styleId="TOC1">
    <w:name w:val="toc 1"/>
    <w:basedOn w:val="Normal"/>
    <w:next w:val="Normal"/>
    <w:autoRedefine/>
    <w:uiPriority w:val="39"/>
    <w:rsid w:val="002729A9"/>
    <w:pPr>
      <w:tabs>
        <w:tab w:val="right" w:leader="dot" w:pos="9010"/>
      </w:tabs>
      <w:spacing w:before="120"/>
    </w:pPr>
    <w:rPr>
      <w:rFonts w:asciiTheme="minorHAnsi" w:hAnsiTheme="minorHAnsi"/>
      <w:b/>
      <w:caps/>
      <w:sz w:val="22"/>
      <w:szCs w:val="22"/>
    </w:rPr>
  </w:style>
  <w:style w:type="paragraph" w:styleId="TOC2">
    <w:name w:val="toc 2"/>
    <w:basedOn w:val="Normal"/>
    <w:next w:val="Normal"/>
    <w:autoRedefine/>
    <w:uiPriority w:val="39"/>
    <w:rsid w:val="002729A9"/>
    <w:pPr>
      <w:ind w:left="240"/>
    </w:pPr>
    <w:rPr>
      <w:rFonts w:asciiTheme="minorHAnsi" w:hAnsiTheme="minorHAnsi"/>
      <w:smallCaps/>
      <w:sz w:val="22"/>
      <w:szCs w:val="22"/>
    </w:rPr>
  </w:style>
  <w:style w:type="paragraph" w:styleId="TOC3">
    <w:name w:val="toc 3"/>
    <w:basedOn w:val="Normal"/>
    <w:next w:val="Normal"/>
    <w:autoRedefine/>
    <w:uiPriority w:val="39"/>
    <w:rsid w:val="002729A9"/>
    <w:pPr>
      <w:ind w:left="480"/>
    </w:pPr>
    <w:rPr>
      <w:rFonts w:asciiTheme="minorHAnsi" w:hAnsiTheme="minorHAnsi"/>
      <w:i/>
      <w:sz w:val="22"/>
      <w:szCs w:val="22"/>
    </w:rPr>
  </w:style>
  <w:style w:type="paragraph" w:styleId="TOC4">
    <w:name w:val="toc 4"/>
    <w:basedOn w:val="Normal"/>
    <w:next w:val="Normal"/>
    <w:autoRedefine/>
    <w:uiPriority w:val="39"/>
    <w:unhideWhenUsed/>
    <w:rsid w:val="002729A9"/>
    <w:pPr>
      <w:ind w:left="720"/>
    </w:pPr>
    <w:rPr>
      <w:rFonts w:asciiTheme="minorHAnsi" w:hAnsiTheme="minorHAnsi"/>
      <w:sz w:val="18"/>
      <w:szCs w:val="18"/>
    </w:rPr>
  </w:style>
  <w:style w:type="paragraph" w:styleId="TOC5">
    <w:name w:val="toc 5"/>
    <w:basedOn w:val="Normal"/>
    <w:next w:val="Normal"/>
    <w:autoRedefine/>
    <w:uiPriority w:val="39"/>
    <w:unhideWhenUsed/>
    <w:rsid w:val="002729A9"/>
    <w:pPr>
      <w:ind w:left="960"/>
    </w:pPr>
    <w:rPr>
      <w:rFonts w:asciiTheme="minorHAnsi" w:hAnsiTheme="minorHAnsi"/>
      <w:sz w:val="18"/>
      <w:szCs w:val="18"/>
    </w:rPr>
  </w:style>
  <w:style w:type="paragraph" w:styleId="TOC6">
    <w:name w:val="toc 6"/>
    <w:basedOn w:val="Normal"/>
    <w:next w:val="Normal"/>
    <w:autoRedefine/>
    <w:uiPriority w:val="39"/>
    <w:unhideWhenUsed/>
    <w:rsid w:val="002729A9"/>
    <w:pPr>
      <w:ind w:left="1200"/>
    </w:pPr>
    <w:rPr>
      <w:rFonts w:asciiTheme="minorHAnsi" w:hAnsiTheme="minorHAnsi"/>
      <w:sz w:val="18"/>
      <w:szCs w:val="18"/>
    </w:rPr>
  </w:style>
  <w:style w:type="paragraph" w:styleId="TOC7">
    <w:name w:val="toc 7"/>
    <w:basedOn w:val="Normal"/>
    <w:next w:val="Normal"/>
    <w:autoRedefine/>
    <w:uiPriority w:val="39"/>
    <w:unhideWhenUsed/>
    <w:rsid w:val="002729A9"/>
    <w:pPr>
      <w:ind w:left="1440"/>
    </w:pPr>
    <w:rPr>
      <w:rFonts w:asciiTheme="minorHAnsi" w:hAnsiTheme="minorHAnsi"/>
      <w:sz w:val="18"/>
      <w:szCs w:val="18"/>
    </w:rPr>
  </w:style>
  <w:style w:type="paragraph" w:styleId="TOC8">
    <w:name w:val="toc 8"/>
    <w:basedOn w:val="Normal"/>
    <w:next w:val="Normal"/>
    <w:autoRedefine/>
    <w:uiPriority w:val="39"/>
    <w:unhideWhenUsed/>
    <w:rsid w:val="002729A9"/>
    <w:pPr>
      <w:ind w:left="1680"/>
    </w:pPr>
    <w:rPr>
      <w:rFonts w:asciiTheme="minorHAnsi" w:hAnsiTheme="minorHAnsi"/>
      <w:sz w:val="18"/>
      <w:szCs w:val="18"/>
    </w:rPr>
  </w:style>
  <w:style w:type="paragraph" w:styleId="TOC9">
    <w:name w:val="toc 9"/>
    <w:basedOn w:val="Normal"/>
    <w:next w:val="Normal"/>
    <w:autoRedefine/>
    <w:uiPriority w:val="39"/>
    <w:unhideWhenUsed/>
    <w:rsid w:val="002729A9"/>
    <w:pPr>
      <w:ind w:left="1920"/>
    </w:pPr>
    <w:rPr>
      <w:rFonts w:asciiTheme="minorHAnsi" w:hAnsiTheme="minorHAnsi"/>
      <w:sz w:val="18"/>
      <w:szCs w:val="18"/>
    </w:rPr>
  </w:style>
  <w:style w:type="paragraph" w:customStyle="1" w:styleId="EndNoteBibliographyTitle">
    <w:name w:val="EndNote Bibliography Title"/>
    <w:basedOn w:val="Normal"/>
    <w:rsid w:val="002729A9"/>
    <w:pPr>
      <w:jc w:val="center"/>
    </w:pPr>
  </w:style>
  <w:style w:type="paragraph" w:customStyle="1" w:styleId="EndNoteBibliography">
    <w:name w:val="EndNote Bibliography"/>
    <w:basedOn w:val="Normal"/>
    <w:link w:val="EndNoteBibliographyChar"/>
    <w:rsid w:val="002729A9"/>
    <w:pPr>
      <w:jc w:val="both"/>
    </w:pPr>
  </w:style>
  <w:style w:type="character" w:styleId="FollowedHyperlink">
    <w:name w:val="FollowedHyperlink"/>
    <w:basedOn w:val="DefaultParagraphFont"/>
    <w:uiPriority w:val="99"/>
    <w:semiHidden/>
    <w:unhideWhenUsed/>
    <w:rsid w:val="002729A9"/>
    <w:rPr>
      <w:color w:val="800080" w:themeColor="followedHyperlink"/>
      <w:u w:val="single"/>
    </w:rPr>
  </w:style>
  <w:style w:type="paragraph" w:styleId="TOCHeading">
    <w:name w:val="TOC Heading"/>
    <w:basedOn w:val="Heading1"/>
    <w:next w:val="Normal"/>
    <w:uiPriority w:val="39"/>
    <w:unhideWhenUsed/>
    <w:qFormat/>
    <w:rsid w:val="002729A9"/>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2729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29A9"/>
    <w:rPr>
      <w:rFonts w:ascii="Lucida Grande" w:eastAsia="Times New Roman" w:hAnsi="Lucida Grande" w:cs="Lucida Grande"/>
      <w:sz w:val="18"/>
      <w:szCs w:val="18"/>
    </w:rPr>
  </w:style>
  <w:style w:type="character" w:styleId="PageNumber">
    <w:name w:val="page number"/>
    <w:basedOn w:val="DefaultParagraphFont"/>
    <w:uiPriority w:val="99"/>
    <w:semiHidden/>
    <w:unhideWhenUsed/>
    <w:rsid w:val="002729A9"/>
  </w:style>
  <w:style w:type="paragraph" w:customStyle="1" w:styleId="BodyA">
    <w:name w:val="Body A"/>
    <w:link w:val="BodyAChar"/>
    <w:rsid w:val="002729A9"/>
    <w:rPr>
      <w:rFonts w:ascii="Helvetica" w:eastAsia="ヒラギノ角ゴ Pro W3" w:hAnsi="Helvetica" w:cs="Times New Roman"/>
      <w:color w:val="000000"/>
      <w:szCs w:val="20"/>
      <w:lang w:val="en-GB"/>
    </w:rPr>
  </w:style>
  <w:style w:type="character" w:customStyle="1" w:styleId="BodyAChar">
    <w:name w:val="Body A Char"/>
    <w:link w:val="BodyA"/>
    <w:rsid w:val="002729A9"/>
    <w:rPr>
      <w:rFonts w:ascii="Helvetica" w:eastAsia="ヒラギノ角ゴ Pro W3" w:hAnsi="Helvetica" w:cs="Times New Roman"/>
      <w:color w:val="000000"/>
      <w:szCs w:val="20"/>
      <w:lang w:val="en-GB"/>
    </w:rPr>
  </w:style>
  <w:style w:type="character" w:customStyle="1" w:styleId="EndNoteBibliographyChar">
    <w:name w:val="EndNote Bibliography Char"/>
    <w:link w:val="EndNoteBibliography"/>
    <w:rsid w:val="002729A9"/>
    <w:rPr>
      <w:rFonts w:ascii="Times New Roman" w:eastAsia="Times New Roman" w:hAnsi="Times New Roman" w:cs="Times New Roman"/>
    </w:rPr>
  </w:style>
  <w:style w:type="paragraph" w:customStyle="1" w:styleId="ColorfulList-Accent11">
    <w:name w:val="Colorful List - Accent 11"/>
    <w:basedOn w:val="Normal"/>
    <w:uiPriority w:val="34"/>
    <w:qFormat/>
    <w:rsid w:val="002729A9"/>
    <w:pPr>
      <w:ind w:left="720"/>
      <w:contextualSpacing/>
    </w:pPr>
  </w:style>
  <w:style w:type="paragraph" w:styleId="ListParagraph">
    <w:name w:val="List Paragraph"/>
    <w:basedOn w:val="Normal"/>
    <w:uiPriority w:val="34"/>
    <w:qFormat/>
    <w:rsid w:val="002729A9"/>
    <w:pPr>
      <w:ind w:left="720"/>
    </w:pPr>
  </w:style>
  <w:style w:type="paragraph" w:styleId="Header">
    <w:name w:val="header"/>
    <w:basedOn w:val="Normal"/>
    <w:link w:val="HeaderChar"/>
    <w:uiPriority w:val="99"/>
    <w:unhideWhenUsed/>
    <w:rsid w:val="002729A9"/>
    <w:pPr>
      <w:tabs>
        <w:tab w:val="center" w:pos="4320"/>
        <w:tab w:val="right" w:pos="8640"/>
      </w:tabs>
    </w:pPr>
  </w:style>
  <w:style w:type="character" w:customStyle="1" w:styleId="HeaderChar">
    <w:name w:val="Header Char"/>
    <w:basedOn w:val="DefaultParagraphFont"/>
    <w:link w:val="Header"/>
    <w:uiPriority w:val="99"/>
    <w:rsid w:val="002729A9"/>
    <w:rPr>
      <w:rFonts w:ascii="Times New Roman" w:eastAsia="Times New Roman" w:hAnsi="Times New Roman" w:cs="Times New Roman"/>
    </w:rPr>
  </w:style>
  <w:style w:type="table" w:styleId="TableGrid">
    <w:name w:val="Table Grid"/>
    <w:basedOn w:val="TableNormal"/>
    <w:uiPriority w:val="59"/>
    <w:rsid w:val="002729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9A9"/>
    <w:rPr>
      <w:rFonts w:ascii="Times New Roman" w:eastAsia="Times New Roman" w:hAnsi="Times New Roman" w:cs="Times New Roman"/>
    </w:rPr>
  </w:style>
  <w:style w:type="paragraph" w:styleId="Heading1">
    <w:name w:val="heading 1"/>
    <w:basedOn w:val="Normal"/>
    <w:next w:val="Normal"/>
    <w:link w:val="Heading1Char"/>
    <w:uiPriority w:val="9"/>
    <w:qFormat/>
    <w:rsid w:val="002729A9"/>
    <w:pPr>
      <w:keepNext/>
      <w:keepLines/>
      <w:jc w:val="center"/>
      <w:outlineLvl w:val="0"/>
    </w:pPr>
    <w:rPr>
      <w:rFonts w:ascii="Book Antiqua" w:eastAsiaTheme="majorEastAsia" w:hAnsi="Book Antiqua" w:cstheme="majorBidi"/>
      <w:b/>
      <w:bCs/>
      <w:szCs w:val="32"/>
    </w:rPr>
  </w:style>
  <w:style w:type="paragraph" w:styleId="Heading2">
    <w:name w:val="heading 2"/>
    <w:basedOn w:val="Normal"/>
    <w:next w:val="Normal"/>
    <w:link w:val="Heading2Char"/>
    <w:qFormat/>
    <w:rsid w:val="002729A9"/>
    <w:pPr>
      <w:keepNext/>
      <w:spacing w:line="360" w:lineRule="auto"/>
      <w:jc w:val="center"/>
      <w:outlineLvl w:val="1"/>
    </w:pPr>
    <w:rPr>
      <w:rFonts w:ascii="Book Antiqua" w:hAnsi="Book Antiqua"/>
      <w:b/>
      <w:bCs/>
      <w:iCs/>
      <w:u w:val="single"/>
    </w:rPr>
  </w:style>
  <w:style w:type="paragraph" w:styleId="Heading3">
    <w:name w:val="heading 3"/>
    <w:basedOn w:val="Normal"/>
    <w:next w:val="Normal"/>
    <w:link w:val="Heading3Char"/>
    <w:qFormat/>
    <w:rsid w:val="002729A9"/>
    <w:pPr>
      <w:keepNext/>
      <w:spacing w:line="360" w:lineRule="auto"/>
      <w:jc w:val="both"/>
      <w:outlineLvl w:val="2"/>
    </w:pPr>
    <w:rPr>
      <w:rFonts w:ascii="Book Antiqua" w:hAnsi="Book Antiqua"/>
      <w:b/>
      <w:bCs/>
      <w:i/>
    </w:rPr>
  </w:style>
  <w:style w:type="paragraph" w:styleId="Heading4">
    <w:name w:val="heading 4"/>
    <w:basedOn w:val="Normal"/>
    <w:next w:val="Normal"/>
    <w:link w:val="Heading4Char"/>
    <w:uiPriority w:val="9"/>
    <w:unhideWhenUsed/>
    <w:qFormat/>
    <w:rsid w:val="002729A9"/>
    <w:pPr>
      <w:keepNext/>
      <w:keepLines/>
      <w:spacing w:before="200"/>
      <w:outlineLvl w:val="3"/>
    </w:pPr>
    <w:rPr>
      <w:rFonts w:ascii="Book Antiqua" w:eastAsiaTheme="majorEastAsia" w:hAnsi="Book Antiqua" w:cstheme="majorBidi"/>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9A9"/>
    <w:rPr>
      <w:rFonts w:ascii="Book Antiqua" w:eastAsiaTheme="majorEastAsia" w:hAnsi="Book Antiqua" w:cstheme="majorBidi"/>
      <w:b/>
      <w:bCs/>
      <w:szCs w:val="32"/>
    </w:rPr>
  </w:style>
  <w:style w:type="character" w:customStyle="1" w:styleId="Heading2Char">
    <w:name w:val="Heading 2 Char"/>
    <w:basedOn w:val="DefaultParagraphFont"/>
    <w:link w:val="Heading2"/>
    <w:rsid w:val="002729A9"/>
    <w:rPr>
      <w:rFonts w:ascii="Book Antiqua" w:eastAsia="Times New Roman" w:hAnsi="Book Antiqua" w:cs="Times New Roman"/>
      <w:b/>
      <w:bCs/>
      <w:iCs/>
      <w:u w:val="single"/>
    </w:rPr>
  </w:style>
  <w:style w:type="character" w:customStyle="1" w:styleId="Heading3Char">
    <w:name w:val="Heading 3 Char"/>
    <w:basedOn w:val="DefaultParagraphFont"/>
    <w:link w:val="Heading3"/>
    <w:rsid w:val="002729A9"/>
    <w:rPr>
      <w:rFonts w:ascii="Book Antiqua" w:eastAsia="Times New Roman" w:hAnsi="Book Antiqua" w:cs="Times New Roman"/>
      <w:b/>
      <w:bCs/>
      <w:i/>
    </w:rPr>
  </w:style>
  <w:style w:type="character" w:customStyle="1" w:styleId="Heading4Char">
    <w:name w:val="Heading 4 Char"/>
    <w:basedOn w:val="DefaultParagraphFont"/>
    <w:link w:val="Heading4"/>
    <w:uiPriority w:val="9"/>
    <w:rsid w:val="002729A9"/>
    <w:rPr>
      <w:rFonts w:ascii="Book Antiqua" w:eastAsiaTheme="majorEastAsia" w:hAnsi="Book Antiqua" w:cstheme="majorBidi"/>
      <w:bCs/>
      <w:i/>
      <w:iCs/>
      <w:u w:val="single"/>
    </w:rPr>
  </w:style>
  <w:style w:type="paragraph" w:styleId="Footer">
    <w:name w:val="footer"/>
    <w:basedOn w:val="Normal"/>
    <w:link w:val="FooterChar"/>
    <w:rsid w:val="002729A9"/>
    <w:pPr>
      <w:tabs>
        <w:tab w:val="center" w:pos="4320"/>
        <w:tab w:val="right" w:pos="8640"/>
      </w:tabs>
    </w:pPr>
  </w:style>
  <w:style w:type="character" w:customStyle="1" w:styleId="FooterChar">
    <w:name w:val="Footer Char"/>
    <w:basedOn w:val="DefaultParagraphFont"/>
    <w:link w:val="Footer"/>
    <w:rsid w:val="002729A9"/>
    <w:rPr>
      <w:rFonts w:ascii="Times New Roman" w:eastAsia="Times New Roman" w:hAnsi="Times New Roman" w:cs="Times New Roman"/>
    </w:rPr>
  </w:style>
  <w:style w:type="character" w:styleId="Hyperlink">
    <w:name w:val="Hyperlink"/>
    <w:rsid w:val="002729A9"/>
    <w:rPr>
      <w:color w:val="0000FF"/>
      <w:u w:val="single"/>
    </w:rPr>
  </w:style>
  <w:style w:type="paragraph" w:customStyle="1" w:styleId="StyleHeading1Centered">
    <w:name w:val="Style Heading 1 + Centered"/>
    <w:basedOn w:val="Heading1"/>
    <w:link w:val="StyleHeading1CenteredChar"/>
    <w:rsid w:val="002729A9"/>
    <w:pPr>
      <w:keepNext w:val="0"/>
      <w:keepLines w:val="0"/>
      <w:autoSpaceDE w:val="0"/>
      <w:autoSpaceDN w:val="0"/>
      <w:adjustRightInd w:val="0"/>
    </w:pPr>
    <w:rPr>
      <w:rFonts w:ascii="Arial" w:eastAsia="Times New Roman" w:hAnsi="Arial" w:cs="Times New Roman"/>
      <w:caps/>
      <w:sz w:val="28"/>
      <w:szCs w:val="28"/>
    </w:rPr>
  </w:style>
  <w:style w:type="character" w:customStyle="1" w:styleId="StyleHeading1CenteredChar">
    <w:name w:val="Style Heading 1 + Centered Char"/>
    <w:link w:val="StyleHeading1Centered"/>
    <w:rsid w:val="002729A9"/>
    <w:rPr>
      <w:rFonts w:ascii="Arial" w:eastAsia="Times New Roman" w:hAnsi="Arial" w:cs="Times New Roman"/>
      <w:b/>
      <w:bCs/>
      <w:caps/>
      <w:sz w:val="28"/>
      <w:szCs w:val="28"/>
    </w:rPr>
  </w:style>
  <w:style w:type="paragraph" w:styleId="TOC1">
    <w:name w:val="toc 1"/>
    <w:basedOn w:val="Normal"/>
    <w:next w:val="Normal"/>
    <w:autoRedefine/>
    <w:uiPriority w:val="39"/>
    <w:rsid w:val="002729A9"/>
    <w:pPr>
      <w:tabs>
        <w:tab w:val="right" w:leader="dot" w:pos="9010"/>
      </w:tabs>
      <w:spacing w:before="120"/>
    </w:pPr>
    <w:rPr>
      <w:rFonts w:asciiTheme="minorHAnsi" w:hAnsiTheme="minorHAnsi"/>
      <w:b/>
      <w:caps/>
      <w:sz w:val="22"/>
      <w:szCs w:val="22"/>
    </w:rPr>
  </w:style>
  <w:style w:type="paragraph" w:styleId="TOC2">
    <w:name w:val="toc 2"/>
    <w:basedOn w:val="Normal"/>
    <w:next w:val="Normal"/>
    <w:autoRedefine/>
    <w:uiPriority w:val="39"/>
    <w:rsid w:val="002729A9"/>
    <w:pPr>
      <w:ind w:left="240"/>
    </w:pPr>
    <w:rPr>
      <w:rFonts w:asciiTheme="minorHAnsi" w:hAnsiTheme="minorHAnsi"/>
      <w:smallCaps/>
      <w:sz w:val="22"/>
      <w:szCs w:val="22"/>
    </w:rPr>
  </w:style>
  <w:style w:type="paragraph" w:styleId="TOC3">
    <w:name w:val="toc 3"/>
    <w:basedOn w:val="Normal"/>
    <w:next w:val="Normal"/>
    <w:autoRedefine/>
    <w:uiPriority w:val="39"/>
    <w:rsid w:val="002729A9"/>
    <w:pPr>
      <w:ind w:left="480"/>
    </w:pPr>
    <w:rPr>
      <w:rFonts w:asciiTheme="minorHAnsi" w:hAnsiTheme="minorHAnsi"/>
      <w:i/>
      <w:sz w:val="22"/>
      <w:szCs w:val="22"/>
    </w:rPr>
  </w:style>
  <w:style w:type="paragraph" w:styleId="TOC4">
    <w:name w:val="toc 4"/>
    <w:basedOn w:val="Normal"/>
    <w:next w:val="Normal"/>
    <w:autoRedefine/>
    <w:uiPriority w:val="39"/>
    <w:unhideWhenUsed/>
    <w:rsid w:val="002729A9"/>
    <w:pPr>
      <w:ind w:left="720"/>
    </w:pPr>
    <w:rPr>
      <w:rFonts w:asciiTheme="minorHAnsi" w:hAnsiTheme="minorHAnsi"/>
      <w:sz w:val="18"/>
      <w:szCs w:val="18"/>
    </w:rPr>
  </w:style>
  <w:style w:type="paragraph" w:styleId="TOC5">
    <w:name w:val="toc 5"/>
    <w:basedOn w:val="Normal"/>
    <w:next w:val="Normal"/>
    <w:autoRedefine/>
    <w:uiPriority w:val="39"/>
    <w:unhideWhenUsed/>
    <w:rsid w:val="002729A9"/>
    <w:pPr>
      <w:ind w:left="960"/>
    </w:pPr>
    <w:rPr>
      <w:rFonts w:asciiTheme="minorHAnsi" w:hAnsiTheme="minorHAnsi"/>
      <w:sz w:val="18"/>
      <w:szCs w:val="18"/>
    </w:rPr>
  </w:style>
  <w:style w:type="paragraph" w:styleId="TOC6">
    <w:name w:val="toc 6"/>
    <w:basedOn w:val="Normal"/>
    <w:next w:val="Normal"/>
    <w:autoRedefine/>
    <w:uiPriority w:val="39"/>
    <w:unhideWhenUsed/>
    <w:rsid w:val="002729A9"/>
    <w:pPr>
      <w:ind w:left="1200"/>
    </w:pPr>
    <w:rPr>
      <w:rFonts w:asciiTheme="minorHAnsi" w:hAnsiTheme="minorHAnsi"/>
      <w:sz w:val="18"/>
      <w:szCs w:val="18"/>
    </w:rPr>
  </w:style>
  <w:style w:type="paragraph" w:styleId="TOC7">
    <w:name w:val="toc 7"/>
    <w:basedOn w:val="Normal"/>
    <w:next w:val="Normal"/>
    <w:autoRedefine/>
    <w:uiPriority w:val="39"/>
    <w:unhideWhenUsed/>
    <w:rsid w:val="002729A9"/>
    <w:pPr>
      <w:ind w:left="1440"/>
    </w:pPr>
    <w:rPr>
      <w:rFonts w:asciiTheme="minorHAnsi" w:hAnsiTheme="minorHAnsi"/>
      <w:sz w:val="18"/>
      <w:szCs w:val="18"/>
    </w:rPr>
  </w:style>
  <w:style w:type="paragraph" w:styleId="TOC8">
    <w:name w:val="toc 8"/>
    <w:basedOn w:val="Normal"/>
    <w:next w:val="Normal"/>
    <w:autoRedefine/>
    <w:uiPriority w:val="39"/>
    <w:unhideWhenUsed/>
    <w:rsid w:val="002729A9"/>
    <w:pPr>
      <w:ind w:left="1680"/>
    </w:pPr>
    <w:rPr>
      <w:rFonts w:asciiTheme="minorHAnsi" w:hAnsiTheme="minorHAnsi"/>
      <w:sz w:val="18"/>
      <w:szCs w:val="18"/>
    </w:rPr>
  </w:style>
  <w:style w:type="paragraph" w:styleId="TOC9">
    <w:name w:val="toc 9"/>
    <w:basedOn w:val="Normal"/>
    <w:next w:val="Normal"/>
    <w:autoRedefine/>
    <w:uiPriority w:val="39"/>
    <w:unhideWhenUsed/>
    <w:rsid w:val="002729A9"/>
    <w:pPr>
      <w:ind w:left="1920"/>
    </w:pPr>
    <w:rPr>
      <w:rFonts w:asciiTheme="minorHAnsi" w:hAnsiTheme="minorHAnsi"/>
      <w:sz w:val="18"/>
      <w:szCs w:val="18"/>
    </w:rPr>
  </w:style>
  <w:style w:type="paragraph" w:customStyle="1" w:styleId="EndNoteBibliographyTitle">
    <w:name w:val="EndNote Bibliography Title"/>
    <w:basedOn w:val="Normal"/>
    <w:rsid w:val="002729A9"/>
    <w:pPr>
      <w:jc w:val="center"/>
    </w:pPr>
  </w:style>
  <w:style w:type="paragraph" w:customStyle="1" w:styleId="EndNoteBibliography">
    <w:name w:val="EndNote Bibliography"/>
    <w:basedOn w:val="Normal"/>
    <w:link w:val="EndNoteBibliographyChar"/>
    <w:rsid w:val="002729A9"/>
    <w:pPr>
      <w:jc w:val="both"/>
    </w:pPr>
  </w:style>
  <w:style w:type="character" w:styleId="FollowedHyperlink">
    <w:name w:val="FollowedHyperlink"/>
    <w:basedOn w:val="DefaultParagraphFont"/>
    <w:uiPriority w:val="99"/>
    <w:semiHidden/>
    <w:unhideWhenUsed/>
    <w:rsid w:val="002729A9"/>
    <w:rPr>
      <w:color w:val="800080" w:themeColor="followedHyperlink"/>
      <w:u w:val="single"/>
    </w:rPr>
  </w:style>
  <w:style w:type="paragraph" w:styleId="TOCHeading">
    <w:name w:val="TOC Heading"/>
    <w:basedOn w:val="Heading1"/>
    <w:next w:val="Normal"/>
    <w:uiPriority w:val="39"/>
    <w:unhideWhenUsed/>
    <w:qFormat/>
    <w:rsid w:val="002729A9"/>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2729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29A9"/>
    <w:rPr>
      <w:rFonts w:ascii="Lucida Grande" w:eastAsia="Times New Roman" w:hAnsi="Lucida Grande" w:cs="Lucida Grande"/>
      <w:sz w:val="18"/>
      <w:szCs w:val="18"/>
    </w:rPr>
  </w:style>
  <w:style w:type="character" w:styleId="PageNumber">
    <w:name w:val="page number"/>
    <w:basedOn w:val="DefaultParagraphFont"/>
    <w:uiPriority w:val="99"/>
    <w:semiHidden/>
    <w:unhideWhenUsed/>
    <w:rsid w:val="002729A9"/>
  </w:style>
  <w:style w:type="paragraph" w:customStyle="1" w:styleId="BodyA">
    <w:name w:val="Body A"/>
    <w:link w:val="BodyAChar"/>
    <w:rsid w:val="002729A9"/>
    <w:rPr>
      <w:rFonts w:ascii="Helvetica" w:eastAsia="ヒラギノ角ゴ Pro W3" w:hAnsi="Helvetica" w:cs="Times New Roman"/>
      <w:color w:val="000000"/>
      <w:szCs w:val="20"/>
      <w:lang w:val="en-GB"/>
    </w:rPr>
  </w:style>
  <w:style w:type="character" w:customStyle="1" w:styleId="BodyAChar">
    <w:name w:val="Body A Char"/>
    <w:link w:val="BodyA"/>
    <w:rsid w:val="002729A9"/>
    <w:rPr>
      <w:rFonts w:ascii="Helvetica" w:eastAsia="ヒラギノ角ゴ Pro W3" w:hAnsi="Helvetica" w:cs="Times New Roman"/>
      <w:color w:val="000000"/>
      <w:szCs w:val="20"/>
      <w:lang w:val="en-GB"/>
    </w:rPr>
  </w:style>
  <w:style w:type="character" w:customStyle="1" w:styleId="EndNoteBibliographyChar">
    <w:name w:val="EndNote Bibliography Char"/>
    <w:link w:val="EndNoteBibliography"/>
    <w:rsid w:val="002729A9"/>
    <w:rPr>
      <w:rFonts w:ascii="Times New Roman" w:eastAsia="Times New Roman" w:hAnsi="Times New Roman" w:cs="Times New Roman"/>
    </w:rPr>
  </w:style>
  <w:style w:type="paragraph" w:customStyle="1" w:styleId="ColorfulList-Accent11">
    <w:name w:val="Colorful List - Accent 11"/>
    <w:basedOn w:val="Normal"/>
    <w:uiPriority w:val="34"/>
    <w:qFormat/>
    <w:rsid w:val="002729A9"/>
    <w:pPr>
      <w:ind w:left="720"/>
      <w:contextualSpacing/>
    </w:pPr>
  </w:style>
  <w:style w:type="paragraph" w:styleId="ListParagraph">
    <w:name w:val="List Paragraph"/>
    <w:basedOn w:val="Normal"/>
    <w:uiPriority w:val="34"/>
    <w:qFormat/>
    <w:rsid w:val="002729A9"/>
    <w:pPr>
      <w:ind w:left="720"/>
    </w:pPr>
  </w:style>
  <w:style w:type="paragraph" w:styleId="Header">
    <w:name w:val="header"/>
    <w:basedOn w:val="Normal"/>
    <w:link w:val="HeaderChar"/>
    <w:uiPriority w:val="99"/>
    <w:unhideWhenUsed/>
    <w:rsid w:val="002729A9"/>
    <w:pPr>
      <w:tabs>
        <w:tab w:val="center" w:pos="4320"/>
        <w:tab w:val="right" w:pos="8640"/>
      </w:tabs>
    </w:pPr>
  </w:style>
  <w:style w:type="character" w:customStyle="1" w:styleId="HeaderChar">
    <w:name w:val="Header Char"/>
    <w:basedOn w:val="DefaultParagraphFont"/>
    <w:link w:val="Header"/>
    <w:uiPriority w:val="99"/>
    <w:rsid w:val="002729A9"/>
    <w:rPr>
      <w:rFonts w:ascii="Times New Roman" w:eastAsia="Times New Roman" w:hAnsi="Times New Roman" w:cs="Times New Roman"/>
    </w:rPr>
  </w:style>
  <w:style w:type="table" w:styleId="TableGrid">
    <w:name w:val="Table Grid"/>
    <w:basedOn w:val="TableNormal"/>
    <w:uiPriority w:val="59"/>
    <w:rsid w:val="002729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image" Target="media/image11.jpg"/><Relationship Id="rId21" Type="http://schemas.openxmlformats.org/officeDocument/2006/relationships/image" Target="media/image12.jpg"/><Relationship Id="rId22" Type="http://schemas.openxmlformats.org/officeDocument/2006/relationships/image" Target="media/image13.jpg"/><Relationship Id="rId23" Type="http://schemas.openxmlformats.org/officeDocument/2006/relationships/image" Target="media/image14.jpg"/><Relationship Id="rId24" Type="http://schemas.openxmlformats.org/officeDocument/2006/relationships/image" Target="media/image15.jpg"/><Relationship Id="rId25" Type="http://schemas.openxmlformats.org/officeDocument/2006/relationships/image" Target="media/image16.jpg"/><Relationship Id="rId26" Type="http://schemas.openxmlformats.org/officeDocument/2006/relationships/image" Target="media/image17.jpg"/><Relationship Id="rId27" Type="http://schemas.openxmlformats.org/officeDocument/2006/relationships/image" Target="media/image18.jpg"/><Relationship Id="rId28" Type="http://schemas.openxmlformats.org/officeDocument/2006/relationships/image" Target="media/image19.jpg"/><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1.jpg"/><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jp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image" Target="media/image9.jpg"/><Relationship Id="rId19" Type="http://schemas.openxmlformats.org/officeDocument/2006/relationships/image" Target="media/image10.jp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79</Pages>
  <Words>20053</Words>
  <Characters>114306</Characters>
  <Application>Microsoft Macintosh Word</Application>
  <DocSecurity>0</DocSecurity>
  <Lines>952</Lines>
  <Paragraphs>268</Paragraphs>
  <ScaleCrop>false</ScaleCrop>
  <Company/>
  <LinksUpToDate>false</LinksUpToDate>
  <CharactersWithSpaces>134091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Cruz Villagran</dc:creator>
  <cp:keywords/>
  <dc:description/>
  <cp:lastModifiedBy>Claudia Cruz Villagran</cp:lastModifiedBy>
  <cp:revision>4</cp:revision>
  <dcterms:created xsi:type="dcterms:W3CDTF">2014-10-08T15:23:00Z</dcterms:created>
  <dcterms:modified xsi:type="dcterms:W3CDTF">2014-10-08T15:39:00Z</dcterms:modified>
</cp:coreProperties>
</file>