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7B7358" w14:textId="5A1994E3" w:rsidR="00C66B76" w:rsidRPr="00DA4DCA" w:rsidRDefault="00C66B76" w:rsidP="00C66B76">
      <w:pPr>
        <w:suppressLineNumbers/>
        <w:jc w:val="center"/>
        <w:rPr>
          <w:b/>
          <w:bCs/>
          <w:color w:val="FF0000"/>
          <w:sz w:val="32"/>
        </w:rPr>
      </w:pPr>
      <w:r>
        <w:rPr>
          <w:b/>
          <w:bCs/>
          <w:color w:val="FF0000"/>
          <w:sz w:val="32"/>
        </w:rPr>
        <w:t>*****</w:t>
      </w:r>
      <w:r w:rsidR="00B43895">
        <w:rPr>
          <w:b/>
          <w:bCs/>
          <w:sz w:val="32"/>
        </w:rPr>
        <w:t>Cover Crop Treatment Impacts</w:t>
      </w:r>
      <w:r w:rsidR="00421FDC">
        <w:rPr>
          <w:b/>
          <w:bCs/>
          <w:sz w:val="32"/>
        </w:rPr>
        <w:t xml:space="preserve"> on </w:t>
      </w:r>
      <w:r w:rsidR="00DE7D1F">
        <w:rPr>
          <w:b/>
          <w:bCs/>
          <w:sz w:val="32"/>
        </w:rPr>
        <w:t>I</w:t>
      </w:r>
      <w:r w:rsidR="00421FDC">
        <w:rPr>
          <w:b/>
          <w:bCs/>
          <w:sz w:val="32"/>
        </w:rPr>
        <w:t>nfiltration</w:t>
      </w:r>
      <w:r w:rsidR="00DE7D1F">
        <w:rPr>
          <w:b/>
          <w:bCs/>
          <w:sz w:val="32"/>
        </w:rPr>
        <w:t xml:space="preserve"> </w:t>
      </w:r>
      <w:r w:rsidR="00096050">
        <w:rPr>
          <w:b/>
          <w:bCs/>
          <w:sz w:val="32"/>
        </w:rPr>
        <w:t>of</w:t>
      </w:r>
      <w:r w:rsidR="00DE7D1F">
        <w:rPr>
          <w:b/>
          <w:bCs/>
          <w:sz w:val="32"/>
        </w:rPr>
        <w:t xml:space="preserve"> </w:t>
      </w:r>
      <w:r w:rsidR="00650F83">
        <w:rPr>
          <w:b/>
          <w:bCs/>
          <w:sz w:val="32"/>
        </w:rPr>
        <w:t>L</w:t>
      </w:r>
      <w:r w:rsidR="00DE7D1F">
        <w:rPr>
          <w:b/>
          <w:bCs/>
          <w:sz w:val="32"/>
        </w:rPr>
        <w:t xml:space="preserve">ong-term </w:t>
      </w:r>
      <w:r w:rsidR="00650F83">
        <w:rPr>
          <w:b/>
          <w:bCs/>
          <w:sz w:val="32"/>
        </w:rPr>
        <w:t>N</w:t>
      </w:r>
      <w:r w:rsidR="00DE7D1F">
        <w:rPr>
          <w:b/>
          <w:bCs/>
          <w:sz w:val="32"/>
        </w:rPr>
        <w:t>o-</w:t>
      </w:r>
      <w:r w:rsidR="00650F83">
        <w:rPr>
          <w:b/>
          <w:bCs/>
          <w:sz w:val="32"/>
        </w:rPr>
        <w:t>t</w:t>
      </w:r>
      <w:r w:rsidR="00DE7D1F">
        <w:rPr>
          <w:b/>
          <w:bCs/>
          <w:sz w:val="32"/>
        </w:rPr>
        <w:t>ill</w:t>
      </w:r>
      <w:r w:rsidR="00096050">
        <w:rPr>
          <w:b/>
          <w:bCs/>
          <w:sz w:val="32"/>
        </w:rPr>
        <w:t xml:space="preserve"> Systems of Tennessee</w:t>
      </w:r>
      <w:r w:rsidR="00DE7D1F">
        <w:rPr>
          <w:b/>
          <w:bCs/>
          <w:sz w:val="32"/>
        </w:rPr>
        <w:t xml:space="preserve"> </w:t>
      </w:r>
      <w:r>
        <w:rPr>
          <w:b/>
          <w:bCs/>
          <w:color w:val="FF0000"/>
          <w:sz w:val="32"/>
        </w:rPr>
        <w:t>*****</w:t>
      </w:r>
    </w:p>
    <w:p w14:paraId="7B3FFFD8" w14:textId="3C0A4CCD" w:rsidR="00542986" w:rsidRDefault="00542986"/>
    <w:p w14:paraId="72313667" w14:textId="6500F6C4" w:rsidR="00C66B76" w:rsidRDefault="00C66B76"/>
    <w:p w14:paraId="7107A606" w14:textId="4D7938CD" w:rsidR="00C66B76" w:rsidRDefault="00C66B76"/>
    <w:p w14:paraId="3E84FDCB" w14:textId="0F092F1D" w:rsidR="00C66B76" w:rsidRDefault="00C66B76"/>
    <w:p w14:paraId="6E612142" w14:textId="511CEA19" w:rsidR="00C66B76" w:rsidRDefault="00C66B76"/>
    <w:p w14:paraId="5D4D9467" w14:textId="04430CA9" w:rsidR="00C66B76" w:rsidRDefault="00C66B76"/>
    <w:p w14:paraId="1B496FB0" w14:textId="77777777" w:rsidR="00C66B76" w:rsidRDefault="00C66B76"/>
    <w:p w14:paraId="527885F3" w14:textId="74B794BD" w:rsidR="00C66B76" w:rsidRDefault="00C66B76"/>
    <w:p w14:paraId="41D21238" w14:textId="3311B60D" w:rsidR="00C66B76" w:rsidRDefault="00C66B76"/>
    <w:p w14:paraId="4981E40B" w14:textId="1716533D" w:rsidR="00C66B76" w:rsidRDefault="00C66B76"/>
    <w:p w14:paraId="4E840B73" w14:textId="3AB80EC6" w:rsidR="00C66B76" w:rsidRDefault="00C66B76"/>
    <w:p w14:paraId="4EA716E8" w14:textId="77777777" w:rsidR="00C66B76" w:rsidRDefault="00C66B76" w:rsidP="00C66B76">
      <w:pPr>
        <w:suppressLineNumbers/>
        <w:jc w:val="center"/>
        <w:rPr>
          <w:b/>
          <w:bCs/>
          <w:sz w:val="32"/>
        </w:rPr>
      </w:pPr>
      <w:r w:rsidRPr="00AC561F">
        <w:rPr>
          <w:b/>
          <w:bCs/>
          <w:sz w:val="32"/>
        </w:rPr>
        <w:t>Master’s</w:t>
      </w:r>
      <w:r>
        <w:rPr>
          <w:b/>
          <w:bCs/>
          <w:sz w:val="32"/>
        </w:rPr>
        <w:t xml:space="preserve"> Research</w:t>
      </w:r>
      <w:r w:rsidRPr="00AC561F">
        <w:rPr>
          <w:b/>
          <w:bCs/>
          <w:sz w:val="32"/>
        </w:rPr>
        <w:t xml:space="preserve"> Thesis</w:t>
      </w:r>
    </w:p>
    <w:p w14:paraId="7B26B093" w14:textId="77777777" w:rsidR="00C66B76" w:rsidRPr="00AC561F" w:rsidRDefault="00C66B76" w:rsidP="00C66B76">
      <w:pPr>
        <w:suppressLineNumbers/>
        <w:jc w:val="center"/>
        <w:rPr>
          <w:b/>
          <w:bCs/>
          <w:sz w:val="32"/>
        </w:rPr>
      </w:pPr>
      <w:r>
        <w:rPr>
          <w:b/>
          <w:bCs/>
          <w:sz w:val="32"/>
        </w:rPr>
        <w:t>April 2021</w:t>
      </w:r>
    </w:p>
    <w:p w14:paraId="421B8D28" w14:textId="657228D9" w:rsidR="00C66B76" w:rsidRDefault="00C66B76"/>
    <w:p w14:paraId="6795F1D5" w14:textId="7E6B72E2" w:rsidR="00C66B76" w:rsidRDefault="00C66B76"/>
    <w:p w14:paraId="7B2347A0" w14:textId="137FCB53" w:rsidR="00C66B76" w:rsidRDefault="00C66B76"/>
    <w:p w14:paraId="28A7EEEB" w14:textId="4D8576F3" w:rsidR="00C66B76" w:rsidRDefault="00C66B76"/>
    <w:p w14:paraId="1431305B" w14:textId="3E18D200" w:rsidR="00C66B76" w:rsidRDefault="00C66B76"/>
    <w:p w14:paraId="593D13A7" w14:textId="1727DCB7" w:rsidR="00C66B76" w:rsidRDefault="00C66B76"/>
    <w:p w14:paraId="6F4B134C" w14:textId="2E303B01" w:rsidR="00C66B76" w:rsidRDefault="00C66B76"/>
    <w:p w14:paraId="0B545A87" w14:textId="3E219342" w:rsidR="00C66B76" w:rsidRDefault="00C66B76"/>
    <w:p w14:paraId="291B16E1" w14:textId="0F498FA8" w:rsidR="00C66B76" w:rsidRDefault="00C66B76"/>
    <w:p w14:paraId="1418D250" w14:textId="1748F5F8" w:rsidR="00C66B76" w:rsidRDefault="00C66B76"/>
    <w:p w14:paraId="384F3085" w14:textId="77777777" w:rsidR="00C66B76" w:rsidRPr="00AC561F" w:rsidRDefault="00C66B76" w:rsidP="00C66B76">
      <w:pPr>
        <w:suppressLineNumbers/>
        <w:rPr>
          <w:b/>
          <w:bCs/>
          <w:sz w:val="32"/>
        </w:rPr>
      </w:pPr>
    </w:p>
    <w:p w14:paraId="76EBC2F4" w14:textId="5BD3C468" w:rsidR="00C66B76" w:rsidRDefault="00C66B76" w:rsidP="00C66B76">
      <w:pPr>
        <w:jc w:val="center"/>
        <w:rPr>
          <w:b/>
          <w:bCs/>
          <w:sz w:val="32"/>
        </w:rPr>
      </w:pPr>
      <w:r w:rsidRPr="00AC561F">
        <w:rPr>
          <w:b/>
          <w:bCs/>
          <w:sz w:val="32"/>
        </w:rPr>
        <w:t>Adam A. Zimmerman</w:t>
      </w:r>
    </w:p>
    <w:p w14:paraId="106BDE4D" w14:textId="77777777" w:rsidR="000C190A" w:rsidRDefault="000C190A" w:rsidP="000C190A">
      <w:pPr>
        <w:jc w:val="center"/>
        <w:rPr>
          <w:b/>
          <w:bCs/>
          <w:sz w:val="28"/>
          <w:szCs w:val="36"/>
        </w:rPr>
      </w:pPr>
      <w:r>
        <w:rPr>
          <w:b/>
          <w:bCs/>
          <w:sz w:val="28"/>
          <w:szCs w:val="36"/>
        </w:rPr>
        <w:lastRenderedPageBreak/>
        <w:t>Introduction</w:t>
      </w:r>
    </w:p>
    <w:p w14:paraId="6622BBE5" w14:textId="55A1C5A4" w:rsidR="00C66B76" w:rsidRDefault="00C66B76" w:rsidP="00C66B76">
      <w:pPr>
        <w:jc w:val="center"/>
      </w:pPr>
    </w:p>
    <w:p w14:paraId="0D35D12F" w14:textId="3AE802E1" w:rsidR="000C190A" w:rsidRDefault="000C190A" w:rsidP="000C190A">
      <w:pPr>
        <w:spacing w:line="480" w:lineRule="auto"/>
      </w:pPr>
      <w:r>
        <w:tab/>
        <w:t>Changes in weather patterns are causing production issues (such as flooding and droughts) for farmers that requires research be done to identify possible climate change adaptations</w:t>
      </w:r>
      <w:r>
        <w:rPr>
          <w:color w:val="FF0000"/>
        </w:rPr>
        <w:t xml:space="preserve"> </w:t>
      </w:r>
      <w:r>
        <w:t>(Adams et al., 1998). The objectives of this study will be to provide useful information that can be implemented into agricultural management practices to improve cropping system resiliency. Floods and droughts are a couple of the climate change weather pattern impacts that producers may have to deal with</w:t>
      </w:r>
      <w:r>
        <w:rPr>
          <w:color w:val="FF0000"/>
        </w:rPr>
        <w:t xml:space="preserve"> </w:t>
      </w:r>
      <w:r>
        <w:t>(Adams et al., 1998). Both of these issues can be potentially devastating for a year’s entire crop as well as have tertiary impacts (such as eutrophication or erosion) on the surrounding ecosystem (</w:t>
      </w:r>
      <w:proofErr w:type="spellStart"/>
      <w:r>
        <w:t>Mustroph</w:t>
      </w:r>
      <w:proofErr w:type="spellEnd"/>
      <w:r>
        <w:t>, 2018). Intense rainfall can turn some fields into ponds which causes planting delays, crop failure, yield losses, nutrient losses to leaching/runoff, and soil erosion (</w:t>
      </w:r>
      <w:proofErr w:type="spellStart"/>
      <w:r>
        <w:t>Mustroph</w:t>
      </w:r>
      <w:proofErr w:type="spellEnd"/>
      <w:r>
        <w:t xml:space="preserve">, 2018). Similarly, droughts can cause crop failure, yield losses, degradation of soil organic matter (SOM), and soil erosion (Wilhite, 2000). </w:t>
      </w:r>
    </w:p>
    <w:p w14:paraId="64A69FC9" w14:textId="77777777" w:rsidR="000C190A" w:rsidRDefault="000C190A" w:rsidP="000C190A">
      <w:pPr>
        <w:spacing w:line="480" w:lineRule="auto"/>
      </w:pPr>
    </w:p>
    <w:p w14:paraId="674CC632" w14:textId="77777777" w:rsidR="000C190A" w:rsidRDefault="000C190A" w:rsidP="000C190A">
      <w:pPr>
        <w:spacing w:line="480" w:lineRule="auto"/>
      </w:pPr>
      <w:r>
        <w:t>The dynamic intersection of physics, chemistry, and biology makes studying soils challenging. Some research indicates that more resilient soils are less affected by both excess and limited rainfall (Lal, 2015). Soils regarded as “healthy” can have more resilience to negative weather-based challenges (Lal, 2015).</w:t>
      </w:r>
    </w:p>
    <w:p w14:paraId="3A2801A4" w14:textId="71C34A60" w:rsidR="000C190A" w:rsidRDefault="000C190A" w:rsidP="000C190A"/>
    <w:p w14:paraId="6C094081" w14:textId="48C39369" w:rsidR="000C190A" w:rsidRDefault="000C190A" w:rsidP="000C190A">
      <w:pPr>
        <w:rPr>
          <w:color w:val="FF0000"/>
        </w:rPr>
      </w:pPr>
      <w:r>
        <w:rPr>
          <w:color w:val="FF0000"/>
        </w:rPr>
        <w:t>Why are soils important?</w:t>
      </w:r>
    </w:p>
    <w:p w14:paraId="11FAFFFC" w14:textId="653B1C0B" w:rsidR="000C190A" w:rsidRDefault="000C190A" w:rsidP="000C190A">
      <w:pPr>
        <w:rPr>
          <w:color w:val="FF0000"/>
        </w:rPr>
      </w:pPr>
    </w:p>
    <w:p w14:paraId="27AFC65D" w14:textId="45C84E07" w:rsidR="000C190A" w:rsidRDefault="000C190A" w:rsidP="000C190A">
      <w:pPr>
        <w:rPr>
          <w:color w:val="FF0000"/>
        </w:rPr>
      </w:pPr>
      <w:r>
        <w:rPr>
          <w:color w:val="FF0000"/>
        </w:rPr>
        <w:t>How are soils necessary for the world?</w:t>
      </w:r>
    </w:p>
    <w:p w14:paraId="30664F91" w14:textId="60072C2A" w:rsidR="000C190A" w:rsidRDefault="000C190A" w:rsidP="000C190A">
      <w:pPr>
        <w:rPr>
          <w:color w:val="FF0000"/>
        </w:rPr>
      </w:pPr>
    </w:p>
    <w:p w14:paraId="0E3633D5" w14:textId="0EBBDE1F" w:rsidR="000C190A" w:rsidRDefault="000C190A" w:rsidP="000C190A">
      <w:pPr>
        <w:rPr>
          <w:color w:val="FF0000"/>
        </w:rPr>
      </w:pPr>
      <w:r>
        <w:rPr>
          <w:color w:val="FF0000"/>
        </w:rPr>
        <w:t>Are healthy soils better than poor soils, how do we know?</w:t>
      </w:r>
    </w:p>
    <w:p w14:paraId="3ED28A36" w14:textId="77777777" w:rsidR="000C190A" w:rsidRDefault="000C190A" w:rsidP="000C190A">
      <w:pPr>
        <w:rPr>
          <w:b/>
          <w:bCs/>
        </w:rPr>
      </w:pPr>
      <w:r>
        <w:rPr>
          <w:b/>
          <w:bCs/>
        </w:rPr>
        <w:lastRenderedPageBreak/>
        <w:t>Soil Health History</w:t>
      </w:r>
    </w:p>
    <w:p w14:paraId="2E0D182E" w14:textId="77777777" w:rsidR="000C190A" w:rsidRPr="00826F18" w:rsidRDefault="000C190A" w:rsidP="000C190A">
      <w:pPr>
        <w:rPr>
          <w:b/>
          <w:bCs/>
        </w:rPr>
      </w:pPr>
    </w:p>
    <w:p w14:paraId="178DE817" w14:textId="42F424E4" w:rsidR="000C190A" w:rsidRDefault="000C190A" w:rsidP="000C190A">
      <w:pPr>
        <w:spacing w:line="480" w:lineRule="auto"/>
      </w:pPr>
      <w:r>
        <w:tab/>
        <w:t>The definition of soil health is commonly accepted as “the capacity of a specific kind of soil to function, within natural or managed ecosystem boundaries, to sustain plant and animal productivity, maintain or enhance water and air quality, and support human health and habitation” (Kremer, 2017; Doran and Zeiss, 2000). Soil quality is often used synonymously with soil health (Doran and Parkin, 1996), though some still find separations between the two terms (</w:t>
      </w:r>
      <w:proofErr w:type="spellStart"/>
      <w:r>
        <w:t>Gregorich</w:t>
      </w:r>
      <w:proofErr w:type="spellEnd"/>
      <w:r>
        <w:t xml:space="preserve"> and Carter, 1997). The United States Department of Agriculture (USDA) states that “healthy soil is the foundation of productive, sustainable agriculture” (2020). The USDA lists the “principles for improving soil heath” as “minimizing disturbance, maximizing soil cover, maximizing biodiversity, and maximizing presence of living roots” (2020). These principles are the foundation of this experiment. This paper will explore these principles as used in this experiment. Cover crop species common in the southeastern USA will be used to evaluate their impact on water infiltration and soil microbial biomass as indicators of soil health.</w:t>
      </w:r>
    </w:p>
    <w:p w14:paraId="2B381CCA" w14:textId="22B542AF" w:rsidR="000C190A" w:rsidRDefault="000C190A" w:rsidP="000C190A">
      <w:pPr>
        <w:spacing w:line="480" w:lineRule="auto"/>
      </w:pPr>
    </w:p>
    <w:p w14:paraId="1ECBEA20" w14:textId="77777777" w:rsidR="000C190A" w:rsidRDefault="000C190A" w:rsidP="000C190A">
      <w:pPr>
        <w:spacing w:line="480" w:lineRule="auto"/>
      </w:pPr>
    </w:p>
    <w:p w14:paraId="1F6A0E70" w14:textId="77777777" w:rsidR="000C190A" w:rsidRDefault="000C190A" w:rsidP="000C190A">
      <w:pPr>
        <w:spacing w:line="480" w:lineRule="auto"/>
        <w:rPr>
          <w:b/>
          <w:bCs/>
        </w:rPr>
      </w:pPr>
      <w:r>
        <w:rPr>
          <w:b/>
          <w:bCs/>
        </w:rPr>
        <w:t>Reducing Fallow</w:t>
      </w:r>
    </w:p>
    <w:p w14:paraId="42B8AF29" w14:textId="77777777" w:rsidR="000C190A" w:rsidRDefault="000C190A" w:rsidP="000C190A">
      <w:pPr>
        <w:spacing w:line="480" w:lineRule="auto"/>
      </w:pPr>
      <w:r>
        <w:rPr>
          <w:b/>
          <w:bCs/>
        </w:rPr>
        <w:tab/>
      </w:r>
      <w:r>
        <w:t>Fallow (leaving land to rest) remains a common practice in arable regions of the world with the intent to store water in the soil profile to be used by following crops (Nielsen and Calderon, 2011). Fallow ground is commonly the choice for producers who have not been introduced to cover crops, initial costs, or proper timing. (</w:t>
      </w:r>
      <w:proofErr w:type="spellStart"/>
      <w:r>
        <w:t>Dhuyvetter</w:t>
      </w:r>
      <w:proofErr w:type="spellEnd"/>
      <w:r>
        <w:t xml:space="preserve"> et al., 1996). In a 10-year study done by Garcia-Gonzalez et al., significant differences were observed between barley (</w:t>
      </w:r>
      <w:r>
        <w:rPr>
          <w:i/>
          <w:iCs/>
        </w:rPr>
        <w:t xml:space="preserve">Hordeum vulgare </w:t>
      </w:r>
      <w:r>
        <w:t>L.) and vetch (</w:t>
      </w:r>
      <w:r>
        <w:rPr>
          <w:i/>
          <w:iCs/>
        </w:rPr>
        <w:t xml:space="preserve">Vicia </w:t>
      </w:r>
      <w:r>
        <w:t>sp</w:t>
      </w:r>
      <w:r>
        <w:rPr>
          <w:i/>
          <w:iCs/>
        </w:rPr>
        <w:t>.</w:t>
      </w:r>
      <w:r>
        <w:t xml:space="preserve"> L.) cover crop treatments compared to a traditional </w:t>
      </w:r>
      <w:r>
        <w:lastRenderedPageBreak/>
        <w:t>fallow for C sequestration, N retention, soil structural stability, water holding capacity, saturated hydraulic conductivity, and nitrate leaching (2018). Replacing fallow with cover crops has been shown to improve soil erosional effects and degradation to soil properties compared to traditional fallow practices (Blanco-</w:t>
      </w:r>
      <w:proofErr w:type="spellStart"/>
      <w:r>
        <w:t>Canqui</w:t>
      </w:r>
      <w:proofErr w:type="spellEnd"/>
      <w:r>
        <w:t xml:space="preserve"> et al., 2013, 2010). Holman et al. found that forage crops are an alternative to cover crops for farmers with a strict budget or necessary ROI (2018). The benefits from reducing fallow align directly with the soil health management principles listed by NRCS (2019). </w:t>
      </w:r>
    </w:p>
    <w:p w14:paraId="38C02909" w14:textId="3A6B5684" w:rsidR="000C190A" w:rsidRDefault="000C190A" w:rsidP="000C190A"/>
    <w:p w14:paraId="42E2D6F3" w14:textId="77777777" w:rsidR="000C190A" w:rsidRDefault="000C190A" w:rsidP="000C190A"/>
    <w:p w14:paraId="2DA4E493" w14:textId="77777777" w:rsidR="000C190A" w:rsidRPr="00B56EE7" w:rsidRDefault="000C190A" w:rsidP="000C190A">
      <w:pPr>
        <w:spacing w:line="480" w:lineRule="auto"/>
        <w:rPr>
          <w:b/>
          <w:bCs/>
        </w:rPr>
      </w:pPr>
      <w:r w:rsidRPr="00B56EE7">
        <w:rPr>
          <w:b/>
          <w:bCs/>
        </w:rPr>
        <w:t>Tillage reduction</w:t>
      </w:r>
    </w:p>
    <w:p w14:paraId="29E1B984" w14:textId="2510C516" w:rsidR="000C190A" w:rsidRDefault="000C190A" w:rsidP="000C190A">
      <w:pPr>
        <w:spacing w:line="480" w:lineRule="auto"/>
      </w:pPr>
      <w:r>
        <w:tab/>
        <w:t xml:space="preserve">Prior to the Dust Bowl era (1931-1939), moldboard plow tillage was the most common land preparation practice of farmers (Huggins and </w:t>
      </w:r>
      <w:proofErr w:type="spellStart"/>
      <w:r>
        <w:t>Reganold</w:t>
      </w:r>
      <w:proofErr w:type="spellEnd"/>
      <w:r>
        <w:t xml:space="preserve">, 2008). Following the exposed tragedy of intensive tillage practices, a change of farming methods was coming. The 1960’s brought the beginnings of research and methods of no-till agriculture. </w:t>
      </w:r>
      <w:r w:rsidRPr="009C742C">
        <w:rPr>
          <w:highlight w:val="yellow"/>
        </w:rPr>
        <w:t>No-tillage is defined by Merriam-Webster as “a system of farming that consists of planting a narrow</w:t>
      </w:r>
      <w:r>
        <w:rPr>
          <w:highlight w:val="yellow"/>
        </w:rPr>
        <w:t>-</w:t>
      </w:r>
      <w:r w:rsidRPr="009C742C">
        <w:rPr>
          <w:highlight w:val="yellow"/>
        </w:rPr>
        <w:t>slit trench without tillage and with the use of herbicides to suppress weeds.”</w:t>
      </w:r>
      <w:r>
        <w:t xml:space="preserve"> While not inaccurate, no-till planting methods can be traced back to 8000 B.C. when “planting sticks” were used to plant seeds in individual holes prior to the earliest plows (</w:t>
      </w:r>
      <w:r>
        <w:rPr>
          <w:vanish/>
        </w:rPr>
        <w:t>ugginsH</w:t>
      </w:r>
      <w:r>
        <w:t xml:space="preserve"> Huggins and </w:t>
      </w:r>
      <w:proofErr w:type="spellStart"/>
      <w:r>
        <w:t>Reganold</w:t>
      </w:r>
      <w:proofErr w:type="spellEnd"/>
      <w:r>
        <w:t xml:space="preserve">, 2008). The University of Tennessee has played an important role in this research. The University of Tennessee Institute of Agriculture’s (UTIA) West Tennessee Research and Education Center (WTREC) in Jackson, TN (Madison County) still maintains some long-term no-till research plots dating back to 1981 (Nouri et al., 2018). There are many benefits from reducing or discontinuing tillage, such as: reduced erosion, increased organic matter, increased soil structure, and increased biological </w:t>
      </w:r>
      <w:r>
        <w:lastRenderedPageBreak/>
        <w:t>diversity (Graybill, 2020). While adoption of this more modern practice does require some potential equipment upgrade costs, eventually the savings that no-till can bring are evident (</w:t>
      </w:r>
      <w:proofErr w:type="spellStart"/>
      <w:r>
        <w:t>Epplin</w:t>
      </w:r>
      <w:proofErr w:type="spellEnd"/>
      <w:r>
        <w:t xml:space="preserve">, 2007). </w:t>
      </w:r>
    </w:p>
    <w:p w14:paraId="075BDC77" w14:textId="6A25881C" w:rsidR="000C190A" w:rsidRDefault="000C190A" w:rsidP="000C190A">
      <w:pPr>
        <w:spacing w:line="480" w:lineRule="auto"/>
      </w:pPr>
    </w:p>
    <w:p w14:paraId="78B74E09" w14:textId="77777777" w:rsidR="000C190A" w:rsidRDefault="000C190A" w:rsidP="000C190A">
      <w:pPr>
        <w:spacing w:line="480" w:lineRule="auto"/>
        <w:rPr>
          <w:b/>
          <w:bCs/>
        </w:rPr>
      </w:pPr>
      <w:r>
        <w:rPr>
          <w:b/>
          <w:bCs/>
        </w:rPr>
        <w:t>Diverse Crop Rotations</w:t>
      </w:r>
    </w:p>
    <w:p w14:paraId="3CE393EE" w14:textId="627F8E24" w:rsidR="000C190A" w:rsidRDefault="000C190A" w:rsidP="000C190A">
      <w:pPr>
        <w:spacing w:line="480" w:lineRule="auto"/>
      </w:pPr>
      <w:r>
        <w:rPr>
          <w:b/>
          <w:bCs/>
        </w:rPr>
        <w:tab/>
      </w:r>
      <w:r w:rsidRPr="0017679D">
        <w:t>Continuous cropping (growing the same crop consecutively rather than</w:t>
      </w:r>
      <w:r>
        <w:t xml:space="preserve"> in</w:t>
      </w:r>
      <w:r w:rsidRPr="0017679D">
        <w:t xml:space="preserve"> a typical rotation) has been</w:t>
      </w:r>
      <w:r>
        <w:t xml:space="preserve"> shown to have detrimental weed, pest, and disease cycles result from a lack of rotation (Huggins and </w:t>
      </w:r>
      <w:proofErr w:type="spellStart"/>
      <w:r>
        <w:t>Reganold</w:t>
      </w:r>
      <w:proofErr w:type="spellEnd"/>
      <w:r>
        <w:t xml:space="preserve">, 2008). The poor yields and crop failures that can result from continuous cropping is obviously not desired by producers. An easy way to combat these problematic cycles is to rotate crops, such as a corn-soybean rotation (Huggins and </w:t>
      </w:r>
      <w:proofErr w:type="spellStart"/>
      <w:r>
        <w:t>Reganold</w:t>
      </w:r>
      <w:proofErr w:type="spellEnd"/>
      <w:r>
        <w:t>, 2008). An even better method is to incorporate an additional crop or two into the rotation (</w:t>
      </w:r>
      <w:proofErr w:type="spellStart"/>
      <w:r>
        <w:t>Pakeman</w:t>
      </w:r>
      <w:proofErr w:type="spellEnd"/>
      <w:r>
        <w:t xml:space="preserve"> et al., 2019). The simple function of not growing the same crop in the same place year after year makes it more difficult for weeds, pests, and diseases to negatively impact crops (</w:t>
      </w:r>
      <w:proofErr w:type="spellStart"/>
      <w:r>
        <w:t>Pakeman</w:t>
      </w:r>
      <w:proofErr w:type="spellEnd"/>
      <w:r>
        <w:t xml:space="preserve"> et al., 2019). There are additional benefits of diverse crop rotations, such as enhancing soil carbon (C), nitrogen (N), and microbial biomass (SMB) (McDaniel et al., 2014). Ashworth et al. (2017) shows yield increases when diversity of rotation is increased.</w:t>
      </w:r>
    </w:p>
    <w:p w14:paraId="527CEE78" w14:textId="1DD540F2" w:rsidR="000C190A" w:rsidRDefault="000C190A" w:rsidP="000C190A">
      <w:pPr>
        <w:spacing w:line="480" w:lineRule="auto"/>
      </w:pPr>
    </w:p>
    <w:p w14:paraId="0EFFA100" w14:textId="77777777" w:rsidR="000C190A" w:rsidRPr="00065B0D" w:rsidRDefault="000C190A" w:rsidP="000C190A">
      <w:pPr>
        <w:spacing w:line="480" w:lineRule="auto"/>
        <w:rPr>
          <w:b/>
          <w:bCs/>
        </w:rPr>
      </w:pPr>
      <w:r>
        <w:rPr>
          <w:b/>
          <w:bCs/>
        </w:rPr>
        <w:t>Crop Residues</w:t>
      </w:r>
    </w:p>
    <w:p w14:paraId="7FD038B7" w14:textId="77777777" w:rsidR="000C190A" w:rsidRDefault="000C190A" w:rsidP="000C190A">
      <w:pPr>
        <w:spacing w:line="480" w:lineRule="auto"/>
      </w:pPr>
      <w:r>
        <w:tab/>
        <w:t xml:space="preserve">The USDA uses a general rule that “soil should be covered whenever possible” (2020). This principle is a foundation of cover crop and increased residue practices. An easy way to increase soil cover is to simply leave the dead plant residue in place. This is possible when tillage is ceased or drastically reduced. Using plant residues or cover crops (living residues) as a means </w:t>
      </w:r>
      <w:r>
        <w:lastRenderedPageBreak/>
        <w:t xml:space="preserve">of soil cover is listed as a “strategy for improving soil health” by </w:t>
      </w:r>
      <w:proofErr w:type="spellStart"/>
      <w:r>
        <w:t>Magdoff</w:t>
      </w:r>
      <w:proofErr w:type="spellEnd"/>
      <w:r>
        <w:t xml:space="preserve"> (2001). Tisdale et al. states that crop residue is “the greatest source of soil organic matter” (1985). Weed suppression is an additional benefit of leaving crop residues in place (Barnes and Putnam, 1983).   </w:t>
      </w:r>
    </w:p>
    <w:p w14:paraId="104F6C12" w14:textId="1275F45E" w:rsidR="000C190A" w:rsidRDefault="000C190A" w:rsidP="000C190A">
      <w:pPr>
        <w:rPr>
          <w:color w:val="FF0000"/>
        </w:rPr>
      </w:pPr>
    </w:p>
    <w:p w14:paraId="522C62C2" w14:textId="0BD5978D" w:rsidR="000C190A" w:rsidRDefault="000C190A" w:rsidP="000C190A">
      <w:pPr>
        <w:rPr>
          <w:color w:val="FF0000"/>
        </w:rPr>
      </w:pPr>
    </w:p>
    <w:p w14:paraId="0BAE3953" w14:textId="77777777" w:rsidR="000C190A" w:rsidRDefault="000C190A" w:rsidP="000C190A">
      <w:pPr>
        <w:spacing w:line="480" w:lineRule="auto"/>
        <w:rPr>
          <w:b/>
          <w:bCs/>
        </w:rPr>
      </w:pPr>
      <w:r>
        <w:rPr>
          <w:b/>
          <w:bCs/>
        </w:rPr>
        <w:t>Organic Mulches</w:t>
      </w:r>
    </w:p>
    <w:p w14:paraId="35D9D8B5" w14:textId="77777777" w:rsidR="000C190A" w:rsidRPr="00631722" w:rsidRDefault="000C190A" w:rsidP="000C190A">
      <w:pPr>
        <w:spacing w:line="480" w:lineRule="auto"/>
      </w:pPr>
      <w:r>
        <w:tab/>
      </w:r>
      <w:proofErr w:type="spellStart"/>
      <w:r>
        <w:t>Shojaei</w:t>
      </w:r>
      <w:proofErr w:type="spellEnd"/>
      <w:r>
        <w:t xml:space="preserve"> et al. defines mulch as “a thin layer which is placed on the soil surface and preserves soil, water, and plants” (2019). Mulches are also separated into two descriptive/functional types such as organic mulches (crop residues, plants, manures, straw, leaves) and inorganic mulches (sand, rubber mulch, plaster, cement) (</w:t>
      </w:r>
      <w:proofErr w:type="spellStart"/>
      <w:r>
        <w:t>Shojaei</w:t>
      </w:r>
      <w:proofErr w:type="spellEnd"/>
      <w:r>
        <w:t xml:space="preserve"> et al., 2019). Organic mulches are commonly included in practices designed to increase or sustain soil health (Abawi and Widmer, 2000). These organic mulches can be applied in several different methods depending on the type of mulch being used and amount to be applied, such as by hand or using hand tools for small areas or by mechanical means for larger scale operations.  </w:t>
      </w:r>
    </w:p>
    <w:p w14:paraId="1C23C55B" w14:textId="6152AA31" w:rsidR="000C190A" w:rsidRDefault="000C190A" w:rsidP="000C190A">
      <w:pPr>
        <w:rPr>
          <w:color w:val="FF0000"/>
        </w:rPr>
      </w:pPr>
    </w:p>
    <w:p w14:paraId="3B581086" w14:textId="3C7ECA6F" w:rsidR="000C190A" w:rsidRDefault="000C190A" w:rsidP="000C190A">
      <w:pPr>
        <w:rPr>
          <w:color w:val="FF0000"/>
        </w:rPr>
      </w:pPr>
    </w:p>
    <w:p w14:paraId="54D0F2C2" w14:textId="77777777" w:rsidR="000F06F3" w:rsidRPr="00065B0D" w:rsidRDefault="000F06F3" w:rsidP="000F06F3">
      <w:pPr>
        <w:spacing w:line="480" w:lineRule="auto"/>
        <w:rPr>
          <w:b/>
          <w:bCs/>
        </w:rPr>
      </w:pPr>
      <w:r w:rsidRPr="00065B0D">
        <w:rPr>
          <w:b/>
          <w:bCs/>
        </w:rPr>
        <w:t>Cover Crops</w:t>
      </w:r>
    </w:p>
    <w:p w14:paraId="6EFDCEE5" w14:textId="77777777" w:rsidR="000F06F3" w:rsidRDefault="000F06F3" w:rsidP="000F06F3">
      <w:pPr>
        <w:spacing w:line="480" w:lineRule="auto"/>
        <w:rPr>
          <w:rFonts w:eastAsiaTheme="minorEastAsia"/>
          <w:color w:val="000000" w:themeColor="text1"/>
          <w:kern w:val="24"/>
        </w:rPr>
      </w:pPr>
      <w:r>
        <w:rPr>
          <w:b/>
          <w:bCs/>
          <w:sz w:val="28"/>
          <w:szCs w:val="36"/>
        </w:rPr>
        <w:tab/>
      </w:r>
      <w:r w:rsidRPr="008E1F93">
        <w:rPr>
          <w:rFonts w:eastAsiaTheme="minorEastAsia"/>
          <w:color w:val="000000" w:themeColor="text1"/>
          <w:kern w:val="24"/>
        </w:rPr>
        <w:t>Cover crops are defined as a non-economic crop grown between</w:t>
      </w:r>
      <w:r>
        <w:rPr>
          <w:rFonts w:eastAsiaTheme="minorEastAsia"/>
          <w:color w:val="000000" w:themeColor="text1"/>
          <w:kern w:val="24"/>
        </w:rPr>
        <w:t xml:space="preserve"> the</w:t>
      </w:r>
      <w:r w:rsidRPr="008E1F93">
        <w:rPr>
          <w:rFonts w:eastAsiaTheme="minorEastAsia"/>
          <w:color w:val="000000" w:themeColor="text1"/>
          <w:kern w:val="24"/>
        </w:rPr>
        <w:t xml:space="preserve"> harvest</w:t>
      </w:r>
      <w:r>
        <w:rPr>
          <w:rFonts w:eastAsiaTheme="minorEastAsia"/>
          <w:color w:val="000000" w:themeColor="text1"/>
          <w:kern w:val="24"/>
        </w:rPr>
        <w:t>ing</w:t>
      </w:r>
      <w:r w:rsidRPr="008E1F93">
        <w:rPr>
          <w:rFonts w:eastAsiaTheme="minorEastAsia"/>
          <w:color w:val="000000" w:themeColor="text1"/>
          <w:kern w:val="24"/>
        </w:rPr>
        <w:t xml:space="preserve"> and planting of cash </w:t>
      </w:r>
      <w:r w:rsidRPr="00BF7AF2">
        <w:rPr>
          <w:rFonts w:eastAsiaTheme="minorEastAsia"/>
          <w:kern w:val="24"/>
        </w:rPr>
        <w:t>crops</w:t>
      </w:r>
      <w:r>
        <w:rPr>
          <w:rFonts w:eastAsiaTheme="minorEastAsia"/>
          <w:kern w:val="24"/>
        </w:rPr>
        <w:t xml:space="preserve"> (Singer, 2008)</w:t>
      </w:r>
      <w:r w:rsidRPr="008E1F93">
        <w:rPr>
          <w:rFonts w:eastAsiaTheme="minorEastAsia"/>
          <w:color w:val="000000" w:themeColor="text1"/>
          <w:kern w:val="24"/>
        </w:rPr>
        <w:t xml:space="preserve">. There are many different species </w:t>
      </w:r>
      <w:r>
        <w:rPr>
          <w:rFonts w:eastAsiaTheme="minorEastAsia"/>
          <w:color w:val="000000" w:themeColor="text1"/>
          <w:kern w:val="24"/>
        </w:rPr>
        <w:t>and</w:t>
      </w:r>
      <w:r w:rsidRPr="008E1F93">
        <w:rPr>
          <w:rFonts w:eastAsiaTheme="minorEastAsia"/>
          <w:color w:val="000000" w:themeColor="text1"/>
          <w:kern w:val="24"/>
        </w:rPr>
        <w:t xml:space="preserve"> varieties of cover crops</w:t>
      </w:r>
      <w:r>
        <w:rPr>
          <w:rFonts w:eastAsiaTheme="minorEastAsia"/>
          <w:color w:val="000000" w:themeColor="text1"/>
          <w:kern w:val="24"/>
        </w:rPr>
        <w:t xml:space="preserve"> available (Maclaren et al., 2019)</w:t>
      </w:r>
      <w:r w:rsidRPr="008E1F93">
        <w:rPr>
          <w:rFonts w:eastAsiaTheme="minorEastAsia"/>
          <w:color w:val="000000" w:themeColor="text1"/>
          <w:kern w:val="24"/>
        </w:rPr>
        <w:t xml:space="preserve">. Cover crops have many benefits, </w:t>
      </w:r>
      <w:r>
        <w:rPr>
          <w:rFonts w:eastAsiaTheme="minorEastAsia"/>
          <w:color w:val="000000" w:themeColor="text1"/>
          <w:kern w:val="24"/>
        </w:rPr>
        <w:t>including weed suppression (</w:t>
      </w:r>
      <w:proofErr w:type="spellStart"/>
      <w:r>
        <w:rPr>
          <w:rFonts w:eastAsiaTheme="minorEastAsia"/>
          <w:color w:val="000000" w:themeColor="text1"/>
          <w:kern w:val="24"/>
        </w:rPr>
        <w:t>Fageria</w:t>
      </w:r>
      <w:proofErr w:type="spellEnd"/>
      <w:r>
        <w:rPr>
          <w:rFonts w:eastAsiaTheme="minorEastAsia"/>
          <w:color w:val="000000" w:themeColor="text1"/>
          <w:kern w:val="24"/>
        </w:rPr>
        <w:t xml:space="preserve"> et al., 2005), </w:t>
      </w:r>
      <w:r w:rsidRPr="008E1F93">
        <w:rPr>
          <w:rFonts w:eastAsiaTheme="minorEastAsia"/>
          <w:color w:val="000000" w:themeColor="text1"/>
          <w:kern w:val="24"/>
        </w:rPr>
        <w:t>reduction of soil erosion</w:t>
      </w:r>
      <w:r>
        <w:rPr>
          <w:rFonts w:eastAsiaTheme="minorEastAsia"/>
          <w:color w:val="000000" w:themeColor="text1"/>
          <w:kern w:val="24"/>
        </w:rPr>
        <w:t xml:space="preserve"> (</w:t>
      </w:r>
      <w:proofErr w:type="spellStart"/>
      <w:r>
        <w:rPr>
          <w:rFonts w:eastAsiaTheme="minorEastAsia"/>
          <w:color w:val="000000" w:themeColor="text1"/>
          <w:kern w:val="24"/>
        </w:rPr>
        <w:t>Kaspar</w:t>
      </w:r>
      <w:proofErr w:type="spellEnd"/>
      <w:r>
        <w:rPr>
          <w:rFonts w:eastAsiaTheme="minorEastAsia"/>
          <w:color w:val="000000" w:themeColor="text1"/>
          <w:kern w:val="24"/>
        </w:rPr>
        <w:t xml:space="preserve"> et al., 2001)</w:t>
      </w:r>
      <w:r w:rsidRPr="008E1F93">
        <w:rPr>
          <w:rFonts w:eastAsiaTheme="minorEastAsia"/>
          <w:color w:val="000000" w:themeColor="text1"/>
          <w:kern w:val="24"/>
        </w:rPr>
        <w:t>, trapping excess nutrients</w:t>
      </w:r>
      <w:r>
        <w:rPr>
          <w:rFonts w:eastAsiaTheme="minorEastAsia"/>
          <w:color w:val="000000" w:themeColor="text1"/>
          <w:kern w:val="24"/>
        </w:rPr>
        <w:t xml:space="preserve"> (</w:t>
      </w:r>
      <w:proofErr w:type="spellStart"/>
      <w:r>
        <w:rPr>
          <w:rFonts w:eastAsiaTheme="minorEastAsia"/>
          <w:color w:val="000000" w:themeColor="text1"/>
          <w:kern w:val="24"/>
        </w:rPr>
        <w:t>Kaspar</w:t>
      </w:r>
      <w:proofErr w:type="spellEnd"/>
      <w:r>
        <w:rPr>
          <w:rFonts w:eastAsiaTheme="minorEastAsia"/>
          <w:color w:val="000000" w:themeColor="text1"/>
          <w:kern w:val="24"/>
        </w:rPr>
        <w:t xml:space="preserve"> and Singer, 2008)</w:t>
      </w:r>
      <w:r w:rsidRPr="008E1F93">
        <w:rPr>
          <w:rFonts w:eastAsiaTheme="minorEastAsia"/>
          <w:color w:val="000000" w:themeColor="text1"/>
          <w:kern w:val="24"/>
        </w:rPr>
        <w:t>, fixing nitrogen (for legumes)</w:t>
      </w:r>
      <w:r>
        <w:rPr>
          <w:rFonts w:eastAsiaTheme="minorEastAsia"/>
          <w:color w:val="000000" w:themeColor="text1"/>
          <w:kern w:val="24"/>
        </w:rPr>
        <w:t xml:space="preserve"> </w:t>
      </w:r>
      <w:r w:rsidRPr="002B1851">
        <w:rPr>
          <w:rFonts w:eastAsiaTheme="minorEastAsia"/>
          <w:kern w:val="24"/>
        </w:rPr>
        <w:t>(Blevins et al.</w:t>
      </w:r>
      <w:r>
        <w:rPr>
          <w:rFonts w:eastAsiaTheme="minorEastAsia"/>
          <w:kern w:val="24"/>
        </w:rPr>
        <w:t>,</w:t>
      </w:r>
      <w:r w:rsidRPr="002B1851">
        <w:rPr>
          <w:rFonts w:eastAsiaTheme="minorEastAsia"/>
          <w:kern w:val="24"/>
        </w:rPr>
        <w:t xml:space="preserve"> 1990), </w:t>
      </w:r>
      <w:r w:rsidRPr="008E1F93">
        <w:rPr>
          <w:rFonts w:eastAsiaTheme="minorEastAsia"/>
          <w:color w:val="000000" w:themeColor="text1"/>
          <w:kern w:val="24"/>
        </w:rPr>
        <w:t>adding organic matter to the soil</w:t>
      </w:r>
      <w:r>
        <w:rPr>
          <w:rFonts w:eastAsiaTheme="minorEastAsia"/>
          <w:color w:val="000000" w:themeColor="text1"/>
          <w:kern w:val="24"/>
        </w:rPr>
        <w:t xml:space="preserve"> (Hartwig and Ammon, 2002)</w:t>
      </w:r>
      <w:r w:rsidRPr="008E1F93">
        <w:rPr>
          <w:rFonts w:eastAsiaTheme="minorEastAsia"/>
          <w:color w:val="000000" w:themeColor="text1"/>
          <w:kern w:val="24"/>
        </w:rPr>
        <w:t xml:space="preserve">, </w:t>
      </w:r>
      <w:r>
        <w:rPr>
          <w:rFonts w:eastAsiaTheme="minorEastAsia"/>
          <w:color w:val="000000" w:themeColor="text1"/>
          <w:kern w:val="24"/>
        </w:rPr>
        <w:t xml:space="preserve">and </w:t>
      </w:r>
      <w:r w:rsidRPr="008E1F93">
        <w:rPr>
          <w:rFonts w:eastAsiaTheme="minorEastAsia"/>
          <w:color w:val="000000" w:themeColor="text1"/>
          <w:kern w:val="24"/>
        </w:rPr>
        <w:t xml:space="preserve">even reducing compaction and </w:t>
      </w:r>
      <w:r w:rsidRPr="008E1F93">
        <w:rPr>
          <w:rFonts w:eastAsiaTheme="minorEastAsia"/>
          <w:color w:val="000000" w:themeColor="text1"/>
          <w:kern w:val="24"/>
        </w:rPr>
        <w:lastRenderedPageBreak/>
        <w:t>mitigation of plow pans</w:t>
      </w:r>
      <w:r>
        <w:rPr>
          <w:rFonts w:eastAsiaTheme="minorEastAsia"/>
          <w:color w:val="000000" w:themeColor="text1"/>
          <w:kern w:val="24"/>
        </w:rPr>
        <w:t xml:space="preserve"> (Chen and Weil, 2009)</w:t>
      </w:r>
      <w:r w:rsidRPr="008E1F93">
        <w:rPr>
          <w:rFonts w:eastAsiaTheme="minorEastAsia"/>
          <w:color w:val="000000" w:themeColor="text1"/>
          <w:kern w:val="24"/>
        </w:rPr>
        <w:t xml:space="preserve">. There are also many ecological or ecosystem services provided by cover crops </w:t>
      </w:r>
      <w:r>
        <w:rPr>
          <w:rFonts w:eastAsiaTheme="minorEastAsia"/>
          <w:color w:val="000000" w:themeColor="text1"/>
          <w:kern w:val="24"/>
        </w:rPr>
        <w:t>that</w:t>
      </w:r>
      <w:r w:rsidRPr="008E1F93">
        <w:rPr>
          <w:rFonts w:eastAsiaTheme="minorEastAsia"/>
          <w:color w:val="000000" w:themeColor="text1"/>
          <w:kern w:val="24"/>
        </w:rPr>
        <w:t xml:space="preserve"> can benefit wildlife and pollinators of the surrounding area</w:t>
      </w:r>
      <w:r>
        <w:rPr>
          <w:rFonts w:eastAsiaTheme="minorEastAsia"/>
          <w:color w:val="000000" w:themeColor="text1"/>
          <w:kern w:val="24"/>
        </w:rPr>
        <w:t xml:space="preserve"> (Bryant et al., 2013)</w:t>
      </w:r>
      <w:r w:rsidRPr="008E1F93">
        <w:rPr>
          <w:rFonts w:eastAsiaTheme="minorEastAsia"/>
          <w:color w:val="000000" w:themeColor="text1"/>
          <w:kern w:val="24"/>
        </w:rPr>
        <w:t>. Some producers harvest cover crops</w:t>
      </w:r>
      <w:r>
        <w:rPr>
          <w:rFonts w:eastAsiaTheme="minorEastAsia"/>
          <w:color w:val="000000" w:themeColor="text1"/>
          <w:kern w:val="24"/>
        </w:rPr>
        <w:t xml:space="preserve"> (sometimes called “double cropping”)</w:t>
      </w:r>
      <w:r w:rsidRPr="008E1F93">
        <w:rPr>
          <w:rFonts w:eastAsiaTheme="minorEastAsia"/>
          <w:color w:val="000000" w:themeColor="text1"/>
          <w:kern w:val="24"/>
        </w:rPr>
        <w:t xml:space="preserve">, </w:t>
      </w:r>
      <w:r>
        <w:rPr>
          <w:rFonts w:eastAsiaTheme="minorEastAsia"/>
          <w:color w:val="000000" w:themeColor="text1"/>
          <w:kern w:val="24"/>
        </w:rPr>
        <w:t>for example</w:t>
      </w:r>
      <w:r w:rsidRPr="008E1F93">
        <w:rPr>
          <w:rFonts w:eastAsiaTheme="minorEastAsia"/>
          <w:color w:val="000000" w:themeColor="text1"/>
          <w:kern w:val="24"/>
        </w:rPr>
        <w:t xml:space="preserve"> winter wheat</w:t>
      </w:r>
      <w:r>
        <w:rPr>
          <w:rFonts w:eastAsiaTheme="minorEastAsia"/>
          <w:color w:val="000000" w:themeColor="text1"/>
          <w:kern w:val="24"/>
        </w:rPr>
        <w:t xml:space="preserve"> can be used as a cover crop then grown to maturity and harvested</w:t>
      </w:r>
      <w:r w:rsidRPr="008E1F93">
        <w:rPr>
          <w:rFonts w:eastAsiaTheme="minorEastAsia"/>
          <w:color w:val="000000" w:themeColor="text1"/>
          <w:kern w:val="24"/>
        </w:rPr>
        <w:t>, which can add to the farm revenue for the year</w:t>
      </w:r>
      <w:r>
        <w:rPr>
          <w:rFonts w:eastAsiaTheme="minorEastAsia"/>
          <w:color w:val="000000" w:themeColor="text1"/>
          <w:kern w:val="24"/>
        </w:rPr>
        <w:t xml:space="preserve"> (Shapiro et al., 1992)</w:t>
      </w:r>
      <w:r w:rsidRPr="008E1F93">
        <w:rPr>
          <w:rFonts w:eastAsiaTheme="minorEastAsia"/>
          <w:color w:val="000000" w:themeColor="text1"/>
          <w:kern w:val="24"/>
        </w:rPr>
        <w:t xml:space="preserve">. </w:t>
      </w:r>
      <w:r>
        <w:rPr>
          <w:rFonts w:eastAsiaTheme="minorEastAsia"/>
          <w:color w:val="000000" w:themeColor="text1"/>
          <w:kern w:val="24"/>
        </w:rPr>
        <w:t>Ongoing w</w:t>
      </w:r>
      <w:r w:rsidRPr="008E1F93">
        <w:rPr>
          <w:rFonts w:eastAsiaTheme="minorEastAsia"/>
          <w:color w:val="000000" w:themeColor="text1"/>
          <w:kern w:val="24"/>
        </w:rPr>
        <w:t>ork</w:t>
      </w:r>
      <w:r>
        <w:rPr>
          <w:rFonts w:eastAsiaTheme="minorEastAsia"/>
          <w:color w:val="000000" w:themeColor="text1"/>
          <w:kern w:val="24"/>
        </w:rPr>
        <w:t xml:space="preserve"> evaluates</w:t>
      </w:r>
      <w:r w:rsidRPr="008E1F93">
        <w:rPr>
          <w:rFonts w:eastAsiaTheme="minorEastAsia"/>
          <w:color w:val="000000" w:themeColor="text1"/>
          <w:kern w:val="24"/>
        </w:rPr>
        <w:t xml:space="preserve"> the forage benefits of </w:t>
      </w:r>
      <w:r>
        <w:rPr>
          <w:rFonts w:eastAsiaTheme="minorEastAsia"/>
          <w:color w:val="000000" w:themeColor="text1"/>
          <w:kern w:val="24"/>
        </w:rPr>
        <w:t xml:space="preserve">some </w:t>
      </w:r>
      <w:r w:rsidRPr="008E1F93">
        <w:rPr>
          <w:rFonts w:eastAsiaTheme="minorEastAsia"/>
          <w:color w:val="000000" w:themeColor="text1"/>
          <w:kern w:val="24"/>
        </w:rPr>
        <w:t xml:space="preserve">cover crops </w:t>
      </w:r>
      <w:r>
        <w:rPr>
          <w:rFonts w:eastAsiaTheme="minorEastAsia"/>
          <w:color w:val="000000" w:themeColor="text1"/>
          <w:kern w:val="24"/>
        </w:rPr>
        <w:t>to assist farmers</w:t>
      </w:r>
      <w:r w:rsidRPr="008E1F93">
        <w:rPr>
          <w:rFonts w:eastAsiaTheme="minorEastAsia"/>
          <w:color w:val="000000" w:themeColor="text1"/>
          <w:kern w:val="24"/>
        </w:rPr>
        <w:t xml:space="preserve"> </w:t>
      </w:r>
      <w:r>
        <w:rPr>
          <w:rFonts w:eastAsiaTheme="minorEastAsia"/>
          <w:color w:val="000000" w:themeColor="text1"/>
          <w:kern w:val="24"/>
        </w:rPr>
        <w:t>to</w:t>
      </w:r>
      <w:r w:rsidRPr="008E1F93">
        <w:rPr>
          <w:rFonts w:eastAsiaTheme="minorEastAsia"/>
          <w:color w:val="000000" w:themeColor="text1"/>
          <w:kern w:val="24"/>
        </w:rPr>
        <w:t xml:space="preserve"> find another value-added benefit</w:t>
      </w:r>
      <w:r>
        <w:rPr>
          <w:rFonts w:eastAsiaTheme="minorEastAsia"/>
          <w:color w:val="000000" w:themeColor="text1"/>
          <w:kern w:val="24"/>
        </w:rPr>
        <w:t xml:space="preserve"> (</w:t>
      </w:r>
      <w:proofErr w:type="spellStart"/>
      <w:r>
        <w:rPr>
          <w:rFonts w:eastAsiaTheme="minorEastAsia"/>
          <w:color w:val="000000" w:themeColor="text1"/>
          <w:kern w:val="24"/>
        </w:rPr>
        <w:t>Drewnoski</w:t>
      </w:r>
      <w:proofErr w:type="spellEnd"/>
      <w:r>
        <w:rPr>
          <w:rFonts w:eastAsiaTheme="minorEastAsia"/>
          <w:color w:val="000000" w:themeColor="text1"/>
          <w:kern w:val="24"/>
        </w:rPr>
        <w:t xml:space="preserve"> et al., 2018)</w:t>
      </w:r>
      <w:r w:rsidRPr="008E1F93">
        <w:rPr>
          <w:rFonts w:eastAsiaTheme="minorEastAsia"/>
          <w:color w:val="000000" w:themeColor="text1"/>
          <w:kern w:val="24"/>
        </w:rPr>
        <w:t xml:space="preserve">. Local extension and </w:t>
      </w:r>
      <w:r>
        <w:rPr>
          <w:rFonts w:eastAsiaTheme="minorEastAsia"/>
          <w:color w:val="000000" w:themeColor="text1"/>
          <w:kern w:val="24"/>
        </w:rPr>
        <w:t>Natural Resource Conservation Service (</w:t>
      </w:r>
      <w:r w:rsidRPr="008E1F93">
        <w:rPr>
          <w:rFonts w:eastAsiaTheme="minorEastAsia"/>
          <w:color w:val="000000" w:themeColor="text1"/>
          <w:kern w:val="24"/>
        </w:rPr>
        <w:t>NRCS</w:t>
      </w:r>
      <w:r>
        <w:rPr>
          <w:rFonts w:eastAsiaTheme="minorEastAsia"/>
          <w:color w:val="000000" w:themeColor="text1"/>
          <w:kern w:val="24"/>
        </w:rPr>
        <w:t>)</w:t>
      </w:r>
      <w:r w:rsidRPr="008E1F93">
        <w:rPr>
          <w:rFonts w:eastAsiaTheme="minorEastAsia"/>
          <w:color w:val="000000" w:themeColor="text1"/>
          <w:kern w:val="24"/>
        </w:rPr>
        <w:t xml:space="preserve"> offices have resources available to </w:t>
      </w:r>
      <w:r>
        <w:rPr>
          <w:rFonts w:eastAsiaTheme="minorEastAsia"/>
          <w:color w:val="000000" w:themeColor="text1"/>
          <w:kern w:val="24"/>
        </w:rPr>
        <w:t>assi</w:t>
      </w:r>
      <w:r w:rsidRPr="008E1F93">
        <w:rPr>
          <w:rFonts w:eastAsiaTheme="minorEastAsia"/>
          <w:color w:val="000000" w:themeColor="text1"/>
          <w:kern w:val="24"/>
        </w:rPr>
        <w:t xml:space="preserve">st producers with cover crop selection and/or planting. </w:t>
      </w:r>
    </w:p>
    <w:p w14:paraId="19F71FE7" w14:textId="77777777" w:rsidR="000F06F3" w:rsidRDefault="000F06F3" w:rsidP="000F06F3">
      <w:pPr>
        <w:spacing w:line="480" w:lineRule="auto"/>
        <w:rPr>
          <w:rFonts w:eastAsiaTheme="minorEastAsia"/>
          <w:color w:val="000000" w:themeColor="text1"/>
          <w:kern w:val="24"/>
        </w:rPr>
      </w:pPr>
    </w:p>
    <w:p w14:paraId="388FAC5F" w14:textId="77777777" w:rsidR="000F06F3" w:rsidRPr="00B56C51" w:rsidRDefault="000F06F3" w:rsidP="000F06F3">
      <w:pPr>
        <w:spacing w:line="480" w:lineRule="auto"/>
        <w:rPr>
          <w:rFonts w:eastAsiaTheme="minorEastAsia"/>
          <w:color w:val="000000" w:themeColor="text1"/>
          <w:kern w:val="24"/>
        </w:rPr>
      </w:pPr>
      <w:r>
        <w:rPr>
          <w:rFonts w:eastAsiaTheme="minorEastAsia"/>
          <w:color w:val="000000" w:themeColor="text1"/>
          <w:kern w:val="24"/>
        </w:rPr>
        <w:t>Cover crops inc</w:t>
      </w:r>
      <w:r w:rsidRPr="008E1F93">
        <w:rPr>
          <w:rFonts w:eastAsiaTheme="minorEastAsia"/>
          <w:color w:val="000000" w:themeColor="text1"/>
          <w:kern w:val="24"/>
        </w:rPr>
        <w:t>rease infiltration</w:t>
      </w:r>
      <w:r>
        <w:rPr>
          <w:rFonts w:eastAsiaTheme="minorEastAsia"/>
          <w:color w:val="000000" w:themeColor="text1"/>
          <w:kern w:val="24"/>
        </w:rPr>
        <w:t xml:space="preserve"> and protect the soil surface from disintegration by raindrop impacts (</w:t>
      </w:r>
      <w:proofErr w:type="spellStart"/>
      <w:r>
        <w:rPr>
          <w:rFonts w:eastAsiaTheme="minorEastAsia"/>
          <w:color w:val="000000" w:themeColor="text1"/>
          <w:kern w:val="24"/>
        </w:rPr>
        <w:t>Folorunso</w:t>
      </w:r>
      <w:proofErr w:type="spellEnd"/>
      <w:r>
        <w:rPr>
          <w:rFonts w:eastAsiaTheme="minorEastAsia"/>
          <w:color w:val="000000" w:themeColor="text1"/>
          <w:kern w:val="24"/>
        </w:rPr>
        <w:t xml:space="preserve"> et al., 1992).</w:t>
      </w:r>
      <w:r>
        <w:rPr>
          <w:rFonts w:eastAsiaTheme="minorEastAsia"/>
          <w:color w:val="FF0000"/>
          <w:kern w:val="24"/>
        </w:rPr>
        <w:t xml:space="preserve"> </w:t>
      </w:r>
      <w:r>
        <w:rPr>
          <w:rFonts w:eastAsiaTheme="minorEastAsia"/>
          <w:kern w:val="24"/>
        </w:rPr>
        <w:t xml:space="preserve">The dead roots of cover crops </w:t>
      </w:r>
      <w:r w:rsidRPr="008E1F93">
        <w:rPr>
          <w:rFonts w:eastAsiaTheme="minorEastAsia"/>
          <w:color w:val="000000" w:themeColor="text1"/>
          <w:kern w:val="24"/>
        </w:rPr>
        <w:t xml:space="preserve">become pathways for </w:t>
      </w:r>
      <w:r>
        <w:rPr>
          <w:rFonts w:eastAsiaTheme="minorEastAsia"/>
          <w:color w:val="000000" w:themeColor="text1"/>
          <w:kern w:val="24"/>
        </w:rPr>
        <w:t>water</w:t>
      </w:r>
      <w:r w:rsidRPr="008E1F93">
        <w:rPr>
          <w:rFonts w:eastAsiaTheme="minorEastAsia"/>
          <w:color w:val="000000" w:themeColor="text1"/>
          <w:kern w:val="24"/>
        </w:rPr>
        <w:t xml:space="preserve"> flow</w:t>
      </w:r>
      <w:r>
        <w:rPr>
          <w:rFonts w:eastAsiaTheme="minorEastAsia"/>
          <w:color w:val="000000" w:themeColor="text1"/>
          <w:kern w:val="24"/>
        </w:rPr>
        <w:t xml:space="preserve"> (Yu et al., 2016). Cover crops can also reduce</w:t>
      </w:r>
      <w:r w:rsidRPr="008E1F93">
        <w:rPr>
          <w:rFonts w:eastAsiaTheme="minorEastAsia"/>
          <w:color w:val="000000" w:themeColor="text1"/>
          <w:kern w:val="24"/>
        </w:rPr>
        <w:t xml:space="preserve"> compaction (</w:t>
      </w:r>
      <w:r w:rsidRPr="00F45027">
        <w:rPr>
          <w:rFonts w:eastAsiaTheme="minorEastAsia"/>
          <w:color w:val="000000" w:themeColor="text1"/>
          <w:kern w:val="24"/>
        </w:rPr>
        <w:t>especially brassica cover crops like daikon radishes (</w:t>
      </w:r>
      <w:r w:rsidRPr="00F45027">
        <w:rPr>
          <w:rFonts w:eastAsiaTheme="minorEastAsia"/>
          <w:i/>
          <w:iCs/>
          <w:color w:val="000000" w:themeColor="text1"/>
          <w:kern w:val="24"/>
        </w:rPr>
        <w:t>Raphanus sativus L.</w:t>
      </w:r>
      <w:r w:rsidRPr="00F45027">
        <w:rPr>
          <w:rFonts w:eastAsiaTheme="minorEastAsia"/>
          <w:color w:val="000000" w:themeColor="text1"/>
          <w:kern w:val="24"/>
        </w:rPr>
        <w:t xml:space="preserve">)) </w:t>
      </w:r>
      <w:r w:rsidRPr="00F45027">
        <w:rPr>
          <w:rFonts w:eastAsiaTheme="minorEastAsia"/>
          <w:color w:val="000000" w:themeColor="text1"/>
          <w:kern w:val="24"/>
        </w:rPr>
        <w:fldChar w:fldCharType="begin" w:fldLock="1"/>
      </w:r>
      <w:r w:rsidRPr="00F45027">
        <w:rPr>
          <w:rFonts w:eastAsiaTheme="minorEastAsia"/>
          <w:color w:val="000000" w:themeColor="text1"/>
          <w:kern w:val="24"/>
        </w:rPr>
        <w:instrText>ADDIN CSL_CITATION {"citationItems":[{"id":"ITEM-1","itemData":{"DOI":"10.1007/s11104-009-0223-7","ISSN":"0032079X","abstract":"Tap-rooted species may penetrate compacted soils better than fibrous-rooted species and therefore be better adapted for use in \"biological tillage\". We evaluated penetration of compacted soils by roots of three cover crops: FR (forage radish: Raphanus sativus var. longipinnatus, cv. 'Daikon'), rapeseed (Brassica napus, cv. 'Essex'), two tap-rooted species in the Brassica family, and rye (cereal rye: Secale cereale L., cv. 'Wheeler'), a fibrous-rooted species. Three compaction levels (high, medium and no compaction) were created by wheel trafficking. Cover crop roots were counted by the core-break method. At 15-50 cm depth under high compaction, FR had more than twice and rapeseed had about twice as many roots as rye in experiment 1; FR had 1.5 times as many roots as rye in experiment 2. Under no compaction, little difference in root vertical penetration among three cover crops existed. Rapeseed and rye root counts were negatively related to soil strength by linear and power functions respectively, while FR roots showed either no (Exp. 1) or positive (Exp. 2) relationship with soil strength. We conclude that soil penetration capabilities of three cover crops were in the order of FR &gt; rapeseed &gt; rye. © 2009 Springer Science+Business Media B.V.","author":[{"dropping-particle":"","family":"Chen","given":"Guihua","non-dropping-particle":"","parse-names":false,"suffix":""},{"dropping-particle":"","family":"Weil","given":"Ray R.","non-dropping-particle":"","parse-names":false,"suffix":""}],"container-title":"Plant and Soil","id":"ITEM-1","issue":"1","issued":{"date-parts":[["2010","6","19"]]},"page":"31-43","publisher":"Springer","title":"Penetration of cover crop roots through compacted soils","type":"article-journal","volume":"331"},"uris":["http://www.mendeley.com/documents/?uuid=7c0e8098-0188-353b-91b3-126e3ce0081d"]}],"mendeley":{"formattedCitation":"(Chen and Weil)","manualFormatting":"(Chen and Weil, 2009)","plainTextFormattedCitation":"(Chen and Weil)"},"properties":{"noteIndex":0},"schema":"https://github.com/citation-style-language/schema/raw/master/csl-citation.json"}</w:instrText>
      </w:r>
      <w:r w:rsidRPr="00F45027">
        <w:rPr>
          <w:rFonts w:eastAsiaTheme="minorEastAsia"/>
          <w:color w:val="000000" w:themeColor="text1"/>
          <w:kern w:val="24"/>
        </w:rPr>
        <w:fldChar w:fldCharType="separate"/>
      </w:r>
      <w:r w:rsidRPr="00F45027">
        <w:rPr>
          <w:rFonts w:eastAsiaTheme="minorEastAsia"/>
          <w:noProof/>
          <w:color w:val="000000" w:themeColor="text1"/>
          <w:kern w:val="24"/>
        </w:rPr>
        <w:t>(Chen and Weil</w:t>
      </w:r>
      <w:r>
        <w:rPr>
          <w:rFonts w:eastAsiaTheme="minorEastAsia"/>
          <w:noProof/>
          <w:color w:val="000000" w:themeColor="text1"/>
          <w:kern w:val="24"/>
        </w:rPr>
        <w:t>,</w:t>
      </w:r>
      <w:r w:rsidRPr="00F45027">
        <w:rPr>
          <w:rFonts w:eastAsiaTheme="minorEastAsia"/>
          <w:noProof/>
          <w:color w:val="000000" w:themeColor="text1"/>
          <w:kern w:val="24"/>
        </w:rPr>
        <w:t xml:space="preserve"> 2009)</w:t>
      </w:r>
      <w:r w:rsidRPr="00F45027">
        <w:rPr>
          <w:rFonts w:eastAsiaTheme="minorEastAsia"/>
          <w:color w:val="000000" w:themeColor="text1"/>
          <w:kern w:val="24"/>
        </w:rPr>
        <w:fldChar w:fldCharType="end"/>
      </w:r>
      <w:r w:rsidRPr="00F45027">
        <w:rPr>
          <w:rFonts w:eastAsiaTheme="minorEastAsia"/>
          <w:color w:val="000000" w:themeColor="text1"/>
          <w:kern w:val="24"/>
        </w:rPr>
        <w:t>.</w:t>
      </w:r>
      <w:r w:rsidRPr="00DF1A7B">
        <w:rPr>
          <w:rFonts w:eastAsiaTheme="minorEastAsia"/>
          <w:color w:val="000000" w:themeColor="text1"/>
          <w:kern w:val="24"/>
        </w:rPr>
        <w:t xml:space="preserve"> The</w:t>
      </w:r>
      <w:r w:rsidRPr="008E1F93">
        <w:rPr>
          <w:rFonts w:eastAsiaTheme="minorEastAsia"/>
          <w:color w:val="000000" w:themeColor="text1"/>
          <w:kern w:val="24"/>
        </w:rPr>
        <w:t xml:space="preserve"> increase in organic matter from the </w:t>
      </w:r>
      <w:r>
        <w:rPr>
          <w:rFonts w:eastAsiaTheme="minorEastAsia"/>
          <w:color w:val="000000" w:themeColor="text1"/>
          <w:kern w:val="24"/>
        </w:rPr>
        <w:t xml:space="preserve">cover crop </w:t>
      </w:r>
      <w:r w:rsidRPr="008E1F93">
        <w:rPr>
          <w:rFonts w:eastAsiaTheme="minorEastAsia"/>
          <w:color w:val="000000" w:themeColor="text1"/>
          <w:kern w:val="24"/>
        </w:rPr>
        <w:t xml:space="preserve">residue can </w:t>
      </w:r>
      <w:r>
        <w:rPr>
          <w:rFonts w:eastAsiaTheme="minorEastAsia"/>
          <w:color w:val="000000" w:themeColor="text1"/>
          <w:kern w:val="24"/>
        </w:rPr>
        <w:t>improve</w:t>
      </w:r>
      <w:r w:rsidRPr="008E1F93">
        <w:rPr>
          <w:rFonts w:eastAsiaTheme="minorEastAsia"/>
          <w:color w:val="000000" w:themeColor="text1"/>
          <w:kern w:val="24"/>
        </w:rPr>
        <w:t xml:space="preserve"> </w:t>
      </w:r>
      <w:r>
        <w:rPr>
          <w:rFonts w:eastAsiaTheme="minorEastAsia"/>
          <w:color w:val="000000" w:themeColor="text1"/>
          <w:kern w:val="24"/>
        </w:rPr>
        <w:t xml:space="preserve">soil </w:t>
      </w:r>
      <w:r w:rsidRPr="008E1F93">
        <w:rPr>
          <w:rFonts w:eastAsiaTheme="minorEastAsia"/>
          <w:color w:val="000000" w:themeColor="text1"/>
          <w:kern w:val="24"/>
        </w:rPr>
        <w:t xml:space="preserve">aggregation </w:t>
      </w:r>
      <w:r>
        <w:rPr>
          <w:rFonts w:eastAsiaTheme="minorEastAsia"/>
          <w:color w:val="000000" w:themeColor="text1"/>
          <w:kern w:val="24"/>
        </w:rPr>
        <w:t xml:space="preserve">and aggregate stability </w:t>
      </w:r>
      <w:r w:rsidRPr="008E1F93">
        <w:rPr>
          <w:rFonts w:eastAsiaTheme="minorEastAsia"/>
          <w:color w:val="000000" w:themeColor="text1"/>
          <w:kern w:val="24"/>
        </w:rPr>
        <w:t xml:space="preserve">in the </w:t>
      </w:r>
      <w:r>
        <w:rPr>
          <w:rFonts w:eastAsiaTheme="minorEastAsia"/>
          <w:color w:val="000000" w:themeColor="text1"/>
          <w:kern w:val="24"/>
        </w:rPr>
        <w:t xml:space="preserve">soil </w:t>
      </w:r>
      <w:r w:rsidRPr="008E1F93">
        <w:rPr>
          <w:rFonts w:eastAsiaTheme="minorEastAsia"/>
          <w:color w:val="000000" w:themeColor="text1"/>
          <w:kern w:val="24"/>
        </w:rPr>
        <w:t>profile (which can increase the water holding capacity)</w:t>
      </w:r>
      <w:r>
        <w:rPr>
          <w:rFonts w:eastAsiaTheme="minorEastAsia"/>
          <w:color w:val="FF0000"/>
          <w:kern w:val="24"/>
        </w:rPr>
        <w:t xml:space="preserve"> </w:t>
      </w:r>
      <w:r>
        <w:rPr>
          <w:rFonts w:eastAsiaTheme="minorEastAsia"/>
          <w:kern w:val="24"/>
        </w:rPr>
        <w:t>(Kern, 1995)</w:t>
      </w:r>
      <w:r w:rsidRPr="008E1F93">
        <w:rPr>
          <w:rFonts w:eastAsiaTheme="minorEastAsia"/>
          <w:color w:val="000000" w:themeColor="text1"/>
          <w:kern w:val="24"/>
        </w:rPr>
        <w:t xml:space="preserve">. The microbes </w:t>
      </w:r>
      <w:r>
        <w:rPr>
          <w:rFonts w:eastAsiaTheme="minorEastAsia"/>
          <w:color w:val="000000" w:themeColor="text1"/>
          <w:kern w:val="24"/>
        </w:rPr>
        <w:t>typical</w:t>
      </w:r>
      <w:r w:rsidRPr="008E1F93">
        <w:rPr>
          <w:rFonts w:eastAsiaTheme="minorEastAsia"/>
          <w:color w:val="000000" w:themeColor="text1"/>
          <w:kern w:val="24"/>
        </w:rPr>
        <w:t>ly</w:t>
      </w:r>
      <w:r>
        <w:rPr>
          <w:rFonts w:eastAsiaTheme="minorEastAsia"/>
          <w:color w:val="000000" w:themeColor="text1"/>
          <w:kern w:val="24"/>
        </w:rPr>
        <w:t xml:space="preserve"> respond with increased activity (</w:t>
      </w:r>
      <w:proofErr w:type="spellStart"/>
      <w:r>
        <w:rPr>
          <w:rFonts w:eastAsiaTheme="minorEastAsia"/>
          <w:color w:val="000000" w:themeColor="text1"/>
          <w:kern w:val="24"/>
        </w:rPr>
        <w:t>Vukicevich</w:t>
      </w:r>
      <w:proofErr w:type="spellEnd"/>
      <w:r>
        <w:rPr>
          <w:rFonts w:eastAsiaTheme="minorEastAsia"/>
          <w:color w:val="000000" w:themeColor="text1"/>
          <w:kern w:val="24"/>
        </w:rPr>
        <w:t xml:space="preserve"> et al., 2016) and generally speaking,</w:t>
      </w:r>
      <w:r w:rsidRPr="008E1F93">
        <w:rPr>
          <w:rFonts w:eastAsiaTheme="minorEastAsia"/>
          <w:color w:val="000000" w:themeColor="text1"/>
          <w:kern w:val="24"/>
        </w:rPr>
        <w:t xml:space="preserve"> the overall health and resilience of the soil is better</w:t>
      </w:r>
      <w:r>
        <w:rPr>
          <w:rFonts w:eastAsiaTheme="minorEastAsia"/>
          <w:color w:val="000000" w:themeColor="text1"/>
          <w:kern w:val="24"/>
        </w:rPr>
        <w:t xml:space="preserve"> when cover crops are implemented (Ghimire et al., 2019)</w:t>
      </w:r>
      <w:r w:rsidRPr="008E1F93">
        <w:rPr>
          <w:rFonts w:eastAsiaTheme="minorEastAsia"/>
          <w:color w:val="000000" w:themeColor="text1"/>
          <w:kern w:val="24"/>
        </w:rPr>
        <w:t>. These processes are also a function of no-till systems because the elimination of tillage allows these beneficial processes to take plac</w:t>
      </w:r>
      <w:r>
        <w:rPr>
          <w:rFonts w:eastAsiaTheme="minorEastAsia"/>
          <w:color w:val="000000" w:themeColor="text1"/>
          <w:kern w:val="24"/>
        </w:rPr>
        <w:t>e (Nunes et al., 2018)</w:t>
      </w:r>
      <w:r w:rsidRPr="008E1F93">
        <w:rPr>
          <w:rFonts w:eastAsiaTheme="minorEastAsia"/>
          <w:color w:val="000000" w:themeColor="text1"/>
          <w:kern w:val="24"/>
        </w:rPr>
        <w:t>. This is important because a</w:t>
      </w:r>
      <w:r>
        <w:rPr>
          <w:rFonts w:eastAsiaTheme="minorEastAsia"/>
          <w:color w:val="000000" w:themeColor="text1"/>
          <w:kern w:val="24"/>
        </w:rPr>
        <w:t xml:space="preserve">s earthworms </w:t>
      </w:r>
      <w:r w:rsidRPr="008E1F93">
        <w:rPr>
          <w:rFonts w:eastAsiaTheme="minorEastAsia"/>
          <w:color w:val="000000" w:themeColor="text1"/>
          <w:kern w:val="24"/>
        </w:rPr>
        <w:t>transform soil profiles</w:t>
      </w:r>
      <w:r>
        <w:rPr>
          <w:rFonts w:eastAsiaTheme="minorEastAsia"/>
          <w:color w:val="000000" w:themeColor="text1"/>
          <w:kern w:val="24"/>
        </w:rPr>
        <w:t xml:space="preserve"> (Ashworth et al., 2017)</w:t>
      </w:r>
      <w:r w:rsidRPr="008E1F93">
        <w:rPr>
          <w:rFonts w:eastAsiaTheme="minorEastAsia"/>
          <w:color w:val="000000" w:themeColor="text1"/>
          <w:kern w:val="24"/>
        </w:rPr>
        <w:t>, the soil can move much more water through preferential flow</w:t>
      </w:r>
      <w:r>
        <w:rPr>
          <w:rFonts w:eastAsiaTheme="minorEastAsia"/>
          <w:color w:val="000000" w:themeColor="text1"/>
          <w:kern w:val="24"/>
        </w:rPr>
        <w:t xml:space="preserve"> </w:t>
      </w:r>
      <w:r w:rsidRPr="008E1F93">
        <w:rPr>
          <w:rFonts w:eastAsiaTheme="minorEastAsia"/>
          <w:color w:val="000000" w:themeColor="text1"/>
          <w:kern w:val="24"/>
        </w:rPr>
        <w:t>path</w:t>
      </w:r>
      <w:r>
        <w:rPr>
          <w:rFonts w:eastAsiaTheme="minorEastAsia"/>
          <w:color w:val="000000" w:themeColor="text1"/>
          <w:kern w:val="24"/>
        </w:rPr>
        <w:t>s (Schaik et al., 2013)</w:t>
      </w:r>
      <w:r w:rsidRPr="00232C96">
        <w:rPr>
          <w:rFonts w:eastAsiaTheme="minorEastAsia"/>
          <w:color w:val="000000" w:themeColor="text1"/>
          <w:kern w:val="24"/>
        </w:rPr>
        <w:t>. Poiseuille’s Law for laminar flow states a doubling of a channel’s radius equates to a 16 ti</w:t>
      </w:r>
      <w:r w:rsidRPr="008E1F93">
        <w:rPr>
          <w:rFonts w:eastAsiaTheme="minorEastAsia"/>
          <w:color w:val="000000" w:themeColor="text1"/>
          <w:kern w:val="24"/>
        </w:rPr>
        <w:t>mes increase in flow potential</w:t>
      </w:r>
      <w:r>
        <w:rPr>
          <w:rFonts w:eastAsiaTheme="minorEastAsia"/>
          <w:color w:val="000000" w:themeColor="text1"/>
          <w:kern w:val="24"/>
        </w:rPr>
        <w:t xml:space="preserve"> </w:t>
      </w:r>
      <w:r>
        <w:rPr>
          <w:rFonts w:eastAsiaTheme="minorEastAsia"/>
          <w:color w:val="000000" w:themeColor="text1"/>
          <w:kern w:val="24"/>
        </w:rPr>
        <w:fldChar w:fldCharType="begin" w:fldLock="1"/>
      </w:r>
      <w:r>
        <w:rPr>
          <w:rFonts w:eastAsiaTheme="minorEastAsia"/>
          <w:color w:val="000000" w:themeColor="text1"/>
          <w:kern w:val="24"/>
        </w:rPr>
        <w:instrText>ADDIN CSL_CITATION {"citationItems":[{"id":"ITEM-1","itemData":{"DOI":"10.1002/jpln.200521955","ISSN":"14368730","abstract":"In heterogeneous structured soils, water and transported dissolved substances and suspended particles and colloids may under certain conditions bypass most of the soil porous matrix thereby creating nonequilibrium conditions in pressure heads and solute concentrations between preferential flow paths and the soil matrix pore region. Preferential flow severely limits the applicability of standard models for flow and transport that are mostly based on Richards' equation and the convection-dispersion equation. A number of various model approaches have been proposed to overcome this problem. These models mostly try to separately describe flow and transport in preferred flow paths and slow or stagnant pore regions. Discrete fracture models are more frequently suggested in hydrogeology and often more empirically for cracked clay soils. The two-domain approach assumes two interacting porous continua for either mobile-immobile (compartment models) or mobile-mobile pore systems for solute transport and for water movement. Such models were derived by rigorous \"upscaling\" methods (microstructure models), or by more empirically assuming two macroscopic scale systems. Representation of effective local (i.e., structural) geometry remains a problem when applying these models to soil systems. The dual-permeability models differ in the description of flow in the preferential flow domain (i.e., either Richards' equation assuming capillarity or kinematic wave approach for gravity flow) and with respect to the mass-transfer formulation (i.e., from pressure head- or saturation-based first-order type formulations to more complex nonlinear formulations or numerical solutions of the local flow equation). Despite the enormous progress that has been accomplished to improve both the modeling as well as the parameter determination, many challenges remain, in particular, how to capture dynamic soil structure effects to improve quantitative understanding and descriptions of preferential flow and transport processes. © 2006 Wiley-VCH Verlag GmbH &amp; Co. KGaA.","author":[{"dropping-particle":"","family":"Gerke","given":"Horst H.","non-dropping-particle":"","parse-names":false,"suffix":""}],"container-title":"Journal of Plant Nutrition and Soil Science","id":"ITEM-1","issue":"3","issued":{"date-parts":[["2006","4","1"]]},"page":"382-400","publisher":"John Wiley &amp; Sons, Ltd","title":"Preferential flow descriptions for structured soils","type":"article","volume":"169"},"uris":["http://www.mendeley.com/documents/?uuid=371aecbc-2ea2-3147-adf1-07789616254a"]}],"mendeley":{"formattedCitation":"(Gerke)","manualFormatting":"(Gerke, 2006)","plainTextFormattedCitation":"(Gerke)","previouslyFormattedCitation":"(Gerke)"},"properties":{"noteIndex":0},"schema":"https://github.com/citation-style-language/schema/raw/master/csl-citation.json"}</w:instrText>
      </w:r>
      <w:r>
        <w:rPr>
          <w:rFonts w:eastAsiaTheme="minorEastAsia"/>
          <w:color w:val="000000" w:themeColor="text1"/>
          <w:kern w:val="24"/>
        </w:rPr>
        <w:fldChar w:fldCharType="separate"/>
      </w:r>
      <w:r w:rsidRPr="00F4020F">
        <w:rPr>
          <w:rFonts w:eastAsiaTheme="minorEastAsia"/>
          <w:noProof/>
          <w:color w:val="000000" w:themeColor="text1"/>
          <w:kern w:val="24"/>
        </w:rPr>
        <w:t>(Gerke</w:t>
      </w:r>
      <w:r>
        <w:rPr>
          <w:rFonts w:eastAsiaTheme="minorEastAsia"/>
          <w:noProof/>
          <w:color w:val="000000" w:themeColor="text1"/>
          <w:kern w:val="24"/>
        </w:rPr>
        <w:t>, 2006</w:t>
      </w:r>
      <w:r w:rsidRPr="00F4020F">
        <w:rPr>
          <w:rFonts w:eastAsiaTheme="minorEastAsia"/>
          <w:noProof/>
          <w:color w:val="000000" w:themeColor="text1"/>
          <w:kern w:val="24"/>
        </w:rPr>
        <w:t>)</w:t>
      </w:r>
      <w:r>
        <w:rPr>
          <w:rFonts w:eastAsiaTheme="minorEastAsia"/>
          <w:color w:val="000000" w:themeColor="text1"/>
          <w:kern w:val="24"/>
        </w:rPr>
        <w:fldChar w:fldCharType="end"/>
      </w:r>
      <w:r w:rsidRPr="008E1F93">
        <w:rPr>
          <w:rFonts w:eastAsiaTheme="minorEastAsia"/>
          <w:color w:val="000000" w:themeColor="text1"/>
          <w:kern w:val="24"/>
        </w:rPr>
        <w:t xml:space="preserve">. </w:t>
      </w:r>
      <w:r>
        <w:rPr>
          <w:rFonts w:eastAsiaTheme="minorEastAsia"/>
          <w:color w:val="000000" w:themeColor="text1"/>
          <w:kern w:val="24"/>
        </w:rPr>
        <w:t>T</w:t>
      </w:r>
      <w:r w:rsidRPr="008E1F93">
        <w:rPr>
          <w:rFonts w:eastAsiaTheme="minorEastAsia"/>
          <w:color w:val="000000" w:themeColor="text1"/>
          <w:kern w:val="24"/>
        </w:rPr>
        <w:t xml:space="preserve">his means that if a root channel with a radius of </w:t>
      </w:r>
      <w:r>
        <w:rPr>
          <w:rFonts w:eastAsiaTheme="minorEastAsia"/>
          <w:color w:val="000000" w:themeColor="text1"/>
          <w:kern w:val="24"/>
        </w:rPr>
        <w:t>1-</w:t>
      </w:r>
      <w:r w:rsidRPr="008E1F93">
        <w:rPr>
          <w:rFonts w:eastAsiaTheme="minorEastAsia"/>
          <w:color w:val="000000" w:themeColor="text1"/>
          <w:kern w:val="24"/>
        </w:rPr>
        <w:t xml:space="preserve">mm is expanded by an earthworm to have a </w:t>
      </w:r>
      <w:r w:rsidRPr="008E1F93">
        <w:rPr>
          <w:rFonts w:eastAsiaTheme="minorEastAsia"/>
          <w:color w:val="000000" w:themeColor="text1"/>
          <w:kern w:val="24"/>
        </w:rPr>
        <w:lastRenderedPageBreak/>
        <w:t>radius of 2</w:t>
      </w:r>
      <w:r>
        <w:rPr>
          <w:rFonts w:eastAsiaTheme="minorEastAsia"/>
          <w:color w:val="000000" w:themeColor="text1"/>
          <w:kern w:val="24"/>
        </w:rPr>
        <w:t>-</w:t>
      </w:r>
      <w:r w:rsidRPr="008E1F93">
        <w:rPr>
          <w:rFonts w:eastAsiaTheme="minorEastAsia"/>
          <w:color w:val="000000" w:themeColor="text1"/>
          <w:kern w:val="24"/>
        </w:rPr>
        <w:t>mm, this single channel can now transmit 16 times more water.</w:t>
      </w:r>
      <w:r>
        <w:rPr>
          <w:rFonts w:eastAsiaTheme="minorEastAsia"/>
          <w:color w:val="000000" w:themeColor="text1"/>
          <w:kern w:val="24"/>
        </w:rPr>
        <w:t xml:space="preserve"> </w:t>
      </w:r>
      <w:r w:rsidRPr="00FB6D69">
        <w:rPr>
          <w:rFonts w:eastAsiaTheme="minorEastAsia"/>
          <w:color w:val="000000" w:themeColor="text1"/>
          <w:kern w:val="24"/>
        </w:rPr>
        <w:t xml:space="preserve">At a field scale this </w:t>
      </w:r>
      <w:r>
        <w:rPr>
          <w:rFonts w:eastAsiaTheme="minorEastAsia"/>
          <w:color w:val="000000" w:themeColor="text1"/>
          <w:kern w:val="24"/>
        </w:rPr>
        <w:t>sh</w:t>
      </w:r>
      <w:r w:rsidRPr="00FB6D69">
        <w:rPr>
          <w:rFonts w:eastAsiaTheme="minorEastAsia"/>
          <w:color w:val="000000" w:themeColor="text1"/>
          <w:kern w:val="24"/>
        </w:rPr>
        <w:t>ould have greater effect on combatting more intensive rainfall events by increasing water infiltration rates, reducing runoff, and reducing soil erosion.</w:t>
      </w:r>
    </w:p>
    <w:p w14:paraId="6728D16C" w14:textId="1BDD5CBF" w:rsidR="000C190A" w:rsidRDefault="000C190A" w:rsidP="000C190A">
      <w:pPr>
        <w:rPr>
          <w:color w:val="FF0000"/>
        </w:rPr>
      </w:pPr>
    </w:p>
    <w:p w14:paraId="163BD857" w14:textId="51DCCFDE" w:rsidR="000F06F3" w:rsidRDefault="000F06F3" w:rsidP="000C190A">
      <w:pPr>
        <w:rPr>
          <w:color w:val="FF0000"/>
        </w:rPr>
      </w:pPr>
    </w:p>
    <w:p w14:paraId="206F851E" w14:textId="77777777" w:rsidR="000F06F3" w:rsidRPr="004A49E0" w:rsidRDefault="000F06F3" w:rsidP="000F06F3">
      <w:pPr>
        <w:spacing w:line="480" w:lineRule="auto"/>
        <w:rPr>
          <w:b/>
          <w:bCs/>
        </w:rPr>
      </w:pPr>
      <w:r w:rsidRPr="00742DFC">
        <w:rPr>
          <w:b/>
          <w:bCs/>
        </w:rPr>
        <w:t>Soil Microbial Biomass</w:t>
      </w:r>
    </w:p>
    <w:p w14:paraId="7152A038" w14:textId="77777777" w:rsidR="000F06F3" w:rsidRDefault="000F06F3" w:rsidP="000F06F3">
      <w:pPr>
        <w:spacing w:line="480" w:lineRule="auto"/>
      </w:pPr>
      <w:r>
        <w:rPr>
          <w:b/>
          <w:bCs/>
          <w:sz w:val="28"/>
          <w:szCs w:val="36"/>
        </w:rPr>
        <w:tab/>
      </w:r>
      <w:r>
        <w:t>Soil microbial biomass (SMB) is often tied to soil health (SH) and is regularly used as a parameter in SH evaluations (Pankhurst et al., 1995). For this project, the SMB will be measured in units of µg SMB C/g soil</w:t>
      </w:r>
      <w:r>
        <w:rPr>
          <w:vertAlign w:val="superscript"/>
        </w:rPr>
        <w:t>-1</w:t>
      </w:r>
      <w:r>
        <w:t>. Soil microbial populations undergo many changes throughout a calendar year (Lauber et al., 2013). Temperature, moisture, nutrients, and oxygen are some factors that can affect soil microbial populations (Castro et al., 2010). This information may be useful as a method of tracking SMB changes over time, before or after amendment additions, or throughout management transition periods. SMB carbon is typically measured using either a fumigation-extraction (FE) method or a fumigation-incubation (FI) method which uses some portion of the carbon contained in the microbes (Wu et al., 1990). Sequestration of soil organic carbon (SOC) into soils is being evaluated as a potential means of mitigating climate change (Sommer and Bossio, 2014).</w:t>
      </w:r>
    </w:p>
    <w:p w14:paraId="09D979C3" w14:textId="77777777" w:rsidR="000F06F3" w:rsidRDefault="000F06F3" w:rsidP="000F06F3">
      <w:pPr>
        <w:spacing w:line="480" w:lineRule="auto"/>
      </w:pPr>
    </w:p>
    <w:p w14:paraId="7720D33A" w14:textId="77777777" w:rsidR="000F06F3" w:rsidRDefault="000F06F3" w:rsidP="000F06F3">
      <w:pPr>
        <w:spacing w:line="480" w:lineRule="auto"/>
      </w:pPr>
    </w:p>
    <w:p w14:paraId="41544A69" w14:textId="77777777" w:rsidR="000F06F3" w:rsidRDefault="000F06F3" w:rsidP="000F06F3">
      <w:pPr>
        <w:spacing w:line="480" w:lineRule="auto"/>
        <w:rPr>
          <w:b/>
          <w:bCs/>
        </w:rPr>
      </w:pPr>
      <w:r w:rsidRPr="0051339E">
        <w:rPr>
          <w:b/>
          <w:bCs/>
        </w:rPr>
        <w:t>Earthworms</w:t>
      </w:r>
    </w:p>
    <w:p w14:paraId="59B77F2D" w14:textId="77777777" w:rsidR="000F06F3" w:rsidRPr="0036198E" w:rsidRDefault="000F06F3" w:rsidP="000F06F3">
      <w:pPr>
        <w:spacing w:line="480" w:lineRule="auto"/>
      </w:pPr>
      <w:r>
        <w:rPr>
          <w:b/>
          <w:bCs/>
        </w:rPr>
        <w:tab/>
      </w:r>
      <w:r>
        <w:t>Earthworms can impact infiltration rates at field scale</w:t>
      </w:r>
      <w:r>
        <w:rPr>
          <w:color w:val="FF0000"/>
        </w:rPr>
        <w:t>%%</w:t>
      </w:r>
      <w:r>
        <w:t xml:space="preserve">. This is my hypothesis for why we could not obtain significant </w:t>
      </w:r>
      <w:proofErr w:type="spellStart"/>
      <w:r>
        <w:t>K</w:t>
      </w:r>
      <w:r>
        <w:rPr>
          <w:vertAlign w:val="subscript"/>
        </w:rPr>
        <w:t>sat</w:t>
      </w:r>
      <w:proofErr w:type="spellEnd"/>
      <w:r>
        <w:t xml:space="preserve"> results. A 1996 </w:t>
      </w:r>
      <w:proofErr w:type="spellStart"/>
      <w:r>
        <w:t>masters</w:t>
      </w:r>
      <w:proofErr w:type="spellEnd"/>
      <w:r>
        <w:t xml:space="preserve"> thesis by Nathan J. </w:t>
      </w:r>
      <w:proofErr w:type="spellStart"/>
      <w:r>
        <w:t>Storck</w:t>
      </w:r>
      <w:proofErr w:type="spellEnd"/>
      <w:r>
        <w:t xml:space="preserve"> looked at </w:t>
      </w:r>
      <w:r>
        <w:lastRenderedPageBreak/>
        <w:t>earthworm populations over time in both conventional and no-till treatments as well as some cover crop treatments. The conclusion of this study is that when you stop routinely destroying the soil’s structure that the earthworms will reach an equilibrium or carrying capacity for a given area and hence provide a field scale tapestry of preferential pathways for precipitation or irrigation water to infiltrate into the soil profile. After a given period of time, the pathways created by the earthworms negates any possible cover crop impacts to infiltration. Given that the landscapes where my research plots are located have been no-till for more than 2 decades, this would explain why there were no significant differences among the various cover crop treatments at either location despite the temporal variance. The proper way to design and install the experiment would be to start from scratch using tilled ground to begin an incremental no-till sequence which would be split-plotted with cover crop treatments to truly evaluate the cover crop treatment effects adjacent to and apart from long-term no-till practices. I would imagine that after a certain time period (approx. 5 years) that the natural pathways created in the no-till plots without cover crops would begin to narrow in significant difference from any cover crop treatments due to the equilibration of earthworm population carrying capacities. This would also allow researchers to identify which of the commonly used cover crops would be best suited to improve soil health during the transition to no-till and/or which cover crop treatments perform best in the conventional tillage plots to assist producers in improving soil health or even individual soil physical properties. All of this information would be beneficial in identifying methodologies to help producers adapt to climate change issues.</w:t>
      </w:r>
    </w:p>
    <w:p w14:paraId="1F1F5037" w14:textId="77777777" w:rsidR="000F06F3" w:rsidRDefault="000F06F3" w:rsidP="000C190A">
      <w:pPr>
        <w:rPr>
          <w:color w:val="FF0000"/>
        </w:rPr>
      </w:pPr>
    </w:p>
    <w:p w14:paraId="140E3439" w14:textId="7FF622DB" w:rsidR="000F06F3" w:rsidRDefault="000F06F3" w:rsidP="000C190A">
      <w:pPr>
        <w:rPr>
          <w:color w:val="FF0000"/>
        </w:rPr>
      </w:pPr>
    </w:p>
    <w:p w14:paraId="20A41596" w14:textId="77777777" w:rsidR="000F06F3" w:rsidRDefault="000F06F3" w:rsidP="000C190A">
      <w:pPr>
        <w:rPr>
          <w:color w:val="FF0000"/>
        </w:rPr>
      </w:pPr>
    </w:p>
    <w:p w14:paraId="12712E1B" w14:textId="705F1118" w:rsidR="000F06F3" w:rsidRDefault="000F06F3" w:rsidP="000C190A">
      <w:pPr>
        <w:rPr>
          <w:color w:val="FF0000"/>
        </w:rPr>
      </w:pPr>
    </w:p>
    <w:p w14:paraId="46C85155" w14:textId="77777777" w:rsidR="000F06F3" w:rsidRPr="00FC327D" w:rsidRDefault="000F06F3" w:rsidP="000F06F3">
      <w:pPr>
        <w:spacing w:line="480" w:lineRule="auto"/>
        <w:rPr>
          <w:b/>
          <w:bCs/>
        </w:rPr>
      </w:pPr>
      <w:r w:rsidRPr="001F02A6">
        <w:rPr>
          <w:b/>
          <w:bCs/>
        </w:rPr>
        <w:lastRenderedPageBreak/>
        <w:t>Water Infiltration</w:t>
      </w:r>
    </w:p>
    <w:p w14:paraId="0A1FA7A7" w14:textId="6C8563A9" w:rsidR="000F06F3" w:rsidRDefault="000F06F3" w:rsidP="000F06F3">
      <w:pPr>
        <w:spacing w:line="480" w:lineRule="auto"/>
      </w:pPr>
      <w:r>
        <w:rPr>
          <w:b/>
          <w:bCs/>
          <w:sz w:val="28"/>
          <w:szCs w:val="36"/>
        </w:rPr>
        <w:tab/>
      </w:r>
      <w:r>
        <w:t>While water i</w:t>
      </w:r>
      <w:r w:rsidRPr="00D07C94">
        <w:t>nfiltration ha</w:t>
      </w:r>
      <w:r>
        <w:t>s</w:t>
      </w:r>
      <w:r w:rsidRPr="00D07C94">
        <w:t xml:space="preserve"> many different meanings depending on the context, for this project we will focus on saturated hydraulic conductivity. This is defined as the ability of a soil to transmit water under a gradient</w:t>
      </w:r>
      <w:r>
        <w:t xml:space="preserve"> (Fryar and Mukherjee, 2019)</w:t>
      </w:r>
      <w:r w:rsidRPr="00D07C94">
        <w:t>. This concept is based on Darcy’s Law, which details how fluids move through a porous medium</w:t>
      </w:r>
      <w:r>
        <w:t xml:space="preserve"> (Oosterbaan and </w:t>
      </w:r>
      <w:proofErr w:type="spellStart"/>
      <w:r>
        <w:t>Nijland</w:t>
      </w:r>
      <w:proofErr w:type="spellEnd"/>
      <w:r>
        <w:t>, 1994)</w:t>
      </w:r>
      <w:r w:rsidRPr="00D07C94">
        <w:t>. Saturated hydraulic conductivity is very much determined by the texture of a soil</w:t>
      </w:r>
      <w:r>
        <w:t xml:space="preserve"> because texture is closely linked to soil pore space (Rawls et al., 1998)</w:t>
      </w:r>
      <w:r w:rsidRPr="00D07C94">
        <w:t>.</w:t>
      </w:r>
      <w:r>
        <w:t xml:space="preserve"> S</w:t>
      </w:r>
      <w:r w:rsidRPr="00D07C94">
        <w:t xml:space="preserve">aturated hydraulic conductivity (which is often denoted </w:t>
      </w:r>
      <w:proofErr w:type="spellStart"/>
      <w:r w:rsidRPr="00D07C94">
        <w:t>K</w:t>
      </w:r>
      <w:r>
        <w:rPr>
          <w:vertAlign w:val="subscript"/>
        </w:rPr>
        <w:t>sat</w:t>
      </w:r>
      <w:proofErr w:type="spellEnd"/>
      <w:r w:rsidRPr="00D07C94">
        <w:t xml:space="preserve">, </w:t>
      </w:r>
      <w:proofErr w:type="spellStart"/>
      <w:r w:rsidRPr="00D07C94">
        <w:t>K</w:t>
      </w:r>
      <w:r>
        <w:rPr>
          <w:vertAlign w:val="subscript"/>
        </w:rPr>
        <w:t>fs</w:t>
      </w:r>
      <w:proofErr w:type="spellEnd"/>
      <w:r w:rsidRPr="00D07C94">
        <w:t>, or K</w:t>
      </w:r>
      <w:r>
        <w:rPr>
          <w:vertAlign w:val="subscript"/>
        </w:rPr>
        <w:t>s</w:t>
      </w:r>
      <w:r w:rsidRPr="00D07C94">
        <w:t>) is a value which corresponds to how much water a given soil can move when the profile is saturated or at field capacity for soil moisture</w:t>
      </w:r>
      <w:r>
        <w:t xml:space="preserve"> (</w:t>
      </w:r>
      <w:proofErr w:type="spellStart"/>
      <w:r>
        <w:t>Ritzema</w:t>
      </w:r>
      <w:proofErr w:type="spellEnd"/>
      <w:r>
        <w:t>, 2006)</w:t>
      </w:r>
      <w:r w:rsidRPr="00D07C94">
        <w:t xml:space="preserve">. </w:t>
      </w:r>
      <w:r>
        <w:t>T</w:t>
      </w:r>
      <w:r w:rsidRPr="00D07C94">
        <w:t>he inherent variability of soils is one of the more challenging aspects when studying soil physical and hydrological processes.</w:t>
      </w:r>
    </w:p>
    <w:p w14:paraId="544D4161" w14:textId="32D21129" w:rsidR="000F06F3" w:rsidRDefault="000F06F3" w:rsidP="000F06F3">
      <w:pPr>
        <w:spacing w:line="480" w:lineRule="auto"/>
      </w:pPr>
    </w:p>
    <w:p w14:paraId="3FE93374" w14:textId="4671256B" w:rsidR="000F06F3" w:rsidRDefault="000F06F3" w:rsidP="000F06F3">
      <w:pPr>
        <w:spacing w:line="480" w:lineRule="auto"/>
        <w:rPr>
          <w:b/>
          <w:bCs/>
        </w:rPr>
      </w:pPr>
      <w:r w:rsidRPr="000F06F3">
        <w:rPr>
          <w:b/>
          <w:bCs/>
        </w:rPr>
        <w:t>Common methods of infiltration measurement</w:t>
      </w:r>
    </w:p>
    <w:p w14:paraId="7DB561CB" w14:textId="3275A67A" w:rsidR="000F06F3" w:rsidRPr="000F06F3" w:rsidRDefault="000F06F3" w:rsidP="000F06F3">
      <w:pPr>
        <w:spacing w:line="480" w:lineRule="auto"/>
      </w:pPr>
      <w:r>
        <w:rPr>
          <w:b/>
          <w:bCs/>
        </w:rPr>
        <w:tab/>
      </w:r>
    </w:p>
    <w:p w14:paraId="6FD87B11" w14:textId="5EF634A2" w:rsidR="000F06F3" w:rsidRDefault="000F06F3" w:rsidP="000F06F3">
      <w:pPr>
        <w:spacing w:line="480" w:lineRule="auto"/>
      </w:pPr>
    </w:p>
    <w:p w14:paraId="264E15A0" w14:textId="1CA06EBF" w:rsidR="000F06F3" w:rsidRDefault="000F06F3" w:rsidP="000F06F3">
      <w:pPr>
        <w:spacing w:line="480" w:lineRule="auto"/>
      </w:pPr>
    </w:p>
    <w:p w14:paraId="071FD78D" w14:textId="77777777" w:rsidR="000F06F3" w:rsidRDefault="000F06F3" w:rsidP="000F06F3">
      <w:pPr>
        <w:spacing w:line="480" w:lineRule="auto"/>
        <w:jc w:val="center"/>
        <w:rPr>
          <w:b/>
          <w:bCs/>
          <w:sz w:val="28"/>
          <w:szCs w:val="36"/>
        </w:rPr>
      </w:pPr>
      <w:r>
        <w:rPr>
          <w:b/>
          <w:bCs/>
          <w:sz w:val="28"/>
          <w:szCs w:val="36"/>
        </w:rPr>
        <w:t>Objectives</w:t>
      </w:r>
    </w:p>
    <w:p w14:paraId="6B9CEE33" w14:textId="77777777" w:rsidR="000F06F3" w:rsidRPr="00E0169A" w:rsidRDefault="000F06F3" w:rsidP="000F06F3">
      <w:pPr>
        <w:spacing w:line="480" w:lineRule="auto"/>
        <w:jc w:val="center"/>
        <w:rPr>
          <w:b/>
          <w:bCs/>
          <w:sz w:val="28"/>
          <w:szCs w:val="36"/>
        </w:rPr>
      </w:pPr>
    </w:p>
    <w:p w14:paraId="7E6AFA48" w14:textId="77777777" w:rsidR="000F06F3" w:rsidRDefault="000F06F3" w:rsidP="000F06F3">
      <w:pPr>
        <w:spacing w:line="480" w:lineRule="auto"/>
        <w:rPr>
          <w:rFonts w:eastAsiaTheme="minorEastAsia"/>
          <w:b/>
          <w:bCs/>
          <w:color w:val="000000" w:themeColor="text1"/>
          <w:kern w:val="24"/>
        </w:rPr>
      </w:pPr>
      <w:r w:rsidRPr="00FC5BFA">
        <w:rPr>
          <w:rFonts w:eastAsiaTheme="minorEastAsia"/>
          <w:b/>
          <w:bCs/>
          <w:color w:val="000000" w:themeColor="text1"/>
          <w:kern w:val="24"/>
        </w:rPr>
        <w:t>Saturated Hydraulic Conductivity (</w:t>
      </w:r>
      <w:proofErr w:type="spellStart"/>
      <w:r w:rsidRPr="00FC5BFA">
        <w:rPr>
          <w:rFonts w:eastAsiaTheme="minorEastAsia"/>
          <w:b/>
          <w:bCs/>
          <w:color w:val="000000" w:themeColor="text1"/>
          <w:kern w:val="24"/>
        </w:rPr>
        <w:t>K</w:t>
      </w:r>
      <w:r w:rsidRPr="00FC5BFA">
        <w:rPr>
          <w:rFonts w:eastAsiaTheme="minorEastAsia"/>
          <w:b/>
          <w:bCs/>
          <w:color w:val="000000" w:themeColor="text1"/>
          <w:kern w:val="24"/>
          <w:vertAlign w:val="subscript"/>
        </w:rPr>
        <w:t>sat</w:t>
      </w:r>
      <w:proofErr w:type="spellEnd"/>
      <w:r w:rsidRPr="00FC5BFA">
        <w:rPr>
          <w:rFonts w:eastAsiaTheme="minorEastAsia"/>
          <w:b/>
          <w:bCs/>
          <w:color w:val="000000" w:themeColor="text1"/>
          <w:kern w:val="24"/>
        </w:rPr>
        <w:t>)</w:t>
      </w:r>
      <w:bookmarkStart w:id="0" w:name="_Hlk51312032"/>
    </w:p>
    <w:p w14:paraId="6910A1C0" w14:textId="77777777" w:rsidR="000F06F3" w:rsidRPr="007A242F" w:rsidRDefault="000F06F3" w:rsidP="000F06F3">
      <w:pPr>
        <w:pStyle w:val="ListParagraph"/>
        <w:numPr>
          <w:ilvl w:val="0"/>
          <w:numId w:val="3"/>
        </w:numPr>
        <w:spacing w:line="480" w:lineRule="auto"/>
        <w:rPr>
          <w:rFonts w:eastAsiaTheme="minorEastAsia"/>
          <w:b/>
          <w:bCs/>
          <w:color w:val="000000" w:themeColor="text1"/>
          <w:kern w:val="24"/>
          <w:szCs w:val="32"/>
        </w:rPr>
      </w:pPr>
      <w:r w:rsidRPr="007A242F">
        <w:rPr>
          <w:rFonts w:eastAsiaTheme="minorEastAsia"/>
          <w:color w:val="000000" w:themeColor="text1"/>
          <w:kern w:val="24"/>
        </w:rPr>
        <w:lastRenderedPageBreak/>
        <w:t xml:space="preserve">Objective 1: Determine if </w:t>
      </w:r>
      <w:proofErr w:type="spellStart"/>
      <w:r w:rsidRPr="007A242F">
        <w:rPr>
          <w:rFonts w:eastAsiaTheme="minorEastAsia"/>
          <w:color w:val="000000" w:themeColor="text1"/>
          <w:kern w:val="24"/>
        </w:rPr>
        <w:t>K</w:t>
      </w:r>
      <w:r w:rsidRPr="007A242F">
        <w:rPr>
          <w:rFonts w:eastAsiaTheme="minorEastAsia"/>
          <w:color w:val="000000" w:themeColor="text1"/>
          <w:kern w:val="24"/>
          <w:vertAlign w:val="subscript"/>
        </w:rPr>
        <w:t>sat</w:t>
      </w:r>
      <w:proofErr w:type="spellEnd"/>
      <w:r w:rsidRPr="007A242F">
        <w:rPr>
          <w:rFonts w:eastAsiaTheme="minorEastAsia"/>
          <w:color w:val="000000" w:themeColor="text1"/>
          <w:kern w:val="24"/>
        </w:rPr>
        <w:t xml:space="preserve"> rates vary significantly among selected cover crop treatments (including control) of research plots at </w:t>
      </w:r>
      <w:r>
        <w:rPr>
          <w:rFonts w:eastAsiaTheme="minorEastAsia"/>
          <w:color w:val="000000" w:themeColor="text1"/>
          <w:kern w:val="24"/>
        </w:rPr>
        <w:t>the University of Tennessee’s Research and Education Center at Milan (</w:t>
      </w:r>
      <w:r w:rsidRPr="007A242F">
        <w:rPr>
          <w:rFonts w:eastAsiaTheme="minorEastAsia"/>
          <w:color w:val="000000" w:themeColor="text1"/>
          <w:kern w:val="24"/>
        </w:rPr>
        <w:t>UTRECM</w:t>
      </w:r>
      <w:r>
        <w:rPr>
          <w:rFonts w:eastAsiaTheme="minorEastAsia"/>
          <w:color w:val="000000" w:themeColor="text1"/>
          <w:kern w:val="24"/>
        </w:rPr>
        <w:t>)</w:t>
      </w:r>
      <w:r w:rsidRPr="007A242F">
        <w:rPr>
          <w:rFonts w:eastAsiaTheme="minorEastAsia"/>
          <w:color w:val="000000" w:themeColor="text1"/>
          <w:kern w:val="24"/>
        </w:rPr>
        <w:t xml:space="preserve">. </w:t>
      </w:r>
    </w:p>
    <w:p w14:paraId="3E1A3DDC" w14:textId="77777777" w:rsidR="000F06F3" w:rsidRDefault="000F06F3" w:rsidP="000F06F3">
      <w:pPr>
        <w:pStyle w:val="ListParagraph"/>
        <w:spacing w:line="480" w:lineRule="auto"/>
        <w:rPr>
          <w:b/>
          <w:bCs/>
          <w:sz w:val="28"/>
          <w:szCs w:val="36"/>
        </w:rPr>
      </w:pPr>
    </w:p>
    <w:p w14:paraId="0FC3E51C" w14:textId="77777777" w:rsidR="000F06F3" w:rsidRPr="007E4E2B" w:rsidRDefault="000F06F3" w:rsidP="000F06F3">
      <w:pPr>
        <w:pStyle w:val="ListParagraph"/>
        <w:numPr>
          <w:ilvl w:val="0"/>
          <w:numId w:val="1"/>
        </w:numPr>
        <w:spacing w:line="480" w:lineRule="auto"/>
        <w:rPr>
          <w:b/>
          <w:bCs/>
          <w:sz w:val="28"/>
          <w:szCs w:val="36"/>
        </w:rPr>
      </w:pPr>
      <w:r w:rsidRPr="007E4E2B">
        <w:rPr>
          <w:rFonts w:eastAsiaTheme="minorEastAsia"/>
          <w:color w:val="000000" w:themeColor="text1"/>
          <w:kern w:val="24"/>
        </w:rPr>
        <w:t xml:space="preserve">Objective 2: Determine if </w:t>
      </w:r>
      <w:proofErr w:type="spellStart"/>
      <w:r w:rsidRPr="007E4E2B">
        <w:rPr>
          <w:rFonts w:eastAsiaTheme="minorEastAsia"/>
          <w:color w:val="000000" w:themeColor="text1"/>
          <w:kern w:val="24"/>
        </w:rPr>
        <w:t>K</w:t>
      </w:r>
      <w:r w:rsidRPr="007E4E2B">
        <w:rPr>
          <w:rFonts w:eastAsiaTheme="minorEastAsia"/>
          <w:color w:val="000000" w:themeColor="text1"/>
          <w:kern w:val="24"/>
          <w:vertAlign w:val="subscript"/>
        </w:rPr>
        <w:t>sat</w:t>
      </w:r>
      <w:proofErr w:type="spellEnd"/>
      <w:r w:rsidRPr="007E4E2B">
        <w:rPr>
          <w:rFonts w:eastAsiaTheme="minorEastAsia"/>
          <w:color w:val="000000" w:themeColor="text1"/>
          <w:kern w:val="24"/>
        </w:rPr>
        <w:t xml:space="preserve"> rates vary significantly among selected cover crop treatments (including control) of research plots at </w:t>
      </w:r>
      <w:r>
        <w:rPr>
          <w:rFonts w:eastAsiaTheme="minorEastAsia"/>
          <w:color w:val="000000" w:themeColor="text1"/>
          <w:kern w:val="24"/>
        </w:rPr>
        <w:t>the Middle Tennessee Research and Education Center (</w:t>
      </w:r>
      <w:r w:rsidRPr="007E4E2B">
        <w:rPr>
          <w:rFonts w:eastAsiaTheme="minorEastAsia"/>
          <w:color w:val="000000" w:themeColor="text1"/>
          <w:kern w:val="24"/>
        </w:rPr>
        <w:t>MTREC</w:t>
      </w:r>
      <w:r>
        <w:rPr>
          <w:rFonts w:eastAsiaTheme="minorEastAsia"/>
          <w:color w:val="000000" w:themeColor="text1"/>
          <w:kern w:val="24"/>
        </w:rPr>
        <w:t>) in Spring Hill, TN</w:t>
      </w:r>
      <w:r w:rsidRPr="007E4E2B">
        <w:rPr>
          <w:rFonts w:eastAsiaTheme="minorEastAsia"/>
          <w:color w:val="000000" w:themeColor="text1"/>
          <w:kern w:val="24"/>
        </w:rPr>
        <w:t>.</w:t>
      </w:r>
    </w:p>
    <w:p w14:paraId="693921E2" w14:textId="77777777" w:rsidR="000F06F3" w:rsidRPr="007E4E2B" w:rsidRDefault="000F06F3" w:rsidP="000F06F3">
      <w:pPr>
        <w:pStyle w:val="ListParagraph"/>
        <w:spacing w:line="480" w:lineRule="auto"/>
        <w:rPr>
          <w:b/>
          <w:bCs/>
          <w:sz w:val="28"/>
          <w:szCs w:val="36"/>
        </w:rPr>
      </w:pPr>
    </w:p>
    <w:p w14:paraId="4FD5DC94" w14:textId="77777777" w:rsidR="000F06F3" w:rsidRPr="006061DF" w:rsidRDefault="000F06F3" w:rsidP="000F06F3">
      <w:pPr>
        <w:pStyle w:val="ListParagraph"/>
        <w:numPr>
          <w:ilvl w:val="0"/>
          <w:numId w:val="1"/>
        </w:numPr>
        <w:spacing w:line="480" w:lineRule="auto"/>
        <w:rPr>
          <w:b/>
          <w:bCs/>
          <w:sz w:val="28"/>
          <w:szCs w:val="36"/>
        </w:rPr>
      </w:pPr>
      <w:r w:rsidRPr="007E4E2B">
        <w:rPr>
          <w:rFonts w:eastAsiaTheme="minorEastAsia"/>
          <w:color w:val="000000" w:themeColor="text1"/>
          <w:kern w:val="24"/>
        </w:rPr>
        <w:t xml:space="preserve">Objective 3: Determine if </w:t>
      </w:r>
      <w:proofErr w:type="spellStart"/>
      <w:r w:rsidRPr="007E4E2B">
        <w:rPr>
          <w:rFonts w:eastAsiaTheme="minorEastAsia"/>
          <w:color w:val="000000" w:themeColor="text1"/>
          <w:kern w:val="24"/>
        </w:rPr>
        <w:t>K</w:t>
      </w:r>
      <w:r w:rsidRPr="007E4E2B">
        <w:rPr>
          <w:rFonts w:eastAsiaTheme="minorEastAsia"/>
          <w:color w:val="000000" w:themeColor="text1"/>
          <w:kern w:val="24"/>
          <w:vertAlign w:val="subscript"/>
        </w:rPr>
        <w:t>sat</w:t>
      </w:r>
      <w:proofErr w:type="spellEnd"/>
      <w:r w:rsidRPr="007E4E2B">
        <w:rPr>
          <w:rFonts w:eastAsiaTheme="minorEastAsia"/>
          <w:color w:val="000000" w:themeColor="text1"/>
          <w:kern w:val="24"/>
        </w:rPr>
        <w:t xml:space="preserve"> rates vary significantly among selected cover crop treatments at longer timescales by comparing UTRECM to MTREC.</w:t>
      </w:r>
      <w:bookmarkEnd w:id="0"/>
    </w:p>
    <w:p w14:paraId="5A7BEECF" w14:textId="77777777" w:rsidR="000F06F3" w:rsidRPr="006061DF" w:rsidRDefault="000F06F3" w:rsidP="000F06F3">
      <w:pPr>
        <w:pStyle w:val="ListParagraph"/>
        <w:spacing w:line="480" w:lineRule="auto"/>
        <w:rPr>
          <w:b/>
          <w:bCs/>
          <w:sz w:val="28"/>
          <w:szCs w:val="36"/>
        </w:rPr>
      </w:pPr>
    </w:p>
    <w:p w14:paraId="5F855B41" w14:textId="77777777" w:rsidR="000F06F3" w:rsidRDefault="000F06F3" w:rsidP="000F06F3">
      <w:pPr>
        <w:pStyle w:val="ListParagraph"/>
        <w:spacing w:line="480" w:lineRule="auto"/>
        <w:ind w:left="0"/>
        <w:rPr>
          <w:rFonts w:eastAsiaTheme="minorEastAsia"/>
          <w:b/>
          <w:bCs/>
          <w:color w:val="000000" w:themeColor="text1"/>
          <w:kern w:val="24"/>
        </w:rPr>
      </w:pPr>
      <w:r w:rsidRPr="007E4E2B">
        <w:rPr>
          <w:rFonts w:eastAsiaTheme="minorEastAsia"/>
          <w:b/>
          <w:bCs/>
          <w:color w:val="000000" w:themeColor="text1"/>
          <w:kern w:val="24"/>
        </w:rPr>
        <w:t>Soil Microbial Biomass (SMB)</w:t>
      </w:r>
    </w:p>
    <w:p w14:paraId="1A0AC793" w14:textId="77777777" w:rsidR="000F06F3" w:rsidRPr="007A242F" w:rsidRDefault="000F06F3" w:rsidP="000F06F3">
      <w:pPr>
        <w:pStyle w:val="ListParagraph"/>
        <w:spacing w:line="480" w:lineRule="auto"/>
        <w:ind w:left="0"/>
        <w:rPr>
          <w:rFonts w:eastAsiaTheme="minorEastAsia"/>
          <w:b/>
          <w:bCs/>
          <w:color w:val="000000" w:themeColor="text1"/>
          <w:kern w:val="24"/>
        </w:rPr>
      </w:pPr>
    </w:p>
    <w:p w14:paraId="2A9708A7" w14:textId="77777777" w:rsidR="000F06F3" w:rsidRPr="002059DB" w:rsidRDefault="000F06F3" w:rsidP="000F06F3">
      <w:pPr>
        <w:pStyle w:val="ListParagraph"/>
        <w:numPr>
          <w:ilvl w:val="0"/>
          <w:numId w:val="2"/>
        </w:numPr>
        <w:spacing w:line="480" w:lineRule="auto"/>
        <w:rPr>
          <w:b/>
          <w:bCs/>
          <w:sz w:val="28"/>
          <w:szCs w:val="36"/>
        </w:rPr>
      </w:pPr>
      <w:r w:rsidRPr="008E1F93">
        <w:rPr>
          <w:rFonts w:eastAsiaTheme="minorEastAsia"/>
          <w:color w:val="000000" w:themeColor="text1"/>
          <w:kern w:val="24"/>
        </w:rPr>
        <w:t xml:space="preserve">Objective 1: Determine if </w:t>
      </w:r>
      <w:r>
        <w:rPr>
          <w:rFonts w:eastAsiaTheme="minorEastAsia"/>
          <w:color w:val="000000" w:themeColor="text1"/>
          <w:kern w:val="24"/>
        </w:rPr>
        <w:t>SMB values</w:t>
      </w:r>
      <w:r w:rsidRPr="008E1F93">
        <w:rPr>
          <w:rFonts w:eastAsiaTheme="minorEastAsia"/>
          <w:color w:val="000000" w:themeColor="text1"/>
          <w:kern w:val="24"/>
        </w:rPr>
        <w:t xml:space="preserve"> vary</w:t>
      </w:r>
      <w:r>
        <w:rPr>
          <w:rFonts w:eastAsiaTheme="minorEastAsia"/>
          <w:color w:val="000000" w:themeColor="text1"/>
          <w:kern w:val="24"/>
        </w:rPr>
        <w:t xml:space="preserve"> significantly</w:t>
      </w:r>
      <w:r w:rsidRPr="008E1F93">
        <w:rPr>
          <w:rFonts w:eastAsiaTheme="minorEastAsia"/>
          <w:color w:val="000000" w:themeColor="text1"/>
          <w:kern w:val="24"/>
        </w:rPr>
        <w:t xml:space="preserve"> among</w:t>
      </w:r>
      <w:r>
        <w:rPr>
          <w:rFonts w:eastAsiaTheme="minorEastAsia"/>
          <w:color w:val="000000" w:themeColor="text1"/>
          <w:kern w:val="24"/>
        </w:rPr>
        <w:t xml:space="preserve"> selected</w:t>
      </w:r>
      <w:r w:rsidRPr="008E1F93">
        <w:rPr>
          <w:rFonts w:eastAsiaTheme="minorEastAsia"/>
          <w:color w:val="000000" w:themeColor="text1"/>
          <w:kern w:val="24"/>
        </w:rPr>
        <w:t xml:space="preserve"> cover crop</w:t>
      </w:r>
      <w:r>
        <w:rPr>
          <w:rFonts w:eastAsiaTheme="minorEastAsia"/>
          <w:color w:val="000000" w:themeColor="text1"/>
          <w:kern w:val="24"/>
        </w:rPr>
        <w:t xml:space="preserve"> </w:t>
      </w:r>
      <w:r w:rsidRPr="008E1F93">
        <w:rPr>
          <w:rFonts w:eastAsiaTheme="minorEastAsia"/>
          <w:color w:val="000000" w:themeColor="text1"/>
          <w:kern w:val="24"/>
        </w:rPr>
        <w:t>treatments</w:t>
      </w:r>
      <w:r>
        <w:rPr>
          <w:rFonts w:eastAsiaTheme="minorEastAsia"/>
          <w:color w:val="000000" w:themeColor="text1"/>
          <w:kern w:val="24"/>
        </w:rPr>
        <w:t xml:space="preserve"> </w:t>
      </w:r>
      <w:r w:rsidRPr="008E1F93">
        <w:rPr>
          <w:rFonts w:eastAsiaTheme="minorEastAsia"/>
          <w:color w:val="000000" w:themeColor="text1"/>
          <w:kern w:val="24"/>
        </w:rPr>
        <w:t xml:space="preserve">(including control) of research plots at </w:t>
      </w:r>
      <w:r>
        <w:rPr>
          <w:rFonts w:eastAsiaTheme="minorEastAsia"/>
          <w:color w:val="000000" w:themeColor="text1"/>
          <w:kern w:val="24"/>
        </w:rPr>
        <w:t>the University of Tennessee’s Research and Education Center at Milan (U</w:t>
      </w:r>
      <w:r w:rsidRPr="008E1F93">
        <w:rPr>
          <w:rFonts w:eastAsiaTheme="minorEastAsia"/>
          <w:color w:val="000000" w:themeColor="text1"/>
          <w:kern w:val="24"/>
        </w:rPr>
        <w:t>TREC</w:t>
      </w:r>
      <w:r>
        <w:rPr>
          <w:rFonts w:eastAsiaTheme="minorEastAsia"/>
          <w:color w:val="000000" w:themeColor="text1"/>
          <w:kern w:val="24"/>
        </w:rPr>
        <w:t>M)</w:t>
      </w:r>
      <w:r w:rsidRPr="008E1F93">
        <w:rPr>
          <w:rFonts w:eastAsiaTheme="minorEastAsia"/>
          <w:color w:val="000000" w:themeColor="text1"/>
          <w:kern w:val="24"/>
        </w:rPr>
        <w:t xml:space="preserve">. </w:t>
      </w:r>
    </w:p>
    <w:p w14:paraId="7F33B59F" w14:textId="77777777" w:rsidR="000F06F3" w:rsidRDefault="000F06F3" w:rsidP="000F06F3">
      <w:pPr>
        <w:pStyle w:val="ListParagraph"/>
        <w:spacing w:line="480" w:lineRule="auto"/>
        <w:rPr>
          <w:b/>
          <w:bCs/>
          <w:sz w:val="28"/>
          <w:szCs w:val="36"/>
        </w:rPr>
      </w:pPr>
    </w:p>
    <w:p w14:paraId="7DCB957C" w14:textId="77777777" w:rsidR="000F06F3" w:rsidRPr="002059DB" w:rsidRDefault="000F06F3" w:rsidP="000F06F3">
      <w:pPr>
        <w:pStyle w:val="ListParagraph"/>
        <w:numPr>
          <w:ilvl w:val="0"/>
          <w:numId w:val="2"/>
        </w:numPr>
        <w:spacing w:line="480" w:lineRule="auto"/>
        <w:rPr>
          <w:b/>
          <w:bCs/>
          <w:sz w:val="28"/>
          <w:szCs w:val="36"/>
        </w:rPr>
      </w:pPr>
      <w:r w:rsidRPr="002059DB">
        <w:rPr>
          <w:rFonts w:eastAsiaTheme="minorEastAsia"/>
          <w:color w:val="000000" w:themeColor="text1"/>
          <w:kern w:val="24"/>
        </w:rPr>
        <w:t xml:space="preserve">Objective 2: Determine if SMB values vary significantly among selected cover crop treatments (including control) of research plots at </w:t>
      </w:r>
      <w:r>
        <w:rPr>
          <w:rFonts w:eastAsiaTheme="minorEastAsia"/>
          <w:color w:val="000000" w:themeColor="text1"/>
          <w:kern w:val="24"/>
        </w:rPr>
        <w:t>the Middle Tennessee Research and Education Center (</w:t>
      </w:r>
      <w:r w:rsidRPr="002059DB">
        <w:rPr>
          <w:rFonts w:eastAsiaTheme="minorEastAsia"/>
          <w:color w:val="000000" w:themeColor="text1"/>
          <w:kern w:val="24"/>
        </w:rPr>
        <w:t>MTREC</w:t>
      </w:r>
      <w:r>
        <w:rPr>
          <w:rFonts w:eastAsiaTheme="minorEastAsia"/>
          <w:color w:val="000000" w:themeColor="text1"/>
          <w:kern w:val="24"/>
        </w:rPr>
        <w:t>)</w:t>
      </w:r>
      <w:r w:rsidRPr="002059DB">
        <w:rPr>
          <w:rFonts w:eastAsiaTheme="minorEastAsia"/>
          <w:color w:val="000000" w:themeColor="text1"/>
          <w:kern w:val="24"/>
        </w:rPr>
        <w:t xml:space="preserve"> in Spring Hill, TN.</w:t>
      </w:r>
    </w:p>
    <w:p w14:paraId="0632B8A7" w14:textId="77777777" w:rsidR="000F06F3" w:rsidRPr="002059DB" w:rsidRDefault="000F06F3" w:rsidP="000F06F3">
      <w:pPr>
        <w:pStyle w:val="ListParagraph"/>
        <w:spacing w:line="480" w:lineRule="auto"/>
        <w:rPr>
          <w:b/>
          <w:bCs/>
          <w:sz w:val="28"/>
          <w:szCs w:val="36"/>
        </w:rPr>
      </w:pPr>
    </w:p>
    <w:p w14:paraId="62E282DB" w14:textId="77777777" w:rsidR="000F06F3" w:rsidRPr="00936E02" w:rsidRDefault="000F06F3" w:rsidP="000F06F3">
      <w:pPr>
        <w:pStyle w:val="ListParagraph"/>
        <w:numPr>
          <w:ilvl w:val="0"/>
          <w:numId w:val="2"/>
        </w:numPr>
        <w:spacing w:line="480" w:lineRule="auto"/>
        <w:rPr>
          <w:b/>
          <w:bCs/>
          <w:sz w:val="28"/>
          <w:szCs w:val="36"/>
        </w:rPr>
      </w:pPr>
      <w:r w:rsidRPr="002059DB">
        <w:rPr>
          <w:rFonts w:eastAsiaTheme="minorEastAsia"/>
          <w:color w:val="000000" w:themeColor="text1"/>
          <w:kern w:val="24"/>
        </w:rPr>
        <w:lastRenderedPageBreak/>
        <w:t>Objective 3: Determine if SMB values vary significantly among selected cover crop treatments at longer timescales by comparing UTRECM to MTREC.</w:t>
      </w:r>
    </w:p>
    <w:p w14:paraId="26C3017F" w14:textId="77777777" w:rsidR="000F06F3" w:rsidRDefault="000F06F3" w:rsidP="000F06F3">
      <w:pPr>
        <w:spacing w:line="480" w:lineRule="auto"/>
        <w:rPr>
          <w:b/>
          <w:bCs/>
          <w:sz w:val="28"/>
          <w:szCs w:val="36"/>
        </w:rPr>
      </w:pPr>
    </w:p>
    <w:p w14:paraId="221D3B3B" w14:textId="77777777" w:rsidR="000F06F3" w:rsidRDefault="000F06F3" w:rsidP="000F06F3">
      <w:pPr>
        <w:spacing w:line="480" w:lineRule="auto"/>
        <w:rPr>
          <w:b/>
          <w:bCs/>
          <w:sz w:val="28"/>
          <w:szCs w:val="36"/>
        </w:rPr>
      </w:pPr>
    </w:p>
    <w:p w14:paraId="567614F5" w14:textId="77777777" w:rsidR="000F06F3" w:rsidRDefault="000F06F3" w:rsidP="000F06F3">
      <w:pPr>
        <w:spacing w:line="480" w:lineRule="auto"/>
        <w:jc w:val="center"/>
        <w:rPr>
          <w:b/>
          <w:bCs/>
          <w:sz w:val="28"/>
          <w:szCs w:val="36"/>
        </w:rPr>
      </w:pPr>
      <w:r>
        <w:rPr>
          <w:b/>
          <w:bCs/>
          <w:sz w:val="28"/>
          <w:szCs w:val="36"/>
        </w:rPr>
        <w:t>Materials and Methods</w:t>
      </w:r>
    </w:p>
    <w:p w14:paraId="0B0EE2A2" w14:textId="77777777" w:rsidR="000F06F3" w:rsidRDefault="000F06F3" w:rsidP="000F06F3">
      <w:pPr>
        <w:spacing w:line="480" w:lineRule="auto"/>
        <w:jc w:val="center"/>
        <w:rPr>
          <w:b/>
          <w:bCs/>
          <w:sz w:val="28"/>
          <w:szCs w:val="36"/>
        </w:rPr>
      </w:pPr>
    </w:p>
    <w:p w14:paraId="55191C58" w14:textId="77777777" w:rsidR="000F06F3" w:rsidRPr="00A74C99" w:rsidRDefault="000F06F3" w:rsidP="000F06F3">
      <w:pPr>
        <w:spacing w:line="480" w:lineRule="auto"/>
        <w:rPr>
          <w:b/>
          <w:bCs/>
        </w:rPr>
      </w:pPr>
      <w:r w:rsidRPr="00A74C99">
        <w:rPr>
          <w:b/>
          <w:bCs/>
        </w:rPr>
        <w:t>Research Site Descriptions and Experimental Designs</w:t>
      </w:r>
    </w:p>
    <w:p w14:paraId="3F613E5A" w14:textId="77777777" w:rsidR="000F06F3" w:rsidRPr="005B6724" w:rsidRDefault="000F06F3" w:rsidP="000F06F3">
      <w:pPr>
        <w:spacing w:line="480" w:lineRule="auto"/>
        <w:rPr>
          <w:color w:val="FF0000"/>
        </w:rPr>
      </w:pPr>
      <w:r>
        <w:rPr>
          <w:b/>
          <w:bCs/>
          <w:sz w:val="32"/>
          <w:szCs w:val="40"/>
        </w:rPr>
        <w:tab/>
      </w:r>
      <w:r>
        <w:t>Cover crop research plots at two locations within the University of Tennessee’s Institute of Agriculture (UTIA) system of research centers were sampled during this study, one location is in middle Tennessee and the other site is in west Tennessee. These cover crop research plots will be evaluated for differences in two rapid soil health (SH) measurements under various cover cropping treatments in a no-till, corn (</w:t>
      </w:r>
      <w:proofErr w:type="spellStart"/>
      <w:r>
        <w:rPr>
          <w:i/>
          <w:iCs/>
        </w:rPr>
        <w:t>Zea</w:t>
      </w:r>
      <w:proofErr w:type="spellEnd"/>
      <w:r>
        <w:rPr>
          <w:i/>
          <w:iCs/>
        </w:rPr>
        <w:t xml:space="preserve"> mays L.</w:t>
      </w:r>
      <w:r>
        <w:t>)-soybean (</w:t>
      </w:r>
      <w:r>
        <w:rPr>
          <w:i/>
          <w:iCs/>
        </w:rPr>
        <w:t>Glycine max L.</w:t>
      </w:r>
      <w:r>
        <w:t xml:space="preserve">) rotation system. </w:t>
      </w:r>
      <w:r w:rsidRPr="00E84F23">
        <w:t>The soil health parameters we chose to focus on are water infiltration and a rapid field assessment test for determining soil microbial biomass (SMB). Water infiltration, measured as saturated hydraulic conductivity (</w:t>
      </w:r>
      <w:proofErr w:type="spellStart"/>
      <w:r w:rsidRPr="00E84F23">
        <w:t>K</w:t>
      </w:r>
      <w:r w:rsidRPr="00E84F23">
        <w:rPr>
          <w:vertAlign w:val="subscript"/>
        </w:rPr>
        <w:t>sat</w:t>
      </w:r>
      <w:proofErr w:type="spellEnd"/>
      <w:r w:rsidRPr="00E84F23">
        <w:t xml:space="preserve">), will be used as an indirect measure of differences in soil structure under the selected cover cropping treatments of this no-till, corn-soybean rotation system. The </w:t>
      </w:r>
      <w:proofErr w:type="spellStart"/>
      <w:r w:rsidRPr="00E84F23">
        <w:t>K</w:t>
      </w:r>
      <w:r w:rsidRPr="00E84F23">
        <w:rPr>
          <w:vertAlign w:val="subscript"/>
        </w:rPr>
        <w:t>sat</w:t>
      </w:r>
      <w:proofErr w:type="spellEnd"/>
      <w:r w:rsidRPr="00E84F23">
        <w:t xml:space="preserve"> measurements will be measured using a commercially available automated dual-head infiltrometer.</w:t>
      </w:r>
      <w:r>
        <w:t xml:space="preserve"> </w:t>
      </w:r>
    </w:p>
    <w:p w14:paraId="10A1C922" w14:textId="77777777" w:rsidR="000F06F3" w:rsidRDefault="000F06F3" w:rsidP="000F06F3">
      <w:pPr>
        <w:spacing w:line="480" w:lineRule="auto"/>
      </w:pPr>
    </w:p>
    <w:p w14:paraId="29ADC6F0" w14:textId="77777777" w:rsidR="000F06F3" w:rsidRDefault="000F06F3" w:rsidP="000F06F3">
      <w:pPr>
        <w:spacing w:line="480" w:lineRule="auto"/>
      </w:pPr>
    </w:p>
    <w:p w14:paraId="0AB5B7C3" w14:textId="77777777" w:rsidR="000F06F3" w:rsidRPr="008F106C" w:rsidRDefault="000F06F3" w:rsidP="000F06F3">
      <w:pPr>
        <w:spacing w:line="480" w:lineRule="auto"/>
        <w:rPr>
          <w:b/>
          <w:bCs/>
        </w:rPr>
      </w:pPr>
      <w:r w:rsidRPr="008F106C">
        <w:rPr>
          <w:b/>
          <w:bCs/>
        </w:rPr>
        <w:lastRenderedPageBreak/>
        <w:t>The University of Tennessee’s Research and Education Center at Milan (UTRECM)</w:t>
      </w:r>
    </w:p>
    <w:p w14:paraId="78576DC2" w14:textId="77777777" w:rsidR="000F06F3" w:rsidRDefault="000F06F3" w:rsidP="000F06F3">
      <w:pPr>
        <w:spacing w:line="480" w:lineRule="auto"/>
        <w:rPr>
          <w:rFonts w:eastAsiaTheme="minorEastAsia"/>
          <w:color w:val="000000" w:themeColor="text1"/>
          <w:kern w:val="24"/>
        </w:rPr>
      </w:pPr>
      <w:r>
        <w:tab/>
        <w:t xml:space="preserve">The west Tennessee site is located at UTRECM in Gibson county. This experiment was established in 2013 as a planting method study to evaluate differences between surface broadcasted seed or drilled seed on a no-till landscape. The experimental design is a randomized complete block design (RCBD) with 4 blocks and 14 treatments or plots per block. </w:t>
      </w:r>
      <w:bookmarkStart w:id="1" w:name="_Hlk52785623"/>
      <w:r>
        <w:t>All areas are managed for no-till production row cropping using the Tennessee Natural Resource Conservation Service (NRCS) guidelines for seeding rates</w:t>
      </w:r>
      <w:bookmarkEnd w:id="1"/>
      <w:r>
        <w:t xml:space="preserve"> and crop management. This site falls under the coverage of a center-pivot irrigation system and occasionally receives additional moisture if the adjacent experimental research areas require additional precipitation. Following termination of the cover crops each spring, the plots are planted in a corn-soy rotation. Corn (</w:t>
      </w:r>
      <w:proofErr w:type="spellStart"/>
      <w:r>
        <w:rPr>
          <w:i/>
          <w:iCs/>
        </w:rPr>
        <w:t>Zea</w:t>
      </w:r>
      <w:proofErr w:type="spellEnd"/>
      <w:r>
        <w:rPr>
          <w:i/>
          <w:iCs/>
        </w:rPr>
        <w:t xml:space="preserve"> mays L.</w:t>
      </w:r>
      <w:r>
        <w:t>)</w:t>
      </w:r>
      <w:r>
        <w:rPr>
          <w:i/>
          <w:iCs/>
        </w:rPr>
        <w:t xml:space="preserve"> </w:t>
      </w:r>
      <w:r>
        <w:t>was grown in 2019 and soybeans (</w:t>
      </w:r>
      <w:r>
        <w:rPr>
          <w:i/>
          <w:iCs/>
        </w:rPr>
        <w:t>Glycine max L.</w:t>
      </w:r>
      <w:r>
        <w:t xml:space="preserve">) will be grown in 2020. </w:t>
      </w:r>
      <w:r w:rsidRPr="00133C79">
        <w:rPr>
          <w:rFonts w:eastAsia="Times New Roman"/>
          <w:szCs w:val="24"/>
        </w:rPr>
        <w:t xml:space="preserve">This location has </w:t>
      </w:r>
      <w:r>
        <w:rPr>
          <w:rFonts w:eastAsia="Times New Roman"/>
          <w:szCs w:val="24"/>
        </w:rPr>
        <w:t>two</w:t>
      </w:r>
      <w:r w:rsidRPr="00133C79">
        <w:rPr>
          <w:rFonts w:eastAsia="Times New Roman"/>
          <w:szCs w:val="24"/>
        </w:rPr>
        <w:t xml:space="preserve"> primary soil series: Providence silt loam (Fine-silty, mixed, active, thermic </w:t>
      </w:r>
      <w:proofErr w:type="spellStart"/>
      <w:r w:rsidRPr="00133C79">
        <w:rPr>
          <w:rFonts w:eastAsia="Times New Roman"/>
          <w:szCs w:val="24"/>
        </w:rPr>
        <w:t>Oxyaquic</w:t>
      </w:r>
      <w:proofErr w:type="spellEnd"/>
      <w:r w:rsidRPr="00133C79">
        <w:rPr>
          <w:rFonts w:eastAsia="Times New Roman"/>
          <w:szCs w:val="24"/>
        </w:rPr>
        <w:t xml:space="preserve"> </w:t>
      </w:r>
      <w:proofErr w:type="spellStart"/>
      <w:r w:rsidRPr="00133C79">
        <w:rPr>
          <w:rFonts w:eastAsia="Times New Roman"/>
          <w:szCs w:val="24"/>
        </w:rPr>
        <w:t>Fragiudalf</w:t>
      </w:r>
      <w:proofErr w:type="spellEnd"/>
      <w:r w:rsidRPr="00133C79">
        <w:rPr>
          <w:rFonts w:eastAsia="Times New Roman"/>
          <w:szCs w:val="24"/>
        </w:rPr>
        <w:t xml:space="preserve">) and Center silt loam (Fine-silty, mixed, active, thermic Aquic </w:t>
      </w:r>
      <w:proofErr w:type="spellStart"/>
      <w:r w:rsidRPr="00133C79">
        <w:rPr>
          <w:rFonts w:eastAsia="Times New Roman"/>
          <w:szCs w:val="24"/>
        </w:rPr>
        <w:t>Hapludalf</w:t>
      </w:r>
      <w:proofErr w:type="spellEnd"/>
      <w:r w:rsidRPr="00133C79">
        <w:rPr>
          <w:rFonts w:eastAsia="Times New Roman"/>
          <w:szCs w:val="24"/>
        </w:rPr>
        <w:t>).</w:t>
      </w:r>
      <w:r>
        <w:rPr>
          <w:rFonts w:eastAsia="Times New Roman"/>
          <w:szCs w:val="24"/>
        </w:rPr>
        <w:t xml:space="preserve"> Prior to 2013, this area was used for production row cropping and </w:t>
      </w:r>
      <w:r w:rsidRPr="0039021C">
        <w:rPr>
          <w:rFonts w:eastAsia="Times New Roman"/>
          <w:szCs w:val="24"/>
        </w:rPr>
        <w:t>a three-year nitrogen (N) study.</w:t>
      </w:r>
      <w:r>
        <w:rPr>
          <w:rFonts w:eastAsiaTheme="minorEastAsia"/>
          <w:color w:val="000000" w:themeColor="text1"/>
          <w:kern w:val="24"/>
        </w:rPr>
        <w:t xml:space="preserve"> Each plot measures approximately 13’ x 32’ (3.96m x 9.75m) and receives one cover crop treatment during the non-cropping season. The cash crops are rotated each cropping season, but the plots receive the same cover crop treatments annually. The cover crops being evaluated in this study are: cereal rye (</w:t>
      </w:r>
      <w:r>
        <w:rPr>
          <w:rFonts w:eastAsiaTheme="minorEastAsia"/>
          <w:i/>
          <w:iCs/>
          <w:color w:val="000000" w:themeColor="text1"/>
          <w:kern w:val="24"/>
        </w:rPr>
        <w:t xml:space="preserve">Secale cereale L. </w:t>
      </w:r>
      <w:r>
        <w:rPr>
          <w:rFonts w:eastAsiaTheme="minorEastAsia"/>
          <w:color w:val="000000" w:themeColor="text1"/>
          <w:kern w:val="24"/>
        </w:rPr>
        <w:t>or CR), wheat (</w:t>
      </w:r>
      <w:r>
        <w:rPr>
          <w:rFonts w:eastAsiaTheme="minorEastAsia"/>
          <w:i/>
          <w:iCs/>
          <w:color w:val="000000" w:themeColor="text1"/>
          <w:kern w:val="24"/>
        </w:rPr>
        <w:t xml:space="preserve">Triticum </w:t>
      </w:r>
      <w:proofErr w:type="spellStart"/>
      <w:r>
        <w:rPr>
          <w:rFonts w:eastAsiaTheme="minorEastAsia"/>
          <w:i/>
          <w:iCs/>
          <w:color w:val="000000" w:themeColor="text1"/>
          <w:kern w:val="24"/>
        </w:rPr>
        <w:t>aestivum</w:t>
      </w:r>
      <w:proofErr w:type="spellEnd"/>
      <w:r>
        <w:rPr>
          <w:rFonts w:eastAsiaTheme="minorEastAsia"/>
          <w:i/>
          <w:iCs/>
          <w:color w:val="000000" w:themeColor="text1"/>
          <w:kern w:val="24"/>
        </w:rPr>
        <w:t xml:space="preserve"> L. </w:t>
      </w:r>
      <w:r>
        <w:rPr>
          <w:rFonts w:eastAsiaTheme="minorEastAsia"/>
          <w:color w:val="000000" w:themeColor="text1"/>
          <w:kern w:val="24"/>
        </w:rPr>
        <w:t>or W), a mix of cereal rye &amp; crimson clover (</w:t>
      </w:r>
      <w:r>
        <w:rPr>
          <w:rFonts w:eastAsiaTheme="minorEastAsia"/>
          <w:i/>
          <w:iCs/>
          <w:color w:val="000000" w:themeColor="text1"/>
          <w:kern w:val="24"/>
        </w:rPr>
        <w:t xml:space="preserve">Trifolium </w:t>
      </w:r>
      <w:proofErr w:type="spellStart"/>
      <w:r>
        <w:rPr>
          <w:rFonts w:eastAsiaTheme="minorEastAsia"/>
          <w:i/>
          <w:iCs/>
          <w:color w:val="000000" w:themeColor="text1"/>
          <w:kern w:val="24"/>
        </w:rPr>
        <w:t>incarnatum</w:t>
      </w:r>
      <w:proofErr w:type="spellEnd"/>
      <w:r>
        <w:rPr>
          <w:rFonts w:eastAsiaTheme="minorEastAsia"/>
          <w:i/>
          <w:iCs/>
          <w:color w:val="000000" w:themeColor="text1"/>
          <w:kern w:val="24"/>
        </w:rPr>
        <w:t xml:space="preserve"> L. </w:t>
      </w:r>
      <w:r>
        <w:rPr>
          <w:rFonts w:eastAsiaTheme="minorEastAsia"/>
          <w:color w:val="000000" w:themeColor="text1"/>
          <w:kern w:val="24"/>
        </w:rPr>
        <w:t>or CRCC), a five species NRCS “soil health” mix containing: cereal rye, crimson clover, whole oats (</w:t>
      </w:r>
      <w:proofErr w:type="spellStart"/>
      <w:r>
        <w:rPr>
          <w:rFonts w:eastAsiaTheme="minorEastAsia"/>
          <w:i/>
          <w:iCs/>
          <w:color w:val="000000" w:themeColor="text1"/>
          <w:kern w:val="24"/>
        </w:rPr>
        <w:t>Avena</w:t>
      </w:r>
      <w:proofErr w:type="spellEnd"/>
      <w:r>
        <w:rPr>
          <w:rFonts w:eastAsiaTheme="minorEastAsia"/>
          <w:i/>
          <w:iCs/>
          <w:color w:val="000000" w:themeColor="text1"/>
          <w:kern w:val="24"/>
        </w:rPr>
        <w:t xml:space="preserve"> sativa L.</w:t>
      </w:r>
      <w:r>
        <w:rPr>
          <w:rFonts w:eastAsiaTheme="minorEastAsia"/>
          <w:color w:val="000000" w:themeColor="text1"/>
          <w:kern w:val="24"/>
        </w:rPr>
        <w:t xml:space="preserve">), daikon radish </w:t>
      </w:r>
      <w:bookmarkStart w:id="2" w:name="_Hlk53565308"/>
      <w:r>
        <w:rPr>
          <w:rFonts w:eastAsiaTheme="minorEastAsia"/>
          <w:color w:val="000000" w:themeColor="text1"/>
          <w:kern w:val="24"/>
        </w:rPr>
        <w:t>(</w:t>
      </w:r>
      <w:r>
        <w:rPr>
          <w:rFonts w:eastAsiaTheme="minorEastAsia"/>
          <w:i/>
          <w:iCs/>
          <w:color w:val="000000" w:themeColor="text1"/>
          <w:kern w:val="24"/>
        </w:rPr>
        <w:t>Raphanus sativus L.</w:t>
      </w:r>
      <w:bookmarkEnd w:id="2"/>
      <w:r>
        <w:rPr>
          <w:rFonts w:eastAsiaTheme="minorEastAsia"/>
          <w:color w:val="000000" w:themeColor="text1"/>
          <w:kern w:val="24"/>
        </w:rPr>
        <w:t>), and hairy vetch (</w:t>
      </w:r>
      <w:r>
        <w:rPr>
          <w:rFonts w:eastAsiaTheme="minorEastAsia"/>
          <w:i/>
          <w:iCs/>
          <w:color w:val="000000" w:themeColor="text1"/>
          <w:kern w:val="24"/>
        </w:rPr>
        <w:t xml:space="preserve">Vicia </w:t>
      </w:r>
      <w:proofErr w:type="spellStart"/>
      <w:r>
        <w:rPr>
          <w:rFonts w:eastAsiaTheme="minorEastAsia"/>
          <w:i/>
          <w:iCs/>
          <w:color w:val="000000" w:themeColor="text1"/>
          <w:kern w:val="24"/>
        </w:rPr>
        <w:t>villosa</w:t>
      </w:r>
      <w:proofErr w:type="spellEnd"/>
      <w:r>
        <w:rPr>
          <w:rFonts w:eastAsiaTheme="minorEastAsia"/>
          <w:i/>
          <w:iCs/>
          <w:color w:val="000000" w:themeColor="text1"/>
          <w:kern w:val="24"/>
        </w:rPr>
        <w:t xml:space="preserve"> L.</w:t>
      </w:r>
      <w:r>
        <w:rPr>
          <w:rFonts w:eastAsiaTheme="minorEastAsia"/>
          <w:color w:val="000000" w:themeColor="text1"/>
          <w:kern w:val="24"/>
        </w:rPr>
        <w:t xml:space="preserve"> or SHM), and a no cover crop control (NCC). This site has been under no-till management for at least 30 continuous years.</w:t>
      </w:r>
    </w:p>
    <w:p w14:paraId="4D1A94FA" w14:textId="77777777" w:rsidR="000F06F3" w:rsidRDefault="000F06F3" w:rsidP="000F06F3">
      <w:pPr>
        <w:spacing w:line="480" w:lineRule="auto"/>
        <w:rPr>
          <w:rFonts w:eastAsiaTheme="minorEastAsia"/>
          <w:color w:val="000000" w:themeColor="text1"/>
          <w:kern w:val="24"/>
        </w:rPr>
      </w:pPr>
    </w:p>
    <w:tbl>
      <w:tblPr>
        <w:tblpPr w:leftFromText="180" w:rightFromText="180" w:vertAnchor="text" w:horzAnchor="page" w:tblpX="2677" w:tblpY="106"/>
        <w:tblW w:w="5000" w:type="pct"/>
        <w:tblLook w:val="04A0" w:firstRow="1" w:lastRow="0" w:firstColumn="1" w:lastColumn="0" w:noHBand="0" w:noVBand="1"/>
      </w:tblPr>
      <w:tblGrid>
        <w:gridCol w:w="1813"/>
        <w:gridCol w:w="2111"/>
        <w:gridCol w:w="1130"/>
        <w:gridCol w:w="1509"/>
        <w:gridCol w:w="234"/>
        <w:gridCol w:w="2309"/>
        <w:gridCol w:w="234"/>
      </w:tblGrid>
      <w:tr w:rsidR="000F06F3" w:rsidRPr="00865420" w14:paraId="025B7C71" w14:textId="77777777" w:rsidTr="00880E36">
        <w:trPr>
          <w:gridAfter w:val="3"/>
          <w:wAfter w:w="1487" w:type="pct"/>
          <w:trHeight w:val="552"/>
        </w:trPr>
        <w:tc>
          <w:tcPr>
            <w:tcW w:w="971" w:type="pct"/>
            <w:vMerge w:val="restart"/>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0FD20B12" w14:textId="77777777" w:rsidR="000F06F3" w:rsidRPr="00A10B1A" w:rsidRDefault="000F06F3" w:rsidP="00880E36">
            <w:pPr>
              <w:spacing w:after="0" w:line="480" w:lineRule="auto"/>
              <w:jc w:val="center"/>
              <w:rPr>
                <w:rFonts w:eastAsia="Times New Roman"/>
                <w:b/>
                <w:bCs/>
                <w:szCs w:val="24"/>
              </w:rPr>
            </w:pPr>
            <w:r w:rsidRPr="00A10B1A">
              <w:rPr>
                <w:rFonts w:eastAsia="Times New Roman"/>
                <w:b/>
                <w:bCs/>
                <w:szCs w:val="24"/>
              </w:rPr>
              <w:lastRenderedPageBreak/>
              <w:t>Treatment</w:t>
            </w:r>
          </w:p>
        </w:tc>
        <w:tc>
          <w:tcPr>
            <w:tcW w:w="1130" w:type="pct"/>
            <w:vMerge w:val="restart"/>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07FF79A0" w14:textId="77777777" w:rsidR="000F06F3" w:rsidRPr="00A10B1A" w:rsidRDefault="000F06F3" w:rsidP="00880E36">
            <w:pPr>
              <w:spacing w:after="0" w:line="480" w:lineRule="auto"/>
              <w:jc w:val="center"/>
              <w:rPr>
                <w:rFonts w:eastAsia="Times New Roman"/>
                <w:b/>
                <w:bCs/>
                <w:szCs w:val="24"/>
              </w:rPr>
            </w:pPr>
            <w:r>
              <w:rPr>
                <w:rFonts w:eastAsia="Times New Roman"/>
                <w:b/>
                <w:bCs/>
                <w:szCs w:val="24"/>
              </w:rPr>
              <w:t xml:space="preserve">Cover </w:t>
            </w:r>
            <w:r w:rsidRPr="00A10B1A">
              <w:rPr>
                <w:rFonts w:eastAsia="Times New Roman"/>
                <w:b/>
                <w:bCs/>
                <w:szCs w:val="24"/>
              </w:rPr>
              <w:t>Crop</w:t>
            </w:r>
          </w:p>
        </w:tc>
        <w:tc>
          <w:tcPr>
            <w:tcW w:w="605"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14:paraId="6EE9988F" w14:textId="77777777" w:rsidR="000F06F3" w:rsidRPr="00A10B1A" w:rsidRDefault="000F06F3" w:rsidP="00880E36">
            <w:pPr>
              <w:spacing w:after="0" w:line="480" w:lineRule="auto"/>
              <w:jc w:val="center"/>
              <w:rPr>
                <w:rFonts w:eastAsia="Times New Roman"/>
                <w:b/>
                <w:bCs/>
                <w:szCs w:val="24"/>
              </w:rPr>
            </w:pPr>
            <w:r w:rsidRPr="00A10B1A">
              <w:rPr>
                <w:rFonts w:eastAsia="Times New Roman"/>
                <w:b/>
                <w:bCs/>
                <w:szCs w:val="24"/>
              </w:rPr>
              <w:t>Drill</w:t>
            </w:r>
            <w:r>
              <w:rPr>
                <w:rFonts w:eastAsia="Times New Roman"/>
                <w:b/>
                <w:bCs/>
                <w:szCs w:val="24"/>
              </w:rPr>
              <w:t>ed</w:t>
            </w:r>
            <w:r w:rsidRPr="00A10B1A">
              <w:rPr>
                <w:rFonts w:eastAsia="Times New Roman"/>
                <w:b/>
                <w:bCs/>
                <w:szCs w:val="24"/>
              </w:rPr>
              <w:t xml:space="preserve"> rate (kg/ha)</w:t>
            </w:r>
          </w:p>
        </w:tc>
        <w:tc>
          <w:tcPr>
            <w:tcW w:w="808" w:type="pct"/>
            <w:vMerge w:val="restart"/>
            <w:tcBorders>
              <w:top w:val="single" w:sz="8" w:space="0" w:color="auto"/>
              <w:left w:val="single" w:sz="4" w:space="0" w:color="auto"/>
              <w:bottom w:val="single" w:sz="4" w:space="0" w:color="auto"/>
              <w:right w:val="single" w:sz="8" w:space="0" w:color="auto"/>
            </w:tcBorders>
            <w:shd w:val="clear" w:color="auto" w:fill="auto"/>
            <w:vAlign w:val="center"/>
            <w:hideMark/>
          </w:tcPr>
          <w:p w14:paraId="128E90F3" w14:textId="77777777" w:rsidR="000F06F3" w:rsidRPr="00A10B1A" w:rsidRDefault="000F06F3" w:rsidP="00880E36">
            <w:pPr>
              <w:spacing w:after="0" w:line="480" w:lineRule="auto"/>
              <w:jc w:val="center"/>
              <w:rPr>
                <w:rFonts w:eastAsia="Times New Roman"/>
                <w:b/>
                <w:bCs/>
                <w:szCs w:val="24"/>
              </w:rPr>
            </w:pPr>
            <w:r w:rsidRPr="00A10B1A">
              <w:rPr>
                <w:rFonts w:eastAsia="Times New Roman"/>
                <w:b/>
                <w:bCs/>
                <w:szCs w:val="24"/>
              </w:rPr>
              <w:t>Broadcast</w:t>
            </w:r>
            <w:r>
              <w:rPr>
                <w:rFonts w:eastAsia="Times New Roman"/>
                <w:b/>
                <w:bCs/>
                <w:szCs w:val="24"/>
              </w:rPr>
              <w:t>ed</w:t>
            </w:r>
            <w:r w:rsidRPr="00A10B1A">
              <w:rPr>
                <w:rFonts w:eastAsia="Times New Roman"/>
                <w:b/>
                <w:bCs/>
                <w:szCs w:val="24"/>
              </w:rPr>
              <w:t xml:space="preserve"> rate (kg/ha)</w:t>
            </w:r>
          </w:p>
        </w:tc>
      </w:tr>
      <w:tr w:rsidR="000F06F3" w:rsidRPr="00865420" w14:paraId="37D5EAE2" w14:textId="77777777" w:rsidTr="00880E36">
        <w:trPr>
          <w:gridAfter w:val="2"/>
          <w:wAfter w:w="1361" w:type="pct"/>
          <w:trHeight w:val="660"/>
        </w:trPr>
        <w:tc>
          <w:tcPr>
            <w:tcW w:w="971" w:type="pct"/>
            <w:vMerge/>
            <w:tcBorders>
              <w:top w:val="single" w:sz="8" w:space="0" w:color="auto"/>
              <w:left w:val="single" w:sz="8" w:space="0" w:color="auto"/>
              <w:bottom w:val="single" w:sz="4" w:space="0" w:color="auto"/>
              <w:right w:val="single" w:sz="4" w:space="0" w:color="auto"/>
            </w:tcBorders>
            <w:vAlign w:val="center"/>
            <w:hideMark/>
          </w:tcPr>
          <w:p w14:paraId="0AC1BD71" w14:textId="77777777" w:rsidR="000F06F3" w:rsidRPr="00865420" w:rsidRDefault="000F06F3" w:rsidP="00880E36">
            <w:pPr>
              <w:spacing w:after="0" w:line="480" w:lineRule="auto"/>
              <w:rPr>
                <w:rFonts w:eastAsia="Times New Roman"/>
                <w:b/>
                <w:bCs/>
                <w:sz w:val="28"/>
                <w:szCs w:val="28"/>
              </w:rPr>
            </w:pPr>
          </w:p>
        </w:tc>
        <w:tc>
          <w:tcPr>
            <w:tcW w:w="1130" w:type="pct"/>
            <w:vMerge/>
            <w:tcBorders>
              <w:top w:val="single" w:sz="8" w:space="0" w:color="auto"/>
              <w:left w:val="single" w:sz="4" w:space="0" w:color="auto"/>
              <w:bottom w:val="single" w:sz="4" w:space="0" w:color="auto"/>
              <w:right w:val="single" w:sz="4" w:space="0" w:color="auto"/>
            </w:tcBorders>
            <w:vAlign w:val="center"/>
            <w:hideMark/>
          </w:tcPr>
          <w:p w14:paraId="458D48FB" w14:textId="77777777" w:rsidR="000F06F3" w:rsidRPr="00865420" w:rsidRDefault="000F06F3" w:rsidP="00880E36">
            <w:pPr>
              <w:spacing w:after="0" w:line="480" w:lineRule="auto"/>
              <w:rPr>
                <w:rFonts w:eastAsia="Times New Roman"/>
                <w:b/>
                <w:bCs/>
                <w:sz w:val="28"/>
                <w:szCs w:val="28"/>
              </w:rPr>
            </w:pPr>
          </w:p>
        </w:tc>
        <w:tc>
          <w:tcPr>
            <w:tcW w:w="605" w:type="pct"/>
            <w:vMerge/>
            <w:tcBorders>
              <w:top w:val="single" w:sz="8" w:space="0" w:color="auto"/>
              <w:left w:val="single" w:sz="4" w:space="0" w:color="auto"/>
              <w:bottom w:val="single" w:sz="4" w:space="0" w:color="auto"/>
              <w:right w:val="single" w:sz="4" w:space="0" w:color="auto"/>
            </w:tcBorders>
            <w:vAlign w:val="center"/>
            <w:hideMark/>
          </w:tcPr>
          <w:p w14:paraId="5835A71B" w14:textId="77777777" w:rsidR="000F06F3" w:rsidRPr="00865420" w:rsidRDefault="000F06F3" w:rsidP="00880E36">
            <w:pPr>
              <w:spacing w:after="0" w:line="480" w:lineRule="auto"/>
              <w:rPr>
                <w:rFonts w:eastAsia="Times New Roman"/>
                <w:b/>
                <w:bCs/>
                <w:sz w:val="28"/>
                <w:szCs w:val="28"/>
              </w:rPr>
            </w:pPr>
          </w:p>
        </w:tc>
        <w:tc>
          <w:tcPr>
            <w:tcW w:w="808" w:type="pct"/>
            <w:vMerge/>
            <w:tcBorders>
              <w:top w:val="single" w:sz="8" w:space="0" w:color="auto"/>
              <w:left w:val="single" w:sz="4" w:space="0" w:color="auto"/>
              <w:bottom w:val="single" w:sz="4" w:space="0" w:color="auto"/>
              <w:right w:val="single" w:sz="8" w:space="0" w:color="auto"/>
            </w:tcBorders>
            <w:vAlign w:val="center"/>
            <w:hideMark/>
          </w:tcPr>
          <w:p w14:paraId="1D5890E0" w14:textId="77777777" w:rsidR="000F06F3" w:rsidRPr="00865420" w:rsidRDefault="000F06F3" w:rsidP="00880E36">
            <w:pPr>
              <w:spacing w:after="0" w:line="480" w:lineRule="auto"/>
              <w:rPr>
                <w:rFonts w:eastAsia="Times New Roman"/>
                <w:b/>
                <w:bCs/>
                <w:sz w:val="28"/>
                <w:szCs w:val="28"/>
              </w:rPr>
            </w:pPr>
          </w:p>
        </w:tc>
        <w:tc>
          <w:tcPr>
            <w:tcW w:w="125" w:type="pct"/>
            <w:tcBorders>
              <w:top w:val="nil"/>
              <w:left w:val="nil"/>
              <w:bottom w:val="nil"/>
              <w:right w:val="nil"/>
            </w:tcBorders>
            <w:shd w:val="clear" w:color="auto" w:fill="auto"/>
            <w:noWrap/>
            <w:vAlign w:val="bottom"/>
            <w:hideMark/>
          </w:tcPr>
          <w:p w14:paraId="69BAA196" w14:textId="77777777" w:rsidR="000F06F3" w:rsidRPr="00865420" w:rsidRDefault="000F06F3" w:rsidP="00880E36">
            <w:pPr>
              <w:spacing w:after="0" w:line="480" w:lineRule="auto"/>
              <w:jc w:val="center"/>
              <w:rPr>
                <w:rFonts w:eastAsia="Times New Roman"/>
                <w:b/>
                <w:bCs/>
                <w:sz w:val="28"/>
                <w:szCs w:val="28"/>
              </w:rPr>
            </w:pPr>
          </w:p>
        </w:tc>
      </w:tr>
      <w:tr w:rsidR="000F06F3" w:rsidRPr="00865420" w14:paraId="49967E37" w14:textId="77777777" w:rsidTr="00880E36">
        <w:trPr>
          <w:gridAfter w:val="2"/>
          <w:wAfter w:w="1361" w:type="pct"/>
          <w:trHeight w:val="420"/>
        </w:trPr>
        <w:tc>
          <w:tcPr>
            <w:tcW w:w="971" w:type="pct"/>
            <w:vMerge w:val="restart"/>
            <w:tcBorders>
              <w:top w:val="nil"/>
              <w:left w:val="single" w:sz="8" w:space="0" w:color="auto"/>
              <w:bottom w:val="single" w:sz="4" w:space="0" w:color="auto"/>
              <w:right w:val="single" w:sz="4" w:space="0" w:color="auto"/>
            </w:tcBorders>
            <w:shd w:val="clear" w:color="auto" w:fill="auto"/>
            <w:noWrap/>
            <w:vAlign w:val="center"/>
            <w:hideMark/>
          </w:tcPr>
          <w:p w14:paraId="24A0AF74" w14:textId="77777777" w:rsidR="000F06F3" w:rsidRPr="00865420" w:rsidRDefault="000F06F3" w:rsidP="00880E36">
            <w:pPr>
              <w:spacing w:after="0" w:line="480" w:lineRule="auto"/>
              <w:jc w:val="center"/>
              <w:rPr>
                <w:rFonts w:eastAsia="Times New Roman"/>
                <w:szCs w:val="24"/>
              </w:rPr>
            </w:pPr>
            <w:r w:rsidRPr="00865420">
              <w:rPr>
                <w:rFonts w:eastAsia="Times New Roman"/>
                <w:szCs w:val="24"/>
              </w:rPr>
              <w:t>CRCC</w:t>
            </w:r>
          </w:p>
        </w:tc>
        <w:tc>
          <w:tcPr>
            <w:tcW w:w="1130" w:type="pct"/>
            <w:tcBorders>
              <w:top w:val="nil"/>
              <w:left w:val="nil"/>
              <w:bottom w:val="single" w:sz="4" w:space="0" w:color="auto"/>
              <w:right w:val="single" w:sz="4" w:space="0" w:color="auto"/>
            </w:tcBorders>
            <w:shd w:val="clear" w:color="auto" w:fill="auto"/>
            <w:noWrap/>
            <w:vAlign w:val="center"/>
            <w:hideMark/>
          </w:tcPr>
          <w:p w14:paraId="4377B654" w14:textId="77777777" w:rsidR="000F06F3" w:rsidRPr="00865420" w:rsidRDefault="000F06F3" w:rsidP="00880E36">
            <w:pPr>
              <w:spacing w:after="0" w:line="480" w:lineRule="auto"/>
              <w:rPr>
                <w:rFonts w:eastAsia="Times New Roman"/>
                <w:szCs w:val="24"/>
              </w:rPr>
            </w:pPr>
            <w:r w:rsidRPr="00865420">
              <w:rPr>
                <w:rFonts w:eastAsia="Times New Roman"/>
                <w:szCs w:val="24"/>
              </w:rPr>
              <w:t>Cereal Rye</w:t>
            </w:r>
          </w:p>
        </w:tc>
        <w:tc>
          <w:tcPr>
            <w:tcW w:w="605" w:type="pct"/>
            <w:tcBorders>
              <w:top w:val="nil"/>
              <w:left w:val="nil"/>
              <w:bottom w:val="single" w:sz="4" w:space="0" w:color="auto"/>
              <w:right w:val="single" w:sz="4" w:space="0" w:color="auto"/>
            </w:tcBorders>
            <w:shd w:val="clear" w:color="auto" w:fill="auto"/>
            <w:noWrap/>
            <w:vAlign w:val="center"/>
            <w:hideMark/>
          </w:tcPr>
          <w:p w14:paraId="629A8F67" w14:textId="77777777" w:rsidR="000F06F3" w:rsidRPr="00865420" w:rsidRDefault="000F06F3" w:rsidP="00880E36">
            <w:pPr>
              <w:spacing w:after="0" w:line="480" w:lineRule="auto"/>
              <w:jc w:val="center"/>
              <w:rPr>
                <w:rFonts w:eastAsia="Times New Roman"/>
                <w:szCs w:val="24"/>
              </w:rPr>
            </w:pPr>
            <w:r w:rsidRPr="00865420">
              <w:rPr>
                <w:rFonts w:eastAsia="Times New Roman"/>
                <w:szCs w:val="24"/>
              </w:rPr>
              <w:t>26</w:t>
            </w:r>
          </w:p>
        </w:tc>
        <w:tc>
          <w:tcPr>
            <w:tcW w:w="808" w:type="pct"/>
            <w:tcBorders>
              <w:top w:val="nil"/>
              <w:left w:val="nil"/>
              <w:bottom w:val="single" w:sz="4" w:space="0" w:color="auto"/>
              <w:right w:val="single" w:sz="8" w:space="0" w:color="auto"/>
            </w:tcBorders>
            <w:shd w:val="clear" w:color="auto" w:fill="auto"/>
            <w:noWrap/>
            <w:vAlign w:val="center"/>
            <w:hideMark/>
          </w:tcPr>
          <w:p w14:paraId="5E7C48EB" w14:textId="77777777" w:rsidR="000F06F3" w:rsidRPr="00865420" w:rsidRDefault="000F06F3" w:rsidP="00880E36">
            <w:pPr>
              <w:spacing w:after="0" w:line="480" w:lineRule="auto"/>
              <w:jc w:val="center"/>
              <w:rPr>
                <w:rFonts w:eastAsia="Times New Roman"/>
                <w:szCs w:val="24"/>
              </w:rPr>
            </w:pPr>
            <w:r w:rsidRPr="00865420">
              <w:rPr>
                <w:rFonts w:eastAsia="Times New Roman"/>
                <w:szCs w:val="24"/>
              </w:rPr>
              <w:t>33</w:t>
            </w:r>
          </w:p>
        </w:tc>
        <w:tc>
          <w:tcPr>
            <w:tcW w:w="125" w:type="pct"/>
            <w:vAlign w:val="center"/>
            <w:hideMark/>
          </w:tcPr>
          <w:p w14:paraId="61064BCA" w14:textId="77777777" w:rsidR="000F06F3" w:rsidRPr="00865420" w:rsidRDefault="000F06F3" w:rsidP="00880E36">
            <w:pPr>
              <w:spacing w:after="0" w:line="480" w:lineRule="auto"/>
              <w:rPr>
                <w:rFonts w:eastAsia="Times New Roman"/>
                <w:sz w:val="20"/>
                <w:szCs w:val="20"/>
              </w:rPr>
            </w:pPr>
          </w:p>
        </w:tc>
      </w:tr>
      <w:tr w:rsidR="000F06F3" w:rsidRPr="00865420" w14:paraId="219077CF" w14:textId="77777777" w:rsidTr="00880E36">
        <w:trPr>
          <w:gridAfter w:val="2"/>
          <w:wAfter w:w="1361" w:type="pct"/>
          <w:trHeight w:val="402"/>
        </w:trPr>
        <w:tc>
          <w:tcPr>
            <w:tcW w:w="971" w:type="pct"/>
            <w:vMerge/>
            <w:tcBorders>
              <w:top w:val="nil"/>
              <w:left w:val="single" w:sz="8" w:space="0" w:color="auto"/>
              <w:bottom w:val="single" w:sz="4" w:space="0" w:color="auto"/>
              <w:right w:val="single" w:sz="4" w:space="0" w:color="auto"/>
            </w:tcBorders>
            <w:vAlign w:val="center"/>
            <w:hideMark/>
          </w:tcPr>
          <w:p w14:paraId="2D74EB28" w14:textId="77777777" w:rsidR="000F06F3" w:rsidRPr="00865420" w:rsidRDefault="000F06F3" w:rsidP="00880E36">
            <w:pPr>
              <w:spacing w:after="0" w:line="480" w:lineRule="auto"/>
              <w:rPr>
                <w:rFonts w:eastAsia="Times New Roman"/>
                <w:szCs w:val="24"/>
              </w:rPr>
            </w:pPr>
          </w:p>
        </w:tc>
        <w:tc>
          <w:tcPr>
            <w:tcW w:w="1130" w:type="pct"/>
            <w:tcBorders>
              <w:top w:val="nil"/>
              <w:left w:val="nil"/>
              <w:bottom w:val="single" w:sz="4" w:space="0" w:color="auto"/>
              <w:right w:val="single" w:sz="4" w:space="0" w:color="auto"/>
            </w:tcBorders>
            <w:shd w:val="clear" w:color="auto" w:fill="auto"/>
            <w:noWrap/>
            <w:vAlign w:val="center"/>
            <w:hideMark/>
          </w:tcPr>
          <w:p w14:paraId="796E3BF0" w14:textId="77777777" w:rsidR="000F06F3" w:rsidRPr="00865420" w:rsidRDefault="000F06F3" w:rsidP="00880E36">
            <w:pPr>
              <w:spacing w:after="0" w:line="480" w:lineRule="auto"/>
              <w:rPr>
                <w:rFonts w:eastAsia="Times New Roman"/>
                <w:szCs w:val="24"/>
              </w:rPr>
            </w:pPr>
            <w:r w:rsidRPr="00865420">
              <w:rPr>
                <w:rFonts w:eastAsia="Times New Roman"/>
                <w:szCs w:val="24"/>
              </w:rPr>
              <w:t>Crimson Clover</w:t>
            </w:r>
          </w:p>
        </w:tc>
        <w:tc>
          <w:tcPr>
            <w:tcW w:w="605" w:type="pct"/>
            <w:tcBorders>
              <w:top w:val="nil"/>
              <w:left w:val="nil"/>
              <w:bottom w:val="single" w:sz="4" w:space="0" w:color="auto"/>
              <w:right w:val="single" w:sz="4" w:space="0" w:color="auto"/>
            </w:tcBorders>
            <w:shd w:val="clear" w:color="auto" w:fill="auto"/>
            <w:noWrap/>
            <w:vAlign w:val="center"/>
            <w:hideMark/>
          </w:tcPr>
          <w:p w14:paraId="14FE614C" w14:textId="77777777" w:rsidR="000F06F3" w:rsidRPr="00865420" w:rsidRDefault="000F06F3" w:rsidP="00880E36">
            <w:pPr>
              <w:spacing w:after="0" w:line="480" w:lineRule="auto"/>
              <w:jc w:val="center"/>
              <w:rPr>
                <w:rFonts w:eastAsia="Times New Roman"/>
                <w:szCs w:val="24"/>
              </w:rPr>
            </w:pPr>
            <w:r w:rsidRPr="00865420">
              <w:rPr>
                <w:rFonts w:eastAsia="Times New Roman"/>
                <w:szCs w:val="24"/>
              </w:rPr>
              <w:t>16</w:t>
            </w:r>
          </w:p>
        </w:tc>
        <w:tc>
          <w:tcPr>
            <w:tcW w:w="808" w:type="pct"/>
            <w:tcBorders>
              <w:top w:val="nil"/>
              <w:left w:val="nil"/>
              <w:bottom w:val="single" w:sz="4" w:space="0" w:color="auto"/>
              <w:right w:val="single" w:sz="8" w:space="0" w:color="auto"/>
            </w:tcBorders>
            <w:shd w:val="clear" w:color="auto" w:fill="auto"/>
            <w:noWrap/>
            <w:vAlign w:val="center"/>
            <w:hideMark/>
          </w:tcPr>
          <w:p w14:paraId="7DE764DE" w14:textId="77777777" w:rsidR="000F06F3" w:rsidRPr="00865420" w:rsidRDefault="000F06F3" w:rsidP="00880E36">
            <w:pPr>
              <w:spacing w:after="0" w:line="480" w:lineRule="auto"/>
              <w:jc w:val="center"/>
              <w:rPr>
                <w:rFonts w:eastAsia="Times New Roman"/>
                <w:szCs w:val="24"/>
              </w:rPr>
            </w:pPr>
            <w:r w:rsidRPr="00865420">
              <w:rPr>
                <w:rFonts w:eastAsia="Times New Roman"/>
                <w:szCs w:val="24"/>
              </w:rPr>
              <w:t>20</w:t>
            </w:r>
          </w:p>
        </w:tc>
        <w:tc>
          <w:tcPr>
            <w:tcW w:w="125" w:type="pct"/>
            <w:vAlign w:val="center"/>
            <w:hideMark/>
          </w:tcPr>
          <w:p w14:paraId="311584B2" w14:textId="77777777" w:rsidR="000F06F3" w:rsidRPr="00865420" w:rsidRDefault="000F06F3" w:rsidP="00880E36">
            <w:pPr>
              <w:spacing w:after="0" w:line="480" w:lineRule="auto"/>
              <w:rPr>
                <w:rFonts w:eastAsia="Times New Roman"/>
                <w:sz w:val="20"/>
                <w:szCs w:val="20"/>
              </w:rPr>
            </w:pPr>
          </w:p>
        </w:tc>
      </w:tr>
      <w:tr w:rsidR="000F06F3" w:rsidRPr="00865420" w14:paraId="7894A926" w14:textId="77777777" w:rsidTr="00880E36">
        <w:trPr>
          <w:gridAfter w:val="2"/>
          <w:wAfter w:w="1361" w:type="pct"/>
          <w:trHeight w:val="402"/>
        </w:trPr>
        <w:tc>
          <w:tcPr>
            <w:tcW w:w="971" w:type="pct"/>
            <w:tcBorders>
              <w:top w:val="nil"/>
              <w:left w:val="single" w:sz="8" w:space="0" w:color="auto"/>
              <w:bottom w:val="single" w:sz="4" w:space="0" w:color="auto"/>
              <w:right w:val="single" w:sz="4" w:space="0" w:color="auto"/>
            </w:tcBorders>
            <w:shd w:val="clear" w:color="auto" w:fill="auto"/>
            <w:noWrap/>
            <w:vAlign w:val="center"/>
            <w:hideMark/>
          </w:tcPr>
          <w:p w14:paraId="3E50FD31" w14:textId="77777777" w:rsidR="000F06F3" w:rsidRPr="00865420" w:rsidRDefault="000F06F3" w:rsidP="00880E36">
            <w:pPr>
              <w:spacing w:after="0" w:line="480" w:lineRule="auto"/>
              <w:jc w:val="center"/>
              <w:rPr>
                <w:rFonts w:eastAsia="Times New Roman"/>
                <w:szCs w:val="24"/>
              </w:rPr>
            </w:pPr>
            <w:r w:rsidRPr="00865420">
              <w:rPr>
                <w:rFonts w:eastAsia="Times New Roman"/>
                <w:szCs w:val="24"/>
              </w:rPr>
              <w:t>W</w:t>
            </w:r>
          </w:p>
        </w:tc>
        <w:tc>
          <w:tcPr>
            <w:tcW w:w="1130" w:type="pct"/>
            <w:tcBorders>
              <w:top w:val="nil"/>
              <w:left w:val="nil"/>
              <w:bottom w:val="single" w:sz="4" w:space="0" w:color="auto"/>
              <w:right w:val="single" w:sz="4" w:space="0" w:color="auto"/>
            </w:tcBorders>
            <w:shd w:val="clear" w:color="auto" w:fill="auto"/>
            <w:noWrap/>
            <w:vAlign w:val="center"/>
            <w:hideMark/>
          </w:tcPr>
          <w:p w14:paraId="440E1518" w14:textId="77777777" w:rsidR="000F06F3" w:rsidRPr="00865420" w:rsidRDefault="000F06F3" w:rsidP="00880E36">
            <w:pPr>
              <w:spacing w:after="0" w:line="480" w:lineRule="auto"/>
              <w:rPr>
                <w:rFonts w:eastAsia="Times New Roman"/>
                <w:szCs w:val="24"/>
              </w:rPr>
            </w:pPr>
            <w:r w:rsidRPr="00865420">
              <w:rPr>
                <w:rFonts w:eastAsia="Times New Roman"/>
                <w:szCs w:val="24"/>
              </w:rPr>
              <w:t>Wheat</w:t>
            </w:r>
          </w:p>
        </w:tc>
        <w:tc>
          <w:tcPr>
            <w:tcW w:w="605" w:type="pct"/>
            <w:tcBorders>
              <w:top w:val="nil"/>
              <w:left w:val="nil"/>
              <w:bottom w:val="single" w:sz="4" w:space="0" w:color="auto"/>
              <w:right w:val="single" w:sz="4" w:space="0" w:color="auto"/>
            </w:tcBorders>
            <w:shd w:val="clear" w:color="auto" w:fill="auto"/>
            <w:noWrap/>
            <w:vAlign w:val="center"/>
            <w:hideMark/>
          </w:tcPr>
          <w:p w14:paraId="6B4C20D1" w14:textId="77777777" w:rsidR="000F06F3" w:rsidRPr="00865420" w:rsidRDefault="000F06F3" w:rsidP="00880E36">
            <w:pPr>
              <w:spacing w:after="0" w:line="480" w:lineRule="auto"/>
              <w:jc w:val="center"/>
              <w:rPr>
                <w:rFonts w:eastAsia="Times New Roman"/>
                <w:szCs w:val="24"/>
              </w:rPr>
            </w:pPr>
            <w:r w:rsidRPr="00865420">
              <w:rPr>
                <w:rFonts w:eastAsia="Times New Roman"/>
                <w:szCs w:val="24"/>
              </w:rPr>
              <w:t>84</w:t>
            </w:r>
          </w:p>
        </w:tc>
        <w:tc>
          <w:tcPr>
            <w:tcW w:w="808" w:type="pct"/>
            <w:tcBorders>
              <w:top w:val="nil"/>
              <w:left w:val="nil"/>
              <w:bottom w:val="single" w:sz="4" w:space="0" w:color="auto"/>
              <w:right w:val="single" w:sz="8" w:space="0" w:color="auto"/>
            </w:tcBorders>
            <w:shd w:val="clear" w:color="auto" w:fill="auto"/>
            <w:noWrap/>
            <w:vAlign w:val="center"/>
            <w:hideMark/>
          </w:tcPr>
          <w:p w14:paraId="6293EFBB" w14:textId="77777777" w:rsidR="000F06F3" w:rsidRPr="00865420" w:rsidRDefault="000F06F3" w:rsidP="00880E36">
            <w:pPr>
              <w:spacing w:after="0" w:line="480" w:lineRule="auto"/>
              <w:jc w:val="center"/>
              <w:rPr>
                <w:rFonts w:eastAsia="Times New Roman"/>
                <w:szCs w:val="24"/>
              </w:rPr>
            </w:pPr>
            <w:r w:rsidRPr="00865420">
              <w:rPr>
                <w:rFonts w:eastAsia="Times New Roman"/>
                <w:szCs w:val="24"/>
              </w:rPr>
              <w:t>110</w:t>
            </w:r>
          </w:p>
        </w:tc>
        <w:tc>
          <w:tcPr>
            <w:tcW w:w="125" w:type="pct"/>
            <w:vAlign w:val="center"/>
            <w:hideMark/>
          </w:tcPr>
          <w:p w14:paraId="6060B1DF" w14:textId="77777777" w:rsidR="000F06F3" w:rsidRPr="00865420" w:rsidRDefault="000F06F3" w:rsidP="00880E36">
            <w:pPr>
              <w:spacing w:after="0" w:line="480" w:lineRule="auto"/>
              <w:rPr>
                <w:rFonts w:eastAsia="Times New Roman"/>
                <w:sz w:val="20"/>
                <w:szCs w:val="20"/>
              </w:rPr>
            </w:pPr>
          </w:p>
        </w:tc>
      </w:tr>
      <w:tr w:rsidR="000F06F3" w:rsidRPr="00865420" w14:paraId="373AFE38" w14:textId="77777777" w:rsidTr="00880E36">
        <w:trPr>
          <w:gridAfter w:val="2"/>
          <w:wAfter w:w="1361" w:type="pct"/>
          <w:trHeight w:val="402"/>
        </w:trPr>
        <w:tc>
          <w:tcPr>
            <w:tcW w:w="971" w:type="pct"/>
            <w:tcBorders>
              <w:top w:val="nil"/>
              <w:left w:val="single" w:sz="8" w:space="0" w:color="auto"/>
              <w:bottom w:val="single" w:sz="4" w:space="0" w:color="auto"/>
              <w:right w:val="single" w:sz="4" w:space="0" w:color="auto"/>
            </w:tcBorders>
            <w:shd w:val="clear" w:color="auto" w:fill="auto"/>
            <w:noWrap/>
            <w:vAlign w:val="center"/>
            <w:hideMark/>
          </w:tcPr>
          <w:p w14:paraId="7A2A21A5" w14:textId="77777777" w:rsidR="000F06F3" w:rsidRPr="00865420" w:rsidRDefault="000F06F3" w:rsidP="00880E36">
            <w:pPr>
              <w:spacing w:after="0" w:line="480" w:lineRule="auto"/>
              <w:jc w:val="center"/>
              <w:rPr>
                <w:rFonts w:eastAsia="Times New Roman"/>
                <w:szCs w:val="24"/>
              </w:rPr>
            </w:pPr>
            <w:r w:rsidRPr="00865420">
              <w:rPr>
                <w:rFonts w:eastAsia="Times New Roman"/>
                <w:szCs w:val="24"/>
              </w:rPr>
              <w:t>CR</w:t>
            </w:r>
          </w:p>
        </w:tc>
        <w:tc>
          <w:tcPr>
            <w:tcW w:w="1130" w:type="pct"/>
            <w:tcBorders>
              <w:top w:val="nil"/>
              <w:left w:val="nil"/>
              <w:bottom w:val="single" w:sz="4" w:space="0" w:color="auto"/>
              <w:right w:val="single" w:sz="4" w:space="0" w:color="auto"/>
            </w:tcBorders>
            <w:shd w:val="clear" w:color="auto" w:fill="auto"/>
            <w:noWrap/>
            <w:vAlign w:val="center"/>
            <w:hideMark/>
          </w:tcPr>
          <w:p w14:paraId="3D59A71C" w14:textId="77777777" w:rsidR="000F06F3" w:rsidRPr="00865420" w:rsidRDefault="000F06F3" w:rsidP="00880E36">
            <w:pPr>
              <w:spacing w:after="0" w:line="480" w:lineRule="auto"/>
              <w:rPr>
                <w:rFonts w:eastAsia="Times New Roman"/>
                <w:szCs w:val="24"/>
              </w:rPr>
            </w:pPr>
            <w:r w:rsidRPr="00865420">
              <w:rPr>
                <w:rFonts w:eastAsia="Times New Roman"/>
                <w:szCs w:val="24"/>
              </w:rPr>
              <w:t>Cereal Rye</w:t>
            </w:r>
          </w:p>
        </w:tc>
        <w:tc>
          <w:tcPr>
            <w:tcW w:w="605" w:type="pct"/>
            <w:tcBorders>
              <w:top w:val="nil"/>
              <w:left w:val="nil"/>
              <w:bottom w:val="single" w:sz="4" w:space="0" w:color="auto"/>
              <w:right w:val="single" w:sz="4" w:space="0" w:color="auto"/>
            </w:tcBorders>
            <w:shd w:val="clear" w:color="auto" w:fill="auto"/>
            <w:noWrap/>
            <w:vAlign w:val="center"/>
            <w:hideMark/>
          </w:tcPr>
          <w:p w14:paraId="336CB3DD" w14:textId="77777777" w:rsidR="000F06F3" w:rsidRPr="00865420" w:rsidRDefault="000F06F3" w:rsidP="00880E36">
            <w:pPr>
              <w:spacing w:after="0" w:line="480" w:lineRule="auto"/>
              <w:jc w:val="center"/>
              <w:rPr>
                <w:rFonts w:eastAsia="Times New Roman"/>
                <w:szCs w:val="24"/>
              </w:rPr>
            </w:pPr>
            <w:r w:rsidRPr="00865420">
              <w:rPr>
                <w:rFonts w:eastAsia="Times New Roman"/>
                <w:szCs w:val="24"/>
              </w:rPr>
              <w:t>84</w:t>
            </w:r>
          </w:p>
        </w:tc>
        <w:tc>
          <w:tcPr>
            <w:tcW w:w="808" w:type="pct"/>
            <w:tcBorders>
              <w:top w:val="nil"/>
              <w:left w:val="nil"/>
              <w:bottom w:val="single" w:sz="4" w:space="0" w:color="auto"/>
              <w:right w:val="single" w:sz="8" w:space="0" w:color="auto"/>
            </w:tcBorders>
            <w:shd w:val="clear" w:color="auto" w:fill="auto"/>
            <w:noWrap/>
            <w:vAlign w:val="center"/>
            <w:hideMark/>
          </w:tcPr>
          <w:p w14:paraId="6C3D0531" w14:textId="77777777" w:rsidR="000F06F3" w:rsidRPr="00865420" w:rsidRDefault="000F06F3" w:rsidP="00880E36">
            <w:pPr>
              <w:spacing w:after="0" w:line="480" w:lineRule="auto"/>
              <w:jc w:val="center"/>
              <w:rPr>
                <w:rFonts w:eastAsia="Times New Roman"/>
                <w:szCs w:val="24"/>
              </w:rPr>
            </w:pPr>
            <w:r w:rsidRPr="00865420">
              <w:rPr>
                <w:rFonts w:eastAsia="Times New Roman"/>
                <w:szCs w:val="24"/>
              </w:rPr>
              <w:t>110</w:t>
            </w:r>
          </w:p>
        </w:tc>
        <w:tc>
          <w:tcPr>
            <w:tcW w:w="125" w:type="pct"/>
            <w:vAlign w:val="center"/>
            <w:hideMark/>
          </w:tcPr>
          <w:p w14:paraId="7BFD15D1" w14:textId="77777777" w:rsidR="000F06F3" w:rsidRPr="00865420" w:rsidRDefault="000F06F3" w:rsidP="00880E36">
            <w:pPr>
              <w:spacing w:after="0" w:line="480" w:lineRule="auto"/>
              <w:rPr>
                <w:rFonts w:eastAsia="Times New Roman"/>
                <w:sz w:val="20"/>
                <w:szCs w:val="20"/>
              </w:rPr>
            </w:pPr>
          </w:p>
        </w:tc>
      </w:tr>
      <w:tr w:rsidR="000F06F3" w:rsidRPr="00865420" w14:paraId="094290A5" w14:textId="77777777" w:rsidTr="00880E36">
        <w:trPr>
          <w:gridAfter w:val="2"/>
          <w:wAfter w:w="1361" w:type="pct"/>
          <w:trHeight w:val="402"/>
        </w:trPr>
        <w:tc>
          <w:tcPr>
            <w:tcW w:w="971" w:type="pct"/>
            <w:vMerge w:val="restart"/>
            <w:tcBorders>
              <w:top w:val="nil"/>
              <w:left w:val="single" w:sz="8" w:space="0" w:color="auto"/>
              <w:bottom w:val="single" w:sz="4" w:space="0" w:color="auto"/>
              <w:right w:val="single" w:sz="4" w:space="0" w:color="auto"/>
            </w:tcBorders>
            <w:shd w:val="clear" w:color="auto" w:fill="auto"/>
            <w:noWrap/>
            <w:vAlign w:val="center"/>
            <w:hideMark/>
          </w:tcPr>
          <w:p w14:paraId="6D377798" w14:textId="77777777" w:rsidR="000F06F3" w:rsidRPr="00865420" w:rsidRDefault="000F06F3" w:rsidP="00880E36">
            <w:pPr>
              <w:spacing w:after="0" w:line="480" w:lineRule="auto"/>
              <w:jc w:val="center"/>
              <w:rPr>
                <w:rFonts w:eastAsia="Times New Roman"/>
                <w:szCs w:val="24"/>
              </w:rPr>
            </w:pPr>
            <w:r w:rsidRPr="00865420">
              <w:rPr>
                <w:rFonts w:eastAsia="Times New Roman"/>
                <w:szCs w:val="24"/>
              </w:rPr>
              <w:t>SHM</w:t>
            </w:r>
          </w:p>
        </w:tc>
        <w:tc>
          <w:tcPr>
            <w:tcW w:w="1130" w:type="pct"/>
            <w:tcBorders>
              <w:top w:val="nil"/>
              <w:left w:val="nil"/>
              <w:bottom w:val="single" w:sz="4" w:space="0" w:color="auto"/>
              <w:right w:val="single" w:sz="4" w:space="0" w:color="auto"/>
            </w:tcBorders>
            <w:shd w:val="clear" w:color="auto" w:fill="auto"/>
            <w:noWrap/>
            <w:vAlign w:val="center"/>
            <w:hideMark/>
          </w:tcPr>
          <w:p w14:paraId="03F3E67A" w14:textId="77777777" w:rsidR="000F06F3" w:rsidRPr="00865420" w:rsidRDefault="000F06F3" w:rsidP="00880E36">
            <w:pPr>
              <w:spacing w:after="0" w:line="480" w:lineRule="auto"/>
              <w:rPr>
                <w:rFonts w:eastAsia="Times New Roman"/>
                <w:szCs w:val="24"/>
              </w:rPr>
            </w:pPr>
            <w:r w:rsidRPr="00865420">
              <w:rPr>
                <w:rFonts w:eastAsia="Times New Roman"/>
                <w:szCs w:val="24"/>
              </w:rPr>
              <w:t>Cereal Rye</w:t>
            </w:r>
          </w:p>
        </w:tc>
        <w:tc>
          <w:tcPr>
            <w:tcW w:w="605" w:type="pct"/>
            <w:tcBorders>
              <w:top w:val="nil"/>
              <w:left w:val="nil"/>
              <w:bottom w:val="single" w:sz="4" w:space="0" w:color="auto"/>
              <w:right w:val="single" w:sz="4" w:space="0" w:color="auto"/>
            </w:tcBorders>
            <w:shd w:val="clear" w:color="auto" w:fill="auto"/>
            <w:noWrap/>
            <w:vAlign w:val="center"/>
            <w:hideMark/>
          </w:tcPr>
          <w:p w14:paraId="3EDD8B4C" w14:textId="77777777" w:rsidR="000F06F3" w:rsidRPr="00865420" w:rsidRDefault="000F06F3" w:rsidP="00880E36">
            <w:pPr>
              <w:spacing w:after="0" w:line="480" w:lineRule="auto"/>
              <w:jc w:val="center"/>
              <w:rPr>
                <w:rFonts w:eastAsia="Times New Roman"/>
                <w:szCs w:val="24"/>
              </w:rPr>
            </w:pPr>
            <w:r w:rsidRPr="00865420">
              <w:rPr>
                <w:rFonts w:eastAsia="Times New Roman"/>
                <w:szCs w:val="24"/>
              </w:rPr>
              <w:t>17</w:t>
            </w:r>
          </w:p>
        </w:tc>
        <w:tc>
          <w:tcPr>
            <w:tcW w:w="808" w:type="pct"/>
            <w:tcBorders>
              <w:top w:val="nil"/>
              <w:left w:val="nil"/>
              <w:bottom w:val="single" w:sz="4" w:space="0" w:color="auto"/>
              <w:right w:val="single" w:sz="8" w:space="0" w:color="auto"/>
            </w:tcBorders>
            <w:shd w:val="clear" w:color="auto" w:fill="auto"/>
            <w:noWrap/>
            <w:vAlign w:val="center"/>
            <w:hideMark/>
          </w:tcPr>
          <w:p w14:paraId="5435A632" w14:textId="77777777" w:rsidR="000F06F3" w:rsidRPr="00865420" w:rsidRDefault="000F06F3" w:rsidP="00880E36">
            <w:pPr>
              <w:spacing w:after="0" w:line="480" w:lineRule="auto"/>
              <w:jc w:val="center"/>
              <w:rPr>
                <w:rFonts w:eastAsia="Times New Roman"/>
                <w:szCs w:val="24"/>
              </w:rPr>
            </w:pPr>
            <w:r w:rsidRPr="00865420">
              <w:rPr>
                <w:rFonts w:eastAsia="Times New Roman"/>
                <w:szCs w:val="24"/>
              </w:rPr>
              <w:t>22</w:t>
            </w:r>
          </w:p>
        </w:tc>
        <w:tc>
          <w:tcPr>
            <w:tcW w:w="125" w:type="pct"/>
            <w:vAlign w:val="center"/>
            <w:hideMark/>
          </w:tcPr>
          <w:p w14:paraId="29359FDC" w14:textId="77777777" w:rsidR="000F06F3" w:rsidRPr="00865420" w:rsidRDefault="000F06F3" w:rsidP="00880E36">
            <w:pPr>
              <w:spacing w:after="0" w:line="480" w:lineRule="auto"/>
              <w:rPr>
                <w:rFonts w:eastAsia="Times New Roman"/>
                <w:sz w:val="20"/>
                <w:szCs w:val="20"/>
              </w:rPr>
            </w:pPr>
          </w:p>
        </w:tc>
      </w:tr>
      <w:tr w:rsidR="000F06F3" w:rsidRPr="00865420" w14:paraId="680BB6CB" w14:textId="77777777" w:rsidTr="00880E36">
        <w:trPr>
          <w:gridAfter w:val="2"/>
          <w:wAfter w:w="1361" w:type="pct"/>
          <w:trHeight w:val="402"/>
        </w:trPr>
        <w:tc>
          <w:tcPr>
            <w:tcW w:w="971" w:type="pct"/>
            <w:vMerge/>
            <w:tcBorders>
              <w:top w:val="nil"/>
              <w:left w:val="single" w:sz="8" w:space="0" w:color="auto"/>
              <w:bottom w:val="single" w:sz="4" w:space="0" w:color="auto"/>
              <w:right w:val="single" w:sz="4" w:space="0" w:color="auto"/>
            </w:tcBorders>
            <w:vAlign w:val="center"/>
            <w:hideMark/>
          </w:tcPr>
          <w:p w14:paraId="59B3B5A0" w14:textId="77777777" w:rsidR="000F06F3" w:rsidRPr="00865420" w:rsidRDefault="000F06F3" w:rsidP="00880E36">
            <w:pPr>
              <w:spacing w:after="0" w:line="480" w:lineRule="auto"/>
              <w:rPr>
                <w:rFonts w:eastAsia="Times New Roman"/>
                <w:szCs w:val="24"/>
              </w:rPr>
            </w:pPr>
          </w:p>
        </w:tc>
        <w:tc>
          <w:tcPr>
            <w:tcW w:w="1130" w:type="pct"/>
            <w:tcBorders>
              <w:top w:val="nil"/>
              <w:left w:val="nil"/>
              <w:bottom w:val="single" w:sz="4" w:space="0" w:color="auto"/>
              <w:right w:val="single" w:sz="4" w:space="0" w:color="auto"/>
            </w:tcBorders>
            <w:shd w:val="clear" w:color="auto" w:fill="auto"/>
            <w:noWrap/>
            <w:vAlign w:val="center"/>
            <w:hideMark/>
          </w:tcPr>
          <w:p w14:paraId="5E4B90FE" w14:textId="77777777" w:rsidR="000F06F3" w:rsidRPr="00865420" w:rsidRDefault="000F06F3" w:rsidP="00880E36">
            <w:pPr>
              <w:spacing w:after="0" w:line="480" w:lineRule="auto"/>
              <w:rPr>
                <w:rFonts w:eastAsia="Times New Roman"/>
                <w:szCs w:val="24"/>
              </w:rPr>
            </w:pPr>
            <w:r w:rsidRPr="00865420">
              <w:rPr>
                <w:rFonts w:eastAsia="Times New Roman"/>
                <w:szCs w:val="24"/>
              </w:rPr>
              <w:t>Whole Oats</w:t>
            </w:r>
          </w:p>
        </w:tc>
        <w:tc>
          <w:tcPr>
            <w:tcW w:w="605" w:type="pct"/>
            <w:tcBorders>
              <w:top w:val="nil"/>
              <w:left w:val="nil"/>
              <w:bottom w:val="single" w:sz="4" w:space="0" w:color="auto"/>
              <w:right w:val="single" w:sz="4" w:space="0" w:color="auto"/>
            </w:tcBorders>
            <w:shd w:val="clear" w:color="auto" w:fill="auto"/>
            <w:noWrap/>
            <w:vAlign w:val="center"/>
            <w:hideMark/>
          </w:tcPr>
          <w:p w14:paraId="14064042" w14:textId="77777777" w:rsidR="000F06F3" w:rsidRPr="00865420" w:rsidRDefault="000F06F3" w:rsidP="00880E36">
            <w:pPr>
              <w:spacing w:after="0" w:line="480" w:lineRule="auto"/>
              <w:jc w:val="center"/>
              <w:rPr>
                <w:rFonts w:eastAsia="Times New Roman"/>
                <w:szCs w:val="24"/>
              </w:rPr>
            </w:pPr>
            <w:r w:rsidRPr="00865420">
              <w:rPr>
                <w:rFonts w:eastAsia="Times New Roman"/>
                <w:szCs w:val="24"/>
              </w:rPr>
              <w:t>22</w:t>
            </w:r>
          </w:p>
        </w:tc>
        <w:tc>
          <w:tcPr>
            <w:tcW w:w="808" w:type="pct"/>
            <w:tcBorders>
              <w:top w:val="nil"/>
              <w:left w:val="nil"/>
              <w:bottom w:val="single" w:sz="4" w:space="0" w:color="auto"/>
              <w:right w:val="single" w:sz="8" w:space="0" w:color="auto"/>
            </w:tcBorders>
            <w:shd w:val="clear" w:color="auto" w:fill="auto"/>
            <w:noWrap/>
            <w:vAlign w:val="center"/>
            <w:hideMark/>
          </w:tcPr>
          <w:p w14:paraId="4EDBF19A" w14:textId="77777777" w:rsidR="000F06F3" w:rsidRPr="00865420" w:rsidRDefault="000F06F3" w:rsidP="00880E36">
            <w:pPr>
              <w:spacing w:after="0" w:line="480" w:lineRule="auto"/>
              <w:jc w:val="center"/>
              <w:rPr>
                <w:rFonts w:eastAsia="Times New Roman"/>
                <w:szCs w:val="24"/>
              </w:rPr>
            </w:pPr>
            <w:r w:rsidRPr="00865420">
              <w:rPr>
                <w:rFonts w:eastAsia="Times New Roman"/>
                <w:szCs w:val="24"/>
              </w:rPr>
              <w:t>29</w:t>
            </w:r>
          </w:p>
        </w:tc>
        <w:tc>
          <w:tcPr>
            <w:tcW w:w="125" w:type="pct"/>
            <w:vAlign w:val="center"/>
            <w:hideMark/>
          </w:tcPr>
          <w:p w14:paraId="66D081AD" w14:textId="77777777" w:rsidR="000F06F3" w:rsidRPr="00865420" w:rsidRDefault="000F06F3" w:rsidP="00880E36">
            <w:pPr>
              <w:spacing w:after="0" w:line="480" w:lineRule="auto"/>
              <w:rPr>
                <w:rFonts w:eastAsia="Times New Roman"/>
                <w:sz w:val="20"/>
                <w:szCs w:val="20"/>
              </w:rPr>
            </w:pPr>
          </w:p>
        </w:tc>
      </w:tr>
      <w:tr w:rsidR="000F06F3" w:rsidRPr="00865420" w14:paraId="2E106BD2" w14:textId="77777777" w:rsidTr="00880E36">
        <w:trPr>
          <w:gridAfter w:val="2"/>
          <w:wAfter w:w="1361" w:type="pct"/>
          <w:trHeight w:val="402"/>
        </w:trPr>
        <w:tc>
          <w:tcPr>
            <w:tcW w:w="971" w:type="pct"/>
            <w:vMerge/>
            <w:tcBorders>
              <w:top w:val="nil"/>
              <w:left w:val="single" w:sz="8" w:space="0" w:color="auto"/>
              <w:bottom w:val="single" w:sz="4" w:space="0" w:color="auto"/>
              <w:right w:val="single" w:sz="4" w:space="0" w:color="auto"/>
            </w:tcBorders>
            <w:vAlign w:val="center"/>
            <w:hideMark/>
          </w:tcPr>
          <w:p w14:paraId="247067A2" w14:textId="77777777" w:rsidR="000F06F3" w:rsidRPr="00865420" w:rsidRDefault="000F06F3" w:rsidP="00880E36">
            <w:pPr>
              <w:spacing w:after="0" w:line="480" w:lineRule="auto"/>
              <w:rPr>
                <w:rFonts w:eastAsia="Times New Roman"/>
                <w:szCs w:val="24"/>
              </w:rPr>
            </w:pPr>
          </w:p>
        </w:tc>
        <w:tc>
          <w:tcPr>
            <w:tcW w:w="1130" w:type="pct"/>
            <w:tcBorders>
              <w:top w:val="nil"/>
              <w:left w:val="nil"/>
              <w:bottom w:val="single" w:sz="4" w:space="0" w:color="auto"/>
              <w:right w:val="single" w:sz="4" w:space="0" w:color="auto"/>
            </w:tcBorders>
            <w:shd w:val="clear" w:color="auto" w:fill="auto"/>
            <w:noWrap/>
            <w:vAlign w:val="center"/>
            <w:hideMark/>
          </w:tcPr>
          <w:p w14:paraId="07447C2F" w14:textId="77777777" w:rsidR="000F06F3" w:rsidRPr="00865420" w:rsidRDefault="000F06F3" w:rsidP="00880E36">
            <w:pPr>
              <w:spacing w:after="0" w:line="480" w:lineRule="auto"/>
              <w:rPr>
                <w:rFonts w:eastAsia="Times New Roman"/>
                <w:szCs w:val="24"/>
              </w:rPr>
            </w:pPr>
            <w:r w:rsidRPr="00865420">
              <w:rPr>
                <w:rFonts w:eastAsia="Times New Roman"/>
                <w:szCs w:val="24"/>
              </w:rPr>
              <w:t>Daikon Radish</w:t>
            </w:r>
          </w:p>
        </w:tc>
        <w:tc>
          <w:tcPr>
            <w:tcW w:w="605" w:type="pct"/>
            <w:tcBorders>
              <w:top w:val="nil"/>
              <w:left w:val="nil"/>
              <w:bottom w:val="single" w:sz="4" w:space="0" w:color="auto"/>
              <w:right w:val="single" w:sz="4" w:space="0" w:color="auto"/>
            </w:tcBorders>
            <w:shd w:val="clear" w:color="auto" w:fill="auto"/>
            <w:noWrap/>
            <w:vAlign w:val="center"/>
            <w:hideMark/>
          </w:tcPr>
          <w:p w14:paraId="695CD1BE" w14:textId="77777777" w:rsidR="000F06F3" w:rsidRPr="00865420" w:rsidRDefault="000F06F3" w:rsidP="00880E36">
            <w:pPr>
              <w:spacing w:after="0" w:line="480" w:lineRule="auto"/>
              <w:jc w:val="center"/>
              <w:rPr>
                <w:rFonts w:eastAsia="Times New Roman"/>
                <w:szCs w:val="24"/>
              </w:rPr>
            </w:pPr>
            <w:r w:rsidRPr="00865420">
              <w:rPr>
                <w:rFonts w:eastAsia="Times New Roman"/>
                <w:szCs w:val="24"/>
              </w:rPr>
              <w:t>2</w:t>
            </w:r>
          </w:p>
        </w:tc>
        <w:tc>
          <w:tcPr>
            <w:tcW w:w="808" w:type="pct"/>
            <w:tcBorders>
              <w:top w:val="nil"/>
              <w:left w:val="nil"/>
              <w:bottom w:val="single" w:sz="4" w:space="0" w:color="auto"/>
              <w:right w:val="single" w:sz="8" w:space="0" w:color="auto"/>
            </w:tcBorders>
            <w:shd w:val="clear" w:color="auto" w:fill="auto"/>
            <w:noWrap/>
            <w:vAlign w:val="center"/>
            <w:hideMark/>
          </w:tcPr>
          <w:p w14:paraId="28E7487B" w14:textId="77777777" w:rsidR="000F06F3" w:rsidRPr="00865420" w:rsidRDefault="000F06F3" w:rsidP="00880E36">
            <w:pPr>
              <w:spacing w:after="0" w:line="480" w:lineRule="auto"/>
              <w:jc w:val="center"/>
              <w:rPr>
                <w:rFonts w:eastAsia="Times New Roman"/>
                <w:szCs w:val="24"/>
              </w:rPr>
            </w:pPr>
            <w:r w:rsidRPr="00865420">
              <w:rPr>
                <w:rFonts w:eastAsia="Times New Roman"/>
                <w:szCs w:val="24"/>
              </w:rPr>
              <w:t>2</w:t>
            </w:r>
          </w:p>
        </w:tc>
        <w:tc>
          <w:tcPr>
            <w:tcW w:w="125" w:type="pct"/>
            <w:vAlign w:val="center"/>
            <w:hideMark/>
          </w:tcPr>
          <w:p w14:paraId="4BD46416" w14:textId="77777777" w:rsidR="000F06F3" w:rsidRPr="00865420" w:rsidRDefault="000F06F3" w:rsidP="00880E36">
            <w:pPr>
              <w:spacing w:after="0" w:line="480" w:lineRule="auto"/>
              <w:rPr>
                <w:rFonts w:eastAsia="Times New Roman"/>
                <w:sz w:val="20"/>
                <w:szCs w:val="20"/>
              </w:rPr>
            </w:pPr>
          </w:p>
        </w:tc>
      </w:tr>
      <w:tr w:rsidR="000F06F3" w:rsidRPr="00865420" w14:paraId="2DECA12A" w14:textId="77777777" w:rsidTr="00880E36">
        <w:trPr>
          <w:gridAfter w:val="2"/>
          <w:wAfter w:w="1361" w:type="pct"/>
          <w:trHeight w:val="402"/>
        </w:trPr>
        <w:tc>
          <w:tcPr>
            <w:tcW w:w="971" w:type="pct"/>
            <w:vMerge/>
            <w:tcBorders>
              <w:top w:val="nil"/>
              <w:left w:val="single" w:sz="8" w:space="0" w:color="auto"/>
              <w:bottom w:val="single" w:sz="4" w:space="0" w:color="auto"/>
              <w:right w:val="single" w:sz="4" w:space="0" w:color="auto"/>
            </w:tcBorders>
            <w:vAlign w:val="center"/>
            <w:hideMark/>
          </w:tcPr>
          <w:p w14:paraId="47052A3C" w14:textId="77777777" w:rsidR="000F06F3" w:rsidRPr="00865420" w:rsidRDefault="000F06F3" w:rsidP="00880E36">
            <w:pPr>
              <w:spacing w:after="0" w:line="480" w:lineRule="auto"/>
              <w:rPr>
                <w:rFonts w:eastAsia="Times New Roman"/>
                <w:szCs w:val="24"/>
              </w:rPr>
            </w:pPr>
          </w:p>
        </w:tc>
        <w:tc>
          <w:tcPr>
            <w:tcW w:w="1130" w:type="pct"/>
            <w:tcBorders>
              <w:top w:val="nil"/>
              <w:left w:val="nil"/>
              <w:bottom w:val="single" w:sz="4" w:space="0" w:color="auto"/>
              <w:right w:val="single" w:sz="4" w:space="0" w:color="auto"/>
            </w:tcBorders>
            <w:shd w:val="clear" w:color="auto" w:fill="auto"/>
            <w:noWrap/>
            <w:vAlign w:val="center"/>
            <w:hideMark/>
          </w:tcPr>
          <w:p w14:paraId="2C321C8F" w14:textId="77777777" w:rsidR="000F06F3" w:rsidRPr="00865420" w:rsidRDefault="000F06F3" w:rsidP="00880E36">
            <w:pPr>
              <w:spacing w:after="0" w:line="480" w:lineRule="auto"/>
              <w:rPr>
                <w:rFonts w:eastAsia="Times New Roman"/>
                <w:szCs w:val="24"/>
              </w:rPr>
            </w:pPr>
            <w:r w:rsidRPr="00865420">
              <w:rPr>
                <w:rFonts w:eastAsia="Times New Roman"/>
                <w:szCs w:val="24"/>
              </w:rPr>
              <w:t>Crimson Clover</w:t>
            </w:r>
          </w:p>
        </w:tc>
        <w:tc>
          <w:tcPr>
            <w:tcW w:w="605" w:type="pct"/>
            <w:tcBorders>
              <w:top w:val="nil"/>
              <w:left w:val="nil"/>
              <w:bottom w:val="single" w:sz="4" w:space="0" w:color="auto"/>
              <w:right w:val="single" w:sz="4" w:space="0" w:color="auto"/>
            </w:tcBorders>
            <w:shd w:val="clear" w:color="auto" w:fill="auto"/>
            <w:noWrap/>
            <w:vAlign w:val="center"/>
            <w:hideMark/>
          </w:tcPr>
          <w:p w14:paraId="197E6ED8" w14:textId="77777777" w:rsidR="000F06F3" w:rsidRPr="00865420" w:rsidRDefault="000F06F3" w:rsidP="00880E36">
            <w:pPr>
              <w:spacing w:after="0" w:line="480" w:lineRule="auto"/>
              <w:jc w:val="center"/>
              <w:rPr>
                <w:rFonts w:eastAsia="Times New Roman"/>
                <w:szCs w:val="24"/>
              </w:rPr>
            </w:pPr>
            <w:r w:rsidRPr="00865420">
              <w:rPr>
                <w:rFonts w:eastAsia="Times New Roman"/>
                <w:szCs w:val="24"/>
              </w:rPr>
              <w:t>4</w:t>
            </w:r>
          </w:p>
        </w:tc>
        <w:tc>
          <w:tcPr>
            <w:tcW w:w="808" w:type="pct"/>
            <w:tcBorders>
              <w:top w:val="nil"/>
              <w:left w:val="nil"/>
              <w:bottom w:val="single" w:sz="4" w:space="0" w:color="auto"/>
              <w:right w:val="single" w:sz="8" w:space="0" w:color="auto"/>
            </w:tcBorders>
            <w:shd w:val="clear" w:color="auto" w:fill="auto"/>
            <w:noWrap/>
            <w:vAlign w:val="center"/>
            <w:hideMark/>
          </w:tcPr>
          <w:p w14:paraId="226F2698" w14:textId="77777777" w:rsidR="000F06F3" w:rsidRPr="00865420" w:rsidRDefault="000F06F3" w:rsidP="00880E36">
            <w:pPr>
              <w:spacing w:after="0" w:line="480" w:lineRule="auto"/>
              <w:jc w:val="center"/>
              <w:rPr>
                <w:rFonts w:eastAsia="Times New Roman"/>
                <w:szCs w:val="24"/>
              </w:rPr>
            </w:pPr>
            <w:r w:rsidRPr="00865420">
              <w:rPr>
                <w:rFonts w:eastAsia="Times New Roman"/>
                <w:szCs w:val="24"/>
              </w:rPr>
              <w:t>5</w:t>
            </w:r>
          </w:p>
        </w:tc>
        <w:tc>
          <w:tcPr>
            <w:tcW w:w="125" w:type="pct"/>
            <w:vAlign w:val="center"/>
            <w:hideMark/>
          </w:tcPr>
          <w:p w14:paraId="1D284BB2" w14:textId="77777777" w:rsidR="000F06F3" w:rsidRPr="00865420" w:rsidRDefault="000F06F3" w:rsidP="00880E36">
            <w:pPr>
              <w:spacing w:after="0" w:line="480" w:lineRule="auto"/>
              <w:rPr>
                <w:rFonts w:eastAsia="Times New Roman"/>
                <w:sz w:val="20"/>
                <w:szCs w:val="20"/>
              </w:rPr>
            </w:pPr>
          </w:p>
        </w:tc>
      </w:tr>
      <w:tr w:rsidR="000F06F3" w:rsidRPr="00865420" w14:paraId="422016EF" w14:textId="77777777" w:rsidTr="00880E36">
        <w:trPr>
          <w:gridAfter w:val="2"/>
          <w:wAfter w:w="1361" w:type="pct"/>
          <w:trHeight w:val="402"/>
        </w:trPr>
        <w:tc>
          <w:tcPr>
            <w:tcW w:w="971" w:type="pct"/>
            <w:vMerge/>
            <w:tcBorders>
              <w:top w:val="nil"/>
              <w:left w:val="single" w:sz="8" w:space="0" w:color="auto"/>
              <w:bottom w:val="single" w:sz="4" w:space="0" w:color="auto"/>
              <w:right w:val="single" w:sz="4" w:space="0" w:color="auto"/>
            </w:tcBorders>
            <w:vAlign w:val="center"/>
            <w:hideMark/>
          </w:tcPr>
          <w:p w14:paraId="69EF9642" w14:textId="77777777" w:rsidR="000F06F3" w:rsidRPr="00865420" w:rsidRDefault="000F06F3" w:rsidP="00880E36">
            <w:pPr>
              <w:spacing w:after="0" w:line="480" w:lineRule="auto"/>
              <w:rPr>
                <w:rFonts w:eastAsia="Times New Roman"/>
                <w:szCs w:val="24"/>
              </w:rPr>
            </w:pPr>
          </w:p>
        </w:tc>
        <w:tc>
          <w:tcPr>
            <w:tcW w:w="1130" w:type="pct"/>
            <w:tcBorders>
              <w:top w:val="nil"/>
              <w:left w:val="nil"/>
              <w:bottom w:val="single" w:sz="4" w:space="0" w:color="auto"/>
              <w:right w:val="single" w:sz="4" w:space="0" w:color="auto"/>
            </w:tcBorders>
            <w:shd w:val="clear" w:color="auto" w:fill="auto"/>
            <w:noWrap/>
            <w:vAlign w:val="center"/>
            <w:hideMark/>
          </w:tcPr>
          <w:p w14:paraId="27643F30" w14:textId="77777777" w:rsidR="000F06F3" w:rsidRPr="00865420" w:rsidRDefault="000F06F3" w:rsidP="00880E36">
            <w:pPr>
              <w:spacing w:after="0" w:line="480" w:lineRule="auto"/>
              <w:rPr>
                <w:rFonts w:eastAsia="Times New Roman"/>
                <w:szCs w:val="24"/>
              </w:rPr>
            </w:pPr>
            <w:r w:rsidRPr="00865420">
              <w:rPr>
                <w:rFonts w:eastAsia="Times New Roman"/>
                <w:szCs w:val="24"/>
              </w:rPr>
              <w:t>Hairy Vetch</w:t>
            </w:r>
          </w:p>
        </w:tc>
        <w:tc>
          <w:tcPr>
            <w:tcW w:w="605" w:type="pct"/>
            <w:tcBorders>
              <w:top w:val="nil"/>
              <w:left w:val="nil"/>
              <w:bottom w:val="single" w:sz="4" w:space="0" w:color="auto"/>
              <w:right w:val="single" w:sz="4" w:space="0" w:color="auto"/>
            </w:tcBorders>
            <w:shd w:val="clear" w:color="auto" w:fill="auto"/>
            <w:noWrap/>
            <w:vAlign w:val="center"/>
            <w:hideMark/>
          </w:tcPr>
          <w:p w14:paraId="4BD8ECC7" w14:textId="77777777" w:rsidR="000F06F3" w:rsidRPr="00865420" w:rsidRDefault="000F06F3" w:rsidP="00880E36">
            <w:pPr>
              <w:spacing w:after="0" w:line="480" w:lineRule="auto"/>
              <w:jc w:val="center"/>
              <w:rPr>
                <w:rFonts w:eastAsia="Times New Roman"/>
                <w:szCs w:val="24"/>
              </w:rPr>
            </w:pPr>
            <w:r w:rsidRPr="00865420">
              <w:rPr>
                <w:rFonts w:eastAsia="Times New Roman"/>
                <w:szCs w:val="24"/>
              </w:rPr>
              <w:t>7</w:t>
            </w:r>
          </w:p>
        </w:tc>
        <w:tc>
          <w:tcPr>
            <w:tcW w:w="808" w:type="pct"/>
            <w:tcBorders>
              <w:top w:val="nil"/>
              <w:left w:val="nil"/>
              <w:bottom w:val="single" w:sz="4" w:space="0" w:color="auto"/>
              <w:right w:val="single" w:sz="8" w:space="0" w:color="auto"/>
            </w:tcBorders>
            <w:shd w:val="clear" w:color="auto" w:fill="auto"/>
            <w:noWrap/>
            <w:vAlign w:val="center"/>
            <w:hideMark/>
          </w:tcPr>
          <w:p w14:paraId="5C006E0D" w14:textId="77777777" w:rsidR="000F06F3" w:rsidRPr="00865420" w:rsidRDefault="000F06F3" w:rsidP="00880E36">
            <w:pPr>
              <w:spacing w:after="0" w:line="480" w:lineRule="auto"/>
              <w:jc w:val="center"/>
              <w:rPr>
                <w:rFonts w:eastAsia="Times New Roman"/>
                <w:szCs w:val="24"/>
              </w:rPr>
            </w:pPr>
            <w:r w:rsidRPr="00865420">
              <w:rPr>
                <w:rFonts w:eastAsia="Times New Roman"/>
                <w:szCs w:val="24"/>
              </w:rPr>
              <w:t>9</w:t>
            </w:r>
          </w:p>
        </w:tc>
        <w:tc>
          <w:tcPr>
            <w:tcW w:w="125" w:type="pct"/>
            <w:vAlign w:val="center"/>
            <w:hideMark/>
          </w:tcPr>
          <w:p w14:paraId="178AC7CF" w14:textId="77777777" w:rsidR="000F06F3" w:rsidRPr="00865420" w:rsidRDefault="000F06F3" w:rsidP="00880E36">
            <w:pPr>
              <w:spacing w:after="0" w:line="480" w:lineRule="auto"/>
              <w:rPr>
                <w:rFonts w:eastAsia="Times New Roman"/>
                <w:sz w:val="20"/>
                <w:szCs w:val="20"/>
              </w:rPr>
            </w:pPr>
          </w:p>
        </w:tc>
      </w:tr>
      <w:tr w:rsidR="000F06F3" w:rsidRPr="00865420" w14:paraId="32F1931F" w14:textId="77777777" w:rsidTr="00880E36">
        <w:trPr>
          <w:trHeight w:val="402"/>
        </w:trPr>
        <w:tc>
          <w:tcPr>
            <w:tcW w:w="971" w:type="pct"/>
            <w:tcBorders>
              <w:top w:val="nil"/>
              <w:left w:val="single" w:sz="8" w:space="0" w:color="auto"/>
              <w:bottom w:val="single" w:sz="8" w:space="0" w:color="auto"/>
              <w:right w:val="single" w:sz="4" w:space="0" w:color="auto"/>
            </w:tcBorders>
            <w:shd w:val="clear" w:color="auto" w:fill="auto"/>
            <w:noWrap/>
            <w:vAlign w:val="center"/>
            <w:hideMark/>
          </w:tcPr>
          <w:p w14:paraId="641C9448" w14:textId="77777777" w:rsidR="000F06F3" w:rsidRPr="00865420" w:rsidRDefault="000F06F3" w:rsidP="00880E36">
            <w:pPr>
              <w:spacing w:after="0" w:line="480" w:lineRule="auto"/>
              <w:jc w:val="center"/>
              <w:rPr>
                <w:rFonts w:eastAsia="Times New Roman"/>
                <w:szCs w:val="24"/>
              </w:rPr>
            </w:pPr>
            <w:r w:rsidRPr="00865420">
              <w:rPr>
                <w:rFonts w:eastAsia="Times New Roman"/>
                <w:szCs w:val="24"/>
              </w:rPr>
              <w:t>NCC (control)</w:t>
            </w:r>
          </w:p>
        </w:tc>
        <w:tc>
          <w:tcPr>
            <w:tcW w:w="1130" w:type="pct"/>
            <w:tcBorders>
              <w:top w:val="nil"/>
              <w:left w:val="nil"/>
              <w:bottom w:val="single" w:sz="8" w:space="0" w:color="auto"/>
              <w:right w:val="single" w:sz="4" w:space="0" w:color="auto"/>
            </w:tcBorders>
            <w:shd w:val="clear" w:color="auto" w:fill="auto"/>
            <w:noWrap/>
            <w:vAlign w:val="center"/>
            <w:hideMark/>
          </w:tcPr>
          <w:p w14:paraId="3771769B" w14:textId="77777777" w:rsidR="000F06F3" w:rsidRPr="00865420" w:rsidRDefault="000F06F3" w:rsidP="00880E36">
            <w:pPr>
              <w:spacing w:after="0" w:line="480" w:lineRule="auto"/>
              <w:rPr>
                <w:rFonts w:eastAsia="Times New Roman"/>
                <w:szCs w:val="24"/>
              </w:rPr>
            </w:pPr>
            <w:r w:rsidRPr="00865420">
              <w:rPr>
                <w:rFonts w:eastAsia="Times New Roman"/>
                <w:szCs w:val="24"/>
              </w:rPr>
              <w:t>None</w:t>
            </w:r>
          </w:p>
        </w:tc>
        <w:tc>
          <w:tcPr>
            <w:tcW w:w="1413" w:type="pct"/>
            <w:gridSpan w:val="2"/>
            <w:tcBorders>
              <w:top w:val="single" w:sz="4" w:space="0" w:color="auto"/>
              <w:left w:val="nil"/>
              <w:bottom w:val="single" w:sz="8" w:space="0" w:color="auto"/>
              <w:right w:val="single" w:sz="8" w:space="0" w:color="000000"/>
            </w:tcBorders>
            <w:shd w:val="clear" w:color="auto" w:fill="auto"/>
            <w:noWrap/>
            <w:vAlign w:val="center"/>
            <w:hideMark/>
          </w:tcPr>
          <w:p w14:paraId="16DFFA18" w14:textId="77777777" w:rsidR="000F06F3" w:rsidRPr="00865420" w:rsidRDefault="000F06F3" w:rsidP="00880E36">
            <w:pPr>
              <w:spacing w:after="0" w:line="480" w:lineRule="auto"/>
              <w:jc w:val="center"/>
              <w:rPr>
                <w:rFonts w:eastAsia="Times New Roman"/>
                <w:szCs w:val="24"/>
              </w:rPr>
            </w:pPr>
            <w:r w:rsidRPr="00865420">
              <w:rPr>
                <w:rFonts w:eastAsia="Times New Roman"/>
                <w:szCs w:val="24"/>
              </w:rPr>
              <w:t>No planted cover</w:t>
            </w:r>
          </w:p>
        </w:tc>
        <w:tc>
          <w:tcPr>
            <w:tcW w:w="1487" w:type="pct"/>
            <w:gridSpan w:val="3"/>
            <w:vAlign w:val="center"/>
            <w:hideMark/>
          </w:tcPr>
          <w:p w14:paraId="298A1FC5" w14:textId="77777777" w:rsidR="000F06F3" w:rsidRPr="00865420" w:rsidRDefault="000F06F3" w:rsidP="00880E36">
            <w:pPr>
              <w:spacing w:after="0" w:line="480" w:lineRule="auto"/>
              <w:rPr>
                <w:rFonts w:eastAsia="Times New Roman"/>
                <w:sz w:val="20"/>
                <w:szCs w:val="20"/>
              </w:rPr>
            </w:pPr>
          </w:p>
        </w:tc>
      </w:tr>
      <w:tr w:rsidR="000F06F3" w:rsidRPr="00865420" w14:paraId="282B9519" w14:textId="77777777" w:rsidTr="00880E36">
        <w:trPr>
          <w:trHeight w:val="402"/>
        </w:trPr>
        <w:tc>
          <w:tcPr>
            <w:tcW w:w="4875" w:type="pct"/>
            <w:gridSpan w:val="6"/>
            <w:tcBorders>
              <w:top w:val="nil"/>
              <w:left w:val="nil"/>
              <w:bottom w:val="nil"/>
              <w:right w:val="nil"/>
            </w:tcBorders>
            <w:shd w:val="clear" w:color="auto" w:fill="auto"/>
            <w:noWrap/>
            <w:vAlign w:val="center"/>
            <w:hideMark/>
          </w:tcPr>
          <w:p w14:paraId="78A5DBD5" w14:textId="77777777" w:rsidR="000F06F3" w:rsidRDefault="000F06F3" w:rsidP="00880E36">
            <w:pPr>
              <w:spacing w:after="0" w:line="480" w:lineRule="auto"/>
              <w:rPr>
                <w:rFonts w:eastAsia="Times New Roman"/>
                <w:b/>
                <w:bCs/>
                <w:szCs w:val="24"/>
                <w:u w:val="single"/>
              </w:rPr>
            </w:pPr>
            <w:r w:rsidRPr="00865420">
              <w:rPr>
                <w:rFonts w:eastAsia="Times New Roman"/>
                <w:b/>
                <w:bCs/>
                <w:szCs w:val="24"/>
                <w:u w:val="single"/>
              </w:rPr>
              <w:t>Table 1</w:t>
            </w:r>
            <w:r>
              <w:rPr>
                <w:rFonts w:eastAsia="Times New Roman"/>
                <w:b/>
                <w:bCs/>
                <w:szCs w:val="24"/>
                <w:u w:val="single"/>
              </w:rPr>
              <w:t>.</w:t>
            </w:r>
            <w:r w:rsidRPr="00865420">
              <w:rPr>
                <w:rFonts w:eastAsia="Times New Roman"/>
                <w:b/>
                <w:bCs/>
                <w:szCs w:val="24"/>
                <w:u w:val="single"/>
              </w:rPr>
              <w:t xml:space="preserve"> </w:t>
            </w:r>
            <w:r>
              <w:rPr>
                <w:rFonts w:eastAsia="Times New Roman"/>
                <w:b/>
                <w:bCs/>
                <w:szCs w:val="24"/>
                <w:u w:val="single"/>
              </w:rPr>
              <w:t xml:space="preserve">Cover Crop </w:t>
            </w:r>
            <w:r w:rsidRPr="00865420">
              <w:rPr>
                <w:rFonts w:eastAsia="Times New Roman"/>
                <w:b/>
                <w:bCs/>
                <w:szCs w:val="24"/>
                <w:u w:val="single"/>
              </w:rPr>
              <w:t xml:space="preserve">Seeding </w:t>
            </w:r>
            <w:r>
              <w:rPr>
                <w:rFonts w:eastAsia="Times New Roman"/>
                <w:b/>
                <w:bCs/>
                <w:szCs w:val="24"/>
                <w:u w:val="single"/>
              </w:rPr>
              <w:t>R</w:t>
            </w:r>
            <w:r w:rsidRPr="00865420">
              <w:rPr>
                <w:rFonts w:eastAsia="Times New Roman"/>
                <w:b/>
                <w:bCs/>
                <w:szCs w:val="24"/>
                <w:u w:val="single"/>
              </w:rPr>
              <w:t>ates at</w:t>
            </w:r>
            <w:r>
              <w:rPr>
                <w:rFonts w:eastAsia="Times New Roman"/>
                <w:b/>
                <w:bCs/>
                <w:szCs w:val="24"/>
                <w:u w:val="single"/>
              </w:rPr>
              <w:t xml:space="preserve"> Milan</w:t>
            </w:r>
          </w:p>
          <w:p w14:paraId="0DEF76D7" w14:textId="77777777" w:rsidR="000F06F3" w:rsidRDefault="000F06F3" w:rsidP="00880E36">
            <w:pPr>
              <w:spacing w:after="0" w:line="480" w:lineRule="auto"/>
              <w:rPr>
                <w:rFonts w:eastAsia="Times New Roman"/>
                <w:b/>
                <w:bCs/>
                <w:szCs w:val="24"/>
                <w:u w:val="single"/>
              </w:rPr>
            </w:pPr>
          </w:p>
          <w:p w14:paraId="36AEBE58" w14:textId="77777777" w:rsidR="000F06F3" w:rsidRDefault="000F06F3" w:rsidP="00880E36">
            <w:pPr>
              <w:spacing w:after="0" w:line="480" w:lineRule="auto"/>
              <w:rPr>
                <w:rFonts w:eastAsia="Times New Roman"/>
                <w:b/>
                <w:bCs/>
                <w:szCs w:val="24"/>
                <w:u w:val="single"/>
              </w:rPr>
            </w:pPr>
          </w:p>
          <w:p w14:paraId="68C8FE33" w14:textId="77777777" w:rsidR="000F06F3" w:rsidRPr="00865420" w:rsidRDefault="000F06F3" w:rsidP="00880E36">
            <w:pPr>
              <w:spacing w:after="0" w:line="480" w:lineRule="auto"/>
              <w:rPr>
                <w:rFonts w:eastAsia="Times New Roman"/>
                <w:b/>
                <w:bCs/>
                <w:szCs w:val="24"/>
                <w:u w:val="single"/>
              </w:rPr>
            </w:pPr>
          </w:p>
        </w:tc>
        <w:tc>
          <w:tcPr>
            <w:tcW w:w="125" w:type="pct"/>
            <w:vAlign w:val="center"/>
            <w:hideMark/>
          </w:tcPr>
          <w:p w14:paraId="01CCC844" w14:textId="77777777" w:rsidR="000F06F3" w:rsidRPr="00865420" w:rsidRDefault="000F06F3" w:rsidP="00880E36">
            <w:pPr>
              <w:spacing w:after="0" w:line="480" w:lineRule="auto"/>
              <w:rPr>
                <w:rFonts w:eastAsia="Times New Roman"/>
                <w:b/>
                <w:bCs/>
                <w:sz w:val="20"/>
                <w:szCs w:val="20"/>
                <w:u w:val="single"/>
              </w:rPr>
            </w:pPr>
          </w:p>
        </w:tc>
      </w:tr>
    </w:tbl>
    <w:p w14:paraId="2B03A2FF" w14:textId="77777777" w:rsidR="000F06F3" w:rsidRDefault="000F06F3" w:rsidP="000F06F3">
      <w:pPr>
        <w:spacing w:line="480" w:lineRule="auto"/>
        <w:rPr>
          <w:rFonts w:eastAsiaTheme="minorEastAsia"/>
          <w:color w:val="000000" w:themeColor="text1"/>
          <w:kern w:val="24"/>
        </w:rPr>
      </w:pPr>
      <w:r>
        <w:rPr>
          <w:rFonts w:eastAsiaTheme="minorEastAsia"/>
          <w:color w:val="000000" w:themeColor="text1"/>
          <w:kern w:val="24"/>
        </w:rPr>
        <w:t xml:space="preserve">          </w:t>
      </w:r>
    </w:p>
    <w:p w14:paraId="4590E2FC" w14:textId="77777777" w:rsidR="000F06F3" w:rsidRDefault="000F06F3" w:rsidP="000F06F3">
      <w:pPr>
        <w:spacing w:line="480" w:lineRule="auto"/>
        <w:jc w:val="center"/>
      </w:pPr>
      <w:r w:rsidRPr="00FC1608">
        <w:rPr>
          <w:noProof/>
        </w:rPr>
        <w:lastRenderedPageBreak/>
        <w:drawing>
          <wp:inline distT="0" distB="0" distL="0" distR="0" wp14:anchorId="7F5195A9" wp14:editId="77E77305">
            <wp:extent cx="5943600" cy="3423285"/>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3423285"/>
                    </a:xfrm>
                    <a:prstGeom prst="rect">
                      <a:avLst/>
                    </a:prstGeom>
                    <a:noFill/>
                    <a:ln>
                      <a:noFill/>
                    </a:ln>
                  </pic:spPr>
                </pic:pic>
              </a:graphicData>
            </a:graphic>
          </wp:inline>
        </w:drawing>
      </w:r>
    </w:p>
    <w:p w14:paraId="6260A8EC" w14:textId="77777777" w:rsidR="000F06F3" w:rsidRDefault="000F06F3" w:rsidP="000F06F3">
      <w:pPr>
        <w:spacing w:line="480" w:lineRule="auto"/>
        <w:rPr>
          <w:b/>
          <w:bCs/>
          <w:u w:val="single"/>
        </w:rPr>
      </w:pPr>
      <w:r>
        <w:rPr>
          <w:b/>
          <w:bCs/>
          <w:u w:val="single"/>
        </w:rPr>
        <w:t>Figure 1. Experimental Layout of Cover Crop Experiment at Milan</w:t>
      </w:r>
    </w:p>
    <w:p w14:paraId="313D5B99" w14:textId="77777777" w:rsidR="000F06F3" w:rsidRDefault="000F06F3" w:rsidP="000F06F3">
      <w:pPr>
        <w:spacing w:line="480" w:lineRule="auto"/>
        <w:rPr>
          <w:b/>
          <w:bCs/>
          <w:u w:val="single"/>
        </w:rPr>
      </w:pPr>
    </w:p>
    <w:p w14:paraId="19EFCBB5" w14:textId="77777777" w:rsidR="000F06F3" w:rsidRDefault="000F06F3" w:rsidP="000F06F3">
      <w:pPr>
        <w:spacing w:line="480" w:lineRule="auto"/>
      </w:pPr>
    </w:p>
    <w:p w14:paraId="1F66B167" w14:textId="77777777" w:rsidR="000F06F3" w:rsidRPr="00181DFE" w:rsidRDefault="000F06F3" w:rsidP="000F06F3">
      <w:pPr>
        <w:spacing w:line="480" w:lineRule="auto"/>
        <w:rPr>
          <w:b/>
          <w:bCs/>
        </w:rPr>
      </w:pPr>
      <w:r w:rsidRPr="00181DFE">
        <w:rPr>
          <w:b/>
          <w:bCs/>
        </w:rPr>
        <w:t xml:space="preserve">The University of Tennessee’s </w:t>
      </w:r>
      <w:r>
        <w:rPr>
          <w:b/>
          <w:bCs/>
        </w:rPr>
        <w:t xml:space="preserve">Middle Tennessee </w:t>
      </w:r>
      <w:r w:rsidRPr="00181DFE">
        <w:rPr>
          <w:b/>
          <w:bCs/>
        </w:rPr>
        <w:t>Research and Education Center at Spring Hill (MTREC)</w:t>
      </w:r>
    </w:p>
    <w:p w14:paraId="41B07D4E" w14:textId="77777777" w:rsidR="000F06F3" w:rsidRDefault="000F06F3" w:rsidP="000F06F3">
      <w:pPr>
        <w:spacing w:line="480" w:lineRule="auto"/>
      </w:pPr>
      <w:r>
        <w:tab/>
        <w:t>The middle Tennessee site is located at MTREC in Maury county. This experiment was established in 2018 as a no-till cover crop trial evaluating common cover crop species and/or combinations (mixes) of these same species. The experimental design is a randomized complete block design (RCBD) of 4 blocks with 14 treatments or plots per block.</w:t>
      </w:r>
      <w:r w:rsidRPr="00503167">
        <w:t xml:space="preserve"> </w:t>
      </w:r>
      <w:r>
        <w:t xml:space="preserve">All areas are managed for no-till production row cropping using the Tennessee Natural Resource Conservation Service (NRCS) guidelines for seeding rates and crop management. This site receives only natural rainfall for moisture. Following termination of the of the cover crops each spring, the plots are </w:t>
      </w:r>
      <w:r>
        <w:lastRenderedPageBreak/>
        <w:t>planted in a corn-soy rotation. Soybeans (</w:t>
      </w:r>
      <w:r>
        <w:rPr>
          <w:i/>
          <w:iCs/>
        </w:rPr>
        <w:t>Glycine max L.</w:t>
      </w:r>
      <w:r>
        <w:t>) were grown in 2019 and corn (</w:t>
      </w:r>
      <w:proofErr w:type="spellStart"/>
      <w:r>
        <w:rPr>
          <w:i/>
          <w:iCs/>
        </w:rPr>
        <w:t>Zea</w:t>
      </w:r>
      <w:proofErr w:type="spellEnd"/>
      <w:r>
        <w:rPr>
          <w:i/>
          <w:iCs/>
        </w:rPr>
        <w:t xml:space="preserve"> mays L.</w:t>
      </w:r>
      <w:r>
        <w:t xml:space="preserve">) will be grown in 2020. </w:t>
      </w:r>
      <w:r w:rsidRPr="00133C79">
        <w:rPr>
          <w:rFonts w:eastAsia="Times New Roman"/>
          <w:szCs w:val="24"/>
        </w:rPr>
        <w:t xml:space="preserve">This location has </w:t>
      </w:r>
      <w:r>
        <w:rPr>
          <w:rFonts w:eastAsia="Times New Roman"/>
          <w:szCs w:val="24"/>
        </w:rPr>
        <w:t xml:space="preserve">two </w:t>
      </w:r>
      <w:r w:rsidRPr="00133C79">
        <w:rPr>
          <w:rFonts w:eastAsia="Times New Roman"/>
          <w:szCs w:val="24"/>
        </w:rPr>
        <w:t xml:space="preserve">primary soil series: Maury silt loam (fine, mixed, active, mesic Typic </w:t>
      </w:r>
      <w:proofErr w:type="spellStart"/>
      <w:r w:rsidRPr="00133C79">
        <w:rPr>
          <w:rFonts w:eastAsia="Times New Roman"/>
          <w:szCs w:val="24"/>
        </w:rPr>
        <w:t>Paleudalf</w:t>
      </w:r>
      <w:proofErr w:type="spellEnd"/>
      <w:r w:rsidRPr="00133C79">
        <w:rPr>
          <w:rFonts w:eastAsia="Times New Roman"/>
          <w:szCs w:val="24"/>
        </w:rPr>
        <w:t>) and Huntington silt loam (fine-silty, mixed, active, mesic Fluventic Hapludoll).</w:t>
      </w:r>
      <w:r>
        <w:t xml:space="preserve"> Prior to the current experiment, this area was used for crop variety trials as well as a long-term tall fescue dominated sod experiment. </w:t>
      </w:r>
      <w:r>
        <w:rPr>
          <w:rFonts w:eastAsiaTheme="minorEastAsia"/>
          <w:color w:val="000000" w:themeColor="text1"/>
          <w:kern w:val="24"/>
        </w:rPr>
        <w:t>Each plot measures approximately 10’ x 30’ (3.05m x 9.14m) and receives one cover crop treatment during the non-cropping season.</w:t>
      </w:r>
      <w:bookmarkStart w:id="3" w:name="_Hlk47008327"/>
      <w:r>
        <w:rPr>
          <w:rFonts w:eastAsiaTheme="minorEastAsia"/>
          <w:color w:val="000000" w:themeColor="text1"/>
          <w:kern w:val="24"/>
        </w:rPr>
        <w:t xml:space="preserve"> The cover crops being evaluated in this study are: cereal rye (</w:t>
      </w:r>
      <w:r>
        <w:rPr>
          <w:rFonts w:eastAsiaTheme="minorEastAsia"/>
          <w:i/>
          <w:iCs/>
          <w:color w:val="000000" w:themeColor="text1"/>
          <w:kern w:val="24"/>
        </w:rPr>
        <w:t>Secale cereale L.</w:t>
      </w:r>
      <w:r>
        <w:rPr>
          <w:rFonts w:eastAsiaTheme="minorEastAsia"/>
          <w:color w:val="000000" w:themeColor="text1"/>
          <w:kern w:val="24"/>
        </w:rPr>
        <w:t xml:space="preserve"> or CR), wheat (</w:t>
      </w:r>
      <w:r>
        <w:rPr>
          <w:rFonts w:eastAsiaTheme="minorEastAsia"/>
          <w:i/>
          <w:iCs/>
          <w:color w:val="000000" w:themeColor="text1"/>
          <w:kern w:val="24"/>
        </w:rPr>
        <w:t xml:space="preserve">Triticum </w:t>
      </w:r>
      <w:proofErr w:type="spellStart"/>
      <w:r>
        <w:rPr>
          <w:rFonts w:eastAsiaTheme="minorEastAsia"/>
          <w:i/>
          <w:iCs/>
          <w:color w:val="000000" w:themeColor="text1"/>
          <w:kern w:val="24"/>
        </w:rPr>
        <w:t>aestivum</w:t>
      </w:r>
      <w:proofErr w:type="spellEnd"/>
      <w:r>
        <w:rPr>
          <w:rFonts w:eastAsiaTheme="minorEastAsia"/>
          <w:i/>
          <w:iCs/>
          <w:color w:val="000000" w:themeColor="text1"/>
          <w:kern w:val="24"/>
        </w:rPr>
        <w:t xml:space="preserve"> L. </w:t>
      </w:r>
      <w:r>
        <w:rPr>
          <w:rFonts w:eastAsiaTheme="minorEastAsia"/>
          <w:color w:val="000000" w:themeColor="text1"/>
          <w:kern w:val="24"/>
        </w:rPr>
        <w:t xml:space="preserve">or W), a mix </w:t>
      </w:r>
      <w:proofErr w:type="spellStart"/>
      <w:r>
        <w:rPr>
          <w:rFonts w:eastAsiaTheme="minorEastAsia"/>
          <w:color w:val="000000" w:themeColor="text1"/>
          <w:kern w:val="24"/>
        </w:rPr>
        <w:t>ofwheat</w:t>
      </w:r>
      <w:proofErr w:type="spellEnd"/>
      <w:r>
        <w:rPr>
          <w:rFonts w:eastAsiaTheme="minorEastAsia"/>
          <w:color w:val="000000" w:themeColor="text1"/>
          <w:kern w:val="24"/>
        </w:rPr>
        <w:t xml:space="preserve"> &amp; crimson clover (</w:t>
      </w:r>
      <w:r>
        <w:rPr>
          <w:rFonts w:eastAsiaTheme="minorEastAsia"/>
          <w:i/>
          <w:iCs/>
          <w:color w:val="000000" w:themeColor="text1"/>
          <w:kern w:val="24"/>
        </w:rPr>
        <w:t xml:space="preserve">Trifolium </w:t>
      </w:r>
      <w:proofErr w:type="spellStart"/>
      <w:r>
        <w:rPr>
          <w:rFonts w:eastAsiaTheme="minorEastAsia"/>
          <w:i/>
          <w:iCs/>
          <w:color w:val="000000" w:themeColor="text1"/>
          <w:kern w:val="24"/>
        </w:rPr>
        <w:t>incarnatum</w:t>
      </w:r>
      <w:proofErr w:type="spellEnd"/>
      <w:r>
        <w:rPr>
          <w:rFonts w:eastAsiaTheme="minorEastAsia"/>
          <w:i/>
          <w:iCs/>
          <w:color w:val="000000" w:themeColor="text1"/>
          <w:kern w:val="24"/>
        </w:rPr>
        <w:t xml:space="preserve"> L.</w:t>
      </w:r>
      <w:r>
        <w:rPr>
          <w:rFonts w:eastAsiaTheme="minorEastAsia"/>
          <w:color w:val="000000" w:themeColor="text1"/>
          <w:kern w:val="24"/>
        </w:rPr>
        <w:t xml:space="preserve"> or WCC), a three species NRCS “soil health” mix containing wheat, crimson clover, and Austrian winter peas (</w:t>
      </w:r>
      <w:r>
        <w:rPr>
          <w:rFonts w:eastAsiaTheme="minorEastAsia"/>
          <w:i/>
          <w:iCs/>
          <w:color w:val="000000" w:themeColor="text1"/>
          <w:kern w:val="24"/>
        </w:rPr>
        <w:t>Pisum sativum L.</w:t>
      </w:r>
      <w:r>
        <w:rPr>
          <w:rFonts w:eastAsiaTheme="minorEastAsia"/>
          <w:color w:val="000000" w:themeColor="text1"/>
          <w:kern w:val="24"/>
        </w:rPr>
        <w:t xml:space="preserve"> or SHM-A), a three species NRCS “soil health” mix containing cereal rye, crimson clover, and Austrian winter peas (SHM-B), and a no cover crop control (NCC).</w:t>
      </w:r>
      <w:bookmarkEnd w:id="3"/>
      <w:r>
        <w:t xml:space="preserve"> This landscape has been under no-till management for at least 20 continuous years.  </w:t>
      </w:r>
    </w:p>
    <w:p w14:paraId="2AC3FEB7" w14:textId="77777777" w:rsidR="000F06F3" w:rsidRDefault="000F06F3" w:rsidP="000F06F3">
      <w:pPr>
        <w:spacing w:line="480" w:lineRule="auto"/>
      </w:pPr>
    </w:p>
    <w:p w14:paraId="3C0F831B" w14:textId="77777777" w:rsidR="000F06F3" w:rsidRDefault="000F06F3" w:rsidP="000F06F3">
      <w:pPr>
        <w:spacing w:line="480" w:lineRule="auto"/>
      </w:pPr>
    </w:p>
    <w:p w14:paraId="3A25675E" w14:textId="77777777" w:rsidR="000F06F3" w:rsidRDefault="000F06F3" w:rsidP="000F06F3">
      <w:pPr>
        <w:spacing w:line="480" w:lineRule="auto"/>
      </w:pPr>
    </w:p>
    <w:p w14:paraId="47FB62B4" w14:textId="77777777" w:rsidR="000F06F3" w:rsidRDefault="000F06F3" w:rsidP="000F06F3">
      <w:pPr>
        <w:spacing w:line="480" w:lineRule="auto"/>
      </w:pPr>
    </w:p>
    <w:p w14:paraId="12068044" w14:textId="77777777" w:rsidR="000F06F3" w:rsidRDefault="000F06F3" w:rsidP="000F06F3">
      <w:pPr>
        <w:spacing w:line="480" w:lineRule="auto"/>
      </w:pPr>
    </w:p>
    <w:p w14:paraId="1E736142" w14:textId="77777777" w:rsidR="000F06F3" w:rsidRDefault="000F06F3" w:rsidP="000F06F3">
      <w:pPr>
        <w:spacing w:line="480" w:lineRule="auto"/>
      </w:pPr>
    </w:p>
    <w:tbl>
      <w:tblPr>
        <w:tblpPr w:leftFromText="180" w:rightFromText="180" w:vertAnchor="text" w:horzAnchor="margin" w:tblpXSpec="center" w:tblpY="92"/>
        <w:tblW w:w="5356" w:type="dxa"/>
        <w:tblLook w:val="04A0" w:firstRow="1" w:lastRow="0" w:firstColumn="1" w:lastColumn="0" w:noHBand="0" w:noVBand="1"/>
      </w:tblPr>
      <w:tblGrid>
        <w:gridCol w:w="1580"/>
        <w:gridCol w:w="1780"/>
        <w:gridCol w:w="1760"/>
        <w:gridCol w:w="236"/>
      </w:tblGrid>
      <w:tr w:rsidR="000F06F3" w:rsidRPr="002B1D59" w14:paraId="5416CADC" w14:textId="77777777" w:rsidTr="00880E36">
        <w:trPr>
          <w:gridAfter w:val="1"/>
          <w:wAfter w:w="236" w:type="dxa"/>
          <w:trHeight w:val="672"/>
        </w:trPr>
        <w:tc>
          <w:tcPr>
            <w:tcW w:w="158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4B66EF6D" w14:textId="77777777" w:rsidR="000F06F3" w:rsidRPr="0090789C" w:rsidRDefault="000F06F3" w:rsidP="00880E36">
            <w:pPr>
              <w:spacing w:after="0" w:line="480" w:lineRule="auto"/>
              <w:jc w:val="center"/>
              <w:rPr>
                <w:rFonts w:eastAsia="Times New Roman"/>
                <w:b/>
                <w:bCs/>
                <w:szCs w:val="24"/>
              </w:rPr>
            </w:pPr>
            <w:r w:rsidRPr="0090789C">
              <w:rPr>
                <w:rFonts w:eastAsia="Times New Roman"/>
                <w:b/>
                <w:bCs/>
                <w:szCs w:val="24"/>
              </w:rPr>
              <w:t>Treatment</w:t>
            </w:r>
          </w:p>
        </w:tc>
        <w:tc>
          <w:tcPr>
            <w:tcW w:w="178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46FC0941" w14:textId="77777777" w:rsidR="000F06F3" w:rsidRPr="0090789C" w:rsidRDefault="000F06F3" w:rsidP="00880E36">
            <w:pPr>
              <w:spacing w:after="0" w:line="480" w:lineRule="auto"/>
              <w:jc w:val="center"/>
              <w:rPr>
                <w:rFonts w:eastAsia="Times New Roman"/>
                <w:b/>
                <w:bCs/>
                <w:szCs w:val="24"/>
              </w:rPr>
            </w:pPr>
            <w:r>
              <w:rPr>
                <w:rFonts w:eastAsia="Times New Roman"/>
                <w:b/>
                <w:bCs/>
                <w:szCs w:val="24"/>
              </w:rPr>
              <w:t xml:space="preserve">Cover </w:t>
            </w:r>
            <w:r w:rsidRPr="0090789C">
              <w:rPr>
                <w:rFonts w:eastAsia="Times New Roman"/>
                <w:b/>
                <w:bCs/>
                <w:szCs w:val="24"/>
              </w:rPr>
              <w:t>Crop</w:t>
            </w:r>
          </w:p>
        </w:tc>
        <w:tc>
          <w:tcPr>
            <w:tcW w:w="17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DFBE897" w14:textId="77777777" w:rsidR="000F06F3" w:rsidRPr="0090789C" w:rsidRDefault="000F06F3" w:rsidP="00880E36">
            <w:pPr>
              <w:spacing w:after="0" w:line="480" w:lineRule="auto"/>
              <w:jc w:val="center"/>
              <w:rPr>
                <w:rFonts w:eastAsia="Times New Roman"/>
                <w:b/>
                <w:bCs/>
                <w:color w:val="000000"/>
                <w:szCs w:val="24"/>
              </w:rPr>
            </w:pPr>
            <w:r w:rsidRPr="0090789C">
              <w:rPr>
                <w:rFonts w:eastAsia="Times New Roman"/>
                <w:b/>
                <w:bCs/>
                <w:color w:val="000000"/>
                <w:szCs w:val="24"/>
              </w:rPr>
              <w:t>Drilled Rate (kg/ha)</w:t>
            </w:r>
          </w:p>
        </w:tc>
      </w:tr>
      <w:tr w:rsidR="000F06F3" w:rsidRPr="002B1D59" w14:paraId="47EF6898" w14:textId="77777777" w:rsidTr="00880E36">
        <w:trPr>
          <w:trHeight w:val="492"/>
        </w:trPr>
        <w:tc>
          <w:tcPr>
            <w:tcW w:w="1580" w:type="dxa"/>
            <w:vMerge/>
            <w:tcBorders>
              <w:top w:val="single" w:sz="8" w:space="0" w:color="auto"/>
              <w:left w:val="single" w:sz="8" w:space="0" w:color="auto"/>
              <w:bottom w:val="single" w:sz="8" w:space="0" w:color="000000"/>
              <w:right w:val="single" w:sz="8" w:space="0" w:color="auto"/>
            </w:tcBorders>
            <w:vAlign w:val="center"/>
            <w:hideMark/>
          </w:tcPr>
          <w:p w14:paraId="09714A3E" w14:textId="77777777" w:rsidR="000F06F3" w:rsidRPr="002B1D59" w:rsidRDefault="000F06F3" w:rsidP="00880E36">
            <w:pPr>
              <w:spacing w:after="0" w:line="480" w:lineRule="auto"/>
              <w:rPr>
                <w:rFonts w:eastAsia="Times New Roman"/>
                <w:b/>
                <w:bCs/>
                <w:sz w:val="28"/>
                <w:szCs w:val="28"/>
              </w:rPr>
            </w:pPr>
          </w:p>
        </w:tc>
        <w:tc>
          <w:tcPr>
            <w:tcW w:w="1780" w:type="dxa"/>
            <w:vMerge/>
            <w:tcBorders>
              <w:top w:val="single" w:sz="8" w:space="0" w:color="auto"/>
              <w:left w:val="single" w:sz="8" w:space="0" w:color="auto"/>
              <w:bottom w:val="single" w:sz="8" w:space="0" w:color="000000"/>
              <w:right w:val="single" w:sz="8" w:space="0" w:color="auto"/>
            </w:tcBorders>
            <w:vAlign w:val="center"/>
            <w:hideMark/>
          </w:tcPr>
          <w:p w14:paraId="5A39EAB6" w14:textId="77777777" w:rsidR="000F06F3" w:rsidRPr="002B1D59" w:rsidRDefault="000F06F3" w:rsidP="00880E36">
            <w:pPr>
              <w:spacing w:after="0" w:line="480" w:lineRule="auto"/>
              <w:rPr>
                <w:rFonts w:eastAsia="Times New Roman"/>
                <w:b/>
                <w:bCs/>
                <w:sz w:val="28"/>
                <w:szCs w:val="28"/>
              </w:rPr>
            </w:pPr>
          </w:p>
        </w:tc>
        <w:tc>
          <w:tcPr>
            <w:tcW w:w="1760" w:type="dxa"/>
            <w:vMerge/>
            <w:tcBorders>
              <w:top w:val="single" w:sz="8" w:space="0" w:color="auto"/>
              <w:left w:val="single" w:sz="8" w:space="0" w:color="auto"/>
              <w:bottom w:val="single" w:sz="8" w:space="0" w:color="000000"/>
              <w:right w:val="single" w:sz="8" w:space="0" w:color="auto"/>
            </w:tcBorders>
            <w:vAlign w:val="center"/>
            <w:hideMark/>
          </w:tcPr>
          <w:p w14:paraId="7AEE3F2D" w14:textId="77777777" w:rsidR="000F06F3" w:rsidRPr="002B1D59" w:rsidRDefault="000F06F3" w:rsidP="00880E36">
            <w:pPr>
              <w:spacing w:after="0" w:line="480" w:lineRule="auto"/>
              <w:rPr>
                <w:rFonts w:eastAsia="Times New Roman"/>
                <w:b/>
                <w:bCs/>
                <w:color w:val="000000"/>
                <w:sz w:val="28"/>
                <w:szCs w:val="28"/>
              </w:rPr>
            </w:pPr>
          </w:p>
        </w:tc>
        <w:tc>
          <w:tcPr>
            <w:tcW w:w="236" w:type="dxa"/>
            <w:tcBorders>
              <w:top w:val="nil"/>
              <w:left w:val="nil"/>
              <w:bottom w:val="nil"/>
              <w:right w:val="nil"/>
            </w:tcBorders>
            <w:shd w:val="clear" w:color="auto" w:fill="auto"/>
            <w:noWrap/>
            <w:vAlign w:val="bottom"/>
            <w:hideMark/>
          </w:tcPr>
          <w:p w14:paraId="20FA933E" w14:textId="77777777" w:rsidR="000F06F3" w:rsidRPr="002B1D59" w:rsidRDefault="000F06F3" w:rsidP="00880E36">
            <w:pPr>
              <w:spacing w:after="0" w:line="480" w:lineRule="auto"/>
              <w:jc w:val="center"/>
              <w:rPr>
                <w:rFonts w:eastAsia="Times New Roman"/>
                <w:b/>
                <w:bCs/>
                <w:color w:val="000000"/>
                <w:sz w:val="28"/>
                <w:szCs w:val="28"/>
              </w:rPr>
            </w:pPr>
          </w:p>
        </w:tc>
      </w:tr>
      <w:tr w:rsidR="000F06F3" w:rsidRPr="002B1D59" w14:paraId="7D550183" w14:textId="77777777" w:rsidTr="00880E36">
        <w:trPr>
          <w:trHeight w:val="288"/>
        </w:trPr>
        <w:tc>
          <w:tcPr>
            <w:tcW w:w="1580" w:type="dxa"/>
            <w:vMerge w:val="restart"/>
            <w:tcBorders>
              <w:top w:val="nil"/>
              <w:left w:val="single" w:sz="8" w:space="0" w:color="auto"/>
              <w:bottom w:val="single" w:sz="8" w:space="0" w:color="000000"/>
              <w:right w:val="nil"/>
            </w:tcBorders>
            <w:shd w:val="clear" w:color="auto" w:fill="auto"/>
            <w:noWrap/>
            <w:vAlign w:val="center"/>
            <w:hideMark/>
          </w:tcPr>
          <w:p w14:paraId="468C7C77" w14:textId="77777777" w:rsidR="000F06F3" w:rsidRPr="002B1D59" w:rsidRDefault="000F06F3" w:rsidP="00880E36">
            <w:pPr>
              <w:spacing w:after="0" w:line="480" w:lineRule="auto"/>
              <w:jc w:val="center"/>
              <w:rPr>
                <w:rFonts w:eastAsia="Times New Roman"/>
                <w:sz w:val="22"/>
                <w:szCs w:val="22"/>
              </w:rPr>
            </w:pPr>
            <w:r w:rsidRPr="002B1D59">
              <w:rPr>
                <w:rFonts w:eastAsia="Times New Roman"/>
                <w:sz w:val="22"/>
                <w:szCs w:val="22"/>
              </w:rPr>
              <w:t>WCC</w:t>
            </w:r>
          </w:p>
        </w:tc>
        <w:tc>
          <w:tcPr>
            <w:tcW w:w="1780" w:type="dxa"/>
            <w:tcBorders>
              <w:top w:val="nil"/>
              <w:left w:val="single" w:sz="4" w:space="0" w:color="auto"/>
              <w:bottom w:val="nil"/>
              <w:right w:val="single" w:sz="4" w:space="0" w:color="auto"/>
            </w:tcBorders>
            <w:shd w:val="clear" w:color="auto" w:fill="auto"/>
            <w:noWrap/>
            <w:vAlign w:val="center"/>
            <w:hideMark/>
          </w:tcPr>
          <w:p w14:paraId="168FB4A1" w14:textId="77777777" w:rsidR="000F06F3" w:rsidRPr="002B1D59" w:rsidRDefault="000F06F3" w:rsidP="00880E36">
            <w:pPr>
              <w:spacing w:after="0" w:line="480" w:lineRule="auto"/>
              <w:rPr>
                <w:rFonts w:eastAsia="Times New Roman"/>
                <w:sz w:val="22"/>
                <w:szCs w:val="22"/>
              </w:rPr>
            </w:pPr>
            <w:r w:rsidRPr="002B1D59">
              <w:rPr>
                <w:rFonts w:eastAsia="Times New Roman"/>
                <w:sz w:val="22"/>
                <w:szCs w:val="22"/>
              </w:rPr>
              <w:t>Wheat</w:t>
            </w:r>
          </w:p>
        </w:tc>
        <w:tc>
          <w:tcPr>
            <w:tcW w:w="1760" w:type="dxa"/>
            <w:tcBorders>
              <w:top w:val="nil"/>
              <w:left w:val="nil"/>
              <w:bottom w:val="single" w:sz="4" w:space="0" w:color="auto"/>
              <w:right w:val="single" w:sz="8" w:space="0" w:color="auto"/>
            </w:tcBorders>
            <w:shd w:val="clear" w:color="auto" w:fill="auto"/>
            <w:noWrap/>
            <w:vAlign w:val="bottom"/>
            <w:hideMark/>
          </w:tcPr>
          <w:p w14:paraId="22113E56" w14:textId="77777777" w:rsidR="000F06F3" w:rsidRPr="002B1D59" w:rsidRDefault="000F06F3" w:rsidP="00880E36">
            <w:pPr>
              <w:spacing w:after="0" w:line="480" w:lineRule="auto"/>
              <w:jc w:val="center"/>
              <w:rPr>
                <w:rFonts w:eastAsia="Times New Roman"/>
                <w:color w:val="000000"/>
                <w:sz w:val="22"/>
                <w:szCs w:val="22"/>
              </w:rPr>
            </w:pPr>
            <w:r w:rsidRPr="002B1D59">
              <w:rPr>
                <w:rFonts w:eastAsia="Times New Roman"/>
                <w:color w:val="000000"/>
                <w:sz w:val="22"/>
                <w:szCs w:val="22"/>
              </w:rPr>
              <w:t>28</w:t>
            </w:r>
          </w:p>
        </w:tc>
        <w:tc>
          <w:tcPr>
            <w:tcW w:w="236" w:type="dxa"/>
            <w:vAlign w:val="center"/>
            <w:hideMark/>
          </w:tcPr>
          <w:p w14:paraId="0A91256A" w14:textId="77777777" w:rsidR="000F06F3" w:rsidRPr="002B1D59" w:rsidRDefault="000F06F3" w:rsidP="00880E36">
            <w:pPr>
              <w:spacing w:after="0" w:line="480" w:lineRule="auto"/>
              <w:rPr>
                <w:rFonts w:eastAsia="Times New Roman"/>
                <w:sz w:val="20"/>
                <w:szCs w:val="20"/>
              </w:rPr>
            </w:pPr>
          </w:p>
        </w:tc>
      </w:tr>
      <w:tr w:rsidR="000F06F3" w:rsidRPr="002B1D59" w14:paraId="6F9FB855" w14:textId="77777777" w:rsidTr="00880E36">
        <w:trPr>
          <w:trHeight w:val="300"/>
        </w:trPr>
        <w:tc>
          <w:tcPr>
            <w:tcW w:w="1580" w:type="dxa"/>
            <w:vMerge/>
            <w:tcBorders>
              <w:top w:val="nil"/>
              <w:left w:val="single" w:sz="8" w:space="0" w:color="auto"/>
              <w:bottom w:val="single" w:sz="8" w:space="0" w:color="000000"/>
              <w:right w:val="nil"/>
            </w:tcBorders>
            <w:vAlign w:val="center"/>
            <w:hideMark/>
          </w:tcPr>
          <w:p w14:paraId="4127ECA9" w14:textId="77777777" w:rsidR="000F06F3" w:rsidRPr="002B1D59" w:rsidRDefault="000F06F3" w:rsidP="00880E36">
            <w:pPr>
              <w:spacing w:after="0" w:line="480" w:lineRule="auto"/>
              <w:rPr>
                <w:rFonts w:eastAsia="Times New Roman"/>
                <w:sz w:val="22"/>
                <w:szCs w:val="22"/>
              </w:rPr>
            </w:pPr>
          </w:p>
        </w:tc>
        <w:tc>
          <w:tcPr>
            <w:tcW w:w="1780" w:type="dxa"/>
            <w:tcBorders>
              <w:top w:val="nil"/>
              <w:left w:val="single" w:sz="4" w:space="0" w:color="auto"/>
              <w:bottom w:val="single" w:sz="8" w:space="0" w:color="auto"/>
              <w:right w:val="single" w:sz="4" w:space="0" w:color="auto"/>
            </w:tcBorders>
            <w:shd w:val="clear" w:color="auto" w:fill="auto"/>
            <w:noWrap/>
            <w:vAlign w:val="center"/>
            <w:hideMark/>
          </w:tcPr>
          <w:p w14:paraId="33AEE2CA" w14:textId="77777777" w:rsidR="000F06F3" w:rsidRPr="002B1D59" w:rsidRDefault="000F06F3" w:rsidP="00880E36">
            <w:pPr>
              <w:spacing w:after="0" w:line="480" w:lineRule="auto"/>
              <w:rPr>
                <w:rFonts w:eastAsia="Times New Roman"/>
                <w:sz w:val="22"/>
                <w:szCs w:val="22"/>
              </w:rPr>
            </w:pPr>
            <w:r w:rsidRPr="002B1D59">
              <w:rPr>
                <w:rFonts w:eastAsia="Times New Roman"/>
                <w:sz w:val="22"/>
                <w:szCs w:val="22"/>
              </w:rPr>
              <w:t>Crimson Clover</w:t>
            </w:r>
          </w:p>
        </w:tc>
        <w:tc>
          <w:tcPr>
            <w:tcW w:w="1760" w:type="dxa"/>
            <w:tcBorders>
              <w:top w:val="nil"/>
              <w:left w:val="nil"/>
              <w:bottom w:val="single" w:sz="4" w:space="0" w:color="auto"/>
              <w:right w:val="single" w:sz="8" w:space="0" w:color="auto"/>
            </w:tcBorders>
            <w:shd w:val="clear" w:color="auto" w:fill="auto"/>
            <w:noWrap/>
            <w:vAlign w:val="bottom"/>
            <w:hideMark/>
          </w:tcPr>
          <w:p w14:paraId="573F3F97" w14:textId="77777777" w:rsidR="000F06F3" w:rsidRPr="002B1D59" w:rsidRDefault="000F06F3" w:rsidP="00880E36">
            <w:pPr>
              <w:spacing w:after="0" w:line="480" w:lineRule="auto"/>
              <w:jc w:val="center"/>
              <w:rPr>
                <w:rFonts w:eastAsia="Times New Roman"/>
                <w:color w:val="000000"/>
                <w:sz w:val="22"/>
                <w:szCs w:val="22"/>
              </w:rPr>
            </w:pPr>
            <w:r w:rsidRPr="002B1D59">
              <w:rPr>
                <w:rFonts w:eastAsia="Times New Roman"/>
                <w:color w:val="000000"/>
                <w:sz w:val="22"/>
                <w:szCs w:val="22"/>
              </w:rPr>
              <w:t>39</w:t>
            </w:r>
          </w:p>
        </w:tc>
        <w:tc>
          <w:tcPr>
            <w:tcW w:w="236" w:type="dxa"/>
            <w:vAlign w:val="center"/>
            <w:hideMark/>
          </w:tcPr>
          <w:p w14:paraId="30776663" w14:textId="77777777" w:rsidR="000F06F3" w:rsidRPr="002B1D59" w:rsidRDefault="000F06F3" w:rsidP="00880E36">
            <w:pPr>
              <w:spacing w:after="0" w:line="480" w:lineRule="auto"/>
              <w:rPr>
                <w:rFonts w:eastAsia="Times New Roman"/>
                <w:sz w:val="20"/>
                <w:szCs w:val="20"/>
              </w:rPr>
            </w:pPr>
          </w:p>
        </w:tc>
      </w:tr>
      <w:tr w:rsidR="000F06F3" w:rsidRPr="002B1D59" w14:paraId="31C930D3" w14:textId="77777777" w:rsidTr="00880E36">
        <w:trPr>
          <w:trHeight w:val="300"/>
        </w:trPr>
        <w:tc>
          <w:tcPr>
            <w:tcW w:w="1580" w:type="dxa"/>
            <w:tcBorders>
              <w:top w:val="nil"/>
              <w:left w:val="single" w:sz="8" w:space="0" w:color="auto"/>
              <w:bottom w:val="single" w:sz="8" w:space="0" w:color="auto"/>
              <w:right w:val="nil"/>
            </w:tcBorders>
            <w:shd w:val="clear" w:color="auto" w:fill="auto"/>
            <w:noWrap/>
            <w:vAlign w:val="center"/>
            <w:hideMark/>
          </w:tcPr>
          <w:p w14:paraId="5D6F82F2" w14:textId="77777777" w:rsidR="000F06F3" w:rsidRPr="002B1D59" w:rsidRDefault="000F06F3" w:rsidP="00880E36">
            <w:pPr>
              <w:spacing w:after="0" w:line="480" w:lineRule="auto"/>
              <w:jc w:val="center"/>
              <w:rPr>
                <w:rFonts w:eastAsia="Times New Roman"/>
                <w:sz w:val="22"/>
                <w:szCs w:val="22"/>
              </w:rPr>
            </w:pPr>
            <w:r w:rsidRPr="002B1D59">
              <w:rPr>
                <w:rFonts w:eastAsia="Times New Roman"/>
                <w:sz w:val="22"/>
                <w:szCs w:val="22"/>
              </w:rPr>
              <w:t>W</w:t>
            </w:r>
          </w:p>
        </w:tc>
        <w:tc>
          <w:tcPr>
            <w:tcW w:w="1780" w:type="dxa"/>
            <w:tcBorders>
              <w:top w:val="nil"/>
              <w:left w:val="single" w:sz="4" w:space="0" w:color="auto"/>
              <w:bottom w:val="single" w:sz="8" w:space="0" w:color="auto"/>
              <w:right w:val="single" w:sz="4" w:space="0" w:color="auto"/>
            </w:tcBorders>
            <w:shd w:val="clear" w:color="auto" w:fill="auto"/>
            <w:noWrap/>
            <w:vAlign w:val="center"/>
            <w:hideMark/>
          </w:tcPr>
          <w:p w14:paraId="19FF77AD" w14:textId="77777777" w:rsidR="000F06F3" w:rsidRPr="002B1D59" w:rsidRDefault="000F06F3" w:rsidP="00880E36">
            <w:pPr>
              <w:spacing w:after="0" w:line="480" w:lineRule="auto"/>
              <w:rPr>
                <w:rFonts w:eastAsia="Times New Roman"/>
                <w:sz w:val="22"/>
                <w:szCs w:val="22"/>
              </w:rPr>
            </w:pPr>
            <w:r w:rsidRPr="002B1D59">
              <w:rPr>
                <w:rFonts w:eastAsia="Times New Roman"/>
                <w:sz w:val="22"/>
                <w:szCs w:val="22"/>
              </w:rPr>
              <w:t>Wheat</w:t>
            </w:r>
          </w:p>
        </w:tc>
        <w:tc>
          <w:tcPr>
            <w:tcW w:w="1760" w:type="dxa"/>
            <w:tcBorders>
              <w:top w:val="nil"/>
              <w:left w:val="nil"/>
              <w:bottom w:val="single" w:sz="4" w:space="0" w:color="auto"/>
              <w:right w:val="single" w:sz="8" w:space="0" w:color="auto"/>
            </w:tcBorders>
            <w:shd w:val="clear" w:color="auto" w:fill="auto"/>
            <w:noWrap/>
            <w:vAlign w:val="bottom"/>
            <w:hideMark/>
          </w:tcPr>
          <w:p w14:paraId="789EE1B0" w14:textId="77777777" w:rsidR="000F06F3" w:rsidRPr="002B1D59" w:rsidRDefault="000F06F3" w:rsidP="00880E36">
            <w:pPr>
              <w:spacing w:after="0" w:line="480" w:lineRule="auto"/>
              <w:jc w:val="center"/>
              <w:rPr>
                <w:rFonts w:eastAsia="Times New Roman"/>
                <w:color w:val="000000"/>
                <w:sz w:val="22"/>
                <w:szCs w:val="22"/>
              </w:rPr>
            </w:pPr>
            <w:r w:rsidRPr="002B1D59">
              <w:rPr>
                <w:rFonts w:eastAsia="Times New Roman"/>
                <w:color w:val="000000"/>
                <w:sz w:val="22"/>
                <w:szCs w:val="22"/>
              </w:rPr>
              <w:t>84</w:t>
            </w:r>
          </w:p>
        </w:tc>
        <w:tc>
          <w:tcPr>
            <w:tcW w:w="236" w:type="dxa"/>
            <w:vAlign w:val="center"/>
            <w:hideMark/>
          </w:tcPr>
          <w:p w14:paraId="024525D6" w14:textId="77777777" w:rsidR="000F06F3" w:rsidRPr="002B1D59" w:rsidRDefault="000F06F3" w:rsidP="00880E36">
            <w:pPr>
              <w:spacing w:after="0" w:line="480" w:lineRule="auto"/>
              <w:rPr>
                <w:rFonts w:eastAsia="Times New Roman"/>
                <w:sz w:val="20"/>
                <w:szCs w:val="20"/>
              </w:rPr>
            </w:pPr>
          </w:p>
        </w:tc>
      </w:tr>
      <w:tr w:rsidR="000F06F3" w:rsidRPr="002B1D59" w14:paraId="6245BAD6" w14:textId="77777777" w:rsidTr="00880E36">
        <w:trPr>
          <w:trHeight w:val="300"/>
        </w:trPr>
        <w:tc>
          <w:tcPr>
            <w:tcW w:w="1580" w:type="dxa"/>
            <w:tcBorders>
              <w:top w:val="nil"/>
              <w:left w:val="single" w:sz="8" w:space="0" w:color="auto"/>
              <w:bottom w:val="single" w:sz="8" w:space="0" w:color="auto"/>
              <w:right w:val="nil"/>
            </w:tcBorders>
            <w:shd w:val="clear" w:color="auto" w:fill="auto"/>
            <w:noWrap/>
            <w:vAlign w:val="center"/>
            <w:hideMark/>
          </w:tcPr>
          <w:p w14:paraId="0E62DD55" w14:textId="77777777" w:rsidR="000F06F3" w:rsidRPr="002B1D59" w:rsidRDefault="000F06F3" w:rsidP="00880E36">
            <w:pPr>
              <w:spacing w:after="0" w:line="480" w:lineRule="auto"/>
              <w:jc w:val="center"/>
              <w:rPr>
                <w:rFonts w:eastAsia="Times New Roman"/>
                <w:sz w:val="22"/>
                <w:szCs w:val="22"/>
              </w:rPr>
            </w:pPr>
            <w:r w:rsidRPr="002B1D59">
              <w:rPr>
                <w:rFonts w:eastAsia="Times New Roman"/>
                <w:sz w:val="22"/>
                <w:szCs w:val="22"/>
              </w:rPr>
              <w:t>CR</w:t>
            </w:r>
          </w:p>
        </w:tc>
        <w:tc>
          <w:tcPr>
            <w:tcW w:w="1780" w:type="dxa"/>
            <w:tcBorders>
              <w:top w:val="nil"/>
              <w:left w:val="single" w:sz="4" w:space="0" w:color="auto"/>
              <w:bottom w:val="single" w:sz="8" w:space="0" w:color="auto"/>
              <w:right w:val="single" w:sz="4" w:space="0" w:color="auto"/>
            </w:tcBorders>
            <w:shd w:val="clear" w:color="auto" w:fill="auto"/>
            <w:noWrap/>
            <w:vAlign w:val="center"/>
            <w:hideMark/>
          </w:tcPr>
          <w:p w14:paraId="01D1C5B9" w14:textId="77777777" w:rsidR="000F06F3" w:rsidRPr="002B1D59" w:rsidRDefault="000F06F3" w:rsidP="00880E36">
            <w:pPr>
              <w:spacing w:after="0" w:line="480" w:lineRule="auto"/>
              <w:rPr>
                <w:rFonts w:eastAsia="Times New Roman"/>
                <w:sz w:val="22"/>
                <w:szCs w:val="22"/>
              </w:rPr>
            </w:pPr>
            <w:r w:rsidRPr="002B1D59">
              <w:rPr>
                <w:rFonts w:eastAsia="Times New Roman"/>
                <w:sz w:val="22"/>
                <w:szCs w:val="22"/>
              </w:rPr>
              <w:t>Cereal Rye</w:t>
            </w:r>
          </w:p>
        </w:tc>
        <w:tc>
          <w:tcPr>
            <w:tcW w:w="1760" w:type="dxa"/>
            <w:tcBorders>
              <w:top w:val="nil"/>
              <w:left w:val="nil"/>
              <w:bottom w:val="single" w:sz="4" w:space="0" w:color="auto"/>
              <w:right w:val="single" w:sz="8" w:space="0" w:color="auto"/>
            </w:tcBorders>
            <w:shd w:val="clear" w:color="auto" w:fill="auto"/>
            <w:noWrap/>
            <w:vAlign w:val="bottom"/>
            <w:hideMark/>
          </w:tcPr>
          <w:p w14:paraId="679AF464" w14:textId="77777777" w:rsidR="000F06F3" w:rsidRPr="002B1D59" w:rsidRDefault="000F06F3" w:rsidP="00880E36">
            <w:pPr>
              <w:spacing w:after="0" w:line="480" w:lineRule="auto"/>
              <w:jc w:val="center"/>
              <w:rPr>
                <w:rFonts w:eastAsia="Times New Roman"/>
                <w:color w:val="000000"/>
                <w:sz w:val="22"/>
                <w:szCs w:val="22"/>
              </w:rPr>
            </w:pPr>
            <w:r w:rsidRPr="002B1D59">
              <w:rPr>
                <w:rFonts w:eastAsia="Times New Roman"/>
                <w:color w:val="000000"/>
                <w:sz w:val="22"/>
                <w:szCs w:val="22"/>
              </w:rPr>
              <w:t>84</w:t>
            </w:r>
          </w:p>
        </w:tc>
        <w:tc>
          <w:tcPr>
            <w:tcW w:w="236" w:type="dxa"/>
            <w:vAlign w:val="center"/>
            <w:hideMark/>
          </w:tcPr>
          <w:p w14:paraId="3E9E8449" w14:textId="77777777" w:rsidR="000F06F3" w:rsidRPr="002B1D59" w:rsidRDefault="000F06F3" w:rsidP="00880E36">
            <w:pPr>
              <w:spacing w:after="0" w:line="480" w:lineRule="auto"/>
              <w:rPr>
                <w:rFonts w:eastAsia="Times New Roman"/>
                <w:sz w:val="20"/>
                <w:szCs w:val="20"/>
              </w:rPr>
            </w:pPr>
          </w:p>
        </w:tc>
      </w:tr>
      <w:tr w:rsidR="000F06F3" w:rsidRPr="002B1D59" w14:paraId="037A7794" w14:textId="77777777" w:rsidTr="00880E36">
        <w:trPr>
          <w:trHeight w:val="288"/>
        </w:trPr>
        <w:tc>
          <w:tcPr>
            <w:tcW w:w="1580" w:type="dxa"/>
            <w:vMerge w:val="restart"/>
            <w:tcBorders>
              <w:top w:val="nil"/>
              <w:left w:val="single" w:sz="8" w:space="0" w:color="auto"/>
              <w:bottom w:val="single" w:sz="8" w:space="0" w:color="000000"/>
              <w:right w:val="single" w:sz="4" w:space="0" w:color="auto"/>
            </w:tcBorders>
            <w:shd w:val="clear" w:color="auto" w:fill="auto"/>
            <w:vAlign w:val="center"/>
            <w:hideMark/>
          </w:tcPr>
          <w:p w14:paraId="281D872C" w14:textId="77777777" w:rsidR="000F06F3" w:rsidRPr="002B1D59" w:rsidRDefault="000F06F3" w:rsidP="00880E36">
            <w:pPr>
              <w:spacing w:after="0" w:line="480" w:lineRule="auto"/>
              <w:jc w:val="center"/>
              <w:rPr>
                <w:rFonts w:eastAsia="Times New Roman"/>
                <w:sz w:val="22"/>
                <w:szCs w:val="22"/>
              </w:rPr>
            </w:pPr>
            <w:r w:rsidRPr="002B1D59">
              <w:rPr>
                <w:rFonts w:eastAsia="Times New Roman"/>
                <w:sz w:val="22"/>
                <w:szCs w:val="22"/>
              </w:rPr>
              <w:t>SHM-A</w:t>
            </w:r>
          </w:p>
        </w:tc>
        <w:tc>
          <w:tcPr>
            <w:tcW w:w="1780" w:type="dxa"/>
            <w:tcBorders>
              <w:top w:val="nil"/>
              <w:left w:val="nil"/>
              <w:bottom w:val="nil"/>
              <w:right w:val="single" w:sz="4" w:space="0" w:color="auto"/>
            </w:tcBorders>
            <w:shd w:val="clear" w:color="auto" w:fill="auto"/>
            <w:noWrap/>
            <w:vAlign w:val="center"/>
            <w:hideMark/>
          </w:tcPr>
          <w:p w14:paraId="0FD77E40" w14:textId="77777777" w:rsidR="000F06F3" w:rsidRPr="002B1D59" w:rsidRDefault="000F06F3" w:rsidP="00880E36">
            <w:pPr>
              <w:spacing w:after="0" w:line="480" w:lineRule="auto"/>
              <w:rPr>
                <w:rFonts w:eastAsia="Times New Roman"/>
                <w:sz w:val="22"/>
                <w:szCs w:val="22"/>
              </w:rPr>
            </w:pPr>
            <w:r w:rsidRPr="002B1D59">
              <w:rPr>
                <w:rFonts w:eastAsia="Times New Roman"/>
                <w:sz w:val="22"/>
                <w:szCs w:val="22"/>
              </w:rPr>
              <w:t>Wheat</w:t>
            </w:r>
          </w:p>
        </w:tc>
        <w:tc>
          <w:tcPr>
            <w:tcW w:w="1760" w:type="dxa"/>
            <w:tcBorders>
              <w:top w:val="nil"/>
              <w:left w:val="nil"/>
              <w:bottom w:val="single" w:sz="4" w:space="0" w:color="auto"/>
              <w:right w:val="single" w:sz="8" w:space="0" w:color="auto"/>
            </w:tcBorders>
            <w:shd w:val="clear" w:color="auto" w:fill="auto"/>
            <w:noWrap/>
            <w:vAlign w:val="bottom"/>
            <w:hideMark/>
          </w:tcPr>
          <w:p w14:paraId="591319DE" w14:textId="77777777" w:rsidR="000F06F3" w:rsidRPr="002B1D59" w:rsidRDefault="000F06F3" w:rsidP="00880E36">
            <w:pPr>
              <w:spacing w:after="0" w:line="480" w:lineRule="auto"/>
              <w:jc w:val="center"/>
              <w:rPr>
                <w:rFonts w:eastAsia="Times New Roman"/>
                <w:color w:val="000000"/>
                <w:sz w:val="22"/>
                <w:szCs w:val="22"/>
              </w:rPr>
            </w:pPr>
            <w:r w:rsidRPr="002B1D59">
              <w:rPr>
                <w:rFonts w:eastAsia="Times New Roman"/>
                <w:color w:val="000000"/>
                <w:sz w:val="22"/>
                <w:szCs w:val="22"/>
              </w:rPr>
              <w:t>28</w:t>
            </w:r>
          </w:p>
        </w:tc>
        <w:tc>
          <w:tcPr>
            <w:tcW w:w="236" w:type="dxa"/>
            <w:vAlign w:val="center"/>
            <w:hideMark/>
          </w:tcPr>
          <w:p w14:paraId="4CD43177" w14:textId="77777777" w:rsidR="000F06F3" w:rsidRPr="002B1D59" w:rsidRDefault="000F06F3" w:rsidP="00880E36">
            <w:pPr>
              <w:spacing w:after="0" w:line="480" w:lineRule="auto"/>
              <w:rPr>
                <w:rFonts w:eastAsia="Times New Roman"/>
                <w:sz w:val="20"/>
                <w:szCs w:val="20"/>
              </w:rPr>
            </w:pPr>
          </w:p>
        </w:tc>
      </w:tr>
      <w:tr w:rsidR="000F06F3" w:rsidRPr="002B1D59" w14:paraId="77225B5B" w14:textId="77777777" w:rsidTr="00880E36">
        <w:trPr>
          <w:trHeight w:val="288"/>
        </w:trPr>
        <w:tc>
          <w:tcPr>
            <w:tcW w:w="1580" w:type="dxa"/>
            <w:vMerge/>
            <w:tcBorders>
              <w:top w:val="nil"/>
              <w:left w:val="single" w:sz="8" w:space="0" w:color="auto"/>
              <w:bottom w:val="single" w:sz="8" w:space="0" w:color="000000"/>
              <w:right w:val="single" w:sz="4" w:space="0" w:color="auto"/>
            </w:tcBorders>
            <w:vAlign w:val="center"/>
            <w:hideMark/>
          </w:tcPr>
          <w:p w14:paraId="0C4A17F9" w14:textId="77777777" w:rsidR="000F06F3" w:rsidRPr="002B1D59" w:rsidRDefault="000F06F3" w:rsidP="00880E36">
            <w:pPr>
              <w:spacing w:after="0" w:line="480" w:lineRule="auto"/>
              <w:rPr>
                <w:rFonts w:eastAsia="Times New Roman"/>
                <w:sz w:val="22"/>
                <w:szCs w:val="22"/>
              </w:rPr>
            </w:pPr>
          </w:p>
        </w:tc>
        <w:tc>
          <w:tcPr>
            <w:tcW w:w="1780" w:type="dxa"/>
            <w:tcBorders>
              <w:top w:val="nil"/>
              <w:left w:val="nil"/>
              <w:bottom w:val="nil"/>
              <w:right w:val="single" w:sz="4" w:space="0" w:color="auto"/>
            </w:tcBorders>
            <w:shd w:val="clear" w:color="auto" w:fill="auto"/>
            <w:noWrap/>
            <w:vAlign w:val="center"/>
            <w:hideMark/>
          </w:tcPr>
          <w:p w14:paraId="11866F92" w14:textId="77777777" w:rsidR="000F06F3" w:rsidRPr="002B1D59" w:rsidRDefault="000F06F3" w:rsidP="00880E36">
            <w:pPr>
              <w:spacing w:after="0" w:line="480" w:lineRule="auto"/>
              <w:rPr>
                <w:rFonts w:eastAsia="Times New Roman"/>
                <w:sz w:val="22"/>
                <w:szCs w:val="22"/>
              </w:rPr>
            </w:pPr>
            <w:r w:rsidRPr="002B1D59">
              <w:rPr>
                <w:rFonts w:eastAsia="Times New Roman"/>
                <w:sz w:val="22"/>
                <w:szCs w:val="22"/>
              </w:rPr>
              <w:t>Winter Peas</w:t>
            </w:r>
          </w:p>
        </w:tc>
        <w:tc>
          <w:tcPr>
            <w:tcW w:w="1760" w:type="dxa"/>
            <w:tcBorders>
              <w:top w:val="nil"/>
              <w:left w:val="nil"/>
              <w:bottom w:val="single" w:sz="4" w:space="0" w:color="auto"/>
              <w:right w:val="single" w:sz="8" w:space="0" w:color="auto"/>
            </w:tcBorders>
            <w:shd w:val="clear" w:color="auto" w:fill="auto"/>
            <w:noWrap/>
            <w:vAlign w:val="bottom"/>
            <w:hideMark/>
          </w:tcPr>
          <w:p w14:paraId="6D72EBC9" w14:textId="77777777" w:rsidR="000F06F3" w:rsidRPr="002B1D59" w:rsidRDefault="000F06F3" w:rsidP="00880E36">
            <w:pPr>
              <w:spacing w:after="0" w:line="480" w:lineRule="auto"/>
              <w:jc w:val="center"/>
              <w:rPr>
                <w:rFonts w:eastAsia="Times New Roman"/>
                <w:color w:val="000000"/>
                <w:sz w:val="22"/>
                <w:szCs w:val="22"/>
              </w:rPr>
            </w:pPr>
            <w:r w:rsidRPr="002B1D59">
              <w:rPr>
                <w:rFonts w:eastAsia="Times New Roman"/>
                <w:color w:val="000000"/>
                <w:sz w:val="22"/>
                <w:szCs w:val="22"/>
              </w:rPr>
              <w:t>10</w:t>
            </w:r>
          </w:p>
        </w:tc>
        <w:tc>
          <w:tcPr>
            <w:tcW w:w="236" w:type="dxa"/>
            <w:vAlign w:val="center"/>
            <w:hideMark/>
          </w:tcPr>
          <w:p w14:paraId="6CCC5D40" w14:textId="77777777" w:rsidR="000F06F3" w:rsidRPr="002B1D59" w:rsidRDefault="000F06F3" w:rsidP="00880E36">
            <w:pPr>
              <w:spacing w:after="0" w:line="480" w:lineRule="auto"/>
              <w:rPr>
                <w:rFonts w:eastAsia="Times New Roman"/>
                <w:sz w:val="20"/>
                <w:szCs w:val="20"/>
              </w:rPr>
            </w:pPr>
          </w:p>
        </w:tc>
      </w:tr>
      <w:tr w:rsidR="000F06F3" w:rsidRPr="002B1D59" w14:paraId="26E63C39" w14:textId="77777777" w:rsidTr="00880E36">
        <w:trPr>
          <w:trHeight w:val="300"/>
        </w:trPr>
        <w:tc>
          <w:tcPr>
            <w:tcW w:w="1580" w:type="dxa"/>
            <w:vMerge/>
            <w:tcBorders>
              <w:top w:val="nil"/>
              <w:left w:val="single" w:sz="8" w:space="0" w:color="auto"/>
              <w:bottom w:val="single" w:sz="8" w:space="0" w:color="000000"/>
              <w:right w:val="single" w:sz="4" w:space="0" w:color="auto"/>
            </w:tcBorders>
            <w:vAlign w:val="center"/>
            <w:hideMark/>
          </w:tcPr>
          <w:p w14:paraId="7C179CAE" w14:textId="77777777" w:rsidR="000F06F3" w:rsidRPr="002B1D59" w:rsidRDefault="000F06F3" w:rsidP="00880E36">
            <w:pPr>
              <w:spacing w:after="0" w:line="480" w:lineRule="auto"/>
              <w:rPr>
                <w:rFonts w:eastAsia="Times New Roman"/>
                <w:sz w:val="22"/>
                <w:szCs w:val="22"/>
              </w:rPr>
            </w:pPr>
          </w:p>
        </w:tc>
        <w:tc>
          <w:tcPr>
            <w:tcW w:w="1780" w:type="dxa"/>
            <w:tcBorders>
              <w:top w:val="nil"/>
              <w:left w:val="nil"/>
              <w:bottom w:val="nil"/>
              <w:right w:val="single" w:sz="4" w:space="0" w:color="auto"/>
            </w:tcBorders>
            <w:shd w:val="clear" w:color="auto" w:fill="auto"/>
            <w:noWrap/>
            <w:vAlign w:val="center"/>
            <w:hideMark/>
          </w:tcPr>
          <w:p w14:paraId="30E2AB55" w14:textId="77777777" w:rsidR="000F06F3" w:rsidRPr="002B1D59" w:rsidRDefault="000F06F3" w:rsidP="00880E36">
            <w:pPr>
              <w:spacing w:after="0" w:line="480" w:lineRule="auto"/>
              <w:rPr>
                <w:rFonts w:eastAsia="Times New Roman"/>
                <w:sz w:val="22"/>
                <w:szCs w:val="22"/>
              </w:rPr>
            </w:pPr>
            <w:r w:rsidRPr="002B1D59">
              <w:rPr>
                <w:rFonts w:eastAsia="Times New Roman"/>
                <w:sz w:val="22"/>
                <w:szCs w:val="22"/>
              </w:rPr>
              <w:t>Crimson Clover</w:t>
            </w:r>
          </w:p>
        </w:tc>
        <w:tc>
          <w:tcPr>
            <w:tcW w:w="1760" w:type="dxa"/>
            <w:tcBorders>
              <w:top w:val="nil"/>
              <w:left w:val="nil"/>
              <w:bottom w:val="single" w:sz="4" w:space="0" w:color="auto"/>
              <w:right w:val="single" w:sz="8" w:space="0" w:color="auto"/>
            </w:tcBorders>
            <w:shd w:val="clear" w:color="auto" w:fill="auto"/>
            <w:noWrap/>
            <w:vAlign w:val="bottom"/>
            <w:hideMark/>
          </w:tcPr>
          <w:p w14:paraId="02D3B9EB" w14:textId="77777777" w:rsidR="000F06F3" w:rsidRPr="002B1D59" w:rsidRDefault="000F06F3" w:rsidP="00880E36">
            <w:pPr>
              <w:spacing w:after="0" w:line="480" w:lineRule="auto"/>
              <w:jc w:val="center"/>
              <w:rPr>
                <w:rFonts w:eastAsia="Times New Roman"/>
                <w:color w:val="000000"/>
                <w:sz w:val="22"/>
                <w:szCs w:val="22"/>
              </w:rPr>
            </w:pPr>
            <w:r w:rsidRPr="002B1D59">
              <w:rPr>
                <w:rFonts w:eastAsia="Times New Roman"/>
                <w:color w:val="000000"/>
                <w:sz w:val="22"/>
                <w:szCs w:val="22"/>
              </w:rPr>
              <w:t>7</w:t>
            </w:r>
          </w:p>
        </w:tc>
        <w:tc>
          <w:tcPr>
            <w:tcW w:w="236" w:type="dxa"/>
            <w:vAlign w:val="center"/>
            <w:hideMark/>
          </w:tcPr>
          <w:p w14:paraId="0F901E47" w14:textId="77777777" w:rsidR="000F06F3" w:rsidRPr="002B1D59" w:rsidRDefault="000F06F3" w:rsidP="00880E36">
            <w:pPr>
              <w:spacing w:after="0" w:line="480" w:lineRule="auto"/>
              <w:rPr>
                <w:rFonts w:eastAsia="Times New Roman"/>
                <w:sz w:val="20"/>
                <w:szCs w:val="20"/>
              </w:rPr>
            </w:pPr>
          </w:p>
        </w:tc>
      </w:tr>
      <w:tr w:rsidR="000F06F3" w:rsidRPr="002B1D59" w14:paraId="1CB1F77A" w14:textId="77777777" w:rsidTr="00880E36">
        <w:trPr>
          <w:trHeight w:val="288"/>
        </w:trPr>
        <w:tc>
          <w:tcPr>
            <w:tcW w:w="1580"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69A12A8D" w14:textId="77777777" w:rsidR="000F06F3" w:rsidRPr="002B1D59" w:rsidRDefault="000F06F3" w:rsidP="00880E36">
            <w:pPr>
              <w:spacing w:after="0" w:line="480" w:lineRule="auto"/>
              <w:jc w:val="center"/>
              <w:rPr>
                <w:rFonts w:eastAsia="Times New Roman"/>
                <w:sz w:val="22"/>
                <w:szCs w:val="22"/>
              </w:rPr>
            </w:pPr>
            <w:r w:rsidRPr="002B1D59">
              <w:rPr>
                <w:rFonts w:eastAsia="Times New Roman"/>
                <w:sz w:val="22"/>
                <w:szCs w:val="22"/>
              </w:rPr>
              <w:t>SHM-B</w:t>
            </w:r>
          </w:p>
        </w:tc>
        <w:tc>
          <w:tcPr>
            <w:tcW w:w="1780" w:type="dxa"/>
            <w:tcBorders>
              <w:top w:val="single" w:sz="8" w:space="0" w:color="auto"/>
              <w:left w:val="nil"/>
              <w:bottom w:val="nil"/>
              <w:right w:val="single" w:sz="4" w:space="0" w:color="auto"/>
            </w:tcBorders>
            <w:shd w:val="clear" w:color="auto" w:fill="auto"/>
            <w:noWrap/>
            <w:vAlign w:val="center"/>
            <w:hideMark/>
          </w:tcPr>
          <w:p w14:paraId="66EA46E0" w14:textId="77777777" w:rsidR="000F06F3" w:rsidRPr="002B1D59" w:rsidRDefault="000F06F3" w:rsidP="00880E36">
            <w:pPr>
              <w:spacing w:after="0" w:line="480" w:lineRule="auto"/>
              <w:rPr>
                <w:rFonts w:eastAsia="Times New Roman"/>
                <w:sz w:val="22"/>
                <w:szCs w:val="22"/>
              </w:rPr>
            </w:pPr>
            <w:r w:rsidRPr="002B1D59">
              <w:rPr>
                <w:rFonts w:eastAsia="Times New Roman"/>
                <w:sz w:val="22"/>
                <w:szCs w:val="22"/>
              </w:rPr>
              <w:t>Cereal Rye</w:t>
            </w:r>
          </w:p>
        </w:tc>
        <w:tc>
          <w:tcPr>
            <w:tcW w:w="1760" w:type="dxa"/>
            <w:tcBorders>
              <w:top w:val="nil"/>
              <w:left w:val="nil"/>
              <w:bottom w:val="single" w:sz="4" w:space="0" w:color="auto"/>
              <w:right w:val="single" w:sz="8" w:space="0" w:color="auto"/>
            </w:tcBorders>
            <w:shd w:val="clear" w:color="auto" w:fill="auto"/>
            <w:noWrap/>
            <w:vAlign w:val="bottom"/>
            <w:hideMark/>
          </w:tcPr>
          <w:p w14:paraId="44ADEF8B" w14:textId="77777777" w:rsidR="000F06F3" w:rsidRPr="002B1D59" w:rsidRDefault="000F06F3" w:rsidP="00880E36">
            <w:pPr>
              <w:spacing w:after="0" w:line="480" w:lineRule="auto"/>
              <w:jc w:val="center"/>
              <w:rPr>
                <w:rFonts w:eastAsia="Times New Roman"/>
                <w:color w:val="000000"/>
                <w:sz w:val="22"/>
                <w:szCs w:val="22"/>
              </w:rPr>
            </w:pPr>
            <w:r w:rsidRPr="002B1D59">
              <w:rPr>
                <w:rFonts w:eastAsia="Times New Roman"/>
                <w:color w:val="000000"/>
                <w:sz w:val="22"/>
                <w:szCs w:val="22"/>
              </w:rPr>
              <w:t>28</w:t>
            </w:r>
          </w:p>
        </w:tc>
        <w:tc>
          <w:tcPr>
            <w:tcW w:w="236" w:type="dxa"/>
            <w:vAlign w:val="center"/>
            <w:hideMark/>
          </w:tcPr>
          <w:p w14:paraId="5FCB7E1D" w14:textId="77777777" w:rsidR="000F06F3" w:rsidRPr="002B1D59" w:rsidRDefault="000F06F3" w:rsidP="00880E36">
            <w:pPr>
              <w:spacing w:after="0" w:line="480" w:lineRule="auto"/>
              <w:rPr>
                <w:rFonts w:eastAsia="Times New Roman"/>
                <w:sz w:val="20"/>
                <w:szCs w:val="20"/>
              </w:rPr>
            </w:pPr>
          </w:p>
        </w:tc>
      </w:tr>
      <w:tr w:rsidR="000F06F3" w:rsidRPr="002B1D59" w14:paraId="5B40ACE4" w14:textId="77777777" w:rsidTr="00880E36">
        <w:trPr>
          <w:trHeight w:val="288"/>
        </w:trPr>
        <w:tc>
          <w:tcPr>
            <w:tcW w:w="1580" w:type="dxa"/>
            <w:vMerge/>
            <w:tcBorders>
              <w:top w:val="nil"/>
              <w:left w:val="single" w:sz="8" w:space="0" w:color="auto"/>
              <w:bottom w:val="single" w:sz="8" w:space="0" w:color="000000"/>
              <w:right w:val="single" w:sz="4" w:space="0" w:color="auto"/>
            </w:tcBorders>
            <w:vAlign w:val="center"/>
            <w:hideMark/>
          </w:tcPr>
          <w:p w14:paraId="726FCE19" w14:textId="77777777" w:rsidR="000F06F3" w:rsidRPr="002B1D59" w:rsidRDefault="000F06F3" w:rsidP="00880E36">
            <w:pPr>
              <w:spacing w:after="0" w:line="480" w:lineRule="auto"/>
              <w:rPr>
                <w:rFonts w:eastAsia="Times New Roman"/>
                <w:sz w:val="22"/>
                <w:szCs w:val="22"/>
              </w:rPr>
            </w:pPr>
          </w:p>
        </w:tc>
        <w:tc>
          <w:tcPr>
            <w:tcW w:w="1780" w:type="dxa"/>
            <w:tcBorders>
              <w:top w:val="nil"/>
              <w:left w:val="nil"/>
              <w:bottom w:val="nil"/>
              <w:right w:val="single" w:sz="4" w:space="0" w:color="auto"/>
            </w:tcBorders>
            <w:shd w:val="clear" w:color="auto" w:fill="auto"/>
            <w:noWrap/>
            <w:vAlign w:val="center"/>
            <w:hideMark/>
          </w:tcPr>
          <w:p w14:paraId="46427990" w14:textId="77777777" w:rsidR="000F06F3" w:rsidRPr="002B1D59" w:rsidRDefault="000F06F3" w:rsidP="00880E36">
            <w:pPr>
              <w:spacing w:after="0" w:line="480" w:lineRule="auto"/>
              <w:rPr>
                <w:rFonts w:eastAsia="Times New Roman"/>
                <w:sz w:val="22"/>
                <w:szCs w:val="22"/>
              </w:rPr>
            </w:pPr>
            <w:r w:rsidRPr="002B1D59">
              <w:rPr>
                <w:rFonts w:eastAsia="Times New Roman"/>
                <w:sz w:val="22"/>
                <w:szCs w:val="22"/>
              </w:rPr>
              <w:t>Winter Peas</w:t>
            </w:r>
          </w:p>
        </w:tc>
        <w:tc>
          <w:tcPr>
            <w:tcW w:w="1760" w:type="dxa"/>
            <w:tcBorders>
              <w:top w:val="nil"/>
              <w:left w:val="nil"/>
              <w:bottom w:val="single" w:sz="4" w:space="0" w:color="auto"/>
              <w:right w:val="single" w:sz="8" w:space="0" w:color="auto"/>
            </w:tcBorders>
            <w:shd w:val="clear" w:color="auto" w:fill="auto"/>
            <w:noWrap/>
            <w:vAlign w:val="bottom"/>
            <w:hideMark/>
          </w:tcPr>
          <w:p w14:paraId="7F3E531D" w14:textId="77777777" w:rsidR="000F06F3" w:rsidRPr="002B1D59" w:rsidRDefault="000F06F3" w:rsidP="00880E36">
            <w:pPr>
              <w:spacing w:after="0" w:line="480" w:lineRule="auto"/>
              <w:jc w:val="center"/>
              <w:rPr>
                <w:rFonts w:eastAsia="Times New Roman"/>
                <w:color w:val="000000"/>
                <w:sz w:val="22"/>
                <w:szCs w:val="22"/>
              </w:rPr>
            </w:pPr>
            <w:r w:rsidRPr="002B1D59">
              <w:rPr>
                <w:rFonts w:eastAsia="Times New Roman"/>
                <w:color w:val="000000"/>
                <w:sz w:val="22"/>
                <w:szCs w:val="22"/>
              </w:rPr>
              <w:t>10</w:t>
            </w:r>
          </w:p>
        </w:tc>
        <w:tc>
          <w:tcPr>
            <w:tcW w:w="236" w:type="dxa"/>
            <w:vAlign w:val="center"/>
            <w:hideMark/>
          </w:tcPr>
          <w:p w14:paraId="15077C85" w14:textId="77777777" w:rsidR="000F06F3" w:rsidRPr="002B1D59" w:rsidRDefault="000F06F3" w:rsidP="00880E36">
            <w:pPr>
              <w:spacing w:after="0" w:line="480" w:lineRule="auto"/>
              <w:rPr>
                <w:rFonts w:eastAsia="Times New Roman"/>
                <w:sz w:val="20"/>
                <w:szCs w:val="20"/>
              </w:rPr>
            </w:pPr>
          </w:p>
        </w:tc>
      </w:tr>
      <w:tr w:rsidR="000F06F3" w:rsidRPr="002B1D59" w14:paraId="1E0CCB10" w14:textId="77777777" w:rsidTr="00880E36">
        <w:trPr>
          <w:trHeight w:val="300"/>
        </w:trPr>
        <w:tc>
          <w:tcPr>
            <w:tcW w:w="1580" w:type="dxa"/>
            <w:vMerge/>
            <w:tcBorders>
              <w:top w:val="nil"/>
              <w:left w:val="single" w:sz="8" w:space="0" w:color="auto"/>
              <w:bottom w:val="single" w:sz="8" w:space="0" w:color="000000"/>
              <w:right w:val="single" w:sz="4" w:space="0" w:color="auto"/>
            </w:tcBorders>
            <w:vAlign w:val="center"/>
            <w:hideMark/>
          </w:tcPr>
          <w:p w14:paraId="5B3597F8" w14:textId="77777777" w:rsidR="000F06F3" w:rsidRPr="002B1D59" w:rsidRDefault="000F06F3" w:rsidP="00880E36">
            <w:pPr>
              <w:spacing w:after="0" w:line="480" w:lineRule="auto"/>
              <w:rPr>
                <w:rFonts w:eastAsia="Times New Roman"/>
                <w:sz w:val="22"/>
                <w:szCs w:val="22"/>
              </w:rPr>
            </w:pPr>
          </w:p>
        </w:tc>
        <w:tc>
          <w:tcPr>
            <w:tcW w:w="1780" w:type="dxa"/>
            <w:tcBorders>
              <w:top w:val="nil"/>
              <w:left w:val="nil"/>
              <w:bottom w:val="nil"/>
              <w:right w:val="single" w:sz="4" w:space="0" w:color="auto"/>
            </w:tcBorders>
            <w:shd w:val="clear" w:color="auto" w:fill="auto"/>
            <w:noWrap/>
            <w:vAlign w:val="center"/>
            <w:hideMark/>
          </w:tcPr>
          <w:p w14:paraId="3213E993" w14:textId="77777777" w:rsidR="000F06F3" w:rsidRPr="002B1D59" w:rsidRDefault="000F06F3" w:rsidP="00880E36">
            <w:pPr>
              <w:spacing w:after="0" w:line="480" w:lineRule="auto"/>
              <w:rPr>
                <w:rFonts w:eastAsia="Times New Roman"/>
                <w:sz w:val="22"/>
                <w:szCs w:val="22"/>
              </w:rPr>
            </w:pPr>
            <w:r w:rsidRPr="002B1D59">
              <w:rPr>
                <w:rFonts w:eastAsia="Times New Roman"/>
                <w:sz w:val="22"/>
                <w:szCs w:val="22"/>
              </w:rPr>
              <w:t>Crimson Clover</w:t>
            </w:r>
          </w:p>
        </w:tc>
        <w:tc>
          <w:tcPr>
            <w:tcW w:w="1760" w:type="dxa"/>
            <w:tcBorders>
              <w:top w:val="nil"/>
              <w:left w:val="nil"/>
              <w:bottom w:val="single" w:sz="4" w:space="0" w:color="auto"/>
              <w:right w:val="single" w:sz="8" w:space="0" w:color="auto"/>
            </w:tcBorders>
            <w:shd w:val="clear" w:color="auto" w:fill="auto"/>
            <w:noWrap/>
            <w:vAlign w:val="bottom"/>
            <w:hideMark/>
          </w:tcPr>
          <w:p w14:paraId="40F47622" w14:textId="77777777" w:rsidR="000F06F3" w:rsidRPr="002B1D59" w:rsidRDefault="000F06F3" w:rsidP="00880E36">
            <w:pPr>
              <w:spacing w:after="0" w:line="480" w:lineRule="auto"/>
              <w:jc w:val="center"/>
              <w:rPr>
                <w:rFonts w:eastAsia="Times New Roman"/>
                <w:color w:val="000000"/>
                <w:sz w:val="22"/>
                <w:szCs w:val="22"/>
              </w:rPr>
            </w:pPr>
            <w:r w:rsidRPr="002B1D59">
              <w:rPr>
                <w:rFonts w:eastAsia="Times New Roman"/>
                <w:color w:val="000000"/>
                <w:sz w:val="22"/>
                <w:szCs w:val="22"/>
              </w:rPr>
              <w:t>7</w:t>
            </w:r>
          </w:p>
        </w:tc>
        <w:tc>
          <w:tcPr>
            <w:tcW w:w="236" w:type="dxa"/>
            <w:vAlign w:val="center"/>
            <w:hideMark/>
          </w:tcPr>
          <w:p w14:paraId="7D64C5FF" w14:textId="77777777" w:rsidR="000F06F3" w:rsidRPr="002B1D59" w:rsidRDefault="000F06F3" w:rsidP="00880E36">
            <w:pPr>
              <w:spacing w:after="0" w:line="480" w:lineRule="auto"/>
              <w:rPr>
                <w:rFonts w:eastAsia="Times New Roman"/>
                <w:sz w:val="20"/>
                <w:szCs w:val="20"/>
              </w:rPr>
            </w:pPr>
          </w:p>
        </w:tc>
      </w:tr>
      <w:tr w:rsidR="000F06F3" w:rsidRPr="002B1D59" w14:paraId="10109A8C" w14:textId="77777777" w:rsidTr="00880E36">
        <w:trPr>
          <w:trHeight w:val="300"/>
        </w:trPr>
        <w:tc>
          <w:tcPr>
            <w:tcW w:w="1580" w:type="dxa"/>
            <w:tcBorders>
              <w:top w:val="nil"/>
              <w:left w:val="single" w:sz="8" w:space="0" w:color="auto"/>
              <w:bottom w:val="single" w:sz="8" w:space="0" w:color="auto"/>
              <w:right w:val="nil"/>
            </w:tcBorders>
            <w:shd w:val="clear" w:color="auto" w:fill="auto"/>
            <w:vAlign w:val="center"/>
            <w:hideMark/>
          </w:tcPr>
          <w:p w14:paraId="6BD6EF5D" w14:textId="77777777" w:rsidR="000F06F3" w:rsidRPr="002B1D59" w:rsidRDefault="000F06F3" w:rsidP="00880E36">
            <w:pPr>
              <w:spacing w:after="0" w:line="480" w:lineRule="auto"/>
              <w:jc w:val="center"/>
              <w:rPr>
                <w:rFonts w:eastAsia="Times New Roman"/>
                <w:sz w:val="22"/>
                <w:szCs w:val="22"/>
              </w:rPr>
            </w:pPr>
            <w:r w:rsidRPr="002B1D59">
              <w:rPr>
                <w:rFonts w:eastAsia="Times New Roman"/>
                <w:sz w:val="22"/>
                <w:szCs w:val="22"/>
              </w:rPr>
              <w:t xml:space="preserve">NCC (control) </w:t>
            </w:r>
          </w:p>
        </w:tc>
        <w:tc>
          <w:tcPr>
            <w:tcW w:w="1780"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14:paraId="2FA9B8B9" w14:textId="77777777" w:rsidR="000F06F3" w:rsidRPr="002B1D59" w:rsidRDefault="000F06F3" w:rsidP="00880E36">
            <w:pPr>
              <w:spacing w:after="0" w:line="480" w:lineRule="auto"/>
              <w:rPr>
                <w:rFonts w:eastAsia="Times New Roman"/>
                <w:sz w:val="22"/>
                <w:szCs w:val="22"/>
              </w:rPr>
            </w:pPr>
            <w:r w:rsidRPr="002B1D59">
              <w:rPr>
                <w:rFonts w:eastAsia="Times New Roman"/>
                <w:sz w:val="22"/>
                <w:szCs w:val="22"/>
              </w:rPr>
              <w:t>None</w:t>
            </w:r>
          </w:p>
        </w:tc>
        <w:tc>
          <w:tcPr>
            <w:tcW w:w="1760" w:type="dxa"/>
            <w:tcBorders>
              <w:top w:val="single" w:sz="4" w:space="0" w:color="auto"/>
              <w:left w:val="nil"/>
              <w:bottom w:val="single" w:sz="4" w:space="0" w:color="auto"/>
              <w:right w:val="single" w:sz="8" w:space="0" w:color="000000"/>
            </w:tcBorders>
            <w:shd w:val="clear" w:color="auto" w:fill="auto"/>
            <w:noWrap/>
            <w:vAlign w:val="center"/>
            <w:hideMark/>
          </w:tcPr>
          <w:p w14:paraId="1D206774" w14:textId="77777777" w:rsidR="000F06F3" w:rsidRPr="002B1D59" w:rsidRDefault="000F06F3" w:rsidP="00880E36">
            <w:pPr>
              <w:spacing w:after="0" w:line="480" w:lineRule="auto"/>
              <w:jc w:val="center"/>
              <w:rPr>
                <w:rFonts w:eastAsia="Times New Roman"/>
                <w:sz w:val="22"/>
                <w:szCs w:val="22"/>
              </w:rPr>
            </w:pPr>
            <w:r w:rsidRPr="002B1D59">
              <w:rPr>
                <w:rFonts w:eastAsia="Times New Roman"/>
                <w:sz w:val="22"/>
                <w:szCs w:val="22"/>
              </w:rPr>
              <w:t>No planted cover</w:t>
            </w:r>
          </w:p>
        </w:tc>
        <w:tc>
          <w:tcPr>
            <w:tcW w:w="236" w:type="dxa"/>
            <w:vAlign w:val="center"/>
            <w:hideMark/>
          </w:tcPr>
          <w:p w14:paraId="7F2D833C" w14:textId="77777777" w:rsidR="000F06F3" w:rsidRPr="002B1D59" w:rsidRDefault="000F06F3" w:rsidP="00880E36">
            <w:pPr>
              <w:spacing w:after="0" w:line="480" w:lineRule="auto"/>
              <w:rPr>
                <w:rFonts w:eastAsia="Times New Roman"/>
                <w:sz w:val="20"/>
                <w:szCs w:val="20"/>
              </w:rPr>
            </w:pPr>
          </w:p>
        </w:tc>
      </w:tr>
    </w:tbl>
    <w:p w14:paraId="6805A92D" w14:textId="77777777" w:rsidR="000F06F3" w:rsidRDefault="000F06F3" w:rsidP="000F06F3">
      <w:pPr>
        <w:spacing w:line="480" w:lineRule="auto"/>
      </w:pPr>
    </w:p>
    <w:p w14:paraId="3C3805A7" w14:textId="77777777" w:rsidR="000F06F3" w:rsidRDefault="000F06F3" w:rsidP="000F06F3">
      <w:pPr>
        <w:spacing w:line="480" w:lineRule="auto"/>
        <w:jc w:val="center"/>
      </w:pPr>
    </w:p>
    <w:p w14:paraId="4C3DBD7F" w14:textId="77777777" w:rsidR="000F06F3" w:rsidRDefault="000F06F3" w:rsidP="000F06F3">
      <w:pPr>
        <w:spacing w:line="480" w:lineRule="auto"/>
        <w:jc w:val="center"/>
      </w:pPr>
    </w:p>
    <w:p w14:paraId="779B8534" w14:textId="77777777" w:rsidR="000F06F3" w:rsidRDefault="000F06F3" w:rsidP="000F06F3">
      <w:pPr>
        <w:spacing w:line="480" w:lineRule="auto"/>
        <w:jc w:val="center"/>
      </w:pPr>
    </w:p>
    <w:p w14:paraId="24521474" w14:textId="77777777" w:rsidR="000F06F3" w:rsidRDefault="000F06F3" w:rsidP="000F06F3">
      <w:pPr>
        <w:spacing w:line="480" w:lineRule="auto"/>
        <w:jc w:val="center"/>
      </w:pPr>
    </w:p>
    <w:p w14:paraId="7BE763A7" w14:textId="77777777" w:rsidR="000F06F3" w:rsidRDefault="000F06F3" w:rsidP="000F06F3">
      <w:pPr>
        <w:spacing w:line="480" w:lineRule="auto"/>
        <w:jc w:val="center"/>
      </w:pPr>
    </w:p>
    <w:p w14:paraId="76E702BD" w14:textId="77777777" w:rsidR="000F06F3" w:rsidRDefault="000F06F3" w:rsidP="000F06F3">
      <w:pPr>
        <w:spacing w:line="480" w:lineRule="auto"/>
        <w:jc w:val="center"/>
      </w:pPr>
    </w:p>
    <w:p w14:paraId="1760FD48" w14:textId="77777777" w:rsidR="000F06F3" w:rsidRDefault="000F06F3" w:rsidP="000F06F3">
      <w:pPr>
        <w:spacing w:line="480" w:lineRule="auto"/>
        <w:jc w:val="center"/>
      </w:pPr>
    </w:p>
    <w:p w14:paraId="7EE166EE" w14:textId="77777777" w:rsidR="000F06F3" w:rsidRDefault="000F06F3" w:rsidP="000F06F3">
      <w:pPr>
        <w:spacing w:line="480" w:lineRule="auto"/>
        <w:jc w:val="center"/>
      </w:pPr>
    </w:p>
    <w:p w14:paraId="2836A602" w14:textId="77777777" w:rsidR="000F06F3" w:rsidRDefault="000F06F3" w:rsidP="000F06F3">
      <w:pPr>
        <w:spacing w:line="480" w:lineRule="auto"/>
        <w:jc w:val="center"/>
      </w:pPr>
    </w:p>
    <w:p w14:paraId="538B63C8" w14:textId="77777777" w:rsidR="000F06F3" w:rsidRDefault="000F06F3" w:rsidP="000F06F3">
      <w:pPr>
        <w:spacing w:line="480" w:lineRule="auto"/>
        <w:jc w:val="center"/>
        <w:rPr>
          <w:b/>
          <w:bCs/>
          <w:u w:val="single"/>
        </w:rPr>
      </w:pPr>
      <w:r w:rsidRPr="00E743A1">
        <w:rPr>
          <w:b/>
          <w:bCs/>
          <w:u w:val="single"/>
        </w:rPr>
        <w:t xml:space="preserve">Table 2. </w:t>
      </w:r>
      <w:r>
        <w:rPr>
          <w:b/>
          <w:bCs/>
          <w:u w:val="single"/>
        </w:rPr>
        <w:t>Cover Crop S</w:t>
      </w:r>
      <w:r w:rsidRPr="00E743A1">
        <w:rPr>
          <w:b/>
          <w:bCs/>
          <w:u w:val="single"/>
        </w:rPr>
        <w:t>eeding Rates at Spring Hill</w:t>
      </w:r>
    </w:p>
    <w:p w14:paraId="257FCD52" w14:textId="77777777" w:rsidR="000F06F3" w:rsidRPr="00E743A1" w:rsidRDefault="000F06F3" w:rsidP="000F06F3">
      <w:pPr>
        <w:spacing w:line="480" w:lineRule="auto"/>
        <w:jc w:val="center"/>
        <w:rPr>
          <w:b/>
          <w:bCs/>
          <w:u w:val="single"/>
        </w:rPr>
      </w:pPr>
    </w:p>
    <w:p w14:paraId="32F47837" w14:textId="77777777" w:rsidR="000F06F3" w:rsidRDefault="000F06F3" w:rsidP="000F06F3">
      <w:pPr>
        <w:spacing w:line="480" w:lineRule="auto"/>
        <w:jc w:val="center"/>
      </w:pPr>
      <w:r w:rsidRPr="00D625EB">
        <w:rPr>
          <w:noProof/>
        </w:rPr>
        <w:lastRenderedPageBreak/>
        <w:drawing>
          <wp:inline distT="0" distB="0" distL="0" distR="0" wp14:anchorId="05348620" wp14:editId="4B0A1E1D">
            <wp:extent cx="5943600" cy="343471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3434715"/>
                    </a:xfrm>
                    <a:prstGeom prst="rect">
                      <a:avLst/>
                    </a:prstGeom>
                    <a:noFill/>
                    <a:ln>
                      <a:noFill/>
                    </a:ln>
                  </pic:spPr>
                </pic:pic>
              </a:graphicData>
            </a:graphic>
          </wp:inline>
        </w:drawing>
      </w:r>
    </w:p>
    <w:p w14:paraId="67B49D03" w14:textId="77777777" w:rsidR="000F06F3" w:rsidRPr="003763CF" w:rsidRDefault="000F06F3" w:rsidP="000F06F3">
      <w:pPr>
        <w:spacing w:line="480" w:lineRule="auto"/>
        <w:rPr>
          <w:b/>
          <w:bCs/>
          <w:u w:val="single"/>
        </w:rPr>
      </w:pPr>
      <w:r>
        <w:rPr>
          <w:b/>
          <w:bCs/>
          <w:u w:val="single"/>
        </w:rPr>
        <w:t>Figure 2. Experimental Layout of Cover Crop Experiment at Spring Hill</w:t>
      </w:r>
    </w:p>
    <w:p w14:paraId="16F85D6D" w14:textId="77777777" w:rsidR="000F06F3" w:rsidRDefault="000F06F3" w:rsidP="000F06F3">
      <w:pPr>
        <w:spacing w:line="480" w:lineRule="auto"/>
      </w:pPr>
    </w:p>
    <w:p w14:paraId="5124D033" w14:textId="77777777" w:rsidR="000F06F3" w:rsidRPr="00BF5585" w:rsidRDefault="000F06F3" w:rsidP="000F06F3">
      <w:pPr>
        <w:spacing w:line="480" w:lineRule="auto"/>
      </w:pPr>
    </w:p>
    <w:p w14:paraId="0C5417D0" w14:textId="77777777" w:rsidR="000F06F3" w:rsidRPr="00A84E60" w:rsidRDefault="000F06F3" w:rsidP="000F06F3">
      <w:pPr>
        <w:spacing w:line="480" w:lineRule="auto"/>
        <w:rPr>
          <w:b/>
          <w:bCs/>
          <w:sz w:val="22"/>
          <w:szCs w:val="28"/>
        </w:rPr>
      </w:pPr>
      <w:r w:rsidRPr="00A84E60">
        <w:rPr>
          <w:b/>
          <w:bCs/>
        </w:rPr>
        <w:t>Saturated Hydraulic Conductivity (</w:t>
      </w:r>
      <w:proofErr w:type="spellStart"/>
      <w:r w:rsidRPr="00A84E60">
        <w:rPr>
          <w:b/>
          <w:bCs/>
        </w:rPr>
        <w:t>K</w:t>
      </w:r>
      <w:r w:rsidRPr="00A84E60">
        <w:rPr>
          <w:b/>
          <w:bCs/>
          <w:vertAlign w:val="subscript"/>
        </w:rPr>
        <w:t>sat</w:t>
      </w:r>
      <w:proofErr w:type="spellEnd"/>
      <w:r w:rsidRPr="00A84E60">
        <w:rPr>
          <w:b/>
          <w:bCs/>
        </w:rPr>
        <w:t>)</w:t>
      </w:r>
    </w:p>
    <w:p w14:paraId="11222D87" w14:textId="77777777" w:rsidR="000F06F3" w:rsidRDefault="000F06F3" w:rsidP="000F06F3">
      <w:pPr>
        <w:spacing w:line="480" w:lineRule="auto"/>
      </w:pPr>
      <w:r>
        <w:tab/>
      </w:r>
      <w:bookmarkStart w:id="4" w:name="_Hlk46995884"/>
      <w:r>
        <w:t>Saturated hydraulic conductivity (</w:t>
      </w:r>
      <w:proofErr w:type="spellStart"/>
      <w:r>
        <w:t>K</w:t>
      </w:r>
      <w:r>
        <w:rPr>
          <w:vertAlign w:val="subscript"/>
        </w:rPr>
        <w:t>sat</w:t>
      </w:r>
      <w:proofErr w:type="spellEnd"/>
      <w:r>
        <w:t xml:space="preserve">) rates will be measured at UTRECM and MTREC using a </w:t>
      </w:r>
      <w:r w:rsidRPr="00E20E99">
        <w:t>SATURO Dual-Head Infiltrometer (METER Group,</w:t>
      </w:r>
      <w:r>
        <w:t xml:space="preserve"> Pullman WA). This instrument functions as an automated single-ring infiltrometer with two different pressure head levels. The instrument outputs the data into an Excel spreadsheet. This in-situ method of saturated hydraulic conductivity analysis requires no physical samples to be removed from the research plots</w:t>
      </w:r>
      <w:bookmarkEnd w:id="4"/>
      <w:r>
        <w:t xml:space="preserve">. </w:t>
      </w:r>
      <w:bookmarkStart w:id="5" w:name="_Hlk46483769"/>
    </w:p>
    <w:p w14:paraId="673958E6" w14:textId="77777777" w:rsidR="000F06F3" w:rsidRDefault="000F06F3" w:rsidP="000F06F3">
      <w:pPr>
        <w:spacing w:line="480" w:lineRule="auto"/>
      </w:pPr>
      <w:r>
        <w:t xml:space="preserve">Below is a summary of the procedural steps: </w:t>
      </w:r>
    </w:p>
    <w:p w14:paraId="1E146CFD" w14:textId="77777777" w:rsidR="000F06F3" w:rsidRDefault="000F06F3" w:rsidP="000F06F3">
      <w:pPr>
        <w:pStyle w:val="ListParagraph"/>
        <w:numPr>
          <w:ilvl w:val="0"/>
          <w:numId w:val="5"/>
        </w:numPr>
        <w:spacing w:line="480" w:lineRule="auto"/>
      </w:pPr>
      <w:bookmarkStart w:id="6" w:name="_Hlk52794623"/>
      <w:r>
        <w:t>Locate the test</w:t>
      </w:r>
      <w:bookmarkEnd w:id="6"/>
      <w:r>
        <w:t xml:space="preserve"> location, gently remove any loose surface material and/or trim if needed </w:t>
      </w:r>
    </w:p>
    <w:p w14:paraId="10A5DBF0" w14:textId="77777777" w:rsidR="000F06F3" w:rsidRDefault="000F06F3" w:rsidP="000F06F3">
      <w:pPr>
        <w:pStyle w:val="ListParagraph"/>
        <w:numPr>
          <w:ilvl w:val="0"/>
          <w:numId w:val="5"/>
        </w:numPr>
        <w:spacing w:line="480" w:lineRule="auto"/>
      </w:pPr>
      <w:r>
        <w:lastRenderedPageBreak/>
        <w:t xml:space="preserve">Install the supplied insertion ring until the flange evenly contacts the ground surface using the supplied rubber mallet and driving plate </w:t>
      </w:r>
    </w:p>
    <w:p w14:paraId="45F3383D" w14:textId="77777777" w:rsidR="000F06F3" w:rsidRDefault="000F06F3" w:rsidP="000F06F3">
      <w:pPr>
        <w:pStyle w:val="ListParagraph"/>
        <w:numPr>
          <w:ilvl w:val="0"/>
          <w:numId w:val="5"/>
        </w:numPr>
        <w:spacing w:line="480" w:lineRule="auto"/>
      </w:pPr>
      <w:r>
        <w:t xml:space="preserve">Fasten the head unit to the insertion ring </w:t>
      </w:r>
    </w:p>
    <w:p w14:paraId="1EC162E4" w14:textId="77777777" w:rsidR="000F06F3" w:rsidRDefault="000F06F3" w:rsidP="000F06F3">
      <w:pPr>
        <w:pStyle w:val="ListParagraph"/>
        <w:numPr>
          <w:ilvl w:val="0"/>
          <w:numId w:val="5"/>
        </w:numPr>
        <w:spacing w:line="480" w:lineRule="auto"/>
      </w:pPr>
      <w:r>
        <w:t xml:space="preserve">Connect the supplied tubing lines from the control unit to the head unit </w:t>
      </w:r>
    </w:p>
    <w:p w14:paraId="7BFB796D" w14:textId="77777777" w:rsidR="000F06F3" w:rsidRDefault="000F06F3" w:rsidP="000F06F3">
      <w:pPr>
        <w:pStyle w:val="ListParagraph"/>
        <w:numPr>
          <w:ilvl w:val="0"/>
          <w:numId w:val="5"/>
        </w:numPr>
        <w:spacing w:line="480" w:lineRule="auto"/>
      </w:pPr>
      <w:r>
        <w:t xml:space="preserve">Fill the supplied water jugs and connect the supply hoses from the water jugs to the control unit </w:t>
      </w:r>
    </w:p>
    <w:p w14:paraId="796E3811" w14:textId="77777777" w:rsidR="000F06F3" w:rsidRDefault="000F06F3" w:rsidP="000F06F3">
      <w:pPr>
        <w:pStyle w:val="ListParagraph"/>
        <w:numPr>
          <w:ilvl w:val="0"/>
          <w:numId w:val="5"/>
        </w:numPr>
        <w:spacing w:line="480" w:lineRule="auto"/>
      </w:pPr>
      <w:r>
        <w:t>Program the control unit to the desired specifications for the specific soil texture and moisture level using the provided chart (Figure 3)</w:t>
      </w:r>
    </w:p>
    <w:p w14:paraId="1469CC8E" w14:textId="77777777" w:rsidR="000F06F3" w:rsidRDefault="000F06F3" w:rsidP="000F06F3">
      <w:pPr>
        <w:pStyle w:val="ListParagraph"/>
        <w:numPr>
          <w:ilvl w:val="0"/>
          <w:numId w:val="5"/>
        </w:numPr>
        <w:spacing w:line="480" w:lineRule="auto"/>
      </w:pPr>
      <w:r>
        <w:t xml:space="preserve">Begin the test </w:t>
      </w:r>
    </w:p>
    <w:p w14:paraId="39D9181D" w14:textId="77777777" w:rsidR="000F06F3" w:rsidRPr="003A667F" w:rsidRDefault="000F06F3" w:rsidP="000F06F3">
      <w:pPr>
        <w:pStyle w:val="ListParagraph"/>
        <w:numPr>
          <w:ilvl w:val="0"/>
          <w:numId w:val="5"/>
        </w:numPr>
        <w:spacing w:line="480" w:lineRule="auto"/>
      </w:pPr>
      <w:r>
        <w:t>The device will automatically complete the test and store the data if there are no problems (no water, extreme temperatures, battery voltage, sensor wire issue, leaks)</w:t>
      </w:r>
      <w:bookmarkEnd w:id="5"/>
    </w:p>
    <w:p w14:paraId="587ED0AC" w14:textId="77777777" w:rsidR="000F06F3" w:rsidRDefault="000F06F3" w:rsidP="000F06F3">
      <w:pPr>
        <w:spacing w:line="480" w:lineRule="auto"/>
        <w:rPr>
          <w:rFonts w:eastAsiaTheme="minorEastAsia"/>
          <w:color w:val="000000" w:themeColor="text1"/>
          <w:kern w:val="24"/>
        </w:rPr>
      </w:pPr>
    </w:p>
    <w:p w14:paraId="141842E9" w14:textId="77777777" w:rsidR="000F06F3" w:rsidRDefault="000F06F3" w:rsidP="000F06F3">
      <w:pPr>
        <w:spacing w:line="480" w:lineRule="auto"/>
        <w:rPr>
          <w:rFonts w:eastAsiaTheme="minorEastAsia"/>
          <w:color w:val="000000" w:themeColor="text1"/>
          <w:kern w:val="24"/>
        </w:rPr>
      </w:pPr>
    </w:p>
    <w:p w14:paraId="01CB91C1" w14:textId="77777777" w:rsidR="000F06F3" w:rsidRDefault="000F06F3" w:rsidP="000F06F3">
      <w:pPr>
        <w:spacing w:line="480" w:lineRule="auto"/>
        <w:jc w:val="center"/>
      </w:pPr>
      <w:r>
        <w:rPr>
          <w:rFonts w:eastAsiaTheme="minorEastAsia"/>
          <w:noProof/>
          <w:color w:val="000000" w:themeColor="text1"/>
          <w:kern w:val="24"/>
        </w:rPr>
        <w:drawing>
          <wp:inline distT="0" distB="0" distL="0" distR="0" wp14:anchorId="5E3229FB" wp14:editId="45816E28">
            <wp:extent cx="5521192" cy="1941767"/>
            <wp:effectExtent l="0" t="0" r="381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t="8006"/>
                    <a:stretch/>
                  </pic:blipFill>
                  <pic:spPr bwMode="auto">
                    <a:xfrm>
                      <a:off x="0" y="0"/>
                      <a:ext cx="5856364" cy="2059645"/>
                    </a:xfrm>
                    <a:prstGeom prst="rect">
                      <a:avLst/>
                    </a:prstGeom>
                    <a:noFill/>
                    <a:ln>
                      <a:noFill/>
                    </a:ln>
                    <a:extLst>
                      <a:ext uri="{53640926-AAD7-44D8-BBD7-CCE9431645EC}">
                        <a14:shadowObscured xmlns:a14="http://schemas.microsoft.com/office/drawing/2010/main"/>
                      </a:ext>
                    </a:extLst>
                  </pic:spPr>
                </pic:pic>
              </a:graphicData>
            </a:graphic>
          </wp:inline>
        </w:drawing>
      </w:r>
    </w:p>
    <w:p w14:paraId="79A359EC" w14:textId="77777777" w:rsidR="000F06F3" w:rsidRPr="00127DCB" w:rsidRDefault="000F06F3" w:rsidP="000F06F3">
      <w:pPr>
        <w:spacing w:line="480" w:lineRule="auto"/>
        <w:rPr>
          <w:b/>
          <w:bCs/>
          <w:color w:val="FF0000"/>
        </w:rPr>
      </w:pPr>
      <w:r>
        <w:rPr>
          <w:b/>
          <w:bCs/>
        </w:rPr>
        <w:tab/>
        <w:t>Figure 3. Settings chart for SATURO (SATURO manual)</w:t>
      </w:r>
    </w:p>
    <w:p w14:paraId="0ABDB783" w14:textId="77777777" w:rsidR="000F06F3" w:rsidRDefault="000F06F3" w:rsidP="000F06F3">
      <w:pPr>
        <w:spacing w:line="480" w:lineRule="auto"/>
        <w:rPr>
          <w:b/>
          <w:bCs/>
        </w:rPr>
      </w:pPr>
    </w:p>
    <w:p w14:paraId="2B35E20D" w14:textId="77777777" w:rsidR="000F06F3" w:rsidRDefault="000F06F3" w:rsidP="000F06F3">
      <w:pPr>
        <w:spacing w:line="480" w:lineRule="auto"/>
        <w:rPr>
          <w:b/>
          <w:bCs/>
        </w:rPr>
      </w:pPr>
    </w:p>
    <w:p w14:paraId="4D2DCECF" w14:textId="77777777" w:rsidR="000F06F3" w:rsidRPr="002C5603" w:rsidRDefault="000F06F3" w:rsidP="000F06F3">
      <w:pPr>
        <w:spacing w:line="480" w:lineRule="auto"/>
        <w:rPr>
          <w:b/>
          <w:bCs/>
        </w:rPr>
      </w:pPr>
      <w:r w:rsidRPr="00A84E60">
        <w:rPr>
          <w:rFonts w:eastAsiaTheme="minorEastAsia"/>
          <w:b/>
          <w:bCs/>
          <w:color w:val="000000" w:themeColor="text1"/>
          <w:kern w:val="24"/>
          <w:szCs w:val="24"/>
        </w:rPr>
        <w:lastRenderedPageBreak/>
        <w:t>Soil Microbial Biomass (SMB)</w:t>
      </w:r>
    </w:p>
    <w:p w14:paraId="7163BCFA" w14:textId="77777777" w:rsidR="000F06F3" w:rsidRDefault="000F06F3" w:rsidP="000F06F3">
      <w:pPr>
        <w:pStyle w:val="ListParagraph"/>
        <w:spacing w:line="480" w:lineRule="auto"/>
        <w:ind w:left="0"/>
        <w:rPr>
          <w:rFonts w:eastAsiaTheme="minorEastAsia"/>
          <w:color w:val="000000" w:themeColor="text1"/>
          <w:kern w:val="24"/>
        </w:rPr>
      </w:pPr>
      <w:r>
        <w:rPr>
          <w:rFonts w:eastAsiaTheme="minorEastAsia"/>
          <w:b/>
          <w:bCs/>
          <w:color w:val="000000" w:themeColor="text1"/>
          <w:kern w:val="24"/>
          <w:sz w:val="28"/>
          <w:szCs w:val="28"/>
        </w:rPr>
        <w:tab/>
      </w:r>
      <w:r>
        <w:t xml:space="preserve">Soil samples will be collected at UTRECM &amp; MTREC and the soil microbial biomass C (values will be measured using the </w:t>
      </w:r>
      <w:proofErr w:type="spellStart"/>
      <w:r>
        <w:t>microBIOMETER</w:t>
      </w:r>
      <w:proofErr w:type="spellEnd"/>
      <w:r>
        <w:t xml:space="preserve">® rapid test (Prolific Earth Sciences, Montgomery NY). </w:t>
      </w:r>
      <w:r>
        <w:rPr>
          <w:rFonts w:eastAsiaTheme="minorEastAsia"/>
          <w:color w:val="000000" w:themeColor="text1"/>
          <w:kern w:val="24"/>
        </w:rPr>
        <w:t xml:space="preserve">The </w:t>
      </w:r>
      <w:proofErr w:type="spellStart"/>
      <w:r>
        <w:rPr>
          <w:rFonts w:eastAsiaTheme="minorEastAsia"/>
          <w:color w:val="000000" w:themeColor="text1"/>
          <w:kern w:val="24"/>
        </w:rPr>
        <w:t>microBIOMETER</w:t>
      </w:r>
      <w:proofErr w:type="spellEnd"/>
      <w:r>
        <w:rPr>
          <w:rFonts w:eastAsiaTheme="minorEastAsia"/>
          <w:color w:val="000000" w:themeColor="text1"/>
          <w:kern w:val="24"/>
        </w:rPr>
        <w:t xml:space="preserve">® system is a commercially available product which measures soil microbial biomass carbon (µg microbial biomass C/gram of soil) and soil microbial </w:t>
      </w:r>
      <w:proofErr w:type="spellStart"/>
      <w:r>
        <w:rPr>
          <w:rFonts w:eastAsiaTheme="minorEastAsia"/>
          <w:color w:val="000000" w:themeColor="text1"/>
          <w:kern w:val="24"/>
        </w:rPr>
        <w:t>fungal:bacterial</w:t>
      </w:r>
      <w:proofErr w:type="spellEnd"/>
      <w:r>
        <w:rPr>
          <w:rFonts w:eastAsiaTheme="minorEastAsia"/>
          <w:color w:val="000000" w:themeColor="text1"/>
          <w:kern w:val="24"/>
        </w:rPr>
        <w:t xml:space="preserve"> (F:B) ratio. This product is portable (smaller than a laptop), inexpensive (&lt; $20), quick (&lt; 30 minutes), and has a video tutorial. The analysis is completed using a free smartphone application. This method is minimally disruptive as it requires small soil probe samples to be removed from the plots for analysis. </w:t>
      </w:r>
    </w:p>
    <w:p w14:paraId="1A55C499" w14:textId="77777777" w:rsidR="000F06F3" w:rsidRDefault="000F06F3" w:rsidP="000F06F3">
      <w:pPr>
        <w:pStyle w:val="ListParagraph"/>
        <w:spacing w:line="480" w:lineRule="auto"/>
        <w:ind w:left="0"/>
        <w:rPr>
          <w:rFonts w:eastAsiaTheme="minorEastAsia"/>
          <w:color w:val="000000" w:themeColor="text1"/>
          <w:kern w:val="24"/>
        </w:rPr>
      </w:pPr>
    </w:p>
    <w:p w14:paraId="6763EC22" w14:textId="77777777" w:rsidR="000F06F3" w:rsidRDefault="000F06F3" w:rsidP="000F06F3">
      <w:pPr>
        <w:pStyle w:val="ListParagraph"/>
        <w:spacing w:line="480" w:lineRule="auto"/>
        <w:ind w:left="0"/>
        <w:rPr>
          <w:rFonts w:eastAsiaTheme="minorEastAsia"/>
          <w:color w:val="000000" w:themeColor="text1"/>
          <w:kern w:val="24"/>
        </w:rPr>
      </w:pPr>
      <w:r>
        <w:rPr>
          <w:rFonts w:eastAsiaTheme="minorEastAsia"/>
          <w:color w:val="000000" w:themeColor="text1"/>
          <w:kern w:val="24"/>
        </w:rPr>
        <w:t xml:space="preserve">Below is a summary of the procedural steps: </w:t>
      </w:r>
    </w:p>
    <w:p w14:paraId="7F66CA49" w14:textId="77777777" w:rsidR="000F06F3" w:rsidRPr="008D2171" w:rsidRDefault="000F06F3" w:rsidP="000F06F3">
      <w:pPr>
        <w:pStyle w:val="ListParagraph"/>
        <w:numPr>
          <w:ilvl w:val="0"/>
          <w:numId w:val="4"/>
        </w:numPr>
        <w:spacing w:line="480" w:lineRule="auto"/>
        <w:rPr>
          <w:rFonts w:eastAsiaTheme="minorEastAsia"/>
          <w:b/>
          <w:bCs/>
          <w:color w:val="000000" w:themeColor="text1"/>
          <w:kern w:val="24"/>
          <w:sz w:val="28"/>
          <w:szCs w:val="28"/>
        </w:rPr>
      </w:pPr>
      <w:r>
        <w:t xml:space="preserve">Take soil sample from sealed bag and place in </w:t>
      </w:r>
      <w:r w:rsidRPr="00804347">
        <w:t>size #18 sieving pan and</w:t>
      </w:r>
      <w:r>
        <w:t xml:space="preserve"> force soil through with safe, hard object (small plastic beaker) </w:t>
      </w:r>
    </w:p>
    <w:p w14:paraId="256B4EFA" w14:textId="77777777" w:rsidR="000F06F3" w:rsidRPr="008D2171" w:rsidRDefault="000F06F3" w:rsidP="000F06F3">
      <w:pPr>
        <w:pStyle w:val="ListParagraph"/>
        <w:numPr>
          <w:ilvl w:val="0"/>
          <w:numId w:val="4"/>
        </w:numPr>
        <w:spacing w:line="480" w:lineRule="auto"/>
        <w:rPr>
          <w:rFonts w:eastAsiaTheme="minorEastAsia"/>
          <w:b/>
          <w:bCs/>
          <w:color w:val="000000" w:themeColor="text1"/>
          <w:kern w:val="24"/>
          <w:sz w:val="28"/>
          <w:szCs w:val="28"/>
        </w:rPr>
      </w:pPr>
      <w:r>
        <w:t>Collect 1-ml of sieved soil in provided syringe and compact to 0.5-ml using index finger and syringe plunger</w:t>
      </w:r>
      <w:r w:rsidRPr="00AF15EE">
        <w:t>, trim</w:t>
      </w:r>
      <w:r>
        <w:t xml:space="preserve"> soil plug to desired volume (0.5-ml) and discard excess </w:t>
      </w:r>
    </w:p>
    <w:p w14:paraId="20C19B6C" w14:textId="77777777" w:rsidR="000F06F3" w:rsidRPr="004528F6" w:rsidRDefault="000F06F3" w:rsidP="000F06F3">
      <w:pPr>
        <w:pStyle w:val="ListParagraph"/>
        <w:numPr>
          <w:ilvl w:val="0"/>
          <w:numId w:val="4"/>
        </w:numPr>
        <w:spacing w:line="480" w:lineRule="auto"/>
        <w:rPr>
          <w:rFonts w:eastAsiaTheme="minorEastAsia"/>
          <w:b/>
          <w:bCs/>
          <w:color w:val="000000" w:themeColor="text1"/>
          <w:kern w:val="24"/>
          <w:sz w:val="28"/>
          <w:szCs w:val="28"/>
        </w:rPr>
      </w:pPr>
      <w:r>
        <w:t xml:space="preserve">Fill provided capped container with water and pour into provided test tube </w:t>
      </w:r>
    </w:p>
    <w:p w14:paraId="3E744677" w14:textId="77777777" w:rsidR="000F06F3" w:rsidRPr="00722B75" w:rsidRDefault="000F06F3" w:rsidP="000F06F3">
      <w:pPr>
        <w:pStyle w:val="ListParagraph"/>
        <w:numPr>
          <w:ilvl w:val="0"/>
          <w:numId w:val="4"/>
        </w:numPr>
        <w:spacing w:line="480" w:lineRule="auto"/>
        <w:rPr>
          <w:rFonts w:eastAsiaTheme="minorEastAsia"/>
          <w:b/>
          <w:bCs/>
          <w:color w:val="000000" w:themeColor="text1"/>
          <w:kern w:val="24"/>
          <w:sz w:val="28"/>
          <w:szCs w:val="28"/>
        </w:rPr>
      </w:pPr>
      <w:r>
        <w:t xml:space="preserve">Add 1 packet of provided prepackaged additive to test tube of water and mix for 5 seconds using provided electronic stirrer </w:t>
      </w:r>
    </w:p>
    <w:p w14:paraId="0DC020F8" w14:textId="77777777" w:rsidR="000F06F3" w:rsidRPr="00722B75" w:rsidRDefault="000F06F3" w:rsidP="000F06F3">
      <w:pPr>
        <w:pStyle w:val="ListParagraph"/>
        <w:numPr>
          <w:ilvl w:val="0"/>
          <w:numId w:val="4"/>
        </w:numPr>
        <w:spacing w:line="480" w:lineRule="auto"/>
        <w:rPr>
          <w:rFonts w:eastAsiaTheme="minorEastAsia"/>
          <w:b/>
          <w:bCs/>
          <w:color w:val="000000" w:themeColor="text1"/>
          <w:kern w:val="24"/>
          <w:sz w:val="28"/>
          <w:szCs w:val="28"/>
        </w:rPr>
      </w:pPr>
      <w:r>
        <w:t xml:space="preserve">Add compacted soil plug to solution and mix for 30 seconds using provided electronic stirrer </w:t>
      </w:r>
    </w:p>
    <w:p w14:paraId="1EBD867D" w14:textId="77777777" w:rsidR="000F06F3" w:rsidRPr="00722B75" w:rsidRDefault="000F06F3" w:rsidP="000F06F3">
      <w:pPr>
        <w:pStyle w:val="ListParagraph"/>
        <w:numPr>
          <w:ilvl w:val="0"/>
          <w:numId w:val="4"/>
        </w:numPr>
        <w:spacing w:line="480" w:lineRule="auto"/>
        <w:rPr>
          <w:rFonts w:eastAsiaTheme="minorEastAsia"/>
          <w:b/>
          <w:bCs/>
          <w:color w:val="000000" w:themeColor="text1"/>
          <w:kern w:val="24"/>
          <w:sz w:val="28"/>
          <w:szCs w:val="28"/>
        </w:rPr>
      </w:pPr>
      <w:r>
        <w:t xml:space="preserve">Place test tube of mixed soil solution into test tube rack and start timer for 5 minutes to allow sediment to settle </w:t>
      </w:r>
    </w:p>
    <w:p w14:paraId="67DD2C52" w14:textId="77777777" w:rsidR="000F06F3" w:rsidRPr="00722B75" w:rsidRDefault="000F06F3" w:rsidP="000F06F3">
      <w:pPr>
        <w:pStyle w:val="ListParagraph"/>
        <w:numPr>
          <w:ilvl w:val="0"/>
          <w:numId w:val="4"/>
        </w:numPr>
        <w:spacing w:line="480" w:lineRule="auto"/>
        <w:rPr>
          <w:rFonts w:eastAsiaTheme="minorEastAsia"/>
          <w:b/>
          <w:bCs/>
          <w:color w:val="000000" w:themeColor="text1"/>
          <w:kern w:val="24"/>
          <w:sz w:val="28"/>
          <w:szCs w:val="28"/>
        </w:rPr>
      </w:pPr>
      <w:r>
        <w:lastRenderedPageBreak/>
        <w:t xml:space="preserve">Carefully tap test tube on hard surface 5 times after timer sounds to ensure proper settling, place test tube back in test tube rack and reset timer for 15 minutes </w:t>
      </w:r>
    </w:p>
    <w:p w14:paraId="2AFA277F" w14:textId="77777777" w:rsidR="000F06F3" w:rsidRPr="004528F6" w:rsidRDefault="000F06F3" w:rsidP="000F06F3">
      <w:pPr>
        <w:pStyle w:val="ListParagraph"/>
        <w:numPr>
          <w:ilvl w:val="0"/>
          <w:numId w:val="4"/>
        </w:numPr>
        <w:spacing w:line="480" w:lineRule="auto"/>
        <w:rPr>
          <w:rFonts w:eastAsiaTheme="minorEastAsia"/>
          <w:b/>
          <w:bCs/>
          <w:color w:val="000000" w:themeColor="text1"/>
          <w:kern w:val="24"/>
          <w:sz w:val="28"/>
          <w:szCs w:val="28"/>
        </w:rPr>
      </w:pPr>
      <w:r>
        <w:t xml:space="preserve">Place provided disposable analysis card on provided monochrome background and add 3 drops of the solution to the card using the provided disposable pipette after time expires </w:t>
      </w:r>
    </w:p>
    <w:p w14:paraId="59CA0794" w14:textId="77777777" w:rsidR="000F06F3" w:rsidRPr="00E81099" w:rsidRDefault="000F06F3" w:rsidP="000F06F3">
      <w:pPr>
        <w:pStyle w:val="ListParagraph"/>
        <w:numPr>
          <w:ilvl w:val="0"/>
          <w:numId w:val="4"/>
        </w:numPr>
        <w:spacing w:line="480" w:lineRule="auto"/>
        <w:rPr>
          <w:rFonts w:eastAsiaTheme="minorEastAsia"/>
          <w:b/>
          <w:bCs/>
          <w:color w:val="000000" w:themeColor="text1"/>
          <w:kern w:val="24"/>
          <w:sz w:val="28"/>
          <w:szCs w:val="28"/>
        </w:rPr>
      </w:pPr>
      <w:r>
        <w:t xml:space="preserve">Take a picture of the sample card on the background with the free smartphone app to obtain sample results which will be displayed within the product’s mobile application on the smartphone screen </w:t>
      </w:r>
    </w:p>
    <w:p w14:paraId="3691ADCE" w14:textId="77777777" w:rsidR="000F06F3" w:rsidRDefault="000F06F3" w:rsidP="000F06F3">
      <w:pPr>
        <w:pStyle w:val="ListParagraph"/>
        <w:spacing w:line="480" w:lineRule="auto"/>
        <w:ind w:left="0"/>
        <w:rPr>
          <w:rFonts w:eastAsiaTheme="minorEastAsia"/>
          <w:b/>
          <w:bCs/>
          <w:color w:val="000000" w:themeColor="text1"/>
          <w:kern w:val="24"/>
          <w:sz w:val="28"/>
          <w:szCs w:val="28"/>
        </w:rPr>
      </w:pPr>
    </w:p>
    <w:p w14:paraId="0DC5870A" w14:textId="77777777" w:rsidR="000F06F3" w:rsidRDefault="000F06F3" w:rsidP="000F06F3">
      <w:pPr>
        <w:pStyle w:val="ListParagraph"/>
        <w:spacing w:line="480" w:lineRule="auto"/>
        <w:ind w:left="0"/>
        <w:rPr>
          <w:rFonts w:eastAsiaTheme="minorEastAsia"/>
          <w:b/>
          <w:bCs/>
          <w:color w:val="000000" w:themeColor="text1"/>
          <w:kern w:val="24"/>
          <w:sz w:val="28"/>
          <w:szCs w:val="28"/>
        </w:rPr>
      </w:pPr>
    </w:p>
    <w:p w14:paraId="6DDA3DE2" w14:textId="77777777" w:rsidR="000F06F3" w:rsidRDefault="000F06F3" w:rsidP="000F06F3">
      <w:pPr>
        <w:pStyle w:val="ListParagraph"/>
        <w:spacing w:line="480" w:lineRule="auto"/>
        <w:ind w:left="0"/>
        <w:jc w:val="center"/>
        <w:rPr>
          <w:rFonts w:eastAsiaTheme="minorEastAsia"/>
          <w:b/>
          <w:bCs/>
          <w:color w:val="000000" w:themeColor="text1"/>
          <w:kern w:val="24"/>
          <w:sz w:val="28"/>
          <w:szCs w:val="28"/>
        </w:rPr>
      </w:pPr>
      <w:r>
        <w:rPr>
          <w:rFonts w:eastAsiaTheme="minorEastAsia"/>
          <w:b/>
          <w:bCs/>
          <w:color w:val="000000" w:themeColor="text1"/>
          <w:kern w:val="24"/>
          <w:sz w:val="28"/>
          <w:szCs w:val="28"/>
        </w:rPr>
        <w:t>Statistical Analysis</w:t>
      </w:r>
    </w:p>
    <w:p w14:paraId="6884EA3B" w14:textId="77777777" w:rsidR="000F06F3" w:rsidRDefault="000F06F3" w:rsidP="000F06F3">
      <w:pPr>
        <w:pStyle w:val="ListParagraph"/>
        <w:spacing w:line="480" w:lineRule="auto"/>
        <w:ind w:left="0"/>
        <w:jc w:val="center"/>
        <w:rPr>
          <w:rFonts w:eastAsiaTheme="minorEastAsia"/>
          <w:b/>
          <w:bCs/>
          <w:color w:val="000000" w:themeColor="text1"/>
          <w:kern w:val="24"/>
          <w:sz w:val="28"/>
          <w:szCs w:val="28"/>
        </w:rPr>
      </w:pPr>
    </w:p>
    <w:p w14:paraId="4E1ABF43" w14:textId="77777777" w:rsidR="000F06F3" w:rsidRPr="00420EAC" w:rsidRDefault="000F06F3" w:rsidP="000F06F3">
      <w:pPr>
        <w:pStyle w:val="ListParagraph"/>
        <w:spacing w:line="480" w:lineRule="auto"/>
        <w:ind w:left="0"/>
        <w:rPr>
          <w:rFonts w:eastAsiaTheme="minorEastAsia"/>
          <w:color w:val="000000" w:themeColor="text1"/>
          <w:kern w:val="24"/>
          <w:vertAlign w:val="subscript"/>
        </w:rPr>
      </w:pPr>
      <w:r>
        <w:rPr>
          <w:rFonts w:eastAsiaTheme="minorEastAsia"/>
          <w:color w:val="000000" w:themeColor="text1"/>
          <w:kern w:val="24"/>
        </w:rPr>
        <w:t xml:space="preserve">All collected data was analyzed using JMP Pro 15. Analysis of variance (ANOVA) was completed using a mixed model with sampling settings. Log transformation of the </w:t>
      </w:r>
      <w:proofErr w:type="spellStart"/>
      <w:r>
        <w:rPr>
          <w:rFonts w:eastAsiaTheme="minorEastAsia"/>
          <w:color w:val="000000" w:themeColor="text1"/>
          <w:kern w:val="24"/>
        </w:rPr>
        <w:t>K</w:t>
      </w:r>
      <w:r>
        <w:rPr>
          <w:rFonts w:eastAsiaTheme="minorEastAsia"/>
          <w:color w:val="000000" w:themeColor="text1"/>
          <w:kern w:val="24"/>
          <w:vertAlign w:val="subscript"/>
        </w:rPr>
        <w:t>sat</w:t>
      </w:r>
      <w:proofErr w:type="spellEnd"/>
      <w:r>
        <w:rPr>
          <w:rFonts w:eastAsiaTheme="minorEastAsia"/>
          <w:color w:val="000000" w:themeColor="text1"/>
          <w:kern w:val="24"/>
          <w:vertAlign w:val="subscript"/>
        </w:rPr>
        <w:t xml:space="preserve"> </w:t>
      </w:r>
      <w:r>
        <w:rPr>
          <w:rFonts w:eastAsiaTheme="minorEastAsia"/>
          <w:color w:val="000000" w:themeColor="text1"/>
          <w:kern w:val="24"/>
        </w:rPr>
        <w:t xml:space="preserve">data was necessary to fulfill the normality of fit assumption. The SMB-C data was normally distributed and did not require any transformation. Our analysis set treatment and location as the main fixed effects. Block and treatment by block nested within location were set as random effects. Least squared means (LSM) and Tukey’s test were also used to separate for significance. The Anderson-Darling test and histogram plots were used to evaluate the normality of ANOVA residuals. A </w:t>
      </w:r>
      <w:proofErr w:type="spellStart"/>
      <w:r>
        <w:rPr>
          <w:rFonts w:eastAsiaTheme="minorEastAsia"/>
          <w:color w:val="000000" w:themeColor="text1"/>
          <w:kern w:val="24"/>
        </w:rPr>
        <w:t>Levene’s</w:t>
      </w:r>
      <w:proofErr w:type="spellEnd"/>
      <w:r>
        <w:rPr>
          <w:rFonts w:eastAsiaTheme="minorEastAsia"/>
          <w:color w:val="000000" w:themeColor="text1"/>
          <w:kern w:val="24"/>
        </w:rPr>
        <w:t xml:space="preserve"> test was used to assess the equality of variances for the residuals. Significance was measured using P &lt; 0.05.</w:t>
      </w:r>
    </w:p>
    <w:p w14:paraId="53258C7C" w14:textId="6A133C6C" w:rsidR="000F06F3" w:rsidRDefault="000F06F3" w:rsidP="000F06F3">
      <w:pPr>
        <w:pStyle w:val="ListParagraph"/>
        <w:spacing w:line="480" w:lineRule="auto"/>
        <w:ind w:left="0"/>
        <w:jc w:val="center"/>
        <w:rPr>
          <w:rFonts w:eastAsiaTheme="minorEastAsia"/>
          <w:b/>
          <w:bCs/>
          <w:color w:val="000000" w:themeColor="text1"/>
          <w:kern w:val="24"/>
          <w:sz w:val="28"/>
          <w:szCs w:val="28"/>
        </w:rPr>
      </w:pPr>
    </w:p>
    <w:p w14:paraId="7F01F72A" w14:textId="77777777" w:rsidR="000F06F3" w:rsidRDefault="000F06F3" w:rsidP="000F06F3">
      <w:pPr>
        <w:pStyle w:val="ListParagraph"/>
        <w:spacing w:line="480" w:lineRule="auto"/>
        <w:ind w:left="0"/>
        <w:jc w:val="center"/>
        <w:rPr>
          <w:rFonts w:eastAsiaTheme="minorEastAsia"/>
          <w:b/>
          <w:bCs/>
          <w:color w:val="000000" w:themeColor="text1"/>
          <w:kern w:val="24"/>
          <w:sz w:val="28"/>
          <w:szCs w:val="28"/>
        </w:rPr>
      </w:pPr>
    </w:p>
    <w:p w14:paraId="628B4FC1" w14:textId="77777777" w:rsidR="000F06F3" w:rsidRDefault="000F06F3" w:rsidP="000F06F3">
      <w:pPr>
        <w:pStyle w:val="ListParagraph"/>
        <w:spacing w:line="480" w:lineRule="auto"/>
        <w:ind w:left="0"/>
        <w:jc w:val="center"/>
        <w:rPr>
          <w:rFonts w:eastAsiaTheme="minorEastAsia"/>
          <w:b/>
          <w:bCs/>
          <w:color w:val="000000" w:themeColor="text1"/>
          <w:kern w:val="24"/>
          <w:sz w:val="28"/>
          <w:szCs w:val="28"/>
        </w:rPr>
      </w:pPr>
      <w:r>
        <w:rPr>
          <w:rFonts w:eastAsiaTheme="minorEastAsia"/>
          <w:b/>
          <w:bCs/>
          <w:color w:val="000000" w:themeColor="text1"/>
          <w:kern w:val="24"/>
          <w:sz w:val="28"/>
          <w:szCs w:val="28"/>
        </w:rPr>
        <w:lastRenderedPageBreak/>
        <w:t>Results</w:t>
      </w:r>
    </w:p>
    <w:p w14:paraId="157F8FBC" w14:textId="77777777" w:rsidR="000F06F3" w:rsidRDefault="000F06F3" w:rsidP="000F06F3">
      <w:pPr>
        <w:pStyle w:val="ListParagraph"/>
        <w:spacing w:line="480" w:lineRule="auto"/>
        <w:ind w:left="0"/>
        <w:rPr>
          <w:rFonts w:eastAsiaTheme="minorEastAsia"/>
          <w:color w:val="000000" w:themeColor="text1"/>
          <w:kern w:val="24"/>
        </w:rPr>
      </w:pPr>
    </w:p>
    <w:p w14:paraId="59B9D2FF" w14:textId="77777777" w:rsidR="000F06F3" w:rsidRDefault="000F06F3" w:rsidP="000F06F3">
      <w:pPr>
        <w:pStyle w:val="ListParagraph"/>
        <w:spacing w:line="480" w:lineRule="auto"/>
        <w:ind w:left="0"/>
        <w:jc w:val="center"/>
        <w:rPr>
          <w:rFonts w:eastAsiaTheme="minorEastAsia"/>
          <w:color w:val="000000" w:themeColor="text1"/>
          <w:kern w:val="24"/>
        </w:rPr>
      </w:pPr>
      <w:r w:rsidRPr="0099770B">
        <w:rPr>
          <w:rFonts w:eastAsiaTheme="minorEastAsia"/>
          <w:noProof/>
        </w:rPr>
        <w:drawing>
          <wp:inline distT="0" distB="0" distL="0" distR="0" wp14:anchorId="116BC48F" wp14:editId="6E60551F">
            <wp:extent cx="5943600" cy="1557020"/>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1557020"/>
                    </a:xfrm>
                    <a:prstGeom prst="rect">
                      <a:avLst/>
                    </a:prstGeom>
                    <a:noFill/>
                    <a:ln>
                      <a:noFill/>
                    </a:ln>
                  </pic:spPr>
                </pic:pic>
              </a:graphicData>
            </a:graphic>
          </wp:inline>
        </w:drawing>
      </w:r>
    </w:p>
    <w:p w14:paraId="48E06737" w14:textId="77777777" w:rsidR="000F06F3" w:rsidRPr="00FD5275" w:rsidRDefault="000F06F3" w:rsidP="000F06F3">
      <w:pPr>
        <w:pStyle w:val="ListParagraph"/>
        <w:spacing w:line="480" w:lineRule="auto"/>
        <w:ind w:left="0"/>
        <w:rPr>
          <w:rFonts w:eastAsiaTheme="minorEastAsia"/>
          <w:color w:val="000000" w:themeColor="text1"/>
          <w:kern w:val="24"/>
        </w:rPr>
      </w:pPr>
      <w:r>
        <w:rPr>
          <w:rFonts w:eastAsiaTheme="minorEastAsia"/>
          <w:color w:val="000000" w:themeColor="text1"/>
          <w:kern w:val="24"/>
        </w:rPr>
        <w:t>-Now what?</w:t>
      </w:r>
    </w:p>
    <w:p w14:paraId="63E47601" w14:textId="77777777" w:rsidR="000F06F3" w:rsidRDefault="000F06F3" w:rsidP="000F06F3">
      <w:pPr>
        <w:pStyle w:val="ListParagraph"/>
        <w:spacing w:line="480" w:lineRule="auto"/>
        <w:ind w:left="0"/>
        <w:jc w:val="center"/>
        <w:rPr>
          <w:rFonts w:eastAsiaTheme="minorEastAsia"/>
          <w:b/>
          <w:bCs/>
          <w:color w:val="000000" w:themeColor="text1"/>
          <w:kern w:val="24"/>
          <w:sz w:val="28"/>
          <w:szCs w:val="28"/>
        </w:rPr>
      </w:pPr>
    </w:p>
    <w:p w14:paraId="4E8FFA13" w14:textId="77777777" w:rsidR="000F06F3" w:rsidRDefault="000F06F3" w:rsidP="000F06F3">
      <w:pPr>
        <w:pStyle w:val="ListParagraph"/>
        <w:spacing w:line="480" w:lineRule="auto"/>
        <w:ind w:left="0"/>
        <w:jc w:val="center"/>
        <w:rPr>
          <w:rFonts w:eastAsiaTheme="minorEastAsia"/>
          <w:b/>
          <w:bCs/>
          <w:color w:val="000000" w:themeColor="text1"/>
          <w:kern w:val="24"/>
          <w:sz w:val="28"/>
          <w:szCs w:val="28"/>
        </w:rPr>
      </w:pPr>
    </w:p>
    <w:p w14:paraId="04799275" w14:textId="77777777" w:rsidR="000F06F3" w:rsidRDefault="000F06F3" w:rsidP="000F06F3">
      <w:pPr>
        <w:pStyle w:val="ListParagraph"/>
        <w:spacing w:line="480" w:lineRule="auto"/>
        <w:ind w:left="0"/>
        <w:jc w:val="center"/>
        <w:rPr>
          <w:rFonts w:eastAsiaTheme="minorEastAsia"/>
          <w:b/>
          <w:bCs/>
          <w:color w:val="000000" w:themeColor="text1"/>
          <w:kern w:val="24"/>
          <w:sz w:val="28"/>
          <w:szCs w:val="28"/>
        </w:rPr>
      </w:pPr>
      <w:r>
        <w:rPr>
          <w:rFonts w:eastAsiaTheme="minorEastAsia"/>
          <w:b/>
          <w:bCs/>
          <w:color w:val="000000" w:themeColor="text1"/>
          <w:kern w:val="24"/>
          <w:sz w:val="28"/>
          <w:szCs w:val="28"/>
        </w:rPr>
        <w:t>Discussion</w:t>
      </w:r>
    </w:p>
    <w:p w14:paraId="46F44707" w14:textId="77777777" w:rsidR="000F06F3" w:rsidRDefault="000F06F3" w:rsidP="000F06F3">
      <w:pPr>
        <w:pStyle w:val="ListParagraph"/>
        <w:spacing w:line="480" w:lineRule="auto"/>
        <w:ind w:left="0"/>
        <w:rPr>
          <w:rFonts w:eastAsiaTheme="minorEastAsia"/>
          <w:color w:val="000000" w:themeColor="text1"/>
          <w:kern w:val="24"/>
        </w:rPr>
      </w:pPr>
      <w:r>
        <w:rPr>
          <w:rFonts w:eastAsiaTheme="minorEastAsia"/>
          <w:color w:val="000000" w:themeColor="text1"/>
          <w:kern w:val="24"/>
        </w:rPr>
        <w:t>-what’s needed after results?</w:t>
      </w:r>
    </w:p>
    <w:p w14:paraId="2455BE0C" w14:textId="77777777" w:rsidR="000F06F3" w:rsidRPr="004705E4" w:rsidRDefault="000F06F3" w:rsidP="000F06F3">
      <w:pPr>
        <w:pStyle w:val="ListParagraph"/>
        <w:spacing w:line="480" w:lineRule="auto"/>
        <w:ind w:left="0"/>
        <w:rPr>
          <w:rFonts w:eastAsiaTheme="minorEastAsia"/>
          <w:color w:val="000000" w:themeColor="text1"/>
          <w:kern w:val="24"/>
        </w:rPr>
      </w:pPr>
    </w:p>
    <w:p w14:paraId="0868986C" w14:textId="77777777" w:rsidR="000F06F3" w:rsidRPr="00945982" w:rsidRDefault="000F06F3" w:rsidP="000F06F3">
      <w:pPr>
        <w:pStyle w:val="ListParagraph"/>
        <w:spacing w:line="480" w:lineRule="auto"/>
        <w:ind w:left="0"/>
        <w:jc w:val="center"/>
        <w:rPr>
          <w:rFonts w:eastAsiaTheme="minorEastAsia"/>
          <w:b/>
          <w:bCs/>
          <w:color w:val="000000" w:themeColor="text1"/>
          <w:kern w:val="24"/>
          <w:sz w:val="28"/>
          <w:szCs w:val="28"/>
        </w:rPr>
      </w:pPr>
    </w:p>
    <w:p w14:paraId="2FAC1458" w14:textId="77777777" w:rsidR="000F06F3" w:rsidRDefault="000F06F3" w:rsidP="000F06F3">
      <w:pPr>
        <w:pStyle w:val="ListParagraph"/>
        <w:spacing w:line="480" w:lineRule="auto"/>
        <w:ind w:left="0"/>
        <w:rPr>
          <w:rFonts w:eastAsiaTheme="minorEastAsia"/>
          <w:b/>
          <w:bCs/>
          <w:color w:val="000000" w:themeColor="text1"/>
          <w:kern w:val="24"/>
          <w:sz w:val="28"/>
          <w:szCs w:val="28"/>
        </w:rPr>
      </w:pPr>
    </w:p>
    <w:p w14:paraId="779534C7" w14:textId="77777777" w:rsidR="000F06F3" w:rsidRDefault="000F06F3" w:rsidP="000F06F3">
      <w:pPr>
        <w:pStyle w:val="ListParagraph"/>
        <w:spacing w:line="480" w:lineRule="auto"/>
        <w:ind w:left="0"/>
        <w:rPr>
          <w:rFonts w:eastAsiaTheme="minorEastAsia"/>
          <w:b/>
          <w:bCs/>
          <w:color w:val="000000" w:themeColor="text1"/>
          <w:kern w:val="24"/>
          <w:sz w:val="28"/>
          <w:szCs w:val="28"/>
        </w:rPr>
      </w:pPr>
    </w:p>
    <w:p w14:paraId="3216BB11" w14:textId="77777777" w:rsidR="000F06F3" w:rsidRDefault="000F06F3" w:rsidP="000F06F3">
      <w:pPr>
        <w:pStyle w:val="ListParagraph"/>
        <w:spacing w:line="480" w:lineRule="auto"/>
        <w:ind w:left="0"/>
        <w:rPr>
          <w:rFonts w:eastAsiaTheme="minorEastAsia"/>
          <w:b/>
          <w:bCs/>
          <w:color w:val="000000" w:themeColor="text1"/>
          <w:kern w:val="24"/>
          <w:sz w:val="28"/>
          <w:szCs w:val="28"/>
        </w:rPr>
      </w:pPr>
    </w:p>
    <w:p w14:paraId="2D134FEC" w14:textId="77777777" w:rsidR="000F06F3" w:rsidRDefault="000F06F3" w:rsidP="000F06F3">
      <w:pPr>
        <w:pStyle w:val="ListParagraph"/>
        <w:spacing w:line="480" w:lineRule="auto"/>
        <w:ind w:left="0"/>
        <w:rPr>
          <w:rFonts w:eastAsiaTheme="minorEastAsia"/>
          <w:b/>
          <w:bCs/>
          <w:color w:val="000000" w:themeColor="text1"/>
          <w:kern w:val="24"/>
          <w:sz w:val="28"/>
          <w:szCs w:val="28"/>
        </w:rPr>
      </w:pPr>
    </w:p>
    <w:p w14:paraId="58EDD4EB" w14:textId="77777777" w:rsidR="000F06F3" w:rsidRDefault="000F06F3" w:rsidP="000F06F3">
      <w:pPr>
        <w:pStyle w:val="ListParagraph"/>
        <w:spacing w:line="480" w:lineRule="auto"/>
        <w:ind w:left="0"/>
        <w:rPr>
          <w:rFonts w:eastAsiaTheme="minorEastAsia"/>
          <w:b/>
          <w:bCs/>
          <w:color w:val="000000" w:themeColor="text1"/>
          <w:kern w:val="24"/>
          <w:sz w:val="28"/>
          <w:szCs w:val="28"/>
        </w:rPr>
      </w:pPr>
    </w:p>
    <w:p w14:paraId="370E2073" w14:textId="0973F0BC" w:rsidR="000F06F3" w:rsidRDefault="000F06F3" w:rsidP="000F06F3">
      <w:pPr>
        <w:pStyle w:val="ListParagraph"/>
        <w:spacing w:line="480" w:lineRule="auto"/>
        <w:ind w:left="0"/>
        <w:rPr>
          <w:rFonts w:eastAsiaTheme="minorEastAsia"/>
          <w:b/>
          <w:bCs/>
          <w:color w:val="000000" w:themeColor="text1"/>
          <w:kern w:val="24"/>
          <w:sz w:val="28"/>
          <w:szCs w:val="28"/>
        </w:rPr>
      </w:pPr>
    </w:p>
    <w:p w14:paraId="3FE7141E" w14:textId="77777777" w:rsidR="000F06F3" w:rsidRDefault="000F06F3" w:rsidP="000F06F3">
      <w:pPr>
        <w:pStyle w:val="ListParagraph"/>
        <w:spacing w:line="480" w:lineRule="auto"/>
        <w:ind w:left="0"/>
        <w:rPr>
          <w:rFonts w:eastAsiaTheme="minorEastAsia"/>
          <w:b/>
          <w:bCs/>
          <w:color w:val="000000" w:themeColor="text1"/>
          <w:kern w:val="24"/>
          <w:sz w:val="28"/>
          <w:szCs w:val="28"/>
        </w:rPr>
      </w:pPr>
    </w:p>
    <w:p w14:paraId="33FFB6E4" w14:textId="77777777" w:rsidR="000F06F3" w:rsidRDefault="000F06F3" w:rsidP="000F06F3">
      <w:pPr>
        <w:spacing w:line="480" w:lineRule="auto"/>
        <w:jc w:val="center"/>
        <w:rPr>
          <w:b/>
          <w:bCs/>
          <w:sz w:val="28"/>
          <w:szCs w:val="36"/>
        </w:rPr>
      </w:pPr>
      <w:r>
        <w:rPr>
          <w:b/>
          <w:bCs/>
          <w:sz w:val="28"/>
          <w:szCs w:val="36"/>
        </w:rPr>
        <w:lastRenderedPageBreak/>
        <w:t>References</w:t>
      </w:r>
    </w:p>
    <w:p w14:paraId="74181DDE" w14:textId="77777777" w:rsidR="000F06F3" w:rsidRDefault="000F06F3" w:rsidP="000F06F3">
      <w:pPr>
        <w:spacing w:line="480" w:lineRule="auto"/>
        <w:rPr>
          <w:b/>
          <w:bCs/>
          <w:sz w:val="28"/>
          <w:szCs w:val="36"/>
        </w:rPr>
      </w:pPr>
    </w:p>
    <w:p w14:paraId="5C3ED412" w14:textId="77777777" w:rsidR="000F06F3" w:rsidRDefault="000F06F3" w:rsidP="000F06F3">
      <w:pPr>
        <w:pStyle w:val="NormalWeb"/>
        <w:ind w:left="480" w:hanging="480"/>
      </w:pPr>
      <w:r>
        <w:t xml:space="preserve">Adams, R., Hurd, B., Lenhart, S., &amp; Leary, N. (1998). Effects of global climate change on world agriculture: an interpretive review. </w:t>
      </w:r>
      <w:r>
        <w:rPr>
          <w:i/>
          <w:iCs/>
        </w:rPr>
        <w:t>Climate Research</w:t>
      </w:r>
      <w:r>
        <w:t xml:space="preserve">, </w:t>
      </w:r>
      <w:r>
        <w:rPr>
          <w:i/>
          <w:iCs/>
        </w:rPr>
        <w:t>11</w:t>
      </w:r>
      <w:r>
        <w:t xml:space="preserve">(1), 19–30. </w:t>
      </w:r>
      <w:proofErr w:type="spellStart"/>
      <w:r>
        <w:t>doi</w:t>
      </w:r>
      <w:proofErr w:type="spellEnd"/>
      <w:r>
        <w:t>: 10.3354/cr011019</w:t>
      </w:r>
    </w:p>
    <w:p w14:paraId="715A8B48" w14:textId="77777777" w:rsidR="000F06F3" w:rsidRDefault="000F06F3" w:rsidP="000F06F3">
      <w:pPr>
        <w:pStyle w:val="NormalWeb"/>
        <w:ind w:left="480" w:hanging="480"/>
      </w:pPr>
      <w:r>
        <w:t xml:space="preserve">Ashworth, A. J., Allen, F. L., Tyler, D. D., </w:t>
      </w:r>
      <w:proofErr w:type="spellStart"/>
      <w:r>
        <w:t>Pote</w:t>
      </w:r>
      <w:proofErr w:type="spellEnd"/>
      <w:r>
        <w:t xml:space="preserve">, D. H., &amp; </w:t>
      </w:r>
      <w:proofErr w:type="spellStart"/>
      <w:r>
        <w:t>Shipitalo</w:t>
      </w:r>
      <w:proofErr w:type="spellEnd"/>
      <w:r>
        <w:t xml:space="preserve">, M. J. (2017). Earthworm populations are affected from long-term crop sequences and bio-covers under no-tillage. </w:t>
      </w:r>
      <w:proofErr w:type="spellStart"/>
      <w:r>
        <w:rPr>
          <w:i/>
          <w:iCs/>
        </w:rPr>
        <w:t>Pedobiologia</w:t>
      </w:r>
      <w:proofErr w:type="spellEnd"/>
      <w:r>
        <w:t xml:space="preserve">, </w:t>
      </w:r>
      <w:r>
        <w:rPr>
          <w:i/>
          <w:iCs/>
        </w:rPr>
        <w:t>60</w:t>
      </w:r>
      <w:r>
        <w:t xml:space="preserve">, 27–33. </w:t>
      </w:r>
      <w:proofErr w:type="spellStart"/>
      <w:r>
        <w:t>doi</w:t>
      </w:r>
      <w:proofErr w:type="spellEnd"/>
      <w:r>
        <w:t>: 10.1016/j.pedobi.2017.01.001</w:t>
      </w:r>
    </w:p>
    <w:p w14:paraId="399E33B4" w14:textId="77777777" w:rsidR="000F06F3" w:rsidRDefault="000F06F3" w:rsidP="000F06F3">
      <w:pPr>
        <w:pStyle w:val="NormalWeb"/>
        <w:ind w:left="480" w:hanging="480"/>
      </w:pPr>
      <w:r>
        <w:t xml:space="preserve">Blevins, R. L., </w:t>
      </w:r>
      <w:proofErr w:type="spellStart"/>
      <w:r>
        <w:t>Herbek</w:t>
      </w:r>
      <w:proofErr w:type="spellEnd"/>
      <w:r>
        <w:t xml:space="preserve">, J. H., &amp; Frye, W. W. (1990). Legume Cover Crops as a Nitrogen Source for No‐Till Corn and Grain Sorghum. </w:t>
      </w:r>
      <w:r>
        <w:rPr>
          <w:i/>
          <w:iCs/>
        </w:rPr>
        <w:t>Agronomy Journal</w:t>
      </w:r>
      <w:r>
        <w:t xml:space="preserve">, </w:t>
      </w:r>
      <w:r>
        <w:rPr>
          <w:i/>
          <w:iCs/>
        </w:rPr>
        <w:t>82</w:t>
      </w:r>
      <w:r>
        <w:t xml:space="preserve">(4), 769–772. </w:t>
      </w:r>
      <w:proofErr w:type="spellStart"/>
      <w:r>
        <w:t>doi</w:t>
      </w:r>
      <w:proofErr w:type="spellEnd"/>
      <w:r>
        <w:t>: 10.2134/agronj1990.00021962008200040023x</w:t>
      </w:r>
    </w:p>
    <w:p w14:paraId="0532659F" w14:textId="77777777" w:rsidR="000F06F3" w:rsidRDefault="000F06F3" w:rsidP="000F06F3">
      <w:pPr>
        <w:pStyle w:val="NormalWeb"/>
        <w:ind w:left="480" w:hanging="480"/>
      </w:pPr>
      <w:r>
        <w:t xml:space="preserve">Bryant, L., </w:t>
      </w:r>
      <w:proofErr w:type="spellStart"/>
      <w:r>
        <w:t>Stockwell</w:t>
      </w:r>
      <w:proofErr w:type="spellEnd"/>
      <w:r>
        <w:t xml:space="preserve">, R., &amp; White, T. (2013). </w:t>
      </w:r>
      <w:r>
        <w:rPr>
          <w:i/>
          <w:iCs/>
        </w:rPr>
        <w:t>Counting Cover Crops</w:t>
      </w:r>
      <w:r>
        <w:t>.</w:t>
      </w:r>
    </w:p>
    <w:p w14:paraId="79714772" w14:textId="77777777" w:rsidR="000F06F3" w:rsidRDefault="000F06F3" w:rsidP="000F06F3">
      <w:pPr>
        <w:pStyle w:val="NormalWeb"/>
        <w:ind w:left="480" w:hanging="480"/>
      </w:pPr>
      <w:r>
        <w:t xml:space="preserve">Castro, H. F., Classen, A. T., Austin, E. E., Norby, R. J., &amp; </w:t>
      </w:r>
      <w:proofErr w:type="spellStart"/>
      <w:r>
        <w:t>Schadt</w:t>
      </w:r>
      <w:proofErr w:type="spellEnd"/>
      <w:r>
        <w:t xml:space="preserve">, C. W. (2010). Soil microbial community responses to multiple experimental climate change drivers. </w:t>
      </w:r>
      <w:r>
        <w:rPr>
          <w:i/>
          <w:iCs/>
        </w:rPr>
        <w:t>Applied and Environmental Microbiology</w:t>
      </w:r>
      <w:r>
        <w:t xml:space="preserve">, </w:t>
      </w:r>
      <w:r>
        <w:rPr>
          <w:i/>
          <w:iCs/>
        </w:rPr>
        <w:t>76</w:t>
      </w:r>
      <w:r>
        <w:t xml:space="preserve">(4), 999–1007. </w:t>
      </w:r>
      <w:proofErr w:type="spellStart"/>
      <w:r>
        <w:t>doi</w:t>
      </w:r>
      <w:proofErr w:type="spellEnd"/>
      <w:r>
        <w:t>: 10.1128/AEM.02874-09</w:t>
      </w:r>
    </w:p>
    <w:p w14:paraId="09CED395" w14:textId="77777777" w:rsidR="000F06F3" w:rsidRDefault="000F06F3" w:rsidP="000F06F3">
      <w:pPr>
        <w:pStyle w:val="NormalWeb"/>
        <w:ind w:left="480" w:hanging="480"/>
      </w:pPr>
      <w:r>
        <w:t xml:space="preserve">Chen, G., &amp; Weil, R. R. (2010). Penetration of cover crop roots through compacted soils. </w:t>
      </w:r>
      <w:r>
        <w:rPr>
          <w:i/>
          <w:iCs/>
        </w:rPr>
        <w:t>Plant and Soil</w:t>
      </w:r>
      <w:r>
        <w:t xml:space="preserve">, </w:t>
      </w:r>
      <w:r>
        <w:rPr>
          <w:i/>
          <w:iCs/>
        </w:rPr>
        <w:t>331</w:t>
      </w:r>
      <w:r>
        <w:t xml:space="preserve">(1), 31–43. </w:t>
      </w:r>
      <w:proofErr w:type="spellStart"/>
      <w:r>
        <w:t>doi</w:t>
      </w:r>
      <w:proofErr w:type="spellEnd"/>
      <w:r>
        <w:t>: 10.1007/s11104-009-0223-7</w:t>
      </w:r>
    </w:p>
    <w:p w14:paraId="5E97B5A5" w14:textId="77777777" w:rsidR="000F06F3" w:rsidRDefault="000F06F3" w:rsidP="000F06F3">
      <w:pPr>
        <w:pStyle w:val="NormalWeb"/>
        <w:ind w:left="480" w:hanging="480"/>
      </w:pPr>
      <w:r>
        <w:t xml:space="preserve">Doran, J. W., &amp; Zeiss, M. R. (2000). Soil health and sustainability: Managing the biotic component of soil quality. </w:t>
      </w:r>
      <w:r>
        <w:rPr>
          <w:i/>
          <w:iCs/>
        </w:rPr>
        <w:t>Applied Soil Ecology</w:t>
      </w:r>
      <w:r>
        <w:t xml:space="preserve">, </w:t>
      </w:r>
      <w:r>
        <w:rPr>
          <w:i/>
          <w:iCs/>
        </w:rPr>
        <w:t>15</w:t>
      </w:r>
      <w:r>
        <w:t xml:space="preserve">(1), 3–11. </w:t>
      </w:r>
      <w:proofErr w:type="spellStart"/>
      <w:r>
        <w:t>doi</w:t>
      </w:r>
      <w:proofErr w:type="spellEnd"/>
      <w:r>
        <w:t>: 10.1016/S0929-1393(00)00067-6</w:t>
      </w:r>
    </w:p>
    <w:p w14:paraId="7D2075D2" w14:textId="77777777" w:rsidR="000F06F3" w:rsidRDefault="000F06F3" w:rsidP="000F06F3">
      <w:pPr>
        <w:pStyle w:val="NormalWeb"/>
        <w:ind w:left="480" w:hanging="480"/>
      </w:pPr>
      <w:proofErr w:type="spellStart"/>
      <w:r>
        <w:t>Drewnoski</w:t>
      </w:r>
      <w:proofErr w:type="spellEnd"/>
      <w:r>
        <w:t xml:space="preserve">, M., Parsons, J., Blanco, H., Redfearn, D., Hales, K., &amp; MacDonald, J. (2018). Forages and pastures symposium: Cover crops in livestock production: Whole-system approach. Can cover crops pull double duty: Conservation and profitable forage production in the Midwestern United States? </w:t>
      </w:r>
      <w:r>
        <w:rPr>
          <w:i/>
          <w:iCs/>
        </w:rPr>
        <w:t>Journal of Animal Science</w:t>
      </w:r>
      <w:r>
        <w:t xml:space="preserve">, </w:t>
      </w:r>
      <w:r>
        <w:rPr>
          <w:i/>
          <w:iCs/>
        </w:rPr>
        <w:t>96</w:t>
      </w:r>
      <w:r>
        <w:t xml:space="preserve">(8), 3503–3512. </w:t>
      </w:r>
      <w:proofErr w:type="spellStart"/>
      <w:r>
        <w:t>doi</w:t>
      </w:r>
      <w:proofErr w:type="spellEnd"/>
      <w:r>
        <w:t>: 10.1093/</w:t>
      </w:r>
      <w:proofErr w:type="spellStart"/>
      <w:r>
        <w:t>jas</w:t>
      </w:r>
      <w:proofErr w:type="spellEnd"/>
      <w:r>
        <w:t>/sky026</w:t>
      </w:r>
    </w:p>
    <w:p w14:paraId="6154F54B" w14:textId="77777777" w:rsidR="000F06F3" w:rsidRDefault="000F06F3" w:rsidP="000F06F3">
      <w:pPr>
        <w:pStyle w:val="NormalWeb"/>
        <w:ind w:left="480" w:hanging="480"/>
      </w:pPr>
      <w:proofErr w:type="spellStart"/>
      <w:r>
        <w:t>Fageria</w:t>
      </w:r>
      <w:proofErr w:type="spellEnd"/>
      <w:r>
        <w:t xml:space="preserve">, N. K., </w:t>
      </w:r>
      <w:proofErr w:type="spellStart"/>
      <w:r>
        <w:t>Baligar</w:t>
      </w:r>
      <w:proofErr w:type="spellEnd"/>
      <w:r>
        <w:t xml:space="preserve">, V. C., &amp; Bailey, B. A. (2005). Role of Cover Crops in Improving Soil and Row Crop Productivity. </w:t>
      </w:r>
      <w:r>
        <w:rPr>
          <w:i/>
          <w:iCs/>
        </w:rPr>
        <w:t>Communications in Soil Science and Plant Analysis</w:t>
      </w:r>
      <w:r>
        <w:t xml:space="preserve">, </w:t>
      </w:r>
      <w:r>
        <w:rPr>
          <w:i/>
          <w:iCs/>
        </w:rPr>
        <w:t>36</w:t>
      </w:r>
      <w:r>
        <w:t xml:space="preserve">(19–20), 2733–2757. </w:t>
      </w:r>
      <w:proofErr w:type="spellStart"/>
      <w:r>
        <w:t>doi</w:t>
      </w:r>
      <w:proofErr w:type="spellEnd"/>
      <w:r>
        <w:t>: 10.1080/00103620500303939</w:t>
      </w:r>
    </w:p>
    <w:p w14:paraId="13532FC4" w14:textId="77777777" w:rsidR="000F06F3" w:rsidRDefault="000F06F3" w:rsidP="000F06F3">
      <w:pPr>
        <w:pStyle w:val="NormalWeb"/>
        <w:ind w:left="480" w:hanging="480"/>
      </w:pPr>
      <w:proofErr w:type="spellStart"/>
      <w:r>
        <w:t>Folorunso</w:t>
      </w:r>
      <w:proofErr w:type="spellEnd"/>
      <w:r>
        <w:t xml:space="preserve">, O. A., Rolston, D. E., Prichard, T., &amp; Loui, D. T. (1992). Soil surface strength and infiltration rate as affected by winter cover crops. </w:t>
      </w:r>
      <w:r>
        <w:rPr>
          <w:i/>
          <w:iCs/>
        </w:rPr>
        <w:t>Soil Technology</w:t>
      </w:r>
      <w:r>
        <w:t xml:space="preserve">, </w:t>
      </w:r>
      <w:r>
        <w:rPr>
          <w:i/>
          <w:iCs/>
        </w:rPr>
        <w:t>5</w:t>
      </w:r>
      <w:r>
        <w:t xml:space="preserve">(3), 189–197. </w:t>
      </w:r>
      <w:proofErr w:type="spellStart"/>
      <w:r>
        <w:t>doi</w:t>
      </w:r>
      <w:proofErr w:type="spellEnd"/>
      <w:r>
        <w:t>: 10.1016/0933-3630(92)90021-R</w:t>
      </w:r>
    </w:p>
    <w:p w14:paraId="795C2CCB" w14:textId="77777777" w:rsidR="000F06F3" w:rsidRDefault="000F06F3" w:rsidP="000F06F3">
      <w:pPr>
        <w:pStyle w:val="NormalWeb"/>
        <w:ind w:left="480" w:hanging="480"/>
      </w:pPr>
      <w:r>
        <w:t xml:space="preserve">Fryar, A. E., &amp; Mukherjee, A. (2019). Groundwater Hydrology. In </w:t>
      </w:r>
      <w:r>
        <w:rPr>
          <w:i/>
          <w:iCs/>
        </w:rPr>
        <w:t>Reference Module in Earth Systems and Environmental Sciences</w:t>
      </w:r>
      <w:r>
        <w:t xml:space="preserve">. Elsevier. </w:t>
      </w:r>
      <w:proofErr w:type="spellStart"/>
      <w:r>
        <w:t>doi</w:t>
      </w:r>
      <w:proofErr w:type="spellEnd"/>
      <w:r>
        <w:t>: 10.1016/B978-0-12-409548-9.12115-3</w:t>
      </w:r>
    </w:p>
    <w:p w14:paraId="602F6998" w14:textId="77777777" w:rsidR="000F06F3" w:rsidRDefault="000F06F3" w:rsidP="000F06F3">
      <w:pPr>
        <w:pStyle w:val="NormalWeb"/>
        <w:ind w:left="480" w:hanging="480"/>
      </w:pPr>
      <w:proofErr w:type="spellStart"/>
      <w:r>
        <w:lastRenderedPageBreak/>
        <w:t>Gerke</w:t>
      </w:r>
      <w:proofErr w:type="spellEnd"/>
      <w:r>
        <w:t xml:space="preserve">, H. H. (2006). Preferential flow descriptions for structured soils. </w:t>
      </w:r>
      <w:r>
        <w:rPr>
          <w:i/>
          <w:iCs/>
        </w:rPr>
        <w:t>Journal of Plant Nutrition and Soil Science</w:t>
      </w:r>
      <w:r>
        <w:t xml:space="preserve">, Vol. 169, pp. 382–400. John Wiley &amp; Sons, Ltd. </w:t>
      </w:r>
      <w:proofErr w:type="spellStart"/>
      <w:r>
        <w:t>doi</w:t>
      </w:r>
      <w:proofErr w:type="spellEnd"/>
      <w:r>
        <w:t>: 10.1002/jpln.200521955</w:t>
      </w:r>
    </w:p>
    <w:p w14:paraId="15F2E42F" w14:textId="77777777" w:rsidR="000F06F3" w:rsidRDefault="000F06F3" w:rsidP="000F06F3">
      <w:pPr>
        <w:pStyle w:val="NormalWeb"/>
        <w:ind w:left="480" w:hanging="480"/>
      </w:pPr>
      <w:r>
        <w:t xml:space="preserve">Ghimire, R., Ghimire, B., Mesbah, A. O., </w:t>
      </w:r>
      <w:proofErr w:type="spellStart"/>
      <w:r>
        <w:t>Sainju</w:t>
      </w:r>
      <w:proofErr w:type="spellEnd"/>
      <w:r>
        <w:t xml:space="preserve">, U. M., &amp; Idowu, O. J. (2019). Soil Health Response of Cover Crops in Winter Wheat-Fallow System. </w:t>
      </w:r>
      <w:r>
        <w:rPr>
          <w:i/>
          <w:iCs/>
        </w:rPr>
        <w:t>Agronomy Journal</w:t>
      </w:r>
      <w:r>
        <w:t xml:space="preserve">, </w:t>
      </w:r>
      <w:r>
        <w:rPr>
          <w:i/>
          <w:iCs/>
        </w:rPr>
        <w:t>111</w:t>
      </w:r>
      <w:r>
        <w:t xml:space="preserve">(4), 2108–2115. </w:t>
      </w:r>
      <w:proofErr w:type="spellStart"/>
      <w:r>
        <w:t>doi</w:t>
      </w:r>
      <w:proofErr w:type="spellEnd"/>
      <w:r>
        <w:t>: 10.2134/agronj2018.08.0492</w:t>
      </w:r>
    </w:p>
    <w:p w14:paraId="22288B22" w14:textId="77777777" w:rsidR="000F06F3" w:rsidRDefault="000F06F3" w:rsidP="000F06F3">
      <w:pPr>
        <w:pStyle w:val="NormalWeb"/>
        <w:ind w:left="480" w:hanging="480"/>
      </w:pPr>
      <w:r>
        <w:t xml:space="preserve">Hartwig, N. L., &amp; Ammon, H. U. (2002). Cover crops and living mulches. </w:t>
      </w:r>
      <w:r>
        <w:rPr>
          <w:i/>
          <w:iCs/>
        </w:rPr>
        <w:t>Weed Science</w:t>
      </w:r>
      <w:r>
        <w:t xml:space="preserve">, </w:t>
      </w:r>
      <w:r>
        <w:rPr>
          <w:i/>
          <w:iCs/>
        </w:rPr>
        <w:t>50</w:t>
      </w:r>
      <w:r>
        <w:t xml:space="preserve">(6), 688–699. </w:t>
      </w:r>
      <w:proofErr w:type="spellStart"/>
      <w:r>
        <w:t>doi</w:t>
      </w:r>
      <w:proofErr w:type="spellEnd"/>
      <w:r>
        <w:t>: 10.1614/0043-1745(2002)050[0688:aiacca]2.0.co;2</w:t>
      </w:r>
    </w:p>
    <w:p w14:paraId="086E69B4" w14:textId="77777777" w:rsidR="000F06F3" w:rsidRDefault="000F06F3" w:rsidP="000F06F3">
      <w:pPr>
        <w:pStyle w:val="NormalWeb"/>
        <w:ind w:left="480" w:hanging="480"/>
      </w:pPr>
      <w:proofErr w:type="spellStart"/>
      <w:r>
        <w:t>Kaspar</w:t>
      </w:r>
      <w:proofErr w:type="spellEnd"/>
      <w:r>
        <w:t xml:space="preserve">, T. C., &amp; Singer, J. W. (2008). </w:t>
      </w:r>
      <w:r>
        <w:rPr>
          <w:i/>
          <w:iCs/>
        </w:rPr>
        <w:t>in UMRSHNC (Upper Mississippi River Sub-basin Hypoxia Nutrient Committee)</w:t>
      </w:r>
      <w:r>
        <w:t>.</w:t>
      </w:r>
    </w:p>
    <w:p w14:paraId="0ED9C369" w14:textId="77777777" w:rsidR="000F06F3" w:rsidRDefault="000F06F3" w:rsidP="000F06F3">
      <w:pPr>
        <w:pStyle w:val="NormalWeb"/>
        <w:ind w:left="480" w:hanging="480"/>
      </w:pPr>
      <w:proofErr w:type="spellStart"/>
      <w:r>
        <w:t>Kaspar</w:t>
      </w:r>
      <w:proofErr w:type="spellEnd"/>
      <w:r>
        <w:t xml:space="preserve">, T., Radke, J., &amp; </w:t>
      </w:r>
      <w:proofErr w:type="spellStart"/>
      <w:r>
        <w:t>Laflen</w:t>
      </w:r>
      <w:proofErr w:type="spellEnd"/>
      <w:r>
        <w:t xml:space="preserve">, J. (2001). Small grain cover crops and infiltration , runoff , and. </w:t>
      </w:r>
      <w:r>
        <w:rPr>
          <w:i/>
          <w:iCs/>
        </w:rPr>
        <w:t>Journal of Soil and Water Conservation</w:t>
      </w:r>
      <w:r>
        <w:t xml:space="preserve">, </w:t>
      </w:r>
      <w:r>
        <w:rPr>
          <w:i/>
          <w:iCs/>
        </w:rPr>
        <w:t>56</w:t>
      </w:r>
      <w:r>
        <w:t>(2), 160–164.</w:t>
      </w:r>
    </w:p>
    <w:p w14:paraId="532A3C48" w14:textId="77777777" w:rsidR="000F06F3" w:rsidRDefault="000F06F3" w:rsidP="000F06F3">
      <w:pPr>
        <w:pStyle w:val="NormalWeb"/>
        <w:ind w:left="480" w:hanging="480"/>
      </w:pPr>
      <w:r>
        <w:t xml:space="preserve">Kern, J. S. (1995). </w:t>
      </w:r>
      <w:r>
        <w:rPr>
          <w:i/>
          <w:iCs/>
        </w:rPr>
        <w:t>Geographic Patterns of Soil Water-Holding Capacity in the Contiguous United States</w:t>
      </w:r>
      <w:r>
        <w:t xml:space="preserve">. </w:t>
      </w:r>
      <w:proofErr w:type="spellStart"/>
      <w:r>
        <w:t>doi</w:t>
      </w:r>
      <w:proofErr w:type="spellEnd"/>
      <w:r>
        <w:t>: 10.2136/sssaj1995.03615995005900040026x</w:t>
      </w:r>
    </w:p>
    <w:p w14:paraId="16576549" w14:textId="77777777" w:rsidR="000F06F3" w:rsidRDefault="000F06F3" w:rsidP="000F06F3">
      <w:pPr>
        <w:pStyle w:val="NormalWeb"/>
        <w:ind w:left="480" w:hanging="480"/>
      </w:pPr>
      <w:r>
        <w:t xml:space="preserve">Lal, R. (2015). Restoring Soil Quality to Mitigate Soil Degradation. </w:t>
      </w:r>
      <w:r>
        <w:rPr>
          <w:i/>
          <w:iCs/>
        </w:rPr>
        <w:t>Sustainability</w:t>
      </w:r>
      <w:r>
        <w:t xml:space="preserve">, </w:t>
      </w:r>
      <w:r>
        <w:rPr>
          <w:i/>
          <w:iCs/>
        </w:rPr>
        <w:t>7</w:t>
      </w:r>
      <w:r>
        <w:t xml:space="preserve">(5), 5875–5895. </w:t>
      </w:r>
      <w:proofErr w:type="spellStart"/>
      <w:r>
        <w:t>doi</w:t>
      </w:r>
      <w:proofErr w:type="spellEnd"/>
      <w:r>
        <w:t>: 10.3390/su7055875</w:t>
      </w:r>
    </w:p>
    <w:p w14:paraId="31D54DCE" w14:textId="77777777" w:rsidR="000F06F3" w:rsidRDefault="000F06F3" w:rsidP="000F06F3">
      <w:pPr>
        <w:pStyle w:val="NormalWeb"/>
        <w:ind w:left="480" w:hanging="480"/>
      </w:pPr>
      <w:r>
        <w:t xml:space="preserve">Lauber, C. L., Ramirez, K. S., </w:t>
      </w:r>
      <w:proofErr w:type="spellStart"/>
      <w:r>
        <w:t>Aanderud</w:t>
      </w:r>
      <w:proofErr w:type="spellEnd"/>
      <w:r>
        <w:t xml:space="preserve">, Z., Lennon, J., &amp; </w:t>
      </w:r>
      <w:proofErr w:type="spellStart"/>
      <w:r>
        <w:t>Fierer</w:t>
      </w:r>
      <w:proofErr w:type="spellEnd"/>
      <w:r>
        <w:t xml:space="preserve">, N. (2013). Temporal variability in soil microbial communities across land-use types. </w:t>
      </w:r>
      <w:r>
        <w:rPr>
          <w:i/>
          <w:iCs/>
        </w:rPr>
        <w:t>ISME Journal</w:t>
      </w:r>
      <w:r>
        <w:t xml:space="preserve">, </w:t>
      </w:r>
      <w:r>
        <w:rPr>
          <w:i/>
          <w:iCs/>
        </w:rPr>
        <w:t>7</w:t>
      </w:r>
      <w:r>
        <w:t xml:space="preserve">(8), 1641–1650. </w:t>
      </w:r>
      <w:proofErr w:type="spellStart"/>
      <w:r>
        <w:t>doi</w:t>
      </w:r>
      <w:proofErr w:type="spellEnd"/>
      <w:r>
        <w:t>: 10.1038/ismej.2013.50</w:t>
      </w:r>
    </w:p>
    <w:p w14:paraId="5F1698B9" w14:textId="77777777" w:rsidR="000F06F3" w:rsidRDefault="000F06F3" w:rsidP="000F06F3">
      <w:pPr>
        <w:pStyle w:val="NormalWeb"/>
        <w:ind w:left="480" w:hanging="480"/>
      </w:pPr>
      <w:proofErr w:type="spellStart"/>
      <w:r>
        <w:t>MacLaren</w:t>
      </w:r>
      <w:proofErr w:type="spellEnd"/>
      <w:r>
        <w:t xml:space="preserve">, C., Swanepoel, P., Bennett, J., Wright, J., &amp; </w:t>
      </w:r>
      <w:proofErr w:type="spellStart"/>
      <w:r>
        <w:t>Dehnen</w:t>
      </w:r>
      <w:proofErr w:type="spellEnd"/>
      <w:r>
        <w:t xml:space="preserve">-Schmutz, K. (2019). Cover Crop Biomass Production Is More Important than Diversity for Weed Suppression. </w:t>
      </w:r>
      <w:r>
        <w:rPr>
          <w:i/>
          <w:iCs/>
        </w:rPr>
        <w:t>Crop Science</w:t>
      </w:r>
      <w:r>
        <w:t xml:space="preserve">, </w:t>
      </w:r>
      <w:r>
        <w:rPr>
          <w:i/>
          <w:iCs/>
        </w:rPr>
        <w:t>59</w:t>
      </w:r>
      <w:r>
        <w:t xml:space="preserve">(2), 733–748. </w:t>
      </w:r>
      <w:proofErr w:type="spellStart"/>
      <w:r>
        <w:t>doi</w:t>
      </w:r>
      <w:proofErr w:type="spellEnd"/>
      <w:r>
        <w:t>: 10.2135/cropsci2018.05.0329</w:t>
      </w:r>
    </w:p>
    <w:p w14:paraId="00EDD697" w14:textId="77777777" w:rsidR="000F06F3" w:rsidRDefault="000F06F3" w:rsidP="000F06F3">
      <w:pPr>
        <w:pStyle w:val="NormalWeb"/>
        <w:ind w:left="480" w:hanging="480"/>
      </w:pPr>
      <w:r>
        <w:t xml:space="preserve">METER Group. (2017). </w:t>
      </w:r>
      <w:r>
        <w:rPr>
          <w:i/>
          <w:iCs/>
        </w:rPr>
        <w:t xml:space="preserve">SATURO manual. </w:t>
      </w:r>
      <w:r>
        <w:t>Pullman, WA: METER Group. http://library.metergroup.com/Manuals/20496_SATURO_Manual.pdf</w:t>
      </w:r>
    </w:p>
    <w:p w14:paraId="3F4E091E" w14:textId="77777777" w:rsidR="000F06F3" w:rsidRDefault="000F06F3" w:rsidP="000F06F3">
      <w:pPr>
        <w:pStyle w:val="NormalWeb"/>
        <w:ind w:left="480" w:hanging="480"/>
      </w:pPr>
      <w:proofErr w:type="spellStart"/>
      <w:r>
        <w:t>Mustroph</w:t>
      </w:r>
      <w:proofErr w:type="spellEnd"/>
      <w:r>
        <w:t xml:space="preserve">, A. (2018). Improving Flooding Tolerance of Crop Plants. </w:t>
      </w:r>
      <w:r>
        <w:rPr>
          <w:i/>
          <w:iCs/>
        </w:rPr>
        <w:t>Agronomy</w:t>
      </w:r>
      <w:r>
        <w:t xml:space="preserve">, </w:t>
      </w:r>
      <w:r>
        <w:rPr>
          <w:i/>
          <w:iCs/>
        </w:rPr>
        <w:t>8</w:t>
      </w:r>
      <w:r>
        <w:t xml:space="preserve">(9), 160. </w:t>
      </w:r>
      <w:proofErr w:type="spellStart"/>
      <w:r>
        <w:t>doi</w:t>
      </w:r>
      <w:proofErr w:type="spellEnd"/>
      <w:r>
        <w:t>: 10.3390/agronomy8090160</w:t>
      </w:r>
    </w:p>
    <w:p w14:paraId="2FC08876" w14:textId="77777777" w:rsidR="000F06F3" w:rsidRDefault="000F06F3" w:rsidP="000F06F3">
      <w:pPr>
        <w:pStyle w:val="NormalWeb"/>
        <w:ind w:left="480" w:hanging="480"/>
      </w:pPr>
      <w:r>
        <w:t xml:space="preserve">Nunes, M. R., van Es, H. M., </w:t>
      </w:r>
      <w:proofErr w:type="spellStart"/>
      <w:r>
        <w:t>Schindelbeck</w:t>
      </w:r>
      <w:proofErr w:type="spellEnd"/>
      <w:r>
        <w:t xml:space="preserve">, R., </w:t>
      </w:r>
      <w:proofErr w:type="spellStart"/>
      <w:r>
        <w:t>Ristow</w:t>
      </w:r>
      <w:proofErr w:type="spellEnd"/>
      <w:r>
        <w:t xml:space="preserve">, A. J., &amp; Ryan, M. (2018). No-till and cropping system diversification improve soil health and crop yield. </w:t>
      </w:r>
      <w:proofErr w:type="spellStart"/>
      <w:r>
        <w:rPr>
          <w:i/>
          <w:iCs/>
        </w:rPr>
        <w:t>Geoderma</w:t>
      </w:r>
      <w:proofErr w:type="spellEnd"/>
      <w:r>
        <w:t xml:space="preserve">, </w:t>
      </w:r>
      <w:r>
        <w:rPr>
          <w:i/>
          <w:iCs/>
        </w:rPr>
        <w:t>328</w:t>
      </w:r>
      <w:r>
        <w:t xml:space="preserve">, 30–43. </w:t>
      </w:r>
      <w:proofErr w:type="spellStart"/>
      <w:r>
        <w:t>doi</w:t>
      </w:r>
      <w:proofErr w:type="spellEnd"/>
      <w:r>
        <w:t>: 10.1016/j.geoderma.2018.04.031</w:t>
      </w:r>
    </w:p>
    <w:p w14:paraId="083FDD87" w14:textId="77777777" w:rsidR="000F06F3" w:rsidRDefault="000F06F3" w:rsidP="000F06F3">
      <w:pPr>
        <w:pStyle w:val="NormalWeb"/>
        <w:ind w:left="480" w:hanging="480"/>
      </w:pPr>
      <w:r>
        <w:t xml:space="preserve">Oosterbaan, R. J., &amp; </w:t>
      </w:r>
      <w:proofErr w:type="spellStart"/>
      <w:r>
        <w:t>Nijland</w:t>
      </w:r>
      <w:proofErr w:type="spellEnd"/>
      <w:r>
        <w:t xml:space="preserve">, H. J. (1994). </w:t>
      </w:r>
      <w:r>
        <w:rPr>
          <w:i/>
          <w:iCs/>
        </w:rPr>
        <w:t>2 DETERMINING THE SATURATED HYDRAULIC CONDUCTIVITY</w:t>
      </w:r>
      <w:r>
        <w:t>. Retrieved from www.waterlog.info</w:t>
      </w:r>
    </w:p>
    <w:p w14:paraId="15224289" w14:textId="77777777" w:rsidR="000F06F3" w:rsidRDefault="000F06F3" w:rsidP="000F06F3">
      <w:pPr>
        <w:pStyle w:val="NormalWeb"/>
        <w:ind w:left="480" w:hanging="480"/>
      </w:pPr>
      <w:r>
        <w:t xml:space="preserve">Pankhurst, C. E., Hawke, B. G., McDonald, H. J., </w:t>
      </w:r>
      <w:proofErr w:type="spellStart"/>
      <w:r>
        <w:t>Kirkby</w:t>
      </w:r>
      <w:proofErr w:type="spellEnd"/>
      <w:r>
        <w:t xml:space="preserve">, C. A., </w:t>
      </w:r>
      <w:proofErr w:type="spellStart"/>
      <w:r>
        <w:t>Buckerfield</w:t>
      </w:r>
      <w:proofErr w:type="spellEnd"/>
      <w:r>
        <w:t xml:space="preserve">, J. C., Michelsen, P., … </w:t>
      </w:r>
      <w:proofErr w:type="spellStart"/>
      <w:r>
        <w:t>Doube</w:t>
      </w:r>
      <w:proofErr w:type="spellEnd"/>
      <w:r>
        <w:t xml:space="preserve">, B. M. (1995). Evaluation of Soil Biological Properties as Potential </w:t>
      </w:r>
      <w:r>
        <w:lastRenderedPageBreak/>
        <w:t xml:space="preserve">Bioindicators of Soil Health. </w:t>
      </w:r>
      <w:r>
        <w:rPr>
          <w:i/>
          <w:iCs/>
        </w:rPr>
        <w:t>Australian Journal of Experimental Agriculture</w:t>
      </w:r>
      <w:r>
        <w:t xml:space="preserve">, </w:t>
      </w:r>
      <w:r>
        <w:rPr>
          <w:i/>
          <w:iCs/>
        </w:rPr>
        <w:t>35</w:t>
      </w:r>
      <w:r>
        <w:t xml:space="preserve">(7), 1015–1028. </w:t>
      </w:r>
      <w:proofErr w:type="spellStart"/>
      <w:r>
        <w:t>doi</w:t>
      </w:r>
      <w:proofErr w:type="spellEnd"/>
      <w:r>
        <w:t>: 10.1071/EA9951015</w:t>
      </w:r>
    </w:p>
    <w:p w14:paraId="5E5F47FA" w14:textId="77777777" w:rsidR="000F06F3" w:rsidRDefault="000F06F3" w:rsidP="000F06F3">
      <w:pPr>
        <w:pStyle w:val="NormalWeb"/>
        <w:ind w:left="480" w:hanging="480"/>
      </w:pPr>
      <w:r>
        <w:t xml:space="preserve">Rawls, W. J., Gimenez, D., &amp; Grossman, R. (1998). USE OF SOIL TEXTURE, BULK DENSITY, AND SLOPE OF THE WATER RETENTION CURVE TO PREDICT SATURATED HYDRAULIC CONDUCTIVITY. </w:t>
      </w:r>
      <w:r>
        <w:rPr>
          <w:i/>
          <w:iCs/>
        </w:rPr>
        <w:t>Transactions of the ASAE</w:t>
      </w:r>
      <w:r>
        <w:t xml:space="preserve">, </w:t>
      </w:r>
      <w:r>
        <w:rPr>
          <w:i/>
          <w:iCs/>
        </w:rPr>
        <w:t>41</w:t>
      </w:r>
      <w:r>
        <w:t xml:space="preserve">(4), 983–988. </w:t>
      </w:r>
      <w:proofErr w:type="spellStart"/>
      <w:r>
        <w:t>doi</w:t>
      </w:r>
      <w:proofErr w:type="spellEnd"/>
      <w:r>
        <w:t>: 10.13031/2013.17270</w:t>
      </w:r>
    </w:p>
    <w:p w14:paraId="0859233B" w14:textId="77777777" w:rsidR="000F06F3" w:rsidRDefault="000F06F3" w:rsidP="000F06F3">
      <w:pPr>
        <w:pStyle w:val="NormalWeb"/>
        <w:ind w:left="480" w:hanging="480"/>
      </w:pPr>
      <w:proofErr w:type="spellStart"/>
      <w:r w:rsidRPr="002B23EF">
        <w:rPr>
          <w:rFonts w:hint="eastAsia"/>
        </w:rPr>
        <w:t>Ritzema</w:t>
      </w:r>
      <w:proofErr w:type="spellEnd"/>
      <w:r w:rsidRPr="002B23EF">
        <w:rPr>
          <w:rFonts w:hint="eastAsia"/>
        </w:rPr>
        <w:t>, H. P. (1994). </w:t>
      </w:r>
      <w:r w:rsidRPr="002B23EF">
        <w:rPr>
          <w:rFonts w:hint="eastAsia"/>
          <w:i/>
          <w:iCs/>
        </w:rPr>
        <w:t>Drainage principles and applications</w:t>
      </w:r>
      <w:r w:rsidRPr="002B23EF">
        <w:rPr>
          <w:rFonts w:hint="eastAsia"/>
        </w:rPr>
        <w:t>. Netherland: International Institute for Land Reclamation and Improvement.</w:t>
      </w:r>
    </w:p>
    <w:p w14:paraId="5EA94701" w14:textId="77777777" w:rsidR="000F06F3" w:rsidRDefault="000F06F3" w:rsidP="000F06F3">
      <w:pPr>
        <w:pStyle w:val="NormalWeb"/>
        <w:ind w:left="480" w:hanging="480"/>
      </w:pPr>
      <w:r>
        <w:t xml:space="preserve">Shapiro, B. I., </w:t>
      </w:r>
      <w:proofErr w:type="spellStart"/>
      <w:r>
        <w:t>Brorsen</w:t>
      </w:r>
      <w:proofErr w:type="spellEnd"/>
      <w:r>
        <w:t xml:space="preserve">, B. W., &amp; Doster, D. H. (1992). SOUTHERN JOURNAL OF AGRICULTURAL ECONOMICS ADOPTION OF DOUBLE-CROPPING SOYBEANS AND WHEAT. In </w:t>
      </w:r>
      <w:r>
        <w:rPr>
          <w:i/>
          <w:iCs/>
        </w:rPr>
        <w:t>Southern Journal of Agricultural Economics</w:t>
      </w:r>
      <w:r>
        <w:t xml:space="preserve"> (Vol. 24). </w:t>
      </w:r>
      <w:proofErr w:type="spellStart"/>
      <w:r>
        <w:t>doi</w:t>
      </w:r>
      <w:proofErr w:type="spellEnd"/>
      <w:r>
        <w:t>: 10.22004/AG.ECON.29630</w:t>
      </w:r>
    </w:p>
    <w:p w14:paraId="1F15D086" w14:textId="77777777" w:rsidR="000F06F3" w:rsidRDefault="000F06F3" w:rsidP="000F06F3">
      <w:pPr>
        <w:pStyle w:val="NormalWeb"/>
        <w:ind w:left="480" w:hanging="480"/>
      </w:pPr>
      <w:r>
        <w:t xml:space="preserve">Singer, J. W. (2008). Corn Belt Assessment of Cover Crop Management and Preferences. </w:t>
      </w:r>
      <w:r>
        <w:rPr>
          <w:i/>
          <w:iCs/>
        </w:rPr>
        <w:t>Agronomy Journal</w:t>
      </w:r>
      <w:r>
        <w:t xml:space="preserve">, </w:t>
      </w:r>
      <w:r>
        <w:rPr>
          <w:i/>
          <w:iCs/>
        </w:rPr>
        <w:t>100</w:t>
      </w:r>
      <w:r>
        <w:t xml:space="preserve">(6), 1670–1672. </w:t>
      </w:r>
      <w:proofErr w:type="spellStart"/>
      <w:r>
        <w:t>doi</w:t>
      </w:r>
      <w:proofErr w:type="spellEnd"/>
      <w:r>
        <w:t>: 10.2134/agronj2008.0151</w:t>
      </w:r>
    </w:p>
    <w:p w14:paraId="22ED7262" w14:textId="77777777" w:rsidR="000F06F3" w:rsidRDefault="000F06F3" w:rsidP="000F06F3">
      <w:pPr>
        <w:pStyle w:val="NormalWeb"/>
        <w:ind w:left="480" w:hanging="480"/>
      </w:pPr>
      <w:r>
        <w:t xml:space="preserve">Sommer, R., &amp; Bossio, D. (2014). Dynamics and climate change mitigation potential of soil organic carbon sequestration. </w:t>
      </w:r>
      <w:r>
        <w:rPr>
          <w:i/>
          <w:iCs/>
        </w:rPr>
        <w:t>Journal of Environmental Management</w:t>
      </w:r>
      <w:r>
        <w:t xml:space="preserve">, </w:t>
      </w:r>
      <w:r>
        <w:rPr>
          <w:i/>
          <w:iCs/>
        </w:rPr>
        <w:t>144</w:t>
      </w:r>
      <w:r>
        <w:t xml:space="preserve">, 83–87. </w:t>
      </w:r>
      <w:proofErr w:type="spellStart"/>
      <w:r>
        <w:t>doi</w:t>
      </w:r>
      <w:proofErr w:type="spellEnd"/>
      <w:r>
        <w:t>: 10.1016/j.jenvman.2014.05.017</w:t>
      </w:r>
    </w:p>
    <w:p w14:paraId="0A49DAF1" w14:textId="77777777" w:rsidR="000F06F3" w:rsidRDefault="000F06F3" w:rsidP="000F06F3">
      <w:pPr>
        <w:pStyle w:val="NormalWeb"/>
        <w:ind w:left="480" w:hanging="480"/>
      </w:pPr>
      <w:r>
        <w:t xml:space="preserve">Van Schaik, L., Palm, J., Klaus, J., </w:t>
      </w:r>
      <w:proofErr w:type="spellStart"/>
      <w:r>
        <w:t>Zehe</w:t>
      </w:r>
      <w:proofErr w:type="spellEnd"/>
      <w:r>
        <w:t xml:space="preserve">, E., &amp; </w:t>
      </w:r>
      <w:proofErr w:type="spellStart"/>
      <w:r>
        <w:t>Schröder</w:t>
      </w:r>
      <w:proofErr w:type="spellEnd"/>
      <w:r>
        <w:t xml:space="preserve">, B. (2013). </w:t>
      </w:r>
      <w:r>
        <w:rPr>
          <w:i/>
          <w:iCs/>
        </w:rPr>
        <w:t>Linking spatial earthworm distribution to macropore numbers and hydrological effectiveness</w:t>
      </w:r>
      <w:r>
        <w:t xml:space="preserve">. </w:t>
      </w:r>
      <w:proofErr w:type="spellStart"/>
      <w:r>
        <w:t>doi</w:t>
      </w:r>
      <w:proofErr w:type="spellEnd"/>
      <w:r>
        <w:t>: 10.1002/eco.1358</w:t>
      </w:r>
    </w:p>
    <w:p w14:paraId="4E611203" w14:textId="77777777" w:rsidR="000F06F3" w:rsidRDefault="000F06F3" w:rsidP="000F06F3">
      <w:pPr>
        <w:pStyle w:val="NormalWeb"/>
        <w:ind w:left="480" w:hanging="480"/>
      </w:pPr>
      <w:proofErr w:type="spellStart"/>
      <w:r>
        <w:t>Vukicevich</w:t>
      </w:r>
      <w:proofErr w:type="spellEnd"/>
      <w:r>
        <w:t xml:space="preserve">, E., Lowery, T., Bowen, P., </w:t>
      </w:r>
      <w:proofErr w:type="spellStart"/>
      <w:r>
        <w:t>Úrbez</w:t>
      </w:r>
      <w:proofErr w:type="spellEnd"/>
      <w:r>
        <w:t xml:space="preserve">-Torres, J. R., &amp; Hart, M. (2016, September 1). Cover crops to increase soil microbial diversity and mitigate decline in perennial agriculture. A review. </w:t>
      </w:r>
      <w:r>
        <w:rPr>
          <w:i/>
          <w:iCs/>
        </w:rPr>
        <w:t>Agronomy for Sustainable Development</w:t>
      </w:r>
      <w:r>
        <w:t xml:space="preserve">, Vol. 36, pp. 1–14. Springer-Verlag France. </w:t>
      </w:r>
      <w:proofErr w:type="spellStart"/>
      <w:r>
        <w:t>doi</w:t>
      </w:r>
      <w:proofErr w:type="spellEnd"/>
      <w:r>
        <w:t>: 10.1007/s13593-016-0385-7</w:t>
      </w:r>
    </w:p>
    <w:p w14:paraId="7CFCDB59" w14:textId="77777777" w:rsidR="000F06F3" w:rsidRDefault="000F06F3" w:rsidP="000F06F3">
      <w:pPr>
        <w:pStyle w:val="NormalWeb"/>
        <w:ind w:left="480" w:hanging="480"/>
      </w:pPr>
      <w:r>
        <w:t xml:space="preserve">Warkentin, B. P. (1995). The changing concept of soil quality. </w:t>
      </w:r>
      <w:r>
        <w:rPr>
          <w:i/>
          <w:iCs/>
        </w:rPr>
        <w:t>Journal of Soil and Water Conservation</w:t>
      </w:r>
      <w:r>
        <w:t xml:space="preserve">, </w:t>
      </w:r>
      <w:r>
        <w:rPr>
          <w:i/>
          <w:iCs/>
        </w:rPr>
        <w:t>50</w:t>
      </w:r>
      <w:r>
        <w:t>(3).</w:t>
      </w:r>
    </w:p>
    <w:p w14:paraId="0B77D282" w14:textId="77777777" w:rsidR="000F06F3" w:rsidRDefault="000F06F3" w:rsidP="000F06F3">
      <w:pPr>
        <w:pStyle w:val="NormalWeb"/>
        <w:ind w:left="480" w:hanging="480"/>
      </w:pPr>
      <w:r>
        <w:t xml:space="preserve">Wilhite, D. (2000). Chapter 1  Drought as a Natural Hazard: Concepts and Definitions. </w:t>
      </w:r>
      <w:r>
        <w:rPr>
          <w:i/>
          <w:iCs/>
        </w:rPr>
        <w:t>Drought Mitigation Center Faculty Publications</w:t>
      </w:r>
      <w:r>
        <w:t>. Retrieved from https://digitalcommons.unl.edu/droughtfacpub/69</w:t>
      </w:r>
    </w:p>
    <w:p w14:paraId="0ED36B5E" w14:textId="77777777" w:rsidR="000F06F3" w:rsidRDefault="000F06F3" w:rsidP="000F06F3">
      <w:pPr>
        <w:pStyle w:val="NormalWeb"/>
        <w:ind w:left="480" w:hanging="480"/>
      </w:pPr>
      <w:r>
        <w:t xml:space="preserve">Wu, J., </w:t>
      </w:r>
      <w:proofErr w:type="spellStart"/>
      <w:r>
        <w:t>Joergensen</w:t>
      </w:r>
      <w:proofErr w:type="spellEnd"/>
      <w:r>
        <w:t xml:space="preserve">, R. G., </w:t>
      </w:r>
      <w:proofErr w:type="spellStart"/>
      <w:r>
        <w:t>Pommerening</w:t>
      </w:r>
      <w:proofErr w:type="spellEnd"/>
      <w:r>
        <w:t xml:space="preserve">, B., </w:t>
      </w:r>
      <w:proofErr w:type="spellStart"/>
      <w:r>
        <w:t>Chaussod</w:t>
      </w:r>
      <w:proofErr w:type="spellEnd"/>
      <w:r>
        <w:t xml:space="preserve">, R., &amp; Brookes, P. C. (1990). Measurement of soil microbial biomass C by fumigation-extraction—an automated procedure. </w:t>
      </w:r>
      <w:r>
        <w:rPr>
          <w:i/>
          <w:iCs/>
        </w:rPr>
        <w:t>Soil Biology and Biochemistry</w:t>
      </w:r>
      <w:r>
        <w:t xml:space="preserve">, </w:t>
      </w:r>
      <w:r>
        <w:rPr>
          <w:i/>
          <w:iCs/>
        </w:rPr>
        <w:t>22</w:t>
      </w:r>
      <w:r>
        <w:t xml:space="preserve">(8), 1167–1169. </w:t>
      </w:r>
      <w:proofErr w:type="spellStart"/>
      <w:r>
        <w:t>doi</w:t>
      </w:r>
      <w:proofErr w:type="spellEnd"/>
      <w:r>
        <w:t>: 10.1016/0038-0717(90)90046-3</w:t>
      </w:r>
    </w:p>
    <w:p w14:paraId="2A877B99" w14:textId="1EFBA91A" w:rsidR="000F06F3" w:rsidRPr="000F06F3" w:rsidRDefault="000F06F3" w:rsidP="000F06F3">
      <w:pPr>
        <w:pStyle w:val="NormalWeb"/>
        <w:ind w:left="480" w:hanging="480"/>
      </w:pPr>
      <w:r>
        <w:t xml:space="preserve">Yu, Y., </w:t>
      </w:r>
      <w:proofErr w:type="spellStart"/>
      <w:r>
        <w:t>Loiskandl</w:t>
      </w:r>
      <w:proofErr w:type="spellEnd"/>
      <w:r>
        <w:t xml:space="preserve">, W., Kaul, H. P., </w:t>
      </w:r>
      <w:proofErr w:type="spellStart"/>
      <w:r>
        <w:t>Himmelbauer</w:t>
      </w:r>
      <w:proofErr w:type="spellEnd"/>
      <w:r>
        <w:t xml:space="preserve">, M., Wei, W., Chen, L., &amp; Bodner, G. (2016). Estimation of runoff mitigation by morphologically different cover crop root systems. </w:t>
      </w:r>
      <w:r>
        <w:rPr>
          <w:i/>
          <w:iCs/>
        </w:rPr>
        <w:t>Journal of Hydrology</w:t>
      </w:r>
      <w:r>
        <w:t xml:space="preserve">, </w:t>
      </w:r>
      <w:r>
        <w:rPr>
          <w:i/>
          <w:iCs/>
        </w:rPr>
        <w:t>538</w:t>
      </w:r>
      <w:r>
        <w:t xml:space="preserve">, 667–676. </w:t>
      </w:r>
      <w:proofErr w:type="spellStart"/>
      <w:r>
        <w:t>doi</w:t>
      </w:r>
      <w:proofErr w:type="spellEnd"/>
      <w:r>
        <w:t>: 10.1016/j.jhydrol.2016.04.060</w:t>
      </w:r>
    </w:p>
    <w:sectPr w:rsidR="000F06F3" w:rsidRPr="000F06F3">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46C1AC" w14:textId="77777777" w:rsidR="00C66B76" w:rsidRDefault="00C66B76" w:rsidP="00C66B76">
      <w:pPr>
        <w:spacing w:after="0" w:line="240" w:lineRule="auto"/>
      </w:pPr>
      <w:r>
        <w:separator/>
      </w:r>
    </w:p>
  </w:endnote>
  <w:endnote w:type="continuationSeparator" w:id="0">
    <w:p w14:paraId="366F068A" w14:textId="77777777" w:rsidR="00C66B76" w:rsidRDefault="00C66B76" w:rsidP="00C66B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18769225"/>
      <w:docPartObj>
        <w:docPartGallery w:val="Page Numbers (Bottom of Page)"/>
        <w:docPartUnique/>
      </w:docPartObj>
    </w:sdtPr>
    <w:sdtEndPr>
      <w:rPr>
        <w:noProof/>
      </w:rPr>
    </w:sdtEndPr>
    <w:sdtContent>
      <w:p w14:paraId="7738758D" w14:textId="1D433428" w:rsidR="00C66B76" w:rsidRDefault="00C66B7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6376135" w14:textId="77777777" w:rsidR="00C66B76" w:rsidRDefault="00C66B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A7B157" w14:textId="77777777" w:rsidR="00C66B76" w:rsidRDefault="00C66B76" w:rsidP="00C66B76">
      <w:pPr>
        <w:spacing w:after="0" w:line="240" w:lineRule="auto"/>
      </w:pPr>
      <w:r>
        <w:separator/>
      </w:r>
    </w:p>
  </w:footnote>
  <w:footnote w:type="continuationSeparator" w:id="0">
    <w:p w14:paraId="7CBDA496" w14:textId="77777777" w:rsidR="00C66B76" w:rsidRDefault="00C66B76" w:rsidP="00C66B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C45DA8"/>
    <w:multiLevelType w:val="hybridMultilevel"/>
    <w:tmpl w:val="86469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49249B"/>
    <w:multiLevelType w:val="hybridMultilevel"/>
    <w:tmpl w:val="0F78B10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5112BB"/>
    <w:multiLevelType w:val="hybridMultilevel"/>
    <w:tmpl w:val="8B04BD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574FAC"/>
    <w:multiLevelType w:val="hybridMultilevel"/>
    <w:tmpl w:val="7892F3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2524E3"/>
    <w:multiLevelType w:val="hybridMultilevel"/>
    <w:tmpl w:val="9F6C8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B76"/>
    <w:rsid w:val="00096050"/>
    <w:rsid w:val="000C190A"/>
    <w:rsid w:val="000F06F3"/>
    <w:rsid w:val="002D35D2"/>
    <w:rsid w:val="00421FDC"/>
    <w:rsid w:val="00542986"/>
    <w:rsid w:val="00650F83"/>
    <w:rsid w:val="00754EFE"/>
    <w:rsid w:val="00B24826"/>
    <w:rsid w:val="00B43895"/>
    <w:rsid w:val="00C66B76"/>
    <w:rsid w:val="00C76D69"/>
    <w:rsid w:val="00CD3FE6"/>
    <w:rsid w:val="00DE7D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C03D8"/>
  <w15:chartTrackingRefBased/>
  <w15:docId w15:val="{5119DCF4-203B-4DED-ACA8-2C69F7B32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3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6B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C66B76"/>
  </w:style>
  <w:style w:type="paragraph" w:styleId="Header">
    <w:name w:val="header"/>
    <w:basedOn w:val="Normal"/>
    <w:link w:val="HeaderChar"/>
    <w:uiPriority w:val="99"/>
    <w:unhideWhenUsed/>
    <w:rsid w:val="00C66B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6B76"/>
  </w:style>
  <w:style w:type="paragraph" w:styleId="Footer">
    <w:name w:val="footer"/>
    <w:basedOn w:val="Normal"/>
    <w:link w:val="FooterChar"/>
    <w:uiPriority w:val="99"/>
    <w:unhideWhenUsed/>
    <w:rsid w:val="00C66B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6B76"/>
  </w:style>
  <w:style w:type="paragraph" w:styleId="ListParagraph">
    <w:name w:val="List Paragraph"/>
    <w:basedOn w:val="Normal"/>
    <w:uiPriority w:val="34"/>
    <w:qFormat/>
    <w:rsid w:val="000F06F3"/>
    <w:pPr>
      <w:spacing w:after="0" w:line="240" w:lineRule="auto"/>
      <w:ind w:left="720"/>
      <w:contextualSpacing/>
    </w:pPr>
    <w:rPr>
      <w:rFonts w:eastAsia="Times New Roman"/>
      <w:szCs w:val="24"/>
    </w:rPr>
  </w:style>
  <w:style w:type="paragraph" w:styleId="NormalWeb">
    <w:name w:val="Normal (Web)"/>
    <w:basedOn w:val="Normal"/>
    <w:uiPriority w:val="99"/>
    <w:unhideWhenUsed/>
    <w:rsid w:val="000F06F3"/>
    <w:pPr>
      <w:spacing w:before="100" w:beforeAutospacing="1" w:after="100" w:afterAutospacing="1" w:line="240" w:lineRule="auto"/>
    </w:pPr>
    <w:rPr>
      <w:rFonts w:eastAsia="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25</Pages>
  <Words>5698</Words>
  <Characters>32484</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Zimmerman</dc:creator>
  <cp:keywords/>
  <dc:description/>
  <cp:lastModifiedBy>Adam Zimmerman</cp:lastModifiedBy>
  <cp:revision>11</cp:revision>
  <dcterms:created xsi:type="dcterms:W3CDTF">2021-02-24T15:10:00Z</dcterms:created>
  <dcterms:modified xsi:type="dcterms:W3CDTF">2021-02-25T15:11:00Z</dcterms:modified>
</cp:coreProperties>
</file>