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F1AD" w14:textId="18BE5A2B" w:rsidR="00DF2A48" w:rsidRPr="009664DF" w:rsidRDefault="00DF2A48" w:rsidP="00DF2A48">
      <w:pPr>
        <w:spacing w:line="360" w:lineRule="auto"/>
        <w:jc w:val="center"/>
        <w:rPr>
          <w:b/>
          <w:bCs/>
          <w:color w:val="000000" w:themeColor="text1"/>
        </w:rPr>
      </w:pPr>
      <w:r w:rsidRPr="009664DF">
        <w:rPr>
          <w:b/>
          <w:bCs/>
          <w:color w:val="000000" w:themeColor="text1"/>
        </w:rPr>
        <w:t xml:space="preserve">Growth Condition for </w:t>
      </w:r>
      <w:r w:rsidRPr="009664DF">
        <w:rPr>
          <w:b/>
          <w:bCs/>
          <w:i/>
          <w:iCs/>
          <w:color w:val="000000" w:themeColor="text1"/>
        </w:rPr>
        <w:t>Leptospira</w:t>
      </w:r>
      <w:r w:rsidRPr="009664DF">
        <w:rPr>
          <w:b/>
          <w:bCs/>
          <w:color w:val="000000" w:themeColor="text1"/>
        </w:rPr>
        <w:t xml:space="preserve">: Assessing Metabolomic Regulation in </w:t>
      </w:r>
      <w:r w:rsidR="00737605" w:rsidRPr="009664DF">
        <w:rPr>
          <w:b/>
          <w:bCs/>
          <w:color w:val="000000" w:themeColor="text1"/>
        </w:rPr>
        <w:t>V</w:t>
      </w:r>
      <w:r w:rsidRPr="009664DF">
        <w:rPr>
          <w:b/>
          <w:bCs/>
          <w:color w:val="000000" w:themeColor="text1"/>
        </w:rPr>
        <w:t>ariable Media and Temperature</w:t>
      </w:r>
    </w:p>
    <w:p w14:paraId="677A36D6" w14:textId="77777777" w:rsidR="00DF2A48" w:rsidRPr="00DF2A48" w:rsidRDefault="00DF2A48" w:rsidP="00DF2A48">
      <w:pPr>
        <w:spacing w:line="360" w:lineRule="auto"/>
        <w:jc w:val="center"/>
        <w:rPr>
          <w:color w:val="000000" w:themeColor="text1"/>
        </w:rPr>
      </w:pPr>
    </w:p>
    <w:p w14:paraId="5696AA66" w14:textId="77777777" w:rsidR="00DF2A48" w:rsidRPr="00DF2A48" w:rsidRDefault="00DF2A48" w:rsidP="00DF2A48">
      <w:pPr>
        <w:spacing w:line="360" w:lineRule="auto"/>
        <w:jc w:val="center"/>
        <w:rPr>
          <w:color w:val="000000" w:themeColor="text1"/>
        </w:rPr>
      </w:pPr>
    </w:p>
    <w:p w14:paraId="6D13F227" w14:textId="77777777" w:rsidR="00DF2A48" w:rsidRPr="00DF2A48" w:rsidRDefault="00DF2A48" w:rsidP="00DF2A48">
      <w:pPr>
        <w:spacing w:line="360" w:lineRule="auto"/>
        <w:jc w:val="center"/>
        <w:rPr>
          <w:color w:val="000000" w:themeColor="text1"/>
        </w:rPr>
      </w:pPr>
    </w:p>
    <w:p w14:paraId="313DBFF9" w14:textId="77777777" w:rsidR="00DF2A48" w:rsidRPr="00DF2A48" w:rsidRDefault="00DF2A48" w:rsidP="00DF2A48">
      <w:pPr>
        <w:spacing w:line="360" w:lineRule="auto"/>
        <w:jc w:val="center"/>
        <w:rPr>
          <w:color w:val="000000" w:themeColor="text1"/>
        </w:rPr>
      </w:pPr>
    </w:p>
    <w:p w14:paraId="28FA8C66" w14:textId="77777777" w:rsidR="00DF2A48" w:rsidRPr="00DF2A48" w:rsidRDefault="00DF2A48" w:rsidP="00DF2A48">
      <w:pPr>
        <w:spacing w:line="360" w:lineRule="auto"/>
        <w:jc w:val="center"/>
        <w:rPr>
          <w:color w:val="000000" w:themeColor="text1"/>
        </w:rPr>
      </w:pPr>
    </w:p>
    <w:p w14:paraId="2EE8EFD6" w14:textId="77777777" w:rsidR="00DF2A48" w:rsidRPr="00DF2A48" w:rsidRDefault="00DF2A48" w:rsidP="00DF2A48">
      <w:pPr>
        <w:spacing w:line="360" w:lineRule="auto"/>
        <w:jc w:val="center"/>
        <w:rPr>
          <w:color w:val="000000" w:themeColor="text1"/>
        </w:rPr>
      </w:pPr>
    </w:p>
    <w:p w14:paraId="3945A2DC" w14:textId="77777777" w:rsidR="00DF2A48" w:rsidRPr="00DF2A48" w:rsidRDefault="00DF2A48" w:rsidP="00DF2A48">
      <w:pPr>
        <w:spacing w:line="360" w:lineRule="auto"/>
        <w:jc w:val="center"/>
        <w:rPr>
          <w:color w:val="000000" w:themeColor="text1"/>
        </w:rPr>
      </w:pPr>
    </w:p>
    <w:p w14:paraId="3F859BA7" w14:textId="77777777" w:rsidR="00DF2A48" w:rsidRPr="00DF2A48" w:rsidRDefault="00DF2A48" w:rsidP="00DF2A48">
      <w:pPr>
        <w:spacing w:line="360" w:lineRule="auto"/>
        <w:jc w:val="center"/>
        <w:rPr>
          <w:color w:val="000000" w:themeColor="text1"/>
        </w:rPr>
      </w:pPr>
    </w:p>
    <w:p w14:paraId="03B12552" w14:textId="77777777" w:rsidR="00DF2A48" w:rsidRPr="00DF2A48" w:rsidRDefault="00DF2A48" w:rsidP="00DF2A48">
      <w:pPr>
        <w:spacing w:line="360" w:lineRule="auto"/>
        <w:rPr>
          <w:color w:val="000000" w:themeColor="text1"/>
        </w:rPr>
      </w:pPr>
    </w:p>
    <w:p w14:paraId="3DF1717D" w14:textId="77777777" w:rsidR="00DF2A48" w:rsidRPr="00DF2A48" w:rsidRDefault="00DF2A48" w:rsidP="00DF2A48">
      <w:pPr>
        <w:spacing w:line="360" w:lineRule="auto"/>
        <w:jc w:val="center"/>
        <w:rPr>
          <w:color w:val="000000" w:themeColor="text1"/>
        </w:rPr>
      </w:pPr>
    </w:p>
    <w:p w14:paraId="729B92D0" w14:textId="77777777" w:rsidR="00DF2A48" w:rsidRPr="00DF2A48" w:rsidRDefault="00DF2A48" w:rsidP="00DF2A48">
      <w:pPr>
        <w:pStyle w:val="p1"/>
        <w:spacing w:line="360" w:lineRule="auto"/>
        <w:jc w:val="center"/>
        <w:rPr>
          <w:color w:val="000000" w:themeColor="text1"/>
          <w:sz w:val="24"/>
          <w:szCs w:val="24"/>
        </w:rPr>
      </w:pPr>
      <w:r w:rsidRPr="00DF2A48">
        <w:rPr>
          <w:color w:val="000000" w:themeColor="text1"/>
          <w:sz w:val="24"/>
          <w:szCs w:val="24"/>
        </w:rPr>
        <w:t>A Thesis Presented for the</w:t>
      </w:r>
    </w:p>
    <w:p w14:paraId="555C1D90" w14:textId="77777777" w:rsidR="00DF2A48" w:rsidRPr="00DF2A48" w:rsidRDefault="00DF2A48" w:rsidP="00DF2A48">
      <w:pPr>
        <w:pStyle w:val="p1"/>
        <w:spacing w:line="360" w:lineRule="auto"/>
        <w:jc w:val="center"/>
        <w:rPr>
          <w:color w:val="000000" w:themeColor="text1"/>
          <w:sz w:val="24"/>
          <w:szCs w:val="24"/>
        </w:rPr>
      </w:pPr>
      <w:r w:rsidRPr="00DF2A48">
        <w:rPr>
          <w:color w:val="000000" w:themeColor="text1"/>
          <w:sz w:val="24"/>
          <w:szCs w:val="24"/>
        </w:rPr>
        <w:t>Master of Science</w:t>
      </w:r>
    </w:p>
    <w:p w14:paraId="49E6FBA6" w14:textId="77777777" w:rsidR="00DF2A48" w:rsidRPr="00DF2A48" w:rsidRDefault="00DF2A48" w:rsidP="00DF2A48">
      <w:pPr>
        <w:pStyle w:val="p1"/>
        <w:spacing w:line="360" w:lineRule="auto"/>
        <w:jc w:val="center"/>
        <w:rPr>
          <w:color w:val="000000" w:themeColor="text1"/>
          <w:sz w:val="24"/>
          <w:szCs w:val="24"/>
        </w:rPr>
      </w:pPr>
      <w:r w:rsidRPr="00DF2A48">
        <w:rPr>
          <w:color w:val="000000" w:themeColor="text1"/>
          <w:sz w:val="24"/>
          <w:szCs w:val="24"/>
        </w:rPr>
        <w:t>Degree</w:t>
      </w:r>
    </w:p>
    <w:p w14:paraId="3D50DD15" w14:textId="77777777" w:rsidR="00DF2A48" w:rsidRPr="00DF2A48" w:rsidRDefault="00DF2A48" w:rsidP="00DF2A48">
      <w:pPr>
        <w:pStyle w:val="p1"/>
        <w:spacing w:line="360" w:lineRule="auto"/>
        <w:jc w:val="center"/>
        <w:rPr>
          <w:color w:val="000000" w:themeColor="text1"/>
          <w:sz w:val="24"/>
          <w:szCs w:val="24"/>
        </w:rPr>
      </w:pPr>
      <w:r w:rsidRPr="00DF2A48">
        <w:rPr>
          <w:color w:val="000000" w:themeColor="text1"/>
          <w:sz w:val="24"/>
          <w:szCs w:val="24"/>
        </w:rPr>
        <w:t>The University of Tennessee, Knoxville</w:t>
      </w:r>
    </w:p>
    <w:p w14:paraId="623E36EF" w14:textId="77777777" w:rsidR="00DF2A48" w:rsidRPr="00DF2A48" w:rsidRDefault="00DF2A48" w:rsidP="00DF2A48">
      <w:pPr>
        <w:spacing w:line="360" w:lineRule="auto"/>
        <w:jc w:val="center"/>
        <w:rPr>
          <w:color w:val="000000" w:themeColor="text1"/>
        </w:rPr>
      </w:pPr>
    </w:p>
    <w:p w14:paraId="07CE5388" w14:textId="77777777" w:rsidR="00DF2A48" w:rsidRPr="00DF2A48" w:rsidRDefault="00DF2A48" w:rsidP="00DF2A48">
      <w:pPr>
        <w:spacing w:line="360" w:lineRule="auto"/>
        <w:jc w:val="center"/>
        <w:rPr>
          <w:color w:val="000000" w:themeColor="text1"/>
        </w:rPr>
      </w:pPr>
    </w:p>
    <w:p w14:paraId="116740AE" w14:textId="77777777" w:rsidR="00DF2A48" w:rsidRPr="00DF2A48" w:rsidRDefault="00DF2A48" w:rsidP="00DF2A48">
      <w:pPr>
        <w:spacing w:line="360" w:lineRule="auto"/>
        <w:jc w:val="center"/>
        <w:rPr>
          <w:color w:val="000000" w:themeColor="text1"/>
        </w:rPr>
      </w:pPr>
    </w:p>
    <w:p w14:paraId="4129167F" w14:textId="77777777" w:rsidR="00DF2A48" w:rsidRPr="00DF2A48" w:rsidRDefault="00DF2A48" w:rsidP="00DF2A48">
      <w:pPr>
        <w:spacing w:line="360" w:lineRule="auto"/>
        <w:jc w:val="center"/>
        <w:rPr>
          <w:color w:val="000000" w:themeColor="text1"/>
        </w:rPr>
      </w:pPr>
    </w:p>
    <w:p w14:paraId="6050E452" w14:textId="77777777" w:rsidR="00DF2A48" w:rsidRPr="00DF2A48" w:rsidRDefault="00DF2A48" w:rsidP="00DF2A48">
      <w:pPr>
        <w:spacing w:line="360" w:lineRule="auto"/>
        <w:jc w:val="center"/>
        <w:rPr>
          <w:color w:val="000000" w:themeColor="text1"/>
        </w:rPr>
      </w:pPr>
    </w:p>
    <w:p w14:paraId="1A5403FE" w14:textId="77777777" w:rsidR="00DF2A48" w:rsidRPr="00DF2A48" w:rsidRDefault="00DF2A48" w:rsidP="00DF2A48">
      <w:pPr>
        <w:spacing w:line="360" w:lineRule="auto"/>
        <w:jc w:val="center"/>
        <w:rPr>
          <w:color w:val="000000" w:themeColor="text1"/>
        </w:rPr>
      </w:pPr>
    </w:p>
    <w:p w14:paraId="2429F7D3" w14:textId="77777777" w:rsidR="00DF2A48" w:rsidRPr="00DF2A48" w:rsidRDefault="00DF2A48" w:rsidP="00DF2A48">
      <w:pPr>
        <w:spacing w:line="360" w:lineRule="auto"/>
        <w:rPr>
          <w:color w:val="000000" w:themeColor="text1"/>
        </w:rPr>
      </w:pPr>
    </w:p>
    <w:p w14:paraId="7915173E" w14:textId="77777777" w:rsidR="00DF2A48" w:rsidRPr="00DF2A48" w:rsidRDefault="00DF2A48" w:rsidP="00DF2A48">
      <w:pPr>
        <w:spacing w:line="360" w:lineRule="auto"/>
        <w:rPr>
          <w:color w:val="000000" w:themeColor="text1"/>
        </w:rPr>
      </w:pPr>
    </w:p>
    <w:p w14:paraId="39298B34" w14:textId="77777777" w:rsidR="00DF2A48" w:rsidRPr="00DF2A48" w:rsidRDefault="00DF2A48" w:rsidP="00DF2A48">
      <w:pPr>
        <w:spacing w:line="360" w:lineRule="auto"/>
        <w:rPr>
          <w:color w:val="000000" w:themeColor="text1"/>
        </w:rPr>
      </w:pPr>
    </w:p>
    <w:p w14:paraId="09CE101A" w14:textId="77777777" w:rsidR="00DF2A48" w:rsidRPr="00DF2A48" w:rsidRDefault="00DF2A48" w:rsidP="00DF2A48">
      <w:pPr>
        <w:spacing w:line="360" w:lineRule="auto"/>
        <w:rPr>
          <w:color w:val="000000" w:themeColor="text1"/>
        </w:rPr>
      </w:pPr>
    </w:p>
    <w:p w14:paraId="414C707D" w14:textId="77777777" w:rsidR="00DF2A48" w:rsidRPr="00DF2A48" w:rsidRDefault="00DF2A48" w:rsidP="00DF2A48">
      <w:pPr>
        <w:spacing w:line="360" w:lineRule="auto"/>
        <w:rPr>
          <w:color w:val="000000" w:themeColor="text1"/>
        </w:rPr>
      </w:pPr>
    </w:p>
    <w:p w14:paraId="2C844A59" w14:textId="77777777" w:rsidR="00DF2A48" w:rsidRPr="00DF2A48" w:rsidRDefault="00DF2A48" w:rsidP="00DF2A48">
      <w:pPr>
        <w:spacing w:line="360" w:lineRule="auto"/>
        <w:rPr>
          <w:color w:val="000000" w:themeColor="text1"/>
        </w:rPr>
      </w:pPr>
    </w:p>
    <w:p w14:paraId="6A24F120" w14:textId="77777777" w:rsidR="00DF2A48" w:rsidRPr="00DF2A48" w:rsidRDefault="00DF2A48" w:rsidP="00DF2A48">
      <w:pPr>
        <w:spacing w:line="360" w:lineRule="auto"/>
        <w:jc w:val="center"/>
        <w:rPr>
          <w:color w:val="000000" w:themeColor="text1"/>
        </w:rPr>
      </w:pPr>
      <w:r w:rsidRPr="00DF2A48">
        <w:rPr>
          <w:color w:val="000000" w:themeColor="text1"/>
        </w:rPr>
        <w:t>Maliha Tabassum</w:t>
      </w:r>
    </w:p>
    <w:p w14:paraId="26434CB1" w14:textId="0E119B0A" w:rsidR="00DF2A48" w:rsidRPr="00DF2A48" w:rsidRDefault="007E2377" w:rsidP="00DF2A48">
      <w:pPr>
        <w:spacing w:line="360" w:lineRule="auto"/>
        <w:jc w:val="center"/>
        <w:rPr>
          <w:color w:val="000000" w:themeColor="text1"/>
        </w:rPr>
      </w:pPr>
      <w:r>
        <w:rPr>
          <w:color w:val="000000" w:themeColor="text1"/>
        </w:rPr>
        <w:t>December</w:t>
      </w:r>
      <w:r w:rsidR="00DF2A48" w:rsidRPr="00DF2A48">
        <w:rPr>
          <w:color w:val="000000" w:themeColor="text1"/>
        </w:rPr>
        <w:t xml:space="preserve"> 2025</w:t>
      </w:r>
    </w:p>
    <w:p w14:paraId="4B18912A" w14:textId="77777777" w:rsidR="00C87740" w:rsidRDefault="00C87740" w:rsidP="00DF2A48">
      <w:pPr>
        <w:pStyle w:val="p1"/>
        <w:spacing w:line="360" w:lineRule="auto"/>
        <w:jc w:val="center"/>
        <w:rPr>
          <w:color w:val="000000" w:themeColor="text1"/>
          <w:sz w:val="24"/>
          <w:szCs w:val="24"/>
        </w:rPr>
      </w:pPr>
    </w:p>
    <w:p w14:paraId="53FE235B" w14:textId="0AE9EC3D" w:rsidR="000E0B41" w:rsidRDefault="000E0B41" w:rsidP="00DF2A48">
      <w:pPr>
        <w:pStyle w:val="p1"/>
        <w:spacing w:line="360" w:lineRule="auto"/>
        <w:jc w:val="center"/>
        <w:rPr>
          <w:color w:val="000000" w:themeColor="text1"/>
          <w:sz w:val="24"/>
          <w:szCs w:val="24"/>
        </w:rPr>
      </w:pPr>
      <w:r>
        <w:rPr>
          <w:color w:val="000000" w:themeColor="text1"/>
          <w:sz w:val="24"/>
          <w:szCs w:val="24"/>
        </w:rPr>
        <w:lastRenderedPageBreak/>
        <w:t xml:space="preserve">Copyright </w:t>
      </w:r>
      <w:r>
        <w:rPr>
          <w:color w:val="000000" w:themeColor="text1"/>
          <w:sz w:val="24"/>
          <w:szCs w:val="24"/>
        </w:rPr>
        <w:sym w:font="Symbol" w:char="F0D3"/>
      </w:r>
      <w:r>
        <w:rPr>
          <w:color w:val="000000" w:themeColor="text1"/>
          <w:sz w:val="24"/>
          <w:szCs w:val="24"/>
        </w:rPr>
        <w:t xml:space="preserve"> by Maliha Tabassum.</w:t>
      </w:r>
    </w:p>
    <w:p w14:paraId="3AE6CD0A" w14:textId="000ED496" w:rsidR="00DF2A48" w:rsidRPr="00DF2A48" w:rsidRDefault="00DF2A48" w:rsidP="00DF2A48">
      <w:pPr>
        <w:pStyle w:val="p1"/>
        <w:spacing w:line="360" w:lineRule="auto"/>
        <w:jc w:val="center"/>
        <w:rPr>
          <w:color w:val="000000" w:themeColor="text1"/>
          <w:sz w:val="24"/>
          <w:szCs w:val="24"/>
        </w:rPr>
      </w:pPr>
      <w:r w:rsidRPr="00DF2A48">
        <w:rPr>
          <w:color w:val="000000" w:themeColor="text1"/>
          <w:sz w:val="24"/>
          <w:szCs w:val="24"/>
        </w:rPr>
        <w:t>All rights reserved</w:t>
      </w:r>
    </w:p>
    <w:p w14:paraId="4354D6F8" w14:textId="77777777" w:rsidR="00DF2A48" w:rsidRPr="00DF2A48" w:rsidRDefault="00DF2A48" w:rsidP="00DF2A48">
      <w:pPr>
        <w:spacing w:line="360" w:lineRule="auto"/>
        <w:rPr>
          <w:color w:val="000000" w:themeColor="text1"/>
        </w:rPr>
      </w:pPr>
    </w:p>
    <w:p w14:paraId="28C7B5DF" w14:textId="77777777" w:rsidR="00DF2A48" w:rsidRPr="00DF2A48" w:rsidRDefault="00DF2A48" w:rsidP="00DF2A48">
      <w:pPr>
        <w:spacing w:line="360" w:lineRule="auto"/>
        <w:rPr>
          <w:color w:val="000000" w:themeColor="text1"/>
        </w:rPr>
      </w:pPr>
      <w:r w:rsidRPr="00DF2A48">
        <w:rPr>
          <w:color w:val="000000" w:themeColor="text1"/>
        </w:rPr>
        <w:br w:type="page"/>
      </w:r>
    </w:p>
    <w:p w14:paraId="56E1AC21" w14:textId="66C40F43" w:rsidR="00DF2A48" w:rsidRPr="000D3EBD" w:rsidRDefault="00DF2A48" w:rsidP="000D3EBD">
      <w:pPr>
        <w:spacing w:line="360" w:lineRule="auto"/>
        <w:ind w:left="2880" w:firstLine="720"/>
        <w:rPr>
          <w:b/>
          <w:bCs/>
          <w:color w:val="000000" w:themeColor="text1"/>
        </w:rPr>
      </w:pPr>
      <w:r w:rsidRPr="00DF2A48">
        <w:rPr>
          <w:b/>
          <w:bCs/>
          <w:color w:val="000000" w:themeColor="text1"/>
        </w:rPr>
        <w:lastRenderedPageBreak/>
        <w:t>Acknowledgement</w:t>
      </w:r>
      <w:r w:rsidR="00C87740">
        <w:rPr>
          <w:b/>
          <w:bCs/>
          <w:color w:val="000000" w:themeColor="text1"/>
        </w:rPr>
        <w:t>s.</w:t>
      </w:r>
    </w:p>
    <w:p w14:paraId="2A954CA0" w14:textId="77777777" w:rsidR="00DF2A48" w:rsidRPr="00DF2A48" w:rsidRDefault="00DF2A48" w:rsidP="00DE3CEC">
      <w:pPr>
        <w:pStyle w:val="p1"/>
        <w:spacing w:line="360" w:lineRule="auto"/>
        <w:ind w:firstLine="720"/>
        <w:rPr>
          <w:color w:val="000000" w:themeColor="text1"/>
          <w:sz w:val="24"/>
          <w:szCs w:val="24"/>
        </w:rPr>
      </w:pPr>
      <w:r w:rsidRPr="00DF2A48">
        <w:rPr>
          <w:color w:val="000000" w:themeColor="text1"/>
          <w:sz w:val="24"/>
          <w:szCs w:val="24"/>
        </w:rPr>
        <w:t>I want to thank my advisor, Dr. Shawn R. Campagna for the guidance over the couple of years. It was an amazing opportunity to learn about metabolomics via mass spectrometry.</w:t>
      </w:r>
    </w:p>
    <w:p w14:paraId="0EDFB4DE" w14:textId="1C6CD947" w:rsidR="001F530E" w:rsidRPr="00DF2A48" w:rsidRDefault="00DF2A48" w:rsidP="00DE3CEC">
      <w:pPr>
        <w:pStyle w:val="p1"/>
        <w:spacing w:line="360" w:lineRule="auto"/>
        <w:ind w:firstLine="720"/>
        <w:rPr>
          <w:color w:val="000000" w:themeColor="text1"/>
          <w:sz w:val="24"/>
          <w:szCs w:val="24"/>
        </w:rPr>
      </w:pPr>
      <w:r w:rsidRPr="00DF2A48">
        <w:rPr>
          <w:color w:val="000000" w:themeColor="text1"/>
          <w:sz w:val="24"/>
          <w:szCs w:val="24"/>
        </w:rPr>
        <w:t>I also want to thank Dr. Katarina Jones and Dr</w:t>
      </w:r>
      <w:r w:rsidR="00737605">
        <w:rPr>
          <w:color w:val="000000" w:themeColor="text1"/>
          <w:sz w:val="24"/>
          <w:szCs w:val="24"/>
        </w:rPr>
        <w:t>.</w:t>
      </w:r>
      <w:r w:rsidRPr="00DF2A48">
        <w:rPr>
          <w:color w:val="000000" w:themeColor="text1"/>
          <w:sz w:val="24"/>
          <w:szCs w:val="24"/>
        </w:rPr>
        <w:t xml:space="preserve"> Courtney Cristopher for teaching me the several analytical laboratory techniques. </w:t>
      </w:r>
      <w:r w:rsidR="001F530E">
        <w:rPr>
          <w:color w:val="000000" w:themeColor="text1"/>
          <w:sz w:val="24"/>
          <w:szCs w:val="24"/>
        </w:rPr>
        <w:t xml:space="preserve">I am grateful for the unlikely friendship I have </w:t>
      </w:r>
      <w:r w:rsidR="00B2381F">
        <w:rPr>
          <w:color w:val="000000" w:themeColor="text1"/>
          <w:sz w:val="24"/>
          <w:szCs w:val="24"/>
        </w:rPr>
        <w:t>formed</w:t>
      </w:r>
      <w:r w:rsidR="001F530E">
        <w:rPr>
          <w:color w:val="000000" w:themeColor="text1"/>
          <w:sz w:val="24"/>
          <w:szCs w:val="24"/>
        </w:rPr>
        <w:t xml:space="preserve"> in the </w:t>
      </w:r>
      <w:r w:rsidR="00073673">
        <w:rPr>
          <w:color w:val="000000" w:themeColor="text1"/>
          <w:sz w:val="24"/>
          <w:szCs w:val="24"/>
        </w:rPr>
        <w:t>D</w:t>
      </w:r>
      <w:r w:rsidR="001F530E">
        <w:rPr>
          <w:color w:val="000000" w:themeColor="text1"/>
          <w:sz w:val="24"/>
          <w:szCs w:val="24"/>
        </w:rPr>
        <w:t>epartment of Chemistry through appreciation over Pink Floyd</w:t>
      </w:r>
      <w:r w:rsidR="00B2381F">
        <w:rPr>
          <w:color w:val="000000" w:themeColor="text1"/>
          <w:sz w:val="24"/>
          <w:szCs w:val="24"/>
        </w:rPr>
        <w:t xml:space="preserve"> with</w:t>
      </w:r>
      <w:r w:rsidR="001F530E">
        <w:rPr>
          <w:color w:val="000000" w:themeColor="text1"/>
          <w:sz w:val="24"/>
          <w:szCs w:val="24"/>
        </w:rPr>
        <w:t xml:space="preserve"> Matt Tom and Bo Bishop</w:t>
      </w:r>
      <w:r w:rsidR="00B2381F">
        <w:rPr>
          <w:color w:val="000000" w:themeColor="text1"/>
          <w:sz w:val="24"/>
          <w:szCs w:val="24"/>
        </w:rPr>
        <w:t>, who</w:t>
      </w:r>
      <w:r w:rsidR="001F530E">
        <w:rPr>
          <w:color w:val="000000" w:themeColor="text1"/>
          <w:sz w:val="24"/>
          <w:szCs w:val="24"/>
        </w:rPr>
        <w:t xml:space="preserve"> have supported me through </w:t>
      </w:r>
      <w:r w:rsidR="00B2381F">
        <w:rPr>
          <w:color w:val="000000" w:themeColor="text1"/>
          <w:sz w:val="24"/>
          <w:szCs w:val="24"/>
        </w:rPr>
        <w:t>their expertise</w:t>
      </w:r>
      <w:r w:rsidR="001F530E">
        <w:rPr>
          <w:color w:val="000000" w:themeColor="text1"/>
          <w:sz w:val="24"/>
          <w:szCs w:val="24"/>
        </w:rPr>
        <w:t>, and the occasional tea.</w:t>
      </w:r>
    </w:p>
    <w:p w14:paraId="60D01664" w14:textId="791D3772" w:rsidR="00DF2A48" w:rsidRPr="00444C63" w:rsidRDefault="00DF2A48" w:rsidP="00444C63">
      <w:pPr>
        <w:pStyle w:val="p1"/>
        <w:spacing w:line="360" w:lineRule="auto"/>
        <w:ind w:firstLine="720"/>
        <w:rPr>
          <w:color w:val="000000" w:themeColor="text1"/>
          <w:sz w:val="24"/>
          <w:szCs w:val="24"/>
        </w:rPr>
      </w:pPr>
      <w:r w:rsidRPr="00DF2A48">
        <w:rPr>
          <w:color w:val="000000" w:themeColor="text1"/>
          <w:sz w:val="24"/>
          <w:szCs w:val="24"/>
        </w:rPr>
        <w:t>Finally, I want to thank my family and friends who supported me throughout my graduat</w:t>
      </w:r>
      <w:r w:rsidR="00B2381F">
        <w:rPr>
          <w:color w:val="000000" w:themeColor="text1"/>
          <w:sz w:val="24"/>
          <w:szCs w:val="24"/>
        </w:rPr>
        <w:t>e</w:t>
      </w:r>
      <w:r w:rsidRPr="00DF2A48">
        <w:rPr>
          <w:color w:val="000000" w:themeColor="text1"/>
          <w:sz w:val="24"/>
          <w:szCs w:val="24"/>
        </w:rPr>
        <w:t xml:space="preserve"> school journey 8000 miles </w:t>
      </w:r>
      <w:r w:rsidR="00B2381F">
        <w:rPr>
          <w:color w:val="000000" w:themeColor="text1"/>
          <w:sz w:val="24"/>
          <w:szCs w:val="24"/>
        </w:rPr>
        <w:t>away</w:t>
      </w:r>
      <w:r w:rsidRPr="00DF2A48">
        <w:rPr>
          <w:color w:val="000000" w:themeColor="text1"/>
          <w:sz w:val="24"/>
          <w:szCs w:val="24"/>
        </w:rPr>
        <w:t xml:space="preserve"> from home. Special thanks to my spouse, Tanzil Mahmud, who has always cheered me on. Deepest gratitude to my friend</w:t>
      </w:r>
      <w:r w:rsidR="00B2381F">
        <w:rPr>
          <w:color w:val="000000" w:themeColor="text1"/>
          <w:sz w:val="24"/>
          <w:szCs w:val="24"/>
        </w:rPr>
        <w:t>s</w:t>
      </w:r>
      <w:r w:rsidRPr="00DF2A48">
        <w:rPr>
          <w:color w:val="000000" w:themeColor="text1"/>
          <w:sz w:val="24"/>
          <w:szCs w:val="24"/>
        </w:rPr>
        <w:t xml:space="preserve"> Meher Afroze Ony,</w:t>
      </w:r>
      <w:r w:rsidR="001F530E">
        <w:rPr>
          <w:color w:val="000000" w:themeColor="text1"/>
          <w:sz w:val="24"/>
          <w:szCs w:val="24"/>
        </w:rPr>
        <w:t xml:space="preserve"> Mehraj Ahmed, and Fawzaan Ahmed</w:t>
      </w:r>
      <w:r w:rsidRPr="00DF2A48">
        <w:rPr>
          <w:color w:val="000000" w:themeColor="text1"/>
          <w:sz w:val="24"/>
          <w:szCs w:val="24"/>
        </w:rPr>
        <w:t xml:space="preserve"> who has been a critical part </w:t>
      </w:r>
      <w:r w:rsidR="00B2381F">
        <w:rPr>
          <w:color w:val="000000" w:themeColor="text1"/>
          <w:sz w:val="24"/>
          <w:szCs w:val="24"/>
        </w:rPr>
        <w:t xml:space="preserve">of </w:t>
      </w:r>
      <w:r w:rsidRPr="00DF2A48">
        <w:rPr>
          <w:color w:val="000000" w:themeColor="text1"/>
          <w:sz w:val="24"/>
          <w:szCs w:val="24"/>
        </w:rPr>
        <w:t>my personal and academic life throughout. I am grateful for your support and prayers.</w:t>
      </w:r>
      <w:r w:rsidRPr="00DF2A48">
        <w:rPr>
          <w:color w:val="000000" w:themeColor="text1"/>
        </w:rPr>
        <w:br w:type="page"/>
      </w:r>
    </w:p>
    <w:p w14:paraId="251755D6" w14:textId="31125596" w:rsidR="00DF2A48" w:rsidRPr="008C3E9B" w:rsidRDefault="00DF2A48" w:rsidP="008C3E9B">
      <w:pPr>
        <w:spacing w:line="360" w:lineRule="auto"/>
        <w:jc w:val="center"/>
        <w:rPr>
          <w:b/>
          <w:bCs/>
          <w:color w:val="000000" w:themeColor="text1"/>
        </w:rPr>
      </w:pPr>
      <w:r w:rsidRPr="00DF2A48">
        <w:rPr>
          <w:b/>
          <w:bCs/>
          <w:color w:val="000000" w:themeColor="text1"/>
        </w:rPr>
        <w:lastRenderedPageBreak/>
        <w:t>Abstract</w:t>
      </w:r>
    </w:p>
    <w:p w14:paraId="65BC19EF" w14:textId="33435AE8" w:rsidR="0028769D" w:rsidRDefault="00DF2A48" w:rsidP="00DE3CEC">
      <w:pPr>
        <w:pStyle w:val="p1"/>
        <w:spacing w:line="360" w:lineRule="auto"/>
        <w:ind w:firstLine="720"/>
        <w:rPr>
          <w:color w:val="000000" w:themeColor="text1"/>
          <w:sz w:val="24"/>
          <w:szCs w:val="24"/>
        </w:rPr>
      </w:pPr>
      <w:r w:rsidRPr="00DF2A48">
        <w:rPr>
          <w:color w:val="000000" w:themeColor="text1"/>
          <w:sz w:val="24"/>
          <w:szCs w:val="24"/>
        </w:rPr>
        <w:t xml:space="preserve">Leptospirosis is a global zoonotic disease which is significant yet quite underrecognized. It is caused by </w:t>
      </w:r>
      <w:r w:rsidRPr="00DF2A48">
        <w:rPr>
          <w:i/>
          <w:iCs/>
          <w:color w:val="000000" w:themeColor="text1"/>
          <w:sz w:val="24"/>
          <w:szCs w:val="24"/>
        </w:rPr>
        <w:t>Leptospira</w:t>
      </w:r>
      <w:r w:rsidRPr="00DF2A48">
        <w:rPr>
          <w:color w:val="000000" w:themeColor="text1"/>
          <w:sz w:val="24"/>
          <w:szCs w:val="24"/>
        </w:rPr>
        <w:t>,</w:t>
      </w:r>
      <w:r w:rsidRPr="00DF2A48">
        <w:rPr>
          <w:i/>
          <w:iCs/>
          <w:color w:val="000000" w:themeColor="text1"/>
          <w:sz w:val="24"/>
          <w:szCs w:val="24"/>
        </w:rPr>
        <w:t xml:space="preserve"> </w:t>
      </w:r>
      <w:r w:rsidRPr="00DF2A48">
        <w:rPr>
          <w:color w:val="000000" w:themeColor="text1"/>
          <w:sz w:val="24"/>
          <w:szCs w:val="24"/>
        </w:rPr>
        <w:t xml:space="preserve">which is transpired to humans from animals. There is no definitive identification of </w:t>
      </w:r>
      <w:r w:rsidRPr="00DF2A48">
        <w:rPr>
          <w:i/>
          <w:iCs/>
          <w:color w:val="000000" w:themeColor="text1"/>
          <w:sz w:val="24"/>
          <w:szCs w:val="24"/>
        </w:rPr>
        <w:t xml:space="preserve">Leptospira </w:t>
      </w:r>
      <w:r w:rsidRPr="00DF2A48">
        <w:rPr>
          <w:color w:val="000000" w:themeColor="text1"/>
          <w:sz w:val="24"/>
          <w:szCs w:val="24"/>
        </w:rPr>
        <w:t xml:space="preserve">infection in human. The objective of this study was to investigate the metabolites of </w:t>
      </w:r>
      <w:r w:rsidRPr="00DF2A48">
        <w:rPr>
          <w:i/>
          <w:iCs/>
          <w:color w:val="000000" w:themeColor="text1"/>
          <w:sz w:val="24"/>
          <w:szCs w:val="24"/>
        </w:rPr>
        <w:t xml:space="preserve">Leptospira </w:t>
      </w:r>
      <w:r w:rsidRPr="001F530E">
        <w:rPr>
          <w:i/>
          <w:iCs/>
          <w:color w:val="000000" w:themeColor="text1"/>
          <w:sz w:val="24"/>
          <w:szCs w:val="24"/>
        </w:rPr>
        <w:t>in vitro</w:t>
      </w:r>
      <w:r w:rsidRPr="00DF2A48">
        <w:rPr>
          <w:color w:val="000000" w:themeColor="text1"/>
          <w:sz w:val="24"/>
          <w:szCs w:val="24"/>
        </w:rPr>
        <w:t xml:space="preserve"> to create a metabolomic profile of the </w:t>
      </w:r>
      <w:r w:rsidR="001F530E">
        <w:rPr>
          <w:color w:val="000000" w:themeColor="text1"/>
          <w:sz w:val="24"/>
          <w:szCs w:val="24"/>
        </w:rPr>
        <w:t>pathogenic bacteria</w:t>
      </w:r>
      <w:r w:rsidRPr="00DF2A48">
        <w:rPr>
          <w:color w:val="000000" w:themeColor="text1"/>
          <w:sz w:val="24"/>
          <w:szCs w:val="24"/>
        </w:rPr>
        <w:t xml:space="preserve">. The metabolomic profile from the pellet, supernatant, and the control media allowed the development of an intracellular and extracellular metabolomic signature. The unique metabolomic signatures will further enable searches for biomarkers that will be significant for identification of leptospirosis in human. </w:t>
      </w:r>
      <w:r w:rsidR="008C3E9B" w:rsidRPr="0079752E">
        <w:rPr>
          <w:color w:val="000000" w:themeColor="text1"/>
          <w:sz w:val="24"/>
          <w:szCs w:val="24"/>
        </w:rPr>
        <w:t xml:space="preserve">It this study it is found that purine metabolic pathway plays a key role in </w:t>
      </w:r>
      <w:proofErr w:type="spellStart"/>
      <w:r w:rsidR="008C3E9B" w:rsidRPr="0079752E">
        <w:rPr>
          <w:i/>
          <w:iCs/>
          <w:color w:val="000000" w:themeColor="text1"/>
          <w:sz w:val="24"/>
          <w:szCs w:val="24"/>
        </w:rPr>
        <w:t>leptospira</w:t>
      </w:r>
      <w:proofErr w:type="spellEnd"/>
      <w:r w:rsidR="008C3E9B" w:rsidRPr="0079752E">
        <w:rPr>
          <w:color w:val="000000" w:themeColor="text1"/>
          <w:sz w:val="24"/>
          <w:szCs w:val="24"/>
        </w:rPr>
        <w:t xml:space="preserve"> growth when it is inoculated in the EMJH (in house) media at both 28</w:t>
      </w:r>
      <w:r w:rsidR="008C3E9B" w:rsidRPr="0079752E">
        <w:rPr>
          <w:color w:val="000000" w:themeColor="text1"/>
          <w:sz w:val="24"/>
          <w:szCs w:val="24"/>
        </w:rPr>
        <w:sym w:font="Symbol" w:char="F0B0"/>
      </w:r>
      <w:r w:rsidR="008C3E9B" w:rsidRPr="0079752E">
        <w:rPr>
          <w:color w:val="000000" w:themeColor="text1"/>
          <w:sz w:val="24"/>
          <w:szCs w:val="24"/>
        </w:rPr>
        <w:t>C and 37</w:t>
      </w:r>
      <w:r w:rsidR="008C3E9B" w:rsidRPr="0079752E">
        <w:rPr>
          <w:color w:val="000000" w:themeColor="text1"/>
          <w:sz w:val="24"/>
          <w:szCs w:val="24"/>
        </w:rPr>
        <w:sym w:font="Symbol" w:char="F0B0"/>
      </w:r>
      <w:r w:rsidR="008C3E9B" w:rsidRPr="0079752E">
        <w:rPr>
          <w:color w:val="000000" w:themeColor="text1"/>
          <w:sz w:val="24"/>
          <w:szCs w:val="24"/>
        </w:rPr>
        <w:t>C.</w:t>
      </w:r>
      <w:r w:rsidR="0028769D" w:rsidRPr="0079752E">
        <w:rPr>
          <w:color w:val="000000" w:themeColor="text1"/>
          <w:sz w:val="24"/>
          <w:szCs w:val="24"/>
        </w:rPr>
        <w:t xml:space="preserve"> From pairwise comparison of the intracellular, extracellular and media control hints to a stress during growth in the currently available commercial media EMJH (Difco). The evidence of usage of multiple metabolic pathway remediation alternative to purine metabolic pathway in EMJH (Difco) in notable.</w:t>
      </w:r>
      <w:r w:rsidR="0028769D">
        <w:rPr>
          <w:color w:val="000000" w:themeColor="text1"/>
          <w:sz w:val="24"/>
          <w:szCs w:val="24"/>
        </w:rPr>
        <w:t xml:space="preserve"> </w:t>
      </w:r>
    </w:p>
    <w:p w14:paraId="667543D0" w14:textId="07007D89" w:rsidR="00DF2A48" w:rsidRPr="00DF2A48" w:rsidRDefault="00DF2A48" w:rsidP="00DE3CEC">
      <w:pPr>
        <w:pStyle w:val="p1"/>
        <w:spacing w:line="360" w:lineRule="auto"/>
        <w:ind w:firstLine="720"/>
        <w:rPr>
          <w:color w:val="000000" w:themeColor="text1"/>
          <w:sz w:val="24"/>
          <w:szCs w:val="24"/>
        </w:rPr>
      </w:pPr>
      <w:r w:rsidRPr="00202DED">
        <w:rPr>
          <w:color w:val="000000" w:themeColor="text1"/>
          <w:sz w:val="24"/>
          <w:szCs w:val="24"/>
        </w:rPr>
        <w:t xml:space="preserve">These results reveal distinct temperature-media interactions affecting both cellular composition and secreted factors, with significant differences observed in growth yield and </w:t>
      </w:r>
      <w:r w:rsidR="0061231A" w:rsidRPr="00202DED">
        <w:rPr>
          <w:color w:val="000000" w:themeColor="text1"/>
          <w:sz w:val="24"/>
          <w:szCs w:val="24"/>
        </w:rPr>
        <w:t>metabolite</w:t>
      </w:r>
      <w:r w:rsidRPr="00202DED">
        <w:rPr>
          <w:color w:val="000000" w:themeColor="text1"/>
          <w:sz w:val="24"/>
          <w:szCs w:val="24"/>
        </w:rPr>
        <w:t xml:space="preserve"> secretion profiles. These findings provide new insights into the environmental adaptability</w:t>
      </w:r>
      <w:r w:rsidR="001F530E">
        <w:rPr>
          <w:color w:val="000000" w:themeColor="text1"/>
          <w:sz w:val="24"/>
          <w:szCs w:val="24"/>
        </w:rPr>
        <w:t xml:space="preserve"> of </w:t>
      </w:r>
      <w:proofErr w:type="spellStart"/>
      <w:r w:rsidR="001F530E">
        <w:rPr>
          <w:i/>
          <w:iCs/>
          <w:color w:val="000000" w:themeColor="text1"/>
          <w:sz w:val="24"/>
          <w:szCs w:val="24"/>
        </w:rPr>
        <w:t>leptospira</w:t>
      </w:r>
      <w:proofErr w:type="spellEnd"/>
      <w:r w:rsidR="001F530E">
        <w:rPr>
          <w:color w:val="000000" w:themeColor="text1"/>
          <w:sz w:val="24"/>
          <w:szCs w:val="24"/>
        </w:rPr>
        <w:t xml:space="preserve"> </w:t>
      </w:r>
      <w:r w:rsidRPr="00202DED">
        <w:rPr>
          <w:color w:val="000000" w:themeColor="text1"/>
          <w:sz w:val="24"/>
          <w:szCs w:val="24"/>
        </w:rPr>
        <w:t>and offer guidance for optimizing laboratory cultivation and downstream analyses.</w:t>
      </w:r>
    </w:p>
    <w:p w14:paraId="3BB7659E" w14:textId="77777777" w:rsidR="00DF2A48" w:rsidRPr="00DF2A48" w:rsidRDefault="00DF2A48" w:rsidP="00DF2A48">
      <w:pPr>
        <w:spacing w:line="360" w:lineRule="auto"/>
        <w:jc w:val="both"/>
        <w:rPr>
          <w:color w:val="000000" w:themeColor="text1"/>
        </w:rPr>
      </w:pPr>
      <w:r w:rsidRPr="00DF2A48">
        <w:rPr>
          <w:color w:val="000000" w:themeColor="text1"/>
        </w:rPr>
        <w:br w:type="page"/>
      </w:r>
    </w:p>
    <w:p w14:paraId="3D6D45AD" w14:textId="0B348F0D" w:rsidR="00880A2F" w:rsidRPr="00DF2A48" w:rsidRDefault="00DF2A48" w:rsidP="00880A2F">
      <w:pPr>
        <w:spacing w:line="360" w:lineRule="auto"/>
        <w:jc w:val="center"/>
        <w:rPr>
          <w:b/>
          <w:bCs/>
          <w:color w:val="000000" w:themeColor="text1"/>
        </w:rPr>
      </w:pPr>
      <w:r w:rsidRPr="00DF2A48">
        <w:rPr>
          <w:b/>
          <w:bCs/>
          <w:color w:val="000000" w:themeColor="text1"/>
        </w:rPr>
        <w:lastRenderedPageBreak/>
        <w:t>Table of Contents</w:t>
      </w:r>
    </w:p>
    <w:p w14:paraId="53820A8D" w14:textId="43528A75" w:rsidR="00DF2A48" w:rsidRPr="00DF2A48" w:rsidRDefault="00DF2A48" w:rsidP="00DE3CEC">
      <w:pPr>
        <w:pStyle w:val="p1"/>
        <w:spacing w:line="360" w:lineRule="auto"/>
        <w:jc w:val="right"/>
        <w:rPr>
          <w:color w:val="000000" w:themeColor="text1"/>
          <w:sz w:val="24"/>
          <w:szCs w:val="24"/>
        </w:rPr>
      </w:pPr>
      <w:r w:rsidRPr="00DF2A48">
        <w:rPr>
          <w:color w:val="000000" w:themeColor="text1"/>
          <w:sz w:val="24"/>
          <w:szCs w:val="24"/>
        </w:rPr>
        <w:t xml:space="preserve">Chapter </w:t>
      </w:r>
      <w:r w:rsidR="00444C63">
        <w:rPr>
          <w:color w:val="000000" w:themeColor="text1"/>
          <w:sz w:val="24"/>
          <w:szCs w:val="24"/>
        </w:rPr>
        <w:t>O</w:t>
      </w:r>
      <w:r w:rsidRPr="00DF2A48">
        <w:rPr>
          <w:color w:val="000000" w:themeColor="text1"/>
          <w:sz w:val="24"/>
          <w:szCs w:val="24"/>
        </w:rPr>
        <w:t>ne:</w:t>
      </w:r>
      <w:r w:rsidR="00DE3CEC">
        <w:rPr>
          <w:color w:val="000000" w:themeColor="text1"/>
          <w:sz w:val="24"/>
          <w:szCs w:val="24"/>
        </w:rPr>
        <w:t xml:space="preserve"> </w:t>
      </w:r>
      <w:r w:rsidRPr="00DF2A48">
        <w:rPr>
          <w:color w:val="000000" w:themeColor="text1"/>
          <w:sz w:val="24"/>
          <w:szCs w:val="24"/>
        </w:rPr>
        <w:t>Introduction</w:t>
      </w:r>
      <w:r w:rsidR="00DE3CEC">
        <w:rPr>
          <w:color w:val="000000" w:themeColor="text1"/>
          <w:sz w:val="24"/>
          <w:szCs w:val="24"/>
        </w:rPr>
        <w:t>.......................................................................................................</w:t>
      </w:r>
      <w:r w:rsidR="006F676B">
        <w:rPr>
          <w:color w:val="000000" w:themeColor="text1"/>
          <w:sz w:val="24"/>
          <w:szCs w:val="24"/>
        </w:rPr>
        <w:t>..</w:t>
      </w:r>
      <w:r w:rsidR="00DE3CEC">
        <w:rPr>
          <w:color w:val="000000" w:themeColor="text1"/>
          <w:sz w:val="24"/>
          <w:szCs w:val="24"/>
        </w:rPr>
        <w:t>......</w:t>
      </w:r>
      <w:r w:rsidR="004560CB">
        <w:rPr>
          <w:color w:val="000000" w:themeColor="text1"/>
          <w:sz w:val="24"/>
          <w:szCs w:val="24"/>
        </w:rPr>
        <w:t>1</w:t>
      </w:r>
    </w:p>
    <w:p w14:paraId="3EDBAA2D" w14:textId="372F5B62" w:rsidR="00DF2A48" w:rsidRPr="00DF2A48" w:rsidRDefault="00DF2A48" w:rsidP="006F676B">
      <w:pPr>
        <w:pStyle w:val="p1"/>
        <w:spacing w:line="360" w:lineRule="auto"/>
        <w:ind w:firstLine="360"/>
        <w:jc w:val="right"/>
        <w:rPr>
          <w:color w:val="000000" w:themeColor="text1"/>
          <w:sz w:val="24"/>
          <w:szCs w:val="24"/>
        </w:rPr>
      </w:pPr>
      <w:r w:rsidRPr="00DF2A48">
        <w:rPr>
          <w:i/>
          <w:iCs/>
          <w:color w:val="000000" w:themeColor="text1"/>
          <w:sz w:val="24"/>
          <w:szCs w:val="24"/>
        </w:rPr>
        <w:t>Leptospira</w:t>
      </w:r>
      <w:r w:rsidRPr="00DF2A48">
        <w:rPr>
          <w:color w:val="000000" w:themeColor="text1"/>
          <w:sz w:val="24"/>
          <w:szCs w:val="24"/>
        </w:rPr>
        <w:t xml:space="preserve"> and </w:t>
      </w:r>
      <w:r w:rsidR="004560CB">
        <w:rPr>
          <w:color w:val="000000" w:themeColor="text1"/>
          <w:sz w:val="24"/>
          <w:szCs w:val="24"/>
        </w:rPr>
        <w:t>leptospirosis</w:t>
      </w:r>
      <w:r w:rsidR="00DE3CEC">
        <w:rPr>
          <w:color w:val="000000" w:themeColor="text1"/>
          <w:sz w:val="24"/>
          <w:szCs w:val="24"/>
        </w:rPr>
        <w:t>....................................................................................................</w:t>
      </w:r>
      <w:r w:rsidR="006F676B">
        <w:rPr>
          <w:color w:val="000000" w:themeColor="text1"/>
          <w:sz w:val="24"/>
          <w:szCs w:val="24"/>
        </w:rPr>
        <w:t>..1</w:t>
      </w:r>
    </w:p>
    <w:p w14:paraId="624C9F8B" w14:textId="6F3AE63C" w:rsidR="00DE3CEC" w:rsidRDefault="00DF2A48" w:rsidP="006F676B">
      <w:pPr>
        <w:pStyle w:val="p1"/>
        <w:spacing w:line="360" w:lineRule="auto"/>
        <w:ind w:firstLine="360"/>
        <w:jc w:val="right"/>
        <w:rPr>
          <w:color w:val="000000" w:themeColor="text1"/>
          <w:sz w:val="24"/>
          <w:szCs w:val="24"/>
        </w:rPr>
      </w:pPr>
      <w:r w:rsidRPr="00DF2A48">
        <w:rPr>
          <w:i/>
          <w:iCs/>
          <w:color w:val="000000" w:themeColor="text1"/>
          <w:sz w:val="24"/>
          <w:szCs w:val="24"/>
        </w:rPr>
        <w:t>Leptospira</w:t>
      </w:r>
      <w:r w:rsidRPr="00DF2A48">
        <w:rPr>
          <w:color w:val="000000" w:themeColor="text1"/>
          <w:sz w:val="24"/>
          <w:szCs w:val="24"/>
        </w:rPr>
        <w:t xml:space="preserve"> and metabolomics</w:t>
      </w:r>
      <w:r w:rsidR="00DE3CEC">
        <w:rPr>
          <w:color w:val="000000" w:themeColor="text1"/>
          <w:sz w:val="24"/>
          <w:szCs w:val="24"/>
        </w:rPr>
        <w:t>........................................</w:t>
      </w:r>
      <w:r w:rsidR="006F676B">
        <w:rPr>
          <w:color w:val="000000" w:themeColor="text1"/>
          <w:sz w:val="24"/>
          <w:szCs w:val="24"/>
        </w:rPr>
        <w:t>..</w:t>
      </w:r>
      <w:r w:rsidR="00DE3CEC">
        <w:rPr>
          <w:color w:val="000000" w:themeColor="text1"/>
          <w:sz w:val="24"/>
          <w:szCs w:val="24"/>
        </w:rPr>
        <w:t>..........................................................</w:t>
      </w:r>
      <w:r w:rsidR="006F676B">
        <w:rPr>
          <w:color w:val="000000" w:themeColor="text1"/>
          <w:sz w:val="24"/>
          <w:szCs w:val="24"/>
        </w:rPr>
        <w:t>2</w:t>
      </w:r>
    </w:p>
    <w:p w14:paraId="344A114E" w14:textId="536C8BEA" w:rsidR="00DF2A48" w:rsidRPr="00DF2A48" w:rsidRDefault="00DF2A48" w:rsidP="006F676B">
      <w:pPr>
        <w:pStyle w:val="p1"/>
        <w:spacing w:line="360" w:lineRule="auto"/>
        <w:ind w:firstLine="360"/>
        <w:jc w:val="right"/>
        <w:rPr>
          <w:color w:val="000000" w:themeColor="text1"/>
          <w:sz w:val="24"/>
          <w:szCs w:val="24"/>
        </w:rPr>
      </w:pPr>
      <w:r w:rsidRPr="00DF2A48">
        <w:rPr>
          <w:color w:val="000000" w:themeColor="text1"/>
          <w:sz w:val="24"/>
          <w:szCs w:val="24"/>
        </w:rPr>
        <w:t>Purpose of study and specific aim</w:t>
      </w:r>
      <w:r w:rsidR="00DE3CEC">
        <w:rPr>
          <w:color w:val="000000" w:themeColor="text1"/>
          <w:sz w:val="24"/>
          <w:szCs w:val="24"/>
        </w:rPr>
        <w:t>..................................</w:t>
      </w:r>
      <w:r w:rsidR="006F676B">
        <w:rPr>
          <w:color w:val="000000" w:themeColor="text1"/>
          <w:sz w:val="24"/>
          <w:szCs w:val="24"/>
        </w:rPr>
        <w:t>..</w:t>
      </w:r>
      <w:r w:rsidR="00DE3CEC">
        <w:rPr>
          <w:color w:val="000000" w:themeColor="text1"/>
          <w:sz w:val="24"/>
          <w:szCs w:val="24"/>
        </w:rPr>
        <w:t>.........................................................</w:t>
      </w:r>
      <w:r w:rsidR="004560CB">
        <w:rPr>
          <w:color w:val="000000" w:themeColor="text1"/>
          <w:sz w:val="24"/>
          <w:szCs w:val="24"/>
        </w:rPr>
        <w:t>3</w:t>
      </w:r>
    </w:p>
    <w:p w14:paraId="1886A066" w14:textId="76776EF5" w:rsidR="00DF2A48" w:rsidRPr="00DF2A48" w:rsidRDefault="00DF2A48" w:rsidP="00DE3CEC">
      <w:pPr>
        <w:pStyle w:val="p1"/>
        <w:spacing w:line="360" w:lineRule="auto"/>
        <w:jc w:val="right"/>
        <w:rPr>
          <w:color w:val="000000" w:themeColor="text1"/>
          <w:sz w:val="24"/>
          <w:szCs w:val="24"/>
        </w:rPr>
      </w:pPr>
      <w:r w:rsidRPr="00DF2A48">
        <w:rPr>
          <w:color w:val="000000" w:themeColor="text1"/>
          <w:sz w:val="24"/>
          <w:szCs w:val="24"/>
        </w:rPr>
        <w:t xml:space="preserve">Chapter </w:t>
      </w:r>
      <w:r w:rsidR="00444C63">
        <w:rPr>
          <w:color w:val="000000" w:themeColor="text1"/>
          <w:sz w:val="24"/>
          <w:szCs w:val="24"/>
        </w:rPr>
        <w:t>T</w:t>
      </w:r>
      <w:r w:rsidRPr="00DF2A48">
        <w:rPr>
          <w:color w:val="000000" w:themeColor="text1"/>
          <w:sz w:val="24"/>
          <w:szCs w:val="24"/>
        </w:rPr>
        <w:t>wo: Materials and Methods</w:t>
      </w:r>
      <w:r w:rsidR="00DE3CEC">
        <w:rPr>
          <w:color w:val="000000" w:themeColor="text1"/>
          <w:sz w:val="24"/>
          <w:szCs w:val="24"/>
        </w:rPr>
        <w:t>............................................................................................</w:t>
      </w:r>
      <w:r w:rsidR="006F676B">
        <w:rPr>
          <w:color w:val="000000" w:themeColor="text1"/>
          <w:sz w:val="24"/>
          <w:szCs w:val="24"/>
        </w:rPr>
        <w:t>5</w:t>
      </w:r>
    </w:p>
    <w:p w14:paraId="7FC43255" w14:textId="02C9E504" w:rsidR="00DF2A48" w:rsidRPr="00DF2A48" w:rsidRDefault="00DF2A48" w:rsidP="00DE3CEC">
      <w:pPr>
        <w:pStyle w:val="p1"/>
        <w:spacing w:line="360" w:lineRule="auto"/>
        <w:ind w:firstLine="360"/>
        <w:jc w:val="right"/>
        <w:rPr>
          <w:color w:val="000000" w:themeColor="text1"/>
          <w:sz w:val="24"/>
          <w:szCs w:val="24"/>
        </w:rPr>
      </w:pPr>
      <w:r w:rsidRPr="00DF2A48">
        <w:rPr>
          <w:color w:val="000000" w:themeColor="text1"/>
          <w:sz w:val="24"/>
          <w:szCs w:val="24"/>
        </w:rPr>
        <w:t>Sample Preparation</w:t>
      </w:r>
      <w:r w:rsidR="00880A2F">
        <w:rPr>
          <w:color w:val="000000" w:themeColor="text1"/>
          <w:sz w:val="24"/>
          <w:szCs w:val="24"/>
        </w:rPr>
        <w:t xml:space="preserve"> </w:t>
      </w:r>
      <w:r w:rsidR="00DE3CEC">
        <w:rPr>
          <w:color w:val="000000" w:themeColor="text1"/>
          <w:sz w:val="24"/>
          <w:szCs w:val="24"/>
        </w:rPr>
        <w:t>................................................</w:t>
      </w:r>
      <w:r w:rsidR="006F676B">
        <w:rPr>
          <w:color w:val="000000" w:themeColor="text1"/>
          <w:sz w:val="24"/>
          <w:szCs w:val="24"/>
        </w:rPr>
        <w:t>..</w:t>
      </w:r>
      <w:r w:rsidR="00DE3CEC">
        <w:rPr>
          <w:color w:val="000000" w:themeColor="text1"/>
          <w:sz w:val="24"/>
          <w:szCs w:val="24"/>
        </w:rPr>
        <w:t>.................................................................</w:t>
      </w:r>
      <w:r w:rsidR="006F676B">
        <w:rPr>
          <w:color w:val="000000" w:themeColor="text1"/>
          <w:sz w:val="24"/>
          <w:szCs w:val="24"/>
        </w:rPr>
        <w:t>5</w:t>
      </w:r>
    </w:p>
    <w:p w14:paraId="24CBD972" w14:textId="00B0D312" w:rsidR="00DF2A48" w:rsidRPr="00DF2A48" w:rsidRDefault="00DF2A48" w:rsidP="00DE3CEC">
      <w:pPr>
        <w:pStyle w:val="p1"/>
        <w:spacing w:line="360" w:lineRule="auto"/>
        <w:ind w:firstLine="360"/>
        <w:jc w:val="right"/>
        <w:rPr>
          <w:color w:val="000000" w:themeColor="text1"/>
          <w:sz w:val="24"/>
          <w:szCs w:val="24"/>
        </w:rPr>
      </w:pPr>
      <w:r w:rsidRPr="00DF2A48">
        <w:rPr>
          <w:color w:val="000000" w:themeColor="text1"/>
          <w:sz w:val="24"/>
          <w:szCs w:val="24"/>
        </w:rPr>
        <w:t>Metabolomic extraction</w:t>
      </w:r>
      <w:r w:rsidR="00DE3CEC">
        <w:rPr>
          <w:color w:val="000000" w:themeColor="text1"/>
          <w:sz w:val="24"/>
          <w:szCs w:val="24"/>
        </w:rPr>
        <w:t>..........................................</w:t>
      </w:r>
      <w:r w:rsidR="006F676B">
        <w:rPr>
          <w:color w:val="000000" w:themeColor="text1"/>
          <w:sz w:val="24"/>
          <w:szCs w:val="24"/>
        </w:rPr>
        <w:t>...</w:t>
      </w:r>
      <w:r w:rsidR="00DE3CEC">
        <w:rPr>
          <w:color w:val="000000" w:themeColor="text1"/>
          <w:sz w:val="24"/>
          <w:szCs w:val="24"/>
        </w:rPr>
        <w:t>................................................................</w:t>
      </w:r>
      <w:r w:rsidR="006F676B">
        <w:rPr>
          <w:color w:val="000000" w:themeColor="text1"/>
          <w:sz w:val="24"/>
          <w:szCs w:val="24"/>
        </w:rPr>
        <w:t>5</w:t>
      </w:r>
    </w:p>
    <w:p w14:paraId="3B61B9EA" w14:textId="52D5A751" w:rsidR="00DF2A48" w:rsidRPr="00DF2A48" w:rsidRDefault="00DF2A48" w:rsidP="00DE3CEC">
      <w:pPr>
        <w:pStyle w:val="p1"/>
        <w:spacing w:line="360" w:lineRule="auto"/>
        <w:ind w:firstLine="360"/>
        <w:jc w:val="right"/>
        <w:rPr>
          <w:color w:val="000000" w:themeColor="text1"/>
          <w:sz w:val="24"/>
          <w:szCs w:val="24"/>
        </w:rPr>
      </w:pPr>
      <w:r w:rsidRPr="00DF2A48">
        <w:rPr>
          <w:color w:val="000000" w:themeColor="text1"/>
          <w:sz w:val="24"/>
          <w:szCs w:val="24"/>
        </w:rPr>
        <w:t>Metabolomic data acquisition</w:t>
      </w:r>
      <w:r w:rsidR="00DE3CEC">
        <w:rPr>
          <w:color w:val="000000" w:themeColor="text1"/>
          <w:sz w:val="24"/>
          <w:szCs w:val="24"/>
        </w:rPr>
        <w:t>..........................</w:t>
      </w:r>
      <w:r w:rsidR="006F676B">
        <w:rPr>
          <w:color w:val="000000" w:themeColor="text1"/>
          <w:sz w:val="24"/>
          <w:szCs w:val="24"/>
        </w:rPr>
        <w:t>..</w:t>
      </w:r>
      <w:r w:rsidR="00DE3CEC">
        <w:rPr>
          <w:color w:val="000000" w:themeColor="text1"/>
          <w:sz w:val="24"/>
          <w:szCs w:val="24"/>
        </w:rPr>
        <w:t>........................................................................</w:t>
      </w:r>
      <w:r w:rsidR="006F676B">
        <w:rPr>
          <w:color w:val="000000" w:themeColor="text1"/>
          <w:sz w:val="24"/>
          <w:szCs w:val="24"/>
        </w:rPr>
        <w:t>6</w:t>
      </w:r>
    </w:p>
    <w:p w14:paraId="2F261522" w14:textId="066FF04E" w:rsidR="00DF2A48" w:rsidRDefault="00DF2A48" w:rsidP="00DE3CEC">
      <w:pPr>
        <w:pStyle w:val="p1"/>
        <w:spacing w:line="360" w:lineRule="auto"/>
        <w:ind w:firstLine="360"/>
        <w:jc w:val="right"/>
        <w:rPr>
          <w:color w:val="000000" w:themeColor="text1"/>
          <w:sz w:val="24"/>
          <w:szCs w:val="24"/>
        </w:rPr>
      </w:pPr>
      <w:r w:rsidRPr="00DF2A48">
        <w:rPr>
          <w:color w:val="000000" w:themeColor="text1"/>
          <w:sz w:val="24"/>
          <w:szCs w:val="24"/>
        </w:rPr>
        <w:t>Metabolomics data processing</w:t>
      </w:r>
      <w:r w:rsidR="00880A2F">
        <w:rPr>
          <w:color w:val="000000" w:themeColor="text1"/>
          <w:sz w:val="24"/>
          <w:szCs w:val="24"/>
        </w:rPr>
        <w:t xml:space="preserve"> </w:t>
      </w:r>
      <w:r w:rsidR="00DE3CEC">
        <w:rPr>
          <w:color w:val="000000" w:themeColor="text1"/>
          <w:sz w:val="24"/>
          <w:szCs w:val="24"/>
        </w:rPr>
        <w:t>......................</w:t>
      </w:r>
      <w:r w:rsidR="006F676B">
        <w:rPr>
          <w:color w:val="000000" w:themeColor="text1"/>
          <w:sz w:val="24"/>
          <w:szCs w:val="24"/>
        </w:rPr>
        <w:t>..</w:t>
      </w:r>
      <w:r w:rsidR="00DE3CEC">
        <w:rPr>
          <w:color w:val="000000" w:themeColor="text1"/>
          <w:sz w:val="24"/>
          <w:szCs w:val="24"/>
        </w:rPr>
        <w:t>..........................................................................</w:t>
      </w:r>
      <w:r w:rsidR="006F676B">
        <w:rPr>
          <w:color w:val="000000" w:themeColor="text1"/>
          <w:sz w:val="24"/>
          <w:szCs w:val="24"/>
        </w:rPr>
        <w:t>6</w:t>
      </w:r>
    </w:p>
    <w:p w14:paraId="608291C3" w14:textId="7868655F" w:rsidR="006F676B" w:rsidRPr="00DF2A48" w:rsidRDefault="006F676B" w:rsidP="00DE3CEC">
      <w:pPr>
        <w:pStyle w:val="p1"/>
        <w:spacing w:line="360" w:lineRule="auto"/>
        <w:ind w:firstLine="360"/>
        <w:jc w:val="right"/>
        <w:rPr>
          <w:color w:val="000000" w:themeColor="text1"/>
          <w:sz w:val="24"/>
          <w:szCs w:val="24"/>
        </w:rPr>
      </w:pPr>
      <w:r>
        <w:rPr>
          <w:color w:val="000000" w:themeColor="text1"/>
          <w:sz w:val="24"/>
          <w:szCs w:val="24"/>
        </w:rPr>
        <w:t>Handling missing values............................................................................................................6</w:t>
      </w:r>
    </w:p>
    <w:p w14:paraId="63058BFF" w14:textId="2840042D" w:rsidR="00DF2A48" w:rsidRPr="00DF2A48" w:rsidRDefault="00DF2A48" w:rsidP="00DE3CEC">
      <w:pPr>
        <w:pStyle w:val="p1"/>
        <w:spacing w:line="360" w:lineRule="auto"/>
        <w:ind w:firstLine="360"/>
        <w:jc w:val="right"/>
        <w:rPr>
          <w:color w:val="000000" w:themeColor="text1"/>
          <w:sz w:val="24"/>
          <w:szCs w:val="24"/>
        </w:rPr>
      </w:pPr>
      <w:r w:rsidRPr="00DF2A48">
        <w:rPr>
          <w:color w:val="000000" w:themeColor="text1"/>
          <w:sz w:val="24"/>
          <w:szCs w:val="24"/>
        </w:rPr>
        <w:t xml:space="preserve">Statistical </w:t>
      </w:r>
      <w:r w:rsidR="00880A2F" w:rsidRPr="00DF2A48">
        <w:rPr>
          <w:color w:val="000000" w:themeColor="text1"/>
          <w:sz w:val="24"/>
          <w:szCs w:val="24"/>
        </w:rPr>
        <w:t>analysis</w:t>
      </w:r>
      <w:r w:rsidR="00DE3CEC">
        <w:rPr>
          <w:color w:val="000000" w:themeColor="text1"/>
          <w:sz w:val="24"/>
          <w:szCs w:val="24"/>
        </w:rPr>
        <w:t>....................................................................................................................</w:t>
      </w:r>
      <w:r w:rsidR="000B2EA0">
        <w:rPr>
          <w:color w:val="000000" w:themeColor="text1"/>
          <w:sz w:val="24"/>
          <w:szCs w:val="24"/>
        </w:rPr>
        <w:t>..7</w:t>
      </w:r>
    </w:p>
    <w:p w14:paraId="66D89CE3" w14:textId="03C8E926" w:rsidR="00DF2A48" w:rsidRPr="00DF2A48" w:rsidRDefault="00DF2A48" w:rsidP="00DE3CEC">
      <w:pPr>
        <w:pStyle w:val="p1"/>
        <w:spacing w:line="360" w:lineRule="auto"/>
        <w:ind w:firstLine="720"/>
        <w:jc w:val="right"/>
        <w:rPr>
          <w:color w:val="000000" w:themeColor="text1"/>
          <w:sz w:val="24"/>
          <w:szCs w:val="24"/>
        </w:rPr>
      </w:pPr>
      <w:r w:rsidRPr="00DF2A48">
        <w:rPr>
          <w:color w:val="000000" w:themeColor="text1"/>
          <w:sz w:val="24"/>
          <w:szCs w:val="24"/>
        </w:rPr>
        <w:t>Random Forest analysis</w:t>
      </w:r>
      <w:r w:rsidR="00DE3CEC">
        <w:rPr>
          <w:color w:val="000000" w:themeColor="text1"/>
          <w:sz w:val="24"/>
          <w:szCs w:val="24"/>
        </w:rPr>
        <w:t>.........................................................................................</w:t>
      </w:r>
      <w:r w:rsidR="000B2EA0">
        <w:rPr>
          <w:color w:val="000000" w:themeColor="text1"/>
          <w:sz w:val="24"/>
          <w:szCs w:val="24"/>
        </w:rPr>
        <w:t>..</w:t>
      </w:r>
      <w:r w:rsidR="00DE3CEC">
        <w:rPr>
          <w:color w:val="000000" w:themeColor="text1"/>
          <w:sz w:val="24"/>
          <w:szCs w:val="24"/>
        </w:rPr>
        <w:t>............</w:t>
      </w:r>
      <w:r w:rsidR="000B2EA0">
        <w:rPr>
          <w:color w:val="000000" w:themeColor="text1"/>
          <w:sz w:val="24"/>
          <w:szCs w:val="24"/>
        </w:rPr>
        <w:t>7</w:t>
      </w:r>
    </w:p>
    <w:p w14:paraId="1F0795D8" w14:textId="41237073" w:rsidR="00DF2A48" w:rsidRPr="00DF2A48" w:rsidRDefault="00DF2A48" w:rsidP="00DE3CEC">
      <w:pPr>
        <w:pStyle w:val="p1"/>
        <w:spacing w:line="360" w:lineRule="auto"/>
        <w:ind w:firstLine="720"/>
        <w:jc w:val="right"/>
        <w:rPr>
          <w:color w:val="000000" w:themeColor="text1"/>
          <w:sz w:val="24"/>
          <w:szCs w:val="24"/>
        </w:rPr>
      </w:pPr>
      <w:r w:rsidRPr="00DF2A48">
        <w:rPr>
          <w:color w:val="000000" w:themeColor="text1"/>
          <w:sz w:val="24"/>
          <w:szCs w:val="24"/>
        </w:rPr>
        <w:t>PLS-DA</w:t>
      </w:r>
      <w:r w:rsidR="00DE3CEC">
        <w:rPr>
          <w:color w:val="000000" w:themeColor="text1"/>
          <w:sz w:val="24"/>
          <w:szCs w:val="24"/>
        </w:rPr>
        <w:t xml:space="preserve"> ............................................................................................................................</w:t>
      </w:r>
      <w:r w:rsidR="000B2EA0">
        <w:rPr>
          <w:color w:val="000000" w:themeColor="text1"/>
          <w:sz w:val="24"/>
          <w:szCs w:val="24"/>
        </w:rPr>
        <w:t>..7</w:t>
      </w:r>
    </w:p>
    <w:p w14:paraId="010C5019" w14:textId="10A119C8" w:rsidR="00DF2A48" w:rsidRPr="00DF2A48" w:rsidRDefault="00DF2A48" w:rsidP="00DE3CEC">
      <w:pPr>
        <w:pStyle w:val="p1"/>
        <w:spacing w:line="360" w:lineRule="auto"/>
        <w:ind w:firstLine="720"/>
        <w:jc w:val="right"/>
        <w:rPr>
          <w:color w:val="000000" w:themeColor="text1"/>
          <w:sz w:val="24"/>
          <w:szCs w:val="24"/>
        </w:rPr>
      </w:pPr>
      <w:r w:rsidRPr="00DF2A48">
        <w:rPr>
          <w:color w:val="000000" w:themeColor="text1"/>
          <w:sz w:val="24"/>
          <w:szCs w:val="24"/>
        </w:rPr>
        <w:t>VIP Score Plot</w:t>
      </w:r>
      <w:r w:rsidR="00DE3CEC">
        <w:rPr>
          <w:color w:val="000000" w:themeColor="text1"/>
          <w:sz w:val="24"/>
          <w:szCs w:val="24"/>
        </w:rPr>
        <w:t xml:space="preserve"> ...................................................................................................................</w:t>
      </w:r>
      <w:r w:rsidR="000B2EA0">
        <w:rPr>
          <w:color w:val="000000" w:themeColor="text1"/>
          <w:sz w:val="24"/>
          <w:szCs w:val="24"/>
        </w:rPr>
        <w:t>..</w:t>
      </w:r>
      <w:r w:rsidR="004560CB">
        <w:rPr>
          <w:color w:val="000000" w:themeColor="text1"/>
          <w:sz w:val="24"/>
          <w:szCs w:val="24"/>
        </w:rPr>
        <w:t>7</w:t>
      </w:r>
    </w:p>
    <w:p w14:paraId="50696D47" w14:textId="4A9E761F" w:rsidR="00DF2A48" w:rsidRPr="00DF2A48" w:rsidRDefault="00DF2A48" w:rsidP="00DE3CEC">
      <w:pPr>
        <w:pStyle w:val="p1"/>
        <w:spacing w:line="360" w:lineRule="auto"/>
        <w:ind w:firstLine="720"/>
        <w:jc w:val="right"/>
        <w:rPr>
          <w:color w:val="000000" w:themeColor="text1"/>
          <w:sz w:val="24"/>
          <w:szCs w:val="24"/>
        </w:rPr>
      </w:pPr>
      <w:r w:rsidRPr="00DF2A48">
        <w:rPr>
          <w:color w:val="000000" w:themeColor="text1"/>
          <w:sz w:val="24"/>
          <w:szCs w:val="24"/>
        </w:rPr>
        <w:t>Volcano Plot</w:t>
      </w:r>
      <w:r w:rsidR="00DE3CEC">
        <w:rPr>
          <w:color w:val="000000" w:themeColor="text1"/>
          <w:sz w:val="24"/>
          <w:szCs w:val="24"/>
        </w:rPr>
        <w:t>......................................................................</w:t>
      </w:r>
      <w:r w:rsidR="000B2EA0">
        <w:rPr>
          <w:color w:val="000000" w:themeColor="text1"/>
          <w:sz w:val="24"/>
          <w:szCs w:val="24"/>
        </w:rPr>
        <w:t>.</w:t>
      </w:r>
      <w:r w:rsidR="00DE3CEC">
        <w:rPr>
          <w:color w:val="000000" w:themeColor="text1"/>
          <w:sz w:val="24"/>
          <w:szCs w:val="24"/>
        </w:rPr>
        <w:t>.................................................</w:t>
      </w:r>
      <w:r w:rsidR="000B2EA0">
        <w:rPr>
          <w:color w:val="000000" w:themeColor="text1"/>
          <w:sz w:val="24"/>
          <w:szCs w:val="24"/>
        </w:rPr>
        <w:t>.8</w:t>
      </w:r>
    </w:p>
    <w:p w14:paraId="77921E59" w14:textId="61663F2A" w:rsidR="00DF2A48" w:rsidRPr="00DF2A48" w:rsidRDefault="00DF2A48" w:rsidP="00DE3CEC">
      <w:pPr>
        <w:pStyle w:val="p1"/>
        <w:spacing w:line="360" w:lineRule="auto"/>
        <w:jc w:val="right"/>
        <w:rPr>
          <w:color w:val="000000" w:themeColor="text1"/>
          <w:sz w:val="24"/>
          <w:szCs w:val="24"/>
        </w:rPr>
      </w:pPr>
      <w:r w:rsidRPr="00DF2A48">
        <w:rPr>
          <w:color w:val="000000" w:themeColor="text1"/>
          <w:sz w:val="24"/>
          <w:szCs w:val="24"/>
        </w:rPr>
        <w:t>Chapter Three: Results</w:t>
      </w:r>
      <w:r w:rsidR="00B27434">
        <w:rPr>
          <w:color w:val="000000" w:themeColor="text1"/>
          <w:sz w:val="24"/>
          <w:szCs w:val="24"/>
        </w:rPr>
        <w:t xml:space="preserve"> and Analysis</w:t>
      </w:r>
      <w:r w:rsidR="00DE3CEC">
        <w:rPr>
          <w:color w:val="000000" w:themeColor="text1"/>
          <w:sz w:val="24"/>
          <w:szCs w:val="24"/>
        </w:rPr>
        <w:t>.............................................................................................</w:t>
      </w:r>
      <w:r w:rsidR="000B2EA0">
        <w:rPr>
          <w:color w:val="000000" w:themeColor="text1"/>
          <w:sz w:val="24"/>
          <w:szCs w:val="24"/>
        </w:rPr>
        <w:t>..9</w:t>
      </w:r>
    </w:p>
    <w:p w14:paraId="3BA334AB" w14:textId="7D12BCEF" w:rsidR="00DF2A48" w:rsidRPr="00DF2A48" w:rsidRDefault="00DF2A48" w:rsidP="00DE3CEC">
      <w:pPr>
        <w:pStyle w:val="p1"/>
        <w:spacing w:line="360" w:lineRule="auto"/>
        <w:jc w:val="right"/>
        <w:rPr>
          <w:color w:val="000000" w:themeColor="text1"/>
          <w:sz w:val="24"/>
          <w:szCs w:val="24"/>
        </w:rPr>
      </w:pPr>
      <w:r w:rsidRPr="00DF2A48">
        <w:rPr>
          <w:color w:val="000000" w:themeColor="text1"/>
          <w:sz w:val="24"/>
          <w:szCs w:val="24"/>
        </w:rPr>
        <w:t>Chapter Four: Discussion</w:t>
      </w:r>
      <w:r w:rsidR="007D322C">
        <w:rPr>
          <w:color w:val="000000" w:themeColor="text1"/>
          <w:sz w:val="24"/>
          <w:szCs w:val="24"/>
        </w:rPr>
        <w:t>.......................</w:t>
      </w:r>
      <w:r w:rsidRPr="00DF2A48">
        <w:rPr>
          <w:color w:val="000000" w:themeColor="text1"/>
          <w:sz w:val="24"/>
          <w:szCs w:val="24"/>
        </w:rPr>
        <w:t>......</w:t>
      </w:r>
      <w:r w:rsidR="00880A2F">
        <w:rPr>
          <w:color w:val="000000" w:themeColor="text1"/>
          <w:sz w:val="24"/>
          <w:szCs w:val="24"/>
        </w:rPr>
        <w:t>..</w:t>
      </w:r>
      <w:r w:rsidRPr="00DF2A48">
        <w:rPr>
          <w:color w:val="000000" w:themeColor="text1"/>
          <w:sz w:val="24"/>
          <w:szCs w:val="24"/>
        </w:rPr>
        <w:t>.................................................</w:t>
      </w:r>
      <w:r w:rsidR="00DE3CEC">
        <w:rPr>
          <w:color w:val="000000" w:themeColor="text1"/>
          <w:sz w:val="24"/>
          <w:szCs w:val="24"/>
        </w:rPr>
        <w:t>.</w:t>
      </w:r>
      <w:r w:rsidRPr="00DF2A48">
        <w:rPr>
          <w:color w:val="000000" w:themeColor="text1"/>
          <w:sz w:val="24"/>
          <w:szCs w:val="24"/>
        </w:rPr>
        <w:t>..............................</w:t>
      </w:r>
      <w:r w:rsidR="004560CB">
        <w:rPr>
          <w:color w:val="000000" w:themeColor="text1"/>
          <w:sz w:val="24"/>
          <w:szCs w:val="24"/>
        </w:rPr>
        <w:t>8</w:t>
      </w:r>
      <w:r w:rsidR="007512C7">
        <w:rPr>
          <w:color w:val="000000" w:themeColor="text1"/>
          <w:sz w:val="24"/>
          <w:szCs w:val="24"/>
        </w:rPr>
        <w:t>4</w:t>
      </w:r>
    </w:p>
    <w:p w14:paraId="7F285304" w14:textId="4F9B06D2" w:rsidR="00DF2A48" w:rsidRPr="00DF2A48" w:rsidRDefault="00DF2A48" w:rsidP="00DE3CEC">
      <w:pPr>
        <w:pStyle w:val="p1"/>
        <w:spacing w:line="360" w:lineRule="auto"/>
        <w:jc w:val="right"/>
        <w:rPr>
          <w:color w:val="000000" w:themeColor="text1"/>
          <w:sz w:val="24"/>
          <w:szCs w:val="24"/>
        </w:rPr>
      </w:pPr>
      <w:r w:rsidRPr="00DF2A48">
        <w:rPr>
          <w:color w:val="000000" w:themeColor="text1"/>
          <w:sz w:val="24"/>
          <w:szCs w:val="24"/>
        </w:rPr>
        <w:t>References</w:t>
      </w:r>
      <w:r w:rsidR="00DE3CEC">
        <w:rPr>
          <w:color w:val="000000" w:themeColor="text1"/>
          <w:sz w:val="24"/>
          <w:szCs w:val="24"/>
        </w:rPr>
        <w:t>......................................................................................................................................</w:t>
      </w:r>
      <w:r w:rsidR="007512C7">
        <w:rPr>
          <w:color w:val="000000" w:themeColor="text1"/>
          <w:sz w:val="24"/>
          <w:szCs w:val="24"/>
        </w:rPr>
        <w:t>87</w:t>
      </w:r>
    </w:p>
    <w:p w14:paraId="4905CAEC" w14:textId="404E1DFD" w:rsidR="00DF2A48" w:rsidRPr="00DF2A48" w:rsidRDefault="00DF2A48" w:rsidP="00DE3CEC">
      <w:pPr>
        <w:pStyle w:val="p1"/>
        <w:spacing w:line="360" w:lineRule="auto"/>
        <w:jc w:val="right"/>
        <w:rPr>
          <w:color w:val="000000" w:themeColor="text1"/>
          <w:sz w:val="24"/>
          <w:szCs w:val="24"/>
        </w:rPr>
      </w:pPr>
      <w:r w:rsidRPr="00DF2A48">
        <w:rPr>
          <w:color w:val="000000" w:themeColor="text1"/>
          <w:sz w:val="24"/>
          <w:szCs w:val="24"/>
        </w:rPr>
        <w:t>Vita</w:t>
      </w:r>
      <w:r w:rsidR="00DE3CEC">
        <w:rPr>
          <w:color w:val="000000" w:themeColor="text1"/>
          <w:sz w:val="24"/>
          <w:szCs w:val="24"/>
        </w:rPr>
        <w:t>...............................................................................................................................................</w:t>
      </w:r>
      <w:r w:rsidR="007512C7">
        <w:rPr>
          <w:color w:val="000000" w:themeColor="text1"/>
          <w:sz w:val="24"/>
          <w:szCs w:val="24"/>
        </w:rPr>
        <w:t>..97</w:t>
      </w:r>
    </w:p>
    <w:p w14:paraId="7E468CFB" w14:textId="77777777" w:rsidR="00DF2A48" w:rsidRPr="00DF2A48" w:rsidRDefault="00DF2A48" w:rsidP="00DE3CEC">
      <w:pPr>
        <w:pStyle w:val="p1"/>
        <w:spacing w:line="360" w:lineRule="auto"/>
        <w:rPr>
          <w:color w:val="000000" w:themeColor="text1"/>
          <w:sz w:val="24"/>
          <w:szCs w:val="24"/>
        </w:rPr>
      </w:pPr>
    </w:p>
    <w:p w14:paraId="739B83CC" w14:textId="77777777" w:rsidR="00DF2A48" w:rsidRPr="00DF2A48" w:rsidRDefault="00DF2A48" w:rsidP="00DF2A48">
      <w:pPr>
        <w:spacing w:line="360" w:lineRule="auto"/>
        <w:rPr>
          <w:color w:val="000000" w:themeColor="text1"/>
        </w:rPr>
      </w:pPr>
    </w:p>
    <w:p w14:paraId="301C2AA9" w14:textId="77777777" w:rsidR="00DF2A48" w:rsidRPr="00DF2A48" w:rsidRDefault="00DF2A48" w:rsidP="00DF2A48">
      <w:pPr>
        <w:spacing w:line="360" w:lineRule="auto"/>
        <w:rPr>
          <w:color w:val="000000" w:themeColor="text1"/>
        </w:rPr>
      </w:pPr>
      <w:r w:rsidRPr="00DF2A48">
        <w:rPr>
          <w:color w:val="000000" w:themeColor="text1"/>
        </w:rPr>
        <w:br w:type="page"/>
      </w:r>
    </w:p>
    <w:p w14:paraId="439D717B" w14:textId="67821F17" w:rsidR="00DF2A48" w:rsidRPr="00DF2A48" w:rsidRDefault="00DF2A48" w:rsidP="00880A2F">
      <w:pPr>
        <w:spacing w:line="360" w:lineRule="auto"/>
        <w:jc w:val="center"/>
        <w:rPr>
          <w:b/>
          <w:bCs/>
          <w:color w:val="000000" w:themeColor="text1"/>
        </w:rPr>
      </w:pPr>
      <w:r w:rsidRPr="00DF2A48">
        <w:rPr>
          <w:b/>
          <w:bCs/>
          <w:color w:val="000000" w:themeColor="text1"/>
        </w:rPr>
        <w:lastRenderedPageBreak/>
        <w:t>List of Tables</w:t>
      </w:r>
    </w:p>
    <w:p w14:paraId="0A175E98" w14:textId="03E1CEDE" w:rsidR="00DF2A48" w:rsidRPr="00DF2A48" w:rsidRDefault="00DF2A48" w:rsidP="001301EA">
      <w:pPr>
        <w:spacing w:line="360" w:lineRule="auto"/>
        <w:jc w:val="right"/>
        <w:rPr>
          <w:color w:val="000000" w:themeColor="text1"/>
        </w:rPr>
      </w:pPr>
      <w:r w:rsidRPr="00DF2A48">
        <w:rPr>
          <w:color w:val="000000" w:themeColor="text1"/>
        </w:rPr>
        <w:t>Table 1: Overview of comparisons between individual sample fractions</w:t>
      </w:r>
      <w:r w:rsidR="00880A2F">
        <w:rPr>
          <w:color w:val="000000" w:themeColor="text1"/>
        </w:rPr>
        <w:t>.....................................</w:t>
      </w:r>
      <w:r w:rsidR="007512C7">
        <w:rPr>
          <w:color w:val="000000" w:themeColor="text1"/>
        </w:rPr>
        <w:t>2</w:t>
      </w:r>
      <w:r w:rsidR="00880A2F">
        <w:rPr>
          <w:color w:val="000000" w:themeColor="text1"/>
        </w:rPr>
        <w:t>0</w:t>
      </w:r>
    </w:p>
    <w:p w14:paraId="3D9497B4" w14:textId="4131D095" w:rsidR="00DF2A48" w:rsidRPr="00DF2A48" w:rsidRDefault="00DF2A48" w:rsidP="001301EA">
      <w:pPr>
        <w:spacing w:line="360" w:lineRule="auto"/>
        <w:jc w:val="right"/>
        <w:rPr>
          <w:color w:val="000000" w:themeColor="text1"/>
        </w:rPr>
      </w:pPr>
      <w:r w:rsidRPr="00DF2A48">
        <w:rPr>
          <w:color w:val="000000" w:themeColor="text1"/>
        </w:rPr>
        <w:t>Table 2: Overview of cross compariso</w:t>
      </w:r>
      <w:r w:rsidR="00880A2F">
        <w:rPr>
          <w:color w:val="000000" w:themeColor="text1"/>
        </w:rPr>
        <w:t>n .......................................................................................</w:t>
      </w:r>
      <w:r w:rsidR="007512C7">
        <w:rPr>
          <w:color w:val="000000" w:themeColor="text1"/>
        </w:rPr>
        <w:t>5</w:t>
      </w:r>
      <w:r w:rsidR="00880A2F">
        <w:rPr>
          <w:color w:val="000000" w:themeColor="text1"/>
        </w:rPr>
        <w:t>6</w:t>
      </w:r>
    </w:p>
    <w:p w14:paraId="088CADDC" w14:textId="54C9D67B" w:rsidR="00DF2A48" w:rsidRPr="00DF2A48" w:rsidRDefault="00DF2A48" w:rsidP="001301EA">
      <w:pPr>
        <w:spacing w:line="360" w:lineRule="auto"/>
        <w:jc w:val="right"/>
        <w:rPr>
          <w:color w:val="000000" w:themeColor="text1"/>
        </w:rPr>
      </w:pPr>
      <w:r w:rsidRPr="00DF2A48">
        <w:rPr>
          <w:color w:val="000000" w:themeColor="text1"/>
        </w:rPr>
        <w:t>Table 3: Overview of integrated comparisons</w:t>
      </w:r>
      <w:r w:rsidR="00880A2F">
        <w:rPr>
          <w:color w:val="000000" w:themeColor="text1"/>
        </w:rPr>
        <w:t>...............................................................................7</w:t>
      </w:r>
      <w:r w:rsidR="007512C7">
        <w:rPr>
          <w:color w:val="000000" w:themeColor="text1"/>
        </w:rPr>
        <w:t>0</w:t>
      </w:r>
    </w:p>
    <w:p w14:paraId="17F67FC1" w14:textId="77777777" w:rsidR="00DF2A48" w:rsidRPr="00DF2A48" w:rsidRDefault="00DF2A48" w:rsidP="001301EA">
      <w:pPr>
        <w:spacing w:line="360" w:lineRule="auto"/>
        <w:jc w:val="right"/>
        <w:rPr>
          <w:color w:val="000000" w:themeColor="text1"/>
        </w:rPr>
      </w:pPr>
      <w:r w:rsidRPr="00DF2A48">
        <w:rPr>
          <w:color w:val="000000" w:themeColor="text1"/>
        </w:rPr>
        <w:br w:type="page"/>
      </w:r>
    </w:p>
    <w:p w14:paraId="668FD6BE" w14:textId="05EFA899" w:rsidR="00DF2A48" w:rsidRPr="00DF2A48" w:rsidRDefault="00DF2A48" w:rsidP="00444C63">
      <w:pPr>
        <w:spacing w:line="360" w:lineRule="auto"/>
        <w:jc w:val="center"/>
        <w:rPr>
          <w:b/>
          <w:bCs/>
          <w:color w:val="000000" w:themeColor="text1"/>
        </w:rPr>
      </w:pPr>
      <w:r w:rsidRPr="00DF2A48">
        <w:rPr>
          <w:b/>
          <w:bCs/>
          <w:color w:val="000000" w:themeColor="text1"/>
        </w:rPr>
        <w:lastRenderedPageBreak/>
        <w:t>List of Figures</w:t>
      </w:r>
    </w:p>
    <w:p w14:paraId="372E29BD" w14:textId="19BFD076" w:rsidR="00DF2A48" w:rsidRPr="00DF2A48" w:rsidRDefault="00DF2A48" w:rsidP="001301EA">
      <w:pPr>
        <w:spacing w:line="360" w:lineRule="auto"/>
        <w:jc w:val="both"/>
        <w:rPr>
          <w:color w:val="000000" w:themeColor="text1"/>
        </w:rPr>
      </w:pPr>
      <w:r w:rsidRPr="00DF2A48">
        <w:rPr>
          <w:color w:val="000000" w:themeColor="text1"/>
        </w:rPr>
        <w:t>Figure 1: Heatmap for pellet EMJH (in house) media at 28℃ and 37℃</w:t>
      </w:r>
      <w:r w:rsidR="00EF72A6">
        <w:rPr>
          <w:color w:val="000000" w:themeColor="text1"/>
        </w:rPr>
        <w:t>........................................</w:t>
      </w:r>
      <w:r w:rsidR="00161151">
        <w:rPr>
          <w:color w:val="000000" w:themeColor="text1"/>
        </w:rPr>
        <w:t>11</w:t>
      </w:r>
      <w:r w:rsidRPr="00DF2A48">
        <w:rPr>
          <w:color w:val="000000" w:themeColor="text1"/>
        </w:rPr>
        <w:t xml:space="preserve"> </w:t>
      </w:r>
    </w:p>
    <w:p w14:paraId="01041506" w14:textId="7AD17789" w:rsidR="00DF2A48" w:rsidRPr="00DF2A48" w:rsidRDefault="00DF2A48" w:rsidP="001301EA">
      <w:pPr>
        <w:spacing w:line="360" w:lineRule="auto"/>
        <w:jc w:val="both"/>
        <w:rPr>
          <w:color w:val="000000" w:themeColor="text1"/>
        </w:rPr>
      </w:pPr>
      <w:r w:rsidRPr="00DF2A48">
        <w:rPr>
          <w:color w:val="000000" w:themeColor="text1"/>
        </w:rPr>
        <w:t>Figure 2: PLS-DA</w:t>
      </w:r>
      <w:r w:rsidR="00C87740">
        <w:rPr>
          <w:color w:val="000000" w:themeColor="text1"/>
        </w:rPr>
        <w:t xml:space="preserve"> </w:t>
      </w:r>
      <w:r w:rsidRPr="00DF2A48">
        <w:rPr>
          <w:color w:val="000000" w:themeColor="text1"/>
        </w:rPr>
        <w:t>for pellet EMJH (in house) media at 28℃ and 37℃</w:t>
      </w:r>
      <w:r w:rsidR="00BF10CB">
        <w:rPr>
          <w:color w:val="000000" w:themeColor="text1"/>
        </w:rPr>
        <w:t>.........................................</w:t>
      </w:r>
      <w:r w:rsidR="00161151">
        <w:rPr>
          <w:color w:val="000000" w:themeColor="text1"/>
        </w:rPr>
        <w:t>1</w:t>
      </w:r>
      <w:r w:rsidR="00BF10CB">
        <w:rPr>
          <w:color w:val="000000" w:themeColor="text1"/>
        </w:rPr>
        <w:t>2</w:t>
      </w:r>
      <w:r w:rsidRPr="00DF2A48">
        <w:rPr>
          <w:color w:val="000000" w:themeColor="text1"/>
        </w:rPr>
        <w:t xml:space="preserve"> </w:t>
      </w:r>
    </w:p>
    <w:p w14:paraId="14A74719" w14:textId="663D0A76" w:rsidR="00DF2A48" w:rsidRPr="00DF2A48" w:rsidRDefault="00DF2A48" w:rsidP="001301EA">
      <w:pPr>
        <w:spacing w:line="360" w:lineRule="auto"/>
        <w:jc w:val="both"/>
        <w:rPr>
          <w:color w:val="000000" w:themeColor="text1"/>
        </w:rPr>
      </w:pPr>
      <w:r w:rsidRPr="00DF2A48">
        <w:rPr>
          <w:color w:val="000000" w:themeColor="text1"/>
        </w:rPr>
        <w:t xml:space="preserve">Figure 3: VIP Score plot for pellet EMJH (in house) media at 28℃ and 37℃ </w:t>
      </w:r>
      <w:r w:rsidR="00BF10CB">
        <w:rPr>
          <w:color w:val="000000" w:themeColor="text1"/>
        </w:rPr>
        <w:t>...............................</w:t>
      </w:r>
      <w:r w:rsidR="00161151">
        <w:rPr>
          <w:color w:val="000000" w:themeColor="text1"/>
        </w:rPr>
        <w:t>13</w:t>
      </w:r>
    </w:p>
    <w:p w14:paraId="705F3B3C" w14:textId="1DE7E912" w:rsidR="00DF2A48" w:rsidRPr="00DF2A48" w:rsidRDefault="00DF2A48" w:rsidP="001301EA">
      <w:pPr>
        <w:spacing w:line="360" w:lineRule="auto"/>
        <w:jc w:val="both"/>
        <w:rPr>
          <w:color w:val="000000" w:themeColor="text1"/>
        </w:rPr>
      </w:pPr>
      <w:r w:rsidRPr="00DF2A48">
        <w:rPr>
          <w:color w:val="000000" w:themeColor="text1"/>
        </w:rPr>
        <w:t xml:space="preserve">Figure 4: Volcano plot for pellet EMJH (in house) media at 28℃ and 37℃ </w:t>
      </w:r>
      <w:r w:rsidR="00BF10CB">
        <w:rPr>
          <w:color w:val="000000" w:themeColor="text1"/>
        </w:rPr>
        <w:t>.................................</w:t>
      </w:r>
      <w:r w:rsidR="00161151">
        <w:rPr>
          <w:color w:val="000000" w:themeColor="text1"/>
        </w:rPr>
        <w:t>14</w:t>
      </w:r>
    </w:p>
    <w:p w14:paraId="10705823" w14:textId="6C77E949" w:rsidR="00DF2A48" w:rsidRPr="00DF2A48" w:rsidRDefault="00DF2A48" w:rsidP="001301EA">
      <w:pPr>
        <w:spacing w:line="360" w:lineRule="auto"/>
        <w:jc w:val="both"/>
        <w:rPr>
          <w:color w:val="000000" w:themeColor="text1"/>
        </w:rPr>
      </w:pPr>
      <w:r w:rsidRPr="00DF2A48">
        <w:rPr>
          <w:color w:val="000000" w:themeColor="text1"/>
        </w:rPr>
        <w:t xml:space="preserve">Figure 5: Heatmap for pellet EMJH (in house) &amp; EMJH (Difco) media at 28℃ </w:t>
      </w:r>
      <w:r w:rsidR="00BF10CB">
        <w:rPr>
          <w:color w:val="000000" w:themeColor="text1"/>
        </w:rPr>
        <w:t>............................</w:t>
      </w:r>
      <w:r w:rsidR="00161151">
        <w:rPr>
          <w:color w:val="000000" w:themeColor="text1"/>
        </w:rPr>
        <w:t>16</w:t>
      </w:r>
    </w:p>
    <w:p w14:paraId="40F1DEA7" w14:textId="58E7AE46" w:rsidR="00DF2A48" w:rsidRPr="00DF2A48" w:rsidRDefault="00DF2A48" w:rsidP="001301EA">
      <w:pPr>
        <w:spacing w:line="360" w:lineRule="auto"/>
        <w:jc w:val="both"/>
        <w:rPr>
          <w:color w:val="000000" w:themeColor="text1"/>
        </w:rPr>
      </w:pPr>
      <w:r w:rsidRPr="00DF2A48">
        <w:rPr>
          <w:color w:val="000000" w:themeColor="text1"/>
        </w:rPr>
        <w:t>Figure 6: PLS-DA</w:t>
      </w:r>
      <w:r w:rsidR="00C87740">
        <w:rPr>
          <w:color w:val="000000" w:themeColor="text1"/>
        </w:rPr>
        <w:t xml:space="preserve"> </w:t>
      </w:r>
      <w:r w:rsidRPr="00DF2A48">
        <w:rPr>
          <w:color w:val="000000" w:themeColor="text1"/>
        </w:rPr>
        <w:t xml:space="preserve">for pellet EMJH (in house) &amp; EMJH (Difco) media at 28℃ </w:t>
      </w:r>
      <w:r w:rsidR="00BF10CB">
        <w:rPr>
          <w:color w:val="000000" w:themeColor="text1"/>
        </w:rPr>
        <w:t>............................</w:t>
      </w:r>
      <w:r w:rsidR="00161151">
        <w:rPr>
          <w:color w:val="000000" w:themeColor="text1"/>
        </w:rPr>
        <w:t>17</w:t>
      </w:r>
    </w:p>
    <w:p w14:paraId="19F77F64" w14:textId="2125B371" w:rsidR="00DF2A48" w:rsidRPr="00DF2A48" w:rsidRDefault="00DF2A48" w:rsidP="001301EA">
      <w:pPr>
        <w:spacing w:line="360" w:lineRule="auto"/>
        <w:jc w:val="both"/>
        <w:rPr>
          <w:color w:val="000000" w:themeColor="text1"/>
        </w:rPr>
      </w:pPr>
      <w:r w:rsidRPr="00DF2A48">
        <w:rPr>
          <w:color w:val="000000" w:themeColor="text1"/>
        </w:rPr>
        <w:t>Figure 7: VIP Score plot for pellet EMJH (in house) &amp; EMJH (Difco) media at 28℃</w:t>
      </w:r>
      <w:r w:rsidR="00C87740">
        <w:rPr>
          <w:color w:val="000000" w:themeColor="text1"/>
        </w:rPr>
        <w:t>.</w:t>
      </w:r>
      <w:r w:rsidR="00BF10CB">
        <w:rPr>
          <w:color w:val="000000" w:themeColor="text1"/>
        </w:rPr>
        <w:t>...................</w:t>
      </w:r>
      <w:r w:rsidR="00161151">
        <w:rPr>
          <w:color w:val="000000" w:themeColor="text1"/>
        </w:rPr>
        <w:t>18</w:t>
      </w:r>
    </w:p>
    <w:p w14:paraId="46DEE72F" w14:textId="075E51B4" w:rsidR="00DF2A48" w:rsidRPr="00DF2A48" w:rsidRDefault="00DF2A48" w:rsidP="001301EA">
      <w:pPr>
        <w:spacing w:line="360" w:lineRule="auto"/>
        <w:jc w:val="both"/>
        <w:rPr>
          <w:color w:val="000000" w:themeColor="text1"/>
        </w:rPr>
      </w:pPr>
      <w:r w:rsidRPr="00DF2A48">
        <w:rPr>
          <w:color w:val="000000" w:themeColor="text1"/>
        </w:rPr>
        <w:t xml:space="preserve">Figure 8: Volcano plot for pellet EMJH (in house) &amp; EMJH (Difco) media at 28℃ </w:t>
      </w:r>
      <w:r w:rsidR="00BF10CB">
        <w:rPr>
          <w:color w:val="000000" w:themeColor="text1"/>
        </w:rPr>
        <w:t>......................</w:t>
      </w:r>
      <w:r w:rsidR="00161151">
        <w:rPr>
          <w:color w:val="000000" w:themeColor="text1"/>
        </w:rPr>
        <w:t>19</w:t>
      </w:r>
    </w:p>
    <w:p w14:paraId="7057D754" w14:textId="0A9C9F47" w:rsidR="00DF2A48" w:rsidRPr="00DF2A48" w:rsidRDefault="00DF2A48" w:rsidP="001301EA">
      <w:pPr>
        <w:spacing w:line="360" w:lineRule="auto"/>
        <w:jc w:val="both"/>
        <w:rPr>
          <w:color w:val="000000" w:themeColor="text1"/>
        </w:rPr>
      </w:pPr>
      <w:r w:rsidRPr="00DF2A48">
        <w:rPr>
          <w:color w:val="000000" w:themeColor="text1"/>
        </w:rPr>
        <w:t>Figure 9: Heatmap for pellet &amp; supernatant in EMJH (in house) media at 28℃</w:t>
      </w:r>
      <w:r w:rsidR="00BF10CB">
        <w:rPr>
          <w:color w:val="000000" w:themeColor="text1"/>
        </w:rPr>
        <w:t>.............................</w:t>
      </w:r>
      <w:r w:rsidR="00161151">
        <w:rPr>
          <w:color w:val="000000" w:themeColor="text1"/>
        </w:rPr>
        <w:t>22</w:t>
      </w:r>
    </w:p>
    <w:p w14:paraId="74ECA8E0" w14:textId="1BF55277" w:rsidR="00DF2A48" w:rsidRPr="00DF2A48" w:rsidRDefault="00DF2A48" w:rsidP="001301EA">
      <w:pPr>
        <w:spacing w:line="360" w:lineRule="auto"/>
        <w:jc w:val="both"/>
        <w:rPr>
          <w:color w:val="000000" w:themeColor="text1"/>
        </w:rPr>
      </w:pPr>
      <w:r w:rsidRPr="00DF2A48">
        <w:rPr>
          <w:color w:val="000000" w:themeColor="text1"/>
        </w:rPr>
        <w:t>Figure 10: PLS-DA for pellet &amp; supernatant in EMJH (in house) media at 28℃</w:t>
      </w:r>
      <w:r w:rsidR="00BF10CB">
        <w:rPr>
          <w:color w:val="000000" w:themeColor="text1"/>
        </w:rPr>
        <w:t>............................</w:t>
      </w:r>
      <w:r w:rsidR="00161151">
        <w:rPr>
          <w:color w:val="000000" w:themeColor="text1"/>
        </w:rPr>
        <w:t>23</w:t>
      </w:r>
    </w:p>
    <w:p w14:paraId="361780DA" w14:textId="578C5F10" w:rsidR="00DF2A48" w:rsidRPr="00DF2A48" w:rsidRDefault="00DF2A48" w:rsidP="001301EA">
      <w:pPr>
        <w:spacing w:line="360" w:lineRule="auto"/>
        <w:jc w:val="both"/>
        <w:rPr>
          <w:color w:val="000000" w:themeColor="text1"/>
        </w:rPr>
      </w:pPr>
      <w:r w:rsidRPr="00DF2A48">
        <w:rPr>
          <w:color w:val="000000" w:themeColor="text1"/>
        </w:rPr>
        <w:t>Figure 11: VIP Score plot for pellet &amp; supernatant in EMJH (in house) media at 28℃</w:t>
      </w:r>
      <w:r w:rsidR="00BF10CB">
        <w:rPr>
          <w:color w:val="000000" w:themeColor="text1"/>
        </w:rPr>
        <w:t>..................</w:t>
      </w:r>
      <w:r w:rsidR="00161151">
        <w:rPr>
          <w:color w:val="000000" w:themeColor="text1"/>
        </w:rPr>
        <w:t>24</w:t>
      </w:r>
    </w:p>
    <w:p w14:paraId="3EB6FF31" w14:textId="1AD57D44" w:rsidR="00DF2A48" w:rsidRPr="00DF2A48" w:rsidRDefault="00DF2A48" w:rsidP="001301EA">
      <w:pPr>
        <w:spacing w:line="360" w:lineRule="auto"/>
        <w:jc w:val="both"/>
        <w:rPr>
          <w:color w:val="000000" w:themeColor="text1"/>
        </w:rPr>
      </w:pPr>
      <w:r w:rsidRPr="00DF2A48">
        <w:rPr>
          <w:color w:val="000000" w:themeColor="text1"/>
        </w:rPr>
        <w:t>Figure 12: Volcano plot for pellet &amp; supernatant in EMJH (in house) media at 28℃</w:t>
      </w:r>
      <w:r w:rsidR="00BF10CB">
        <w:rPr>
          <w:color w:val="000000" w:themeColor="text1"/>
        </w:rPr>
        <w:t>.....................</w:t>
      </w:r>
      <w:r w:rsidR="00161151">
        <w:rPr>
          <w:color w:val="000000" w:themeColor="text1"/>
        </w:rPr>
        <w:t>25</w:t>
      </w:r>
    </w:p>
    <w:p w14:paraId="0D68C608" w14:textId="682D1048" w:rsidR="00DF2A48" w:rsidRPr="00DF2A48" w:rsidRDefault="00DF2A48" w:rsidP="001301EA">
      <w:pPr>
        <w:spacing w:line="360" w:lineRule="auto"/>
        <w:jc w:val="both"/>
        <w:rPr>
          <w:color w:val="000000" w:themeColor="text1"/>
        </w:rPr>
      </w:pPr>
      <w:r w:rsidRPr="00DF2A48">
        <w:rPr>
          <w:color w:val="000000" w:themeColor="text1"/>
        </w:rPr>
        <w:t>Figure 13: Heatmap for pellet &amp; media in EMJH (in house) media at 28℃</w:t>
      </w:r>
      <w:r w:rsidR="00BF10CB">
        <w:rPr>
          <w:color w:val="000000" w:themeColor="text1"/>
        </w:rPr>
        <w:t>....................................</w:t>
      </w:r>
      <w:r w:rsidR="00161151">
        <w:rPr>
          <w:color w:val="000000" w:themeColor="text1"/>
        </w:rPr>
        <w:t>26</w:t>
      </w:r>
    </w:p>
    <w:p w14:paraId="0781E279" w14:textId="0FA3FB76" w:rsidR="00DF2A48" w:rsidRPr="00DF2A48" w:rsidRDefault="00DF2A48" w:rsidP="001301EA">
      <w:pPr>
        <w:spacing w:line="360" w:lineRule="auto"/>
        <w:jc w:val="both"/>
        <w:rPr>
          <w:color w:val="000000" w:themeColor="text1"/>
        </w:rPr>
      </w:pPr>
      <w:r w:rsidRPr="00DF2A48">
        <w:rPr>
          <w:color w:val="000000" w:themeColor="text1"/>
        </w:rPr>
        <w:t>Figure 14: PLS-DA for pellet &amp; media in EMJH (in house) media at 28℃</w:t>
      </w:r>
      <w:r w:rsidR="00BF10CB">
        <w:rPr>
          <w:color w:val="000000" w:themeColor="text1"/>
        </w:rPr>
        <w:t>....................................</w:t>
      </w:r>
      <w:r w:rsidR="00161151">
        <w:rPr>
          <w:color w:val="000000" w:themeColor="text1"/>
        </w:rPr>
        <w:t>27</w:t>
      </w:r>
    </w:p>
    <w:p w14:paraId="1CD9ECF6" w14:textId="42A76FB9" w:rsidR="00DF2A48" w:rsidRPr="00DF2A48" w:rsidRDefault="00DF2A48" w:rsidP="001301EA">
      <w:pPr>
        <w:spacing w:line="360" w:lineRule="auto"/>
        <w:jc w:val="both"/>
        <w:rPr>
          <w:color w:val="000000" w:themeColor="text1"/>
        </w:rPr>
      </w:pPr>
      <w:r w:rsidRPr="00DF2A48">
        <w:rPr>
          <w:color w:val="000000" w:themeColor="text1"/>
        </w:rPr>
        <w:t>Figure 15: VIP Score plot for pellet &amp; media in EMJH (in house) media at 28℃</w:t>
      </w:r>
      <w:r w:rsidR="00BF10CB">
        <w:rPr>
          <w:color w:val="000000" w:themeColor="text1"/>
        </w:rPr>
        <w:t>...........................</w:t>
      </w:r>
      <w:r w:rsidR="00161151">
        <w:rPr>
          <w:color w:val="000000" w:themeColor="text1"/>
        </w:rPr>
        <w:t>28</w:t>
      </w:r>
    </w:p>
    <w:p w14:paraId="6F646B43" w14:textId="68C72301" w:rsidR="00DF2A48" w:rsidRPr="00DF2A48" w:rsidRDefault="00DF2A48" w:rsidP="001301EA">
      <w:pPr>
        <w:spacing w:line="360" w:lineRule="auto"/>
        <w:jc w:val="both"/>
        <w:rPr>
          <w:color w:val="000000" w:themeColor="text1"/>
        </w:rPr>
      </w:pPr>
      <w:r w:rsidRPr="00DF2A48">
        <w:rPr>
          <w:color w:val="000000" w:themeColor="text1"/>
        </w:rPr>
        <w:t>Figure 16: Volcano plot for pellet &amp; media in EMJH (in house) media at 28℃</w:t>
      </w:r>
      <w:r w:rsidR="00BF10CB">
        <w:rPr>
          <w:color w:val="000000" w:themeColor="text1"/>
        </w:rPr>
        <w:t>..............................</w:t>
      </w:r>
      <w:r w:rsidR="00161151">
        <w:rPr>
          <w:color w:val="000000" w:themeColor="text1"/>
        </w:rPr>
        <w:t>29</w:t>
      </w:r>
    </w:p>
    <w:p w14:paraId="7A73D7A2" w14:textId="4AC02051" w:rsidR="00DF2A48" w:rsidRPr="00DF2A48" w:rsidRDefault="00DF2A48" w:rsidP="001301EA">
      <w:pPr>
        <w:spacing w:line="360" w:lineRule="auto"/>
        <w:jc w:val="both"/>
        <w:rPr>
          <w:color w:val="000000" w:themeColor="text1"/>
        </w:rPr>
      </w:pPr>
      <w:r w:rsidRPr="00DF2A48">
        <w:rPr>
          <w:color w:val="000000" w:themeColor="text1"/>
        </w:rPr>
        <w:t>Figure 17: Heatmap for supernatant &amp; media in EMJH (in house) media at 28℃</w:t>
      </w:r>
      <w:r w:rsidR="00BF10CB">
        <w:rPr>
          <w:color w:val="000000" w:themeColor="text1"/>
        </w:rPr>
        <w:t>..........................</w:t>
      </w:r>
      <w:r w:rsidR="00161151">
        <w:rPr>
          <w:color w:val="000000" w:themeColor="text1"/>
        </w:rPr>
        <w:t>30</w:t>
      </w:r>
    </w:p>
    <w:p w14:paraId="49244A14" w14:textId="51ABE9CC" w:rsidR="00DF2A48" w:rsidRPr="00DF2A48" w:rsidRDefault="00DF2A48" w:rsidP="001301EA">
      <w:pPr>
        <w:spacing w:line="360" w:lineRule="auto"/>
        <w:jc w:val="both"/>
        <w:rPr>
          <w:color w:val="000000" w:themeColor="text1"/>
        </w:rPr>
      </w:pPr>
      <w:r w:rsidRPr="00DF2A48">
        <w:rPr>
          <w:color w:val="000000" w:themeColor="text1"/>
        </w:rPr>
        <w:t>Figure 18: PLS-DA for supernatant &amp; media in EMJH (in house) media at 28℃</w:t>
      </w:r>
      <w:r w:rsidR="00BF10CB">
        <w:rPr>
          <w:color w:val="000000" w:themeColor="text1"/>
        </w:rPr>
        <w:t>...........................</w:t>
      </w:r>
      <w:r w:rsidR="00161151">
        <w:rPr>
          <w:color w:val="000000" w:themeColor="text1"/>
        </w:rPr>
        <w:t>31</w:t>
      </w:r>
    </w:p>
    <w:p w14:paraId="103AAE38" w14:textId="60708E47" w:rsidR="00DF2A48" w:rsidRPr="00DF2A48" w:rsidRDefault="00DF2A48" w:rsidP="001301EA">
      <w:pPr>
        <w:spacing w:line="360" w:lineRule="auto"/>
        <w:jc w:val="both"/>
        <w:rPr>
          <w:color w:val="000000" w:themeColor="text1"/>
        </w:rPr>
      </w:pPr>
      <w:r w:rsidRPr="00DF2A48">
        <w:rPr>
          <w:color w:val="000000" w:themeColor="text1"/>
        </w:rPr>
        <w:t>Figure 19: VIP Score plot for supernatant &amp; media in EMJH (in house) media at 28℃</w:t>
      </w:r>
      <w:r w:rsidR="00BF10CB">
        <w:rPr>
          <w:color w:val="000000" w:themeColor="text1"/>
        </w:rPr>
        <w:t>..................</w:t>
      </w:r>
      <w:r w:rsidR="00161151">
        <w:rPr>
          <w:color w:val="000000" w:themeColor="text1"/>
        </w:rPr>
        <w:t>32</w:t>
      </w:r>
      <w:r w:rsidRPr="00DF2A48">
        <w:rPr>
          <w:color w:val="000000" w:themeColor="text1"/>
        </w:rPr>
        <w:t xml:space="preserve"> </w:t>
      </w:r>
    </w:p>
    <w:p w14:paraId="363A62BA" w14:textId="0C0BEE16" w:rsidR="00DF2A48" w:rsidRPr="00DF2A48" w:rsidRDefault="00DF2A48" w:rsidP="001301EA">
      <w:pPr>
        <w:spacing w:line="360" w:lineRule="auto"/>
        <w:jc w:val="both"/>
        <w:rPr>
          <w:color w:val="000000" w:themeColor="text1"/>
        </w:rPr>
      </w:pPr>
      <w:r w:rsidRPr="00DF2A48">
        <w:rPr>
          <w:color w:val="000000" w:themeColor="text1"/>
        </w:rPr>
        <w:t>Figure 20: Volcano plot for supernatant &amp; media in EMJH (in house) media at 28℃</w:t>
      </w:r>
      <w:r w:rsidR="00BF10CB">
        <w:rPr>
          <w:color w:val="000000" w:themeColor="text1"/>
        </w:rPr>
        <w:t>....................</w:t>
      </w:r>
      <w:r w:rsidR="00161151">
        <w:rPr>
          <w:color w:val="000000" w:themeColor="text1"/>
        </w:rPr>
        <w:t>33</w:t>
      </w:r>
    </w:p>
    <w:p w14:paraId="78EA3EE0" w14:textId="5CABBC0A" w:rsidR="00DF2A48" w:rsidRPr="00DF2A48" w:rsidRDefault="00DF2A48" w:rsidP="001301EA">
      <w:pPr>
        <w:spacing w:line="360" w:lineRule="auto"/>
        <w:jc w:val="both"/>
        <w:rPr>
          <w:color w:val="000000" w:themeColor="text1"/>
        </w:rPr>
      </w:pPr>
      <w:r w:rsidRPr="00DF2A48">
        <w:rPr>
          <w:color w:val="000000" w:themeColor="text1"/>
        </w:rPr>
        <w:t>Figure 21: Heatmap for pellet &amp; supernatant in EMJH (in house) media at 37℃</w:t>
      </w:r>
      <w:r w:rsidR="00BF10CB">
        <w:rPr>
          <w:color w:val="000000" w:themeColor="text1"/>
        </w:rPr>
        <w:t>...........................</w:t>
      </w:r>
      <w:r w:rsidR="00161151">
        <w:rPr>
          <w:color w:val="000000" w:themeColor="text1"/>
        </w:rPr>
        <w:t>35</w:t>
      </w:r>
    </w:p>
    <w:p w14:paraId="4D7B1840" w14:textId="0E880C9E" w:rsidR="00DF2A48" w:rsidRPr="00DF2A48" w:rsidRDefault="00DF2A48" w:rsidP="001301EA">
      <w:pPr>
        <w:spacing w:line="360" w:lineRule="auto"/>
        <w:jc w:val="both"/>
        <w:rPr>
          <w:color w:val="000000" w:themeColor="text1"/>
        </w:rPr>
      </w:pPr>
      <w:r w:rsidRPr="00DF2A48">
        <w:rPr>
          <w:color w:val="000000" w:themeColor="text1"/>
        </w:rPr>
        <w:t>Figure 22: PLS-DA for pellet &amp; supernatant in EMJH (in house) media at 37℃</w:t>
      </w:r>
      <w:r w:rsidR="00BF10CB">
        <w:rPr>
          <w:color w:val="000000" w:themeColor="text1"/>
        </w:rPr>
        <w:t>............................</w:t>
      </w:r>
      <w:r w:rsidR="00161151">
        <w:rPr>
          <w:color w:val="000000" w:themeColor="text1"/>
        </w:rPr>
        <w:t>36</w:t>
      </w:r>
    </w:p>
    <w:p w14:paraId="065E3947" w14:textId="537D354A" w:rsidR="00DF2A48" w:rsidRPr="00DF2A48" w:rsidRDefault="00DF2A48" w:rsidP="001301EA">
      <w:pPr>
        <w:spacing w:line="360" w:lineRule="auto"/>
        <w:jc w:val="both"/>
        <w:rPr>
          <w:color w:val="000000" w:themeColor="text1"/>
        </w:rPr>
      </w:pPr>
      <w:r w:rsidRPr="00DF2A48">
        <w:rPr>
          <w:color w:val="000000" w:themeColor="text1"/>
        </w:rPr>
        <w:t>Figure 23: VIP Score plot for pellet &amp; supernatant in EMJH (in house) media at 37℃</w:t>
      </w:r>
      <w:r w:rsidR="00BF10CB">
        <w:rPr>
          <w:color w:val="000000" w:themeColor="text1"/>
        </w:rPr>
        <w:t>..................</w:t>
      </w:r>
      <w:r w:rsidR="00161151">
        <w:rPr>
          <w:color w:val="000000" w:themeColor="text1"/>
        </w:rPr>
        <w:t>37</w:t>
      </w:r>
    </w:p>
    <w:p w14:paraId="67C80D17" w14:textId="01568DD4" w:rsidR="00DF2A48" w:rsidRPr="00DF2A48" w:rsidRDefault="00DF2A48" w:rsidP="001301EA">
      <w:pPr>
        <w:spacing w:line="360" w:lineRule="auto"/>
        <w:jc w:val="both"/>
        <w:rPr>
          <w:color w:val="000000" w:themeColor="text1"/>
        </w:rPr>
      </w:pPr>
      <w:r w:rsidRPr="00DF2A48">
        <w:rPr>
          <w:color w:val="000000" w:themeColor="text1"/>
        </w:rPr>
        <w:t>Figure 24: Volcano plot for pellet &amp; supernatant in EMJH (in house) media at 37℃</w:t>
      </w:r>
      <w:r w:rsidR="00BF10CB">
        <w:rPr>
          <w:color w:val="000000" w:themeColor="text1"/>
        </w:rPr>
        <w:t>.....................</w:t>
      </w:r>
      <w:r w:rsidR="00161151">
        <w:rPr>
          <w:color w:val="000000" w:themeColor="text1"/>
        </w:rPr>
        <w:t>38</w:t>
      </w:r>
    </w:p>
    <w:p w14:paraId="00AB2352" w14:textId="3AD335A7" w:rsidR="00DF2A48" w:rsidRPr="00DF2A48" w:rsidRDefault="00DF2A48" w:rsidP="001301EA">
      <w:pPr>
        <w:spacing w:line="360" w:lineRule="auto"/>
        <w:jc w:val="both"/>
        <w:rPr>
          <w:color w:val="000000" w:themeColor="text1"/>
        </w:rPr>
      </w:pPr>
      <w:r w:rsidRPr="00DF2A48">
        <w:rPr>
          <w:color w:val="000000" w:themeColor="text1"/>
        </w:rPr>
        <w:t>Figure 25: Heatmap for pellet &amp; media in EMJH (Difco) media at 28℃</w:t>
      </w:r>
      <w:r w:rsidR="00BF10CB">
        <w:rPr>
          <w:color w:val="000000" w:themeColor="text1"/>
        </w:rPr>
        <w:t>........................................</w:t>
      </w:r>
      <w:r w:rsidR="00161151">
        <w:rPr>
          <w:color w:val="000000" w:themeColor="text1"/>
        </w:rPr>
        <w:t>39</w:t>
      </w:r>
    </w:p>
    <w:p w14:paraId="4076ACD9" w14:textId="47C42F8D" w:rsidR="00DF2A48" w:rsidRPr="00DF2A48" w:rsidRDefault="00DF2A48" w:rsidP="001301EA">
      <w:pPr>
        <w:spacing w:line="360" w:lineRule="auto"/>
        <w:jc w:val="both"/>
        <w:rPr>
          <w:color w:val="000000" w:themeColor="text1"/>
        </w:rPr>
      </w:pPr>
      <w:r w:rsidRPr="00DF2A48">
        <w:rPr>
          <w:color w:val="000000" w:themeColor="text1"/>
        </w:rPr>
        <w:t>Figure 26: PLS-DA for pellet &amp; media in EMJH (Difco) media at 28℃</w:t>
      </w:r>
      <w:r w:rsidR="00BF10CB">
        <w:rPr>
          <w:color w:val="000000" w:themeColor="text1"/>
        </w:rPr>
        <w:t>........................................</w:t>
      </w:r>
      <w:r w:rsidR="00161151">
        <w:rPr>
          <w:color w:val="000000" w:themeColor="text1"/>
        </w:rPr>
        <w:t>40</w:t>
      </w:r>
    </w:p>
    <w:p w14:paraId="23D1D32E" w14:textId="7829D271" w:rsidR="00DF2A48" w:rsidRPr="00DF2A48" w:rsidRDefault="00DF2A48" w:rsidP="001301EA">
      <w:pPr>
        <w:spacing w:line="360" w:lineRule="auto"/>
        <w:jc w:val="both"/>
        <w:rPr>
          <w:color w:val="000000" w:themeColor="text1"/>
        </w:rPr>
      </w:pPr>
      <w:r w:rsidRPr="00DF2A48">
        <w:rPr>
          <w:color w:val="000000" w:themeColor="text1"/>
        </w:rPr>
        <w:t>Figure 27: VIP Score plot for pellet &amp; media in EMJH (Difco) media at 28℃</w:t>
      </w:r>
      <w:r w:rsidR="00BF10CB">
        <w:rPr>
          <w:color w:val="000000" w:themeColor="text1"/>
        </w:rPr>
        <w:t>...............................</w:t>
      </w:r>
      <w:r w:rsidR="00161151">
        <w:rPr>
          <w:color w:val="000000" w:themeColor="text1"/>
        </w:rPr>
        <w:t>41</w:t>
      </w:r>
    </w:p>
    <w:p w14:paraId="439F628E" w14:textId="451BE7EE" w:rsidR="00DF2A48" w:rsidRPr="00DF2A48" w:rsidRDefault="00DF2A48" w:rsidP="001301EA">
      <w:pPr>
        <w:spacing w:line="360" w:lineRule="auto"/>
        <w:jc w:val="both"/>
        <w:rPr>
          <w:color w:val="000000" w:themeColor="text1"/>
        </w:rPr>
      </w:pPr>
      <w:r w:rsidRPr="00DF2A48">
        <w:rPr>
          <w:color w:val="000000" w:themeColor="text1"/>
        </w:rPr>
        <w:t>Figure 28: Volcano plot for pellet &amp; media in EMJH (Difco) media at 28℃</w:t>
      </w:r>
      <w:r w:rsidR="00BF10CB">
        <w:rPr>
          <w:color w:val="000000" w:themeColor="text1"/>
        </w:rPr>
        <w:t>..................................</w:t>
      </w:r>
      <w:r w:rsidR="00161151">
        <w:rPr>
          <w:color w:val="000000" w:themeColor="text1"/>
        </w:rPr>
        <w:t>42</w:t>
      </w:r>
    </w:p>
    <w:p w14:paraId="5494A911" w14:textId="777AC5DF" w:rsidR="00DF2A48" w:rsidRPr="00DF2A48" w:rsidRDefault="00DF2A48" w:rsidP="001301EA">
      <w:pPr>
        <w:spacing w:line="360" w:lineRule="auto"/>
        <w:jc w:val="both"/>
        <w:rPr>
          <w:color w:val="000000" w:themeColor="text1"/>
        </w:rPr>
      </w:pPr>
      <w:r w:rsidRPr="00DF2A48">
        <w:rPr>
          <w:color w:val="000000" w:themeColor="text1"/>
        </w:rPr>
        <w:t>Figure 29: Heatmap for pellet &amp; supernatant in EMJH (Difco) media at 28℃</w:t>
      </w:r>
      <w:r w:rsidR="00BF10CB">
        <w:rPr>
          <w:color w:val="000000" w:themeColor="text1"/>
        </w:rPr>
        <w:t>...............................</w:t>
      </w:r>
      <w:r w:rsidR="00161151">
        <w:rPr>
          <w:color w:val="000000" w:themeColor="text1"/>
        </w:rPr>
        <w:t>43</w:t>
      </w:r>
    </w:p>
    <w:p w14:paraId="6626D5F4" w14:textId="7510A89A" w:rsidR="00DF2A48" w:rsidRPr="00DF2A48" w:rsidRDefault="00DF2A48" w:rsidP="001301EA">
      <w:pPr>
        <w:spacing w:line="360" w:lineRule="auto"/>
        <w:jc w:val="both"/>
        <w:rPr>
          <w:color w:val="000000" w:themeColor="text1"/>
        </w:rPr>
      </w:pPr>
      <w:r w:rsidRPr="00DF2A48">
        <w:rPr>
          <w:color w:val="000000" w:themeColor="text1"/>
        </w:rPr>
        <w:t>Figure 30: PLS-DA for pellet &amp; supernatant in EMJH (Difco) media at 28℃</w:t>
      </w:r>
      <w:r w:rsidR="00BF10CB">
        <w:rPr>
          <w:color w:val="000000" w:themeColor="text1"/>
        </w:rPr>
        <w:t>................................</w:t>
      </w:r>
      <w:r w:rsidR="00161151">
        <w:rPr>
          <w:color w:val="000000" w:themeColor="text1"/>
        </w:rPr>
        <w:t>44</w:t>
      </w:r>
    </w:p>
    <w:p w14:paraId="7AEAD73D" w14:textId="241C0FFB" w:rsidR="00DF2A48" w:rsidRPr="00DF2A48" w:rsidRDefault="00DF2A48" w:rsidP="00DF2A48">
      <w:pPr>
        <w:spacing w:line="360" w:lineRule="auto"/>
        <w:jc w:val="both"/>
        <w:rPr>
          <w:color w:val="000000" w:themeColor="text1"/>
        </w:rPr>
      </w:pPr>
      <w:r w:rsidRPr="00DF2A48">
        <w:rPr>
          <w:color w:val="000000" w:themeColor="text1"/>
        </w:rPr>
        <w:lastRenderedPageBreak/>
        <w:t>Figure 31: VIP Score plot for pellet &amp; supernatant in EMJH (Difco) media at 28℃</w:t>
      </w:r>
      <w:r w:rsidR="00BF10CB">
        <w:rPr>
          <w:color w:val="000000" w:themeColor="text1"/>
        </w:rPr>
        <w:t>......................</w:t>
      </w:r>
      <w:r w:rsidR="00161151">
        <w:rPr>
          <w:color w:val="000000" w:themeColor="text1"/>
        </w:rPr>
        <w:t>45</w:t>
      </w:r>
      <w:r w:rsidRPr="00DF2A48">
        <w:rPr>
          <w:color w:val="000000" w:themeColor="text1"/>
        </w:rPr>
        <w:t xml:space="preserve"> </w:t>
      </w:r>
    </w:p>
    <w:p w14:paraId="1E504B0E" w14:textId="14A7D594" w:rsidR="00DF2A48" w:rsidRPr="00DF2A48" w:rsidRDefault="00DF2A48" w:rsidP="00DF2A48">
      <w:pPr>
        <w:spacing w:line="360" w:lineRule="auto"/>
        <w:jc w:val="both"/>
        <w:rPr>
          <w:color w:val="000000" w:themeColor="text1"/>
        </w:rPr>
      </w:pPr>
      <w:r w:rsidRPr="00DF2A48">
        <w:rPr>
          <w:color w:val="000000" w:themeColor="text1"/>
        </w:rPr>
        <w:t>Figure 32: Volcano plot for pellet &amp; supernatant in EMJH (Difco) media at 28℃</w:t>
      </w:r>
      <w:r w:rsidR="00BF10CB">
        <w:rPr>
          <w:color w:val="000000" w:themeColor="text1"/>
        </w:rPr>
        <w:t>.........................</w:t>
      </w:r>
      <w:r w:rsidR="00161151">
        <w:rPr>
          <w:color w:val="000000" w:themeColor="text1"/>
        </w:rPr>
        <w:t>46</w:t>
      </w:r>
    </w:p>
    <w:p w14:paraId="095C105C" w14:textId="3E3B1C83" w:rsidR="00DF2A48" w:rsidRPr="00DF2A48" w:rsidRDefault="00DF2A48" w:rsidP="00DF2A48">
      <w:pPr>
        <w:spacing w:line="360" w:lineRule="auto"/>
        <w:jc w:val="both"/>
        <w:rPr>
          <w:color w:val="000000" w:themeColor="text1"/>
        </w:rPr>
      </w:pPr>
      <w:r w:rsidRPr="00DF2A48">
        <w:rPr>
          <w:color w:val="000000" w:themeColor="text1"/>
        </w:rPr>
        <w:t>Figure 33: Heatmap for supernatant &amp; media in EMJH (Difco) media at 28℃</w:t>
      </w:r>
      <w:r w:rsidR="00BF10CB">
        <w:rPr>
          <w:color w:val="000000" w:themeColor="text1"/>
        </w:rPr>
        <w:t>..............................</w:t>
      </w:r>
      <w:r w:rsidR="00161151">
        <w:rPr>
          <w:color w:val="000000" w:themeColor="text1"/>
        </w:rPr>
        <w:t>47</w:t>
      </w:r>
    </w:p>
    <w:p w14:paraId="2BEC5CB6" w14:textId="0B0035F5" w:rsidR="00DF2A48" w:rsidRPr="00DF2A48" w:rsidRDefault="00DF2A48" w:rsidP="00DF2A48">
      <w:pPr>
        <w:spacing w:line="360" w:lineRule="auto"/>
        <w:jc w:val="both"/>
        <w:rPr>
          <w:color w:val="000000" w:themeColor="text1"/>
        </w:rPr>
      </w:pPr>
      <w:r w:rsidRPr="00DF2A48">
        <w:rPr>
          <w:color w:val="000000" w:themeColor="text1"/>
        </w:rPr>
        <w:t>Figure 34: PLS-DA for supernatant &amp; media in EMJH (Difco) media at 28℃</w:t>
      </w:r>
      <w:r w:rsidR="00BF10CB">
        <w:rPr>
          <w:color w:val="000000" w:themeColor="text1"/>
        </w:rPr>
        <w:t>...............................</w:t>
      </w:r>
      <w:r w:rsidR="00161151">
        <w:rPr>
          <w:color w:val="000000" w:themeColor="text1"/>
        </w:rPr>
        <w:t>48</w:t>
      </w:r>
    </w:p>
    <w:p w14:paraId="25AD69F1" w14:textId="7DA666FE" w:rsidR="00DF2A48" w:rsidRPr="00DF2A48" w:rsidRDefault="00DF2A48" w:rsidP="00DF2A48">
      <w:pPr>
        <w:spacing w:line="360" w:lineRule="auto"/>
        <w:jc w:val="both"/>
        <w:rPr>
          <w:color w:val="000000" w:themeColor="text1"/>
        </w:rPr>
      </w:pPr>
      <w:r w:rsidRPr="00DF2A48">
        <w:rPr>
          <w:color w:val="000000" w:themeColor="text1"/>
        </w:rPr>
        <w:t>Figure 35: VIP Score plot for supernatant &amp; media in EMJH (Difco) media at 28℃</w:t>
      </w:r>
      <w:r w:rsidR="00BF10CB">
        <w:rPr>
          <w:color w:val="000000" w:themeColor="text1"/>
        </w:rPr>
        <w:t>......................</w:t>
      </w:r>
      <w:r w:rsidR="00161151">
        <w:rPr>
          <w:color w:val="000000" w:themeColor="text1"/>
        </w:rPr>
        <w:t>49</w:t>
      </w:r>
    </w:p>
    <w:p w14:paraId="08C60265" w14:textId="6591554D" w:rsidR="00DF2A48" w:rsidRPr="00DF2A48" w:rsidRDefault="00DF2A48" w:rsidP="00DF2A48">
      <w:pPr>
        <w:spacing w:line="360" w:lineRule="auto"/>
        <w:jc w:val="both"/>
        <w:rPr>
          <w:color w:val="000000" w:themeColor="text1"/>
        </w:rPr>
      </w:pPr>
      <w:r w:rsidRPr="00DF2A48">
        <w:rPr>
          <w:color w:val="000000" w:themeColor="text1"/>
        </w:rPr>
        <w:t>Figure 36: Volcano plot for supernatant &amp; media in EMJH (Difco) media at 28℃</w:t>
      </w:r>
      <w:r w:rsidR="00BF10CB">
        <w:rPr>
          <w:color w:val="000000" w:themeColor="text1"/>
        </w:rPr>
        <w:t>........................</w:t>
      </w:r>
      <w:r w:rsidR="00161151">
        <w:rPr>
          <w:color w:val="000000" w:themeColor="text1"/>
        </w:rPr>
        <w:t>50</w:t>
      </w:r>
    </w:p>
    <w:p w14:paraId="2F5686E1" w14:textId="0862C80E" w:rsidR="00DF2A48" w:rsidRPr="00DF2A48" w:rsidRDefault="00DF2A48" w:rsidP="00DF2A48">
      <w:pPr>
        <w:spacing w:line="360" w:lineRule="auto"/>
        <w:jc w:val="both"/>
        <w:rPr>
          <w:color w:val="000000" w:themeColor="text1"/>
        </w:rPr>
      </w:pPr>
      <w:r w:rsidRPr="00DF2A48">
        <w:rPr>
          <w:color w:val="000000" w:themeColor="text1"/>
        </w:rPr>
        <w:t>Figure 37: Heatmap for supernatant &amp; media in EMJH (Difco) media at 37℃</w:t>
      </w:r>
      <w:r w:rsidR="00BF10CB">
        <w:rPr>
          <w:color w:val="000000" w:themeColor="text1"/>
        </w:rPr>
        <w:t>..............................5</w:t>
      </w:r>
      <w:r w:rsidR="00161151">
        <w:rPr>
          <w:color w:val="000000" w:themeColor="text1"/>
        </w:rPr>
        <w:t>1</w:t>
      </w:r>
    </w:p>
    <w:p w14:paraId="25812355" w14:textId="4FF9E7B5" w:rsidR="00DF2A48" w:rsidRPr="00DF2A48" w:rsidRDefault="00DF2A48" w:rsidP="00DF2A48">
      <w:pPr>
        <w:spacing w:line="360" w:lineRule="auto"/>
        <w:jc w:val="both"/>
        <w:rPr>
          <w:color w:val="000000" w:themeColor="text1"/>
        </w:rPr>
      </w:pPr>
      <w:r w:rsidRPr="00DF2A48">
        <w:rPr>
          <w:color w:val="000000" w:themeColor="text1"/>
        </w:rPr>
        <w:t>Figure 38: PLS-DA for supernatant &amp; media in EMJH (Difco) media at 37℃</w:t>
      </w:r>
      <w:r w:rsidR="00BF10CB">
        <w:rPr>
          <w:color w:val="000000" w:themeColor="text1"/>
        </w:rPr>
        <w:t>...............................</w:t>
      </w:r>
      <w:r w:rsidR="00161151">
        <w:rPr>
          <w:color w:val="000000" w:themeColor="text1"/>
        </w:rPr>
        <w:t>52</w:t>
      </w:r>
    </w:p>
    <w:p w14:paraId="66353331" w14:textId="3034F803" w:rsidR="00DF2A48" w:rsidRPr="00DF2A48" w:rsidRDefault="00DF2A48" w:rsidP="00DF2A48">
      <w:pPr>
        <w:spacing w:line="360" w:lineRule="auto"/>
        <w:jc w:val="both"/>
        <w:rPr>
          <w:color w:val="000000" w:themeColor="text1"/>
        </w:rPr>
      </w:pPr>
      <w:r w:rsidRPr="00DF2A48">
        <w:rPr>
          <w:color w:val="000000" w:themeColor="text1"/>
        </w:rPr>
        <w:t xml:space="preserve">Figure 39: </w:t>
      </w:r>
      <w:r w:rsidR="00BF10CB">
        <w:rPr>
          <w:color w:val="000000" w:themeColor="text1"/>
        </w:rPr>
        <w:t xml:space="preserve">3-D </w:t>
      </w:r>
      <w:r w:rsidRPr="00DF2A48">
        <w:rPr>
          <w:color w:val="000000" w:themeColor="text1"/>
        </w:rPr>
        <w:t>PLS-DA for supernatant &amp; media in EMJH (Difco) media at 37℃</w:t>
      </w:r>
      <w:r w:rsidR="00BF10CB">
        <w:rPr>
          <w:color w:val="000000" w:themeColor="text1"/>
        </w:rPr>
        <w:t>........................</w:t>
      </w:r>
      <w:r w:rsidR="00161151">
        <w:rPr>
          <w:color w:val="000000" w:themeColor="text1"/>
        </w:rPr>
        <w:t>53</w:t>
      </w:r>
    </w:p>
    <w:p w14:paraId="21F9CB4D" w14:textId="6F20A3A8" w:rsidR="00DF2A48" w:rsidRPr="00DF2A48" w:rsidRDefault="00DF2A48" w:rsidP="00DF2A48">
      <w:pPr>
        <w:spacing w:line="360" w:lineRule="auto"/>
        <w:jc w:val="both"/>
        <w:rPr>
          <w:color w:val="000000" w:themeColor="text1"/>
        </w:rPr>
      </w:pPr>
      <w:r w:rsidRPr="00DF2A48">
        <w:rPr>
          <w:color w:val="000000" w:themeColor="text1"/>
        </w:rPr>
        <w:t>Figure 40: VIP Score plot for supernatant &amp; media in EMJH (Difco) media at 37℃</w:t>
      </w:r>
      <w:r w:rsidR="00BF10CB">
        <w:rPr>
          <w:color w:val="000000" w:themeColor="text1"/>
        </w:rPr>
        <w:t>......................</w:t>
      </w:r>
      <w:r w:rsidR="00161151">
        <w:rPr>
          <w:color w:val="000000" w:themeColor="text1"/>
        </w:rPr>
        <w:t>54</w:t>
      </w:r>
    </w:p>
    <w:p w14:paraId="06F8FD0D" w14:textId="16B8B010" w:rsidR="00DF2A48" w:rsidRPr="00DF2A48" w:rsidRDefault="00DF2A48" w:rsidP="00DF2A48">
      <w:pPr>
        <w:spacing w:line="360" w:lineRule="auto"/>
        <w:jc w:val="both"/>
        <w:rPr>
          <w:color w:val="000000" w:themeColor="text1"/>
        </w:rPr>
      </w:pPr>
      <w:r w:rsidRPr="00DF2A48">
        <w:rPr>
          <w:color w:val="000000" w:themeColor="text1"/>
        </w:rPr>
        <w:t>Figure 41: Volcano plot for supernatant &amp; media in EMJH (Difco) media at 37℃</w:t>
      </w:r>
      <w:r w:rsidR="00BF10CB">
        <w:rPr>
          <w:color w:val="000000" w:themeColor="text1"/>
        </w:rPr>
        <w:t>........................</w:t>
      </w:r>
      <w:r w:rsidR="00161151">
        <w:rPr>
          <w:color w:val="000000" w:themeColor="text1"/>
        </w:rPr>
        <w:t>55</w:t>
      </w:r>
    </w:p>
    <w:p w14:paraId="1910986B" w14:textId="312D4BAC" w:rsidR="00DF2A48" w:rsidRPr="00DF2A48" w:rsidRDefault="00DF2A48" w:rsidP="00DF2A48">
      <w:pPr>
        <w:spacing w:line="360" w:lineRule="auto"/>
        <w:jc w:val="both"/>
        <w:rPr>
          <w:color w:val="000000" w:themeColor="text1"/>
        </w:rPr>
      </w:pPr>
      <w:r w:rsidRPr="00DF2A48">
        <w:rPr>
          <w:color w:val="000000" w:themeColor="text1"/>
        </w:rPr>
        <w:t>Figure 42: Heatmap for inter-condition comparison for pellets</w:t>
      </w:r>
      <w:r w:rsidR="00BF10CB">
        <w:rPr>
          <w:color w:val="000000" w:themeColor="text1"/>
        </w:rPr>
        <w:t>........................................</w:t>
      </w:r>
      <w:r w:rsidR="00FF042D">
        <w:rPr>
          <w:color w:val="000000" w:themeColor="text1"/>
        </w:rPr>
        <w:t>..</w:t>
      </w:r>
      <w:r w:rsidR="00BF10CB">
        <w:rPr>
          <w:color w:val="000000" w:themeColor="text1"/>
        </w:rPr>
        <w:t>............5</w:t>
      </w:r>
      <w:r w:rsidR="00161151">
        <w:rPr>
          <w:color w:val="000000" w:themeColor="text1"/>
        </w:rPr>
        <w:t>8</w:t>
      </w:r>
    </w:p>
    <w:p w14:paraId="2CB3F94B" w14:textId="1BEC14CB" w:rsidR="00DF2A48" w:rsidRPr="00DF2A48" w:rsidRDefault="00DF2A48" w:rsidP="00DF2A48">
      <w:pPr>
        <w:spacing w:line="360" w:lineRule="auto"/>
        <w:jc w:val="both"/>
        <w:rPr>
          <w:color w:val="000000" w:themeColor="text1"/>
        </w:rPr>
      </w:pPr>
      <w:r w:rsidRPr="00DF2A48">
        <w:rPr>
          <w:color w:val="000000" w:themeColor="text1"/>
        </w:rPr>
        <w:t>Figure 43: PLS-DA for Inter-condition comparison for pellets</w:t>
      </w:r>
      <w:r w:rsidR="00FF042D">
        <w:rPr>
          <w:color w:val="000000" w:themeColor="text1"/>
        </w:rPr>
        <w:t>......................................................</w:t>
      </w:r>
      <w:r w:rsidR="00161151">
        <w:rPr>
          <w:color w:val="000000" w:themeColor="text1"/>
        </w:rPr>
        <w:t>59</w:t>
      </w:r>
    </w:p>
    <w:p w14:paraId="0F6F8379" w14:textId="02FDB8F2" w:rsidR="00DF2A48" w:rsidRPr="00DF2A48" w:rsidRDefault="00DF2A48" w:rsidP="00DF2A48">
      <w:pPr>
        <w:spacing w:line="360" w:lineRule="auto"/>
        <w:jc w:val="both"/>
        <w:rPr>
          <w:color w:val="000000" w:themeColor="text1"/>
        </w:rPr>
      </w:pPr>
      <w:r w:rsidRPr="00DF2A48">
        <w:rPr>
          <w:color w:val="000000" w:themeColor="text1"/>
        </w:rPr>
        <w:t xml:space="preserve">Figure 44: </w:t>
      </w:r>
      <w:r w:rsidR="00BF10CB">
        <w:rPr>
          <w:color w:val="000000" w:themeColor="text1"/>
        </w:rPr>
        <w:t>3-D</w:t>
      </w:r>
      <w:r w:rsidRPr="00DF2A48">
        <w:rPr>
          <w:color w:val="000000" w:themeColor="text1"/>
        </w:rPr>
        <w:t xml:space="preserve"> PLS-DA for Inter-condition comparison for pellets</w:t>
      </w:r>
      <w:r w:rsidR="00FF042D">
        <w:rPr>
          <w:color w:val="000000" w:themeColor="text1"/>
        </w:rPr>
        <w:t>...............................................6</w:t>
      </w:r>
      <w:r w:rsidR="00161151">
        <w:rPr>
          <w:color w:val="000000" w:themeColor="text1"/>
        </w:rPr>
        <w:t>0</w:t>
      </w:r>
    </w:p>
    <w:p w14:paraId="44136889" w14:textId="305B3B00" w:rsidR="00DF2A48" w:rsidRPr="00DF2A48" w:rsidRDefault="00DF2A48" w:rsidP="00DF2A48">
      <w:pPr>
        <w:spacing w:line="360" w:lineRule="auto"/>
        <w:jc w:val="both"/>
        <w:rPr>
          <w:color w:val="000000" w:themeColor="text1"/>
        </w:rPr>
      </w:pPr>
      <w:r w:rsidRPr="00DF2A48">
        <w:rPr>
          <w:color w:val="000000" w:themeColor="text1"/>
        </w:rPr>
        <w:t>Figure 45: VIP Score plot for Inter-condition comparison for pellets</w:t>
      </w:r>
      <w:r w:rsidR="00FF042D">
        <w:rPr>
          <w:color w:val="000000" w:themeColor="text1"/>
        </w:rPr>
        <w:t>.............................................6</w:t>
      </w:r>
      <w:r w:rsidR="00161151">
        <w:rPr>
          <w:color w:val="000000" w:themeColor="text1"/>
        </w:rPr>
        <w:t>1</w:t>
      </w:r>
    </w:p>
    <w:p w14:paraId="379E36B9" w14:textId="2986E819" w:rsidR="00DF2A48" w:rsidRPr="00DF2A48" w:rsidRDefault="00DF2A48" w:rsidP="00DF2A48">
      <w:pPr>
        <w:spacing w:line="360" w:lineRule="auto"/>
        <w:jc w:val="both"/>
        <w:rPr>
          <w:color w:val="000000" w:themeColor="text1"/>
        </w:rPr>
      </w:pPr>
      <w:r w:rsidRPr="00DF2A48">
        <w:rPr>
          <w:color w:val="000000" w:themeColor="text1"/>
        </w:rPr>
        <w:t>Figure 46: Heatmap for Inter-condition comparison for media</w:t>
      </w:r>
      <w:r w:rsidR="00FF042D">
        <w:rPr>
          <w:color w:val="000000" w:themeColor="text1"/>
        </w:rPr>
        <w:t>.......................................................6</w:t>
      </w:r>
      <w:r w:rsidR="00161151">
        <w:rPr>
          <w:color w:val="000000" w:themeColor="text1"/>
        </w:rPr>
        <w:t>2</w:t>
      </w:r>
    </w:p>
    <w:p w14:paraId="4BA620B6" w14:textId="37708358" w:rsidR="00DF2A48" w:rsidRPr="00DF2A48" w:rsidRDefault="00DF2A48" w:rsidP="00DF2A48">
      <w:pPr>
        <w:spacing w:line="360" w:lineRule="auto"/>
        <w:jc w:val="both"/>
        <w:rPr>
          <w:color w:val="000000" w:themeColor="text1"/>
        </w:rPr>
      </w:pPr>
      <w:r w:rsidRPr="00DF2A48">
        <w:rPr>
          <w:color w:val="000000" w:themeColor="text1"/>
        </w:rPr>
        <w:t>Figure 47: PLS-DA for Inter-condition comparison for media</w:t>
      </w:r>
      <w:r w:rsidR="00FF042D">
        <w:rPr>
          <w:color w:val="000000" w:themeColor="text1"/>
        </w:rPr>
        <w:t>.......................................................</w:t>
      </w:r>
      <w:r w:rsidR="00161151">
        <w:rPr>
          <w:color w:val="000000" w:themeColor="text1"/>
        </w:rPr>
        <w:t>63</w:t>
      </w:r>
    </w:p>
    <w:p w14:paraId="3F41C73A" w14:textId="55BA1E26" w:rsidR="00DF2A48" w:rsidRPr="00DF2A48" w:rsidRDefault="00DF2A48" w:rsidP="00DF2A48">
      <w:pPr>
        <w:spacing w:line="360" w:lineRule="auto"/>
        <w:jc w:val="both"/>
        <w:rPr>
          <w:color w:val="000000" w:themeColor="text1"/>
        </w:rPr>
      </w:pPr>
      <w:r w:rsidRPr="00DF2A48">
        <w:rPr>
          <w:color w:val="000000" w:themeColor="text1"/>
        </w:rPr>
        <w:t>Figure 48: VIP Score plot for Inter-condition comparison for media</w:t>
      </w:r>
      <w:r w:rsidR="00FF042D">
        <w:rPr>
          <w:color w:val="000000" w:themeColor="text1"/>
        </w:rPr>
        <w:t>..............................................</w:t>
      </w:r>
      <w:r w:rsidR="00161151">
        <w:rPr>
          <w:color w:val="000000" w:themeColor="text1"/>
        </w:rPr>
        <w:t>64</w:t>
      </w:r>
    </w:p>
    <w:p w14:paraId="5984BF21" w14:textId="3E7A762C" w:rsidR="00DF2A48" w:rsidRPr="00DF2A48" w:rsidRDefault="00DF2A48" w:rsidP="00DF2A48">
      <w:pPr>
        <w:spacing w:line="360" w:lineRule="auto"/>
        <w:jc w:val="both"/>
        <w:rPr>
          <w:color w:val="000000" w:themeColor="text1"/>
        </w:rPr>
      </w:pPr>
      <w:r w:rsidRPr="00DF2A48">
        <w:rPr>
          <w:color w:val="000000" w:themeColor="text1"/>
        </w:rPr>
        <w:t>Figure 49: Heatmap for Inter-condition comparison for supernatants</w:t>
      </w:r>
      <w:r w:rsidR="00FF042D">
        <w:rPr>
          <w:color w:val="000000" w:themeColor="text1"/>
        </w:rPr>
        <w:t>............................................</w:t>
      </w:r>
      <w:r w:rsidR="00161151">
        <w:rPr>
          <w:color w:val="000000" w:themeColor="text1"/>
        </w:rPr>
        <w:t>65</w:t>
      </w:r>
    </w:p>
    <w:p w14:paraId="54A544A1" w14:textId="7D0905B7" w:rsidR="00DF2A48" w:rsidRPr="00DF2A48" w:rsidRDefault="00DF2A48" w:rsidP="00DF2A48">
      <w:pPr>
        <w:spacing w:line="360" w:lineRule="auto"/>
        <w:jc w:val="both"/>
        <w:rPr>
          <w:color w:val="000000" w:themeColor="text1"/>
        </w:rPr>
      </w:pPr>
      <w:r w:rsidRPr="00DF2A48">
        <w:rPr>
          <w:color w:val="000000" w:themeColor="text1"/>
        </w:rPr>
        <w:t>Figure 50: PLS-DA for Inter-condition comparison for supernatants</w:t>
      </w:r>
      <w:r w:rsidR="00FF042D">
        <w:rPr>
          <w:color w:val="000000" w:themeColor="text1"/>
        </w:rPr>
        <w:t>.............................................</w:t>
      </w:r>
      <w:r w:rsidR="00161151">
        <w:rPr>
          <w:color w:val="000000" w:themeColor="text1"/>
        </w:rPr>
        <w:t>66</w:t>
      </w:r>
    </w:p>
    <w:p w14:paraId="6346C70D" w14:textId="262FDBA4" w:rsidR="00DF2A48" w:rsidRPr="00DF2A48" w:rsidRDefault="00DF2A48" w:rsidP="00DF2A48">
      <w:pPr>
        <w:spacing w:line="360" w:lineRule="auto"/>
        <w:jc w:val="both"/>
        <w:rPr>
          <w:color w:val="000000" w:themeColor="text1"/>
        </w:rPr>
      </w:pPr>
      <w:r w:rsidRPr="00DF2A48">
        <w:rPr>
          <w:color w:val="000000" w:themeColor="text1"/>
        </w:rPr>
        <w:t>Figure 51: Three Dimensional PLS-DA for Inter-condition comparison for supernatants</w:t>
      </w:r>
      <w:r w:rsidR="00FF042D">
        <w:rPr>
          <w:color w:val="000000" w:themeColor="text1"/>
        </w:rPr>
        <w:t>.............</w:t>
      </w:r>
      <w:r w:rsidR="00161151">
        <w:rPr>
          <w:color w:val="000000" w:themeColor="text1"/>
        </w:rPr>
        <w:t>67</w:t>
      </w:r>
    </w:p>
    <w:p w14:paraId="2D4F3383" w14:textId="7A0B399F" w:rsidR="00DF2A48" w:rsidRPr="00DF2A48" w:rsidRDefault="00DF2A48" w:rsidP="00DF2A48">
      <w:pPr>
        <w:spacing w:line="360" w:lineRule="auto"/>
        <w:jc w:val="both"/>
        <w:rPr>
          <w:color w:val="000000" w:themeColor="text1"/>
        </w:rPr>
      </w:pPr>
      <w:r w:rsidRPr="00DF2A48">
        <w:rPr>
          <w:color w:val="000000" w:themeColor="text1"/>
        </w:rPr>
        <w:t>Figure 52: VIP Score plot for Inter-condition comparison for supernatants</w:t>
      </w:r>
      <w:r w:rsidR="00FF042D">
        <w:rPr>
          <w:color w:val="000000" w:themeColor="text1"/>
        </w:rPr>
        <w:t>...................................</w:t>
      </w:r>
      <w:r w:rsidR="00161151">
        <w:rPr>
          <w:color w:val="000000" w:themeColor="text1"/>
        </w:rPr>
        <w:t>69</w:t>
      </w:r>
    </w:p>
    <w:p w14:paraId="5277F0BF" w14:textId="407F2C2D" w:rsidR="00DF2A48" w:rsidRPr="00DF2A48" w:rsidRDefault="00DF2A48" w:rsidP="00DF2A48">
      <w:pPr>
        <w:spacing w:line="360" w:lineRule="auto"/>
        <w:jc w:val="both"/>
        <w:rPr>
          <w:color w:val="000000" w:themeColor="text1"/>
        </w:rPr>
      </w:pPr>
      <w:r w:rsidRPr="00DF2A48">
        <w:rPr>
          <w:color w:val="000000" w:themeColor="text1"/>
        </w:rPr>
        <w:t>Figure 53: PLS-DA for integrated comparison among sample fraction in EMJH (in house) media at 28℃ and 37℃</w:t>
      </w:r>
      <w:r w:rsidR="00FF042D">
        <w:rPr>
          <w:color w:val="000000" w:themeColor="text1"/>
        </w:rPr>
        <w:t>............................................................................................................................</w:t>
      </w:r>
      <w:r w:rsidR="00161151">
        <w:rPr>
          <w:color w:val="000000" w:themeColor="text1"/>
        </w:rPr>
        <w:t>71</w:t>
      </w:r>
    </w:p>
    <w:p w14:paraId="5E5BA627" w14:textId="3277255F" w:rsidR="00DF2A48" w:rsidRPr="00DF2A48" w:rsidRDefault="00DF2A48" w:rsidP="00DF2A48">
      <w:pPr>
        <w:spacing w:line="360" w:lineRule="auto"/>
        <w:jc w:val="both"/>
        <w:rPr>
          <w:color w:val="000000" w:themeColor="text1"/>
        </w:rPr>
      </w:pPr>
      <w:r w:rsidRPr="00DF2A48">
        <w:rPr>
          <w:color w:val="000000" w:themeColor="text1"/>
        </w:rPr>
        <w:t>Figure 54: Three Dimensional PLS-DA for integrated comparison among sample fraction in EMJH (in house) media at 28℃ and 37℃</w:t>
      </w:r>
      <w:r w:rsidR="00FF042D">
        <w:rPr>
          <w:color w:val="000000" w:themeColor="text1"/>
        </w:rPr>
        <w:t>.................................................................................................7</w:t>
      </w:r>
      <w:r w:rsidR="00161151">
        <w:rPr>
          <w:color w:val="000000" w:themeColor="text1"/>
        </w:rPr>
        <w:t>2</w:t>
      </w:r>
    </w:p>
    <w:p w14:paraId="7D020D0B" w14:textId="2ACA5118" w:rsidR="00DF2A48" w:rsidRPr="00DF2A48" w:rsidRDefault="00DF2A48" w:rsidP="00DF2A48">
      <w:pPr>
        <w:spacing w:line="360" w:lineRule="auto"/>
        <w:jc w:val="both"/>
        <w:rPr>
          <w:color w:val="000000" w:themeColor="text1"/>
        </w:rPr>
      </w:pPr>
      <w:r w:rsidRPr="00DF2A48">
        <w:rPr>
          <w:color w:val="000000" w:themeColor="text1"/>
        </w:rPr>
        <w:t>Figure 55: VIP Score plot for integrated comparison among sample fraction in EMJH (in house) media at 28℃ and 37℃</w:t>
      </w:r>
      <w:r w:rsidR="00FF042D">
        <w:rPr>
          <w:color w:val="000000" w:themeColor="text1"/>
        </w:rPr>
        <w:t>..................................................................................................................7</w:t>
      </w:r>
      <w:r w:rsidR="00161151">
        <w:rPr>
          <w:color w:val="000000" w:themeColor="text1"/>
        </w:rPr>
        <w:t>3</w:t>
      </w:r>
    </w:p>
    <w:p w14:paraId="52BB47E5" w14:textId="73491556" w:rsidR="00DF2A48" w:rsidRPr="00DF2A48" w:rsidRDefault="00DF2A48" w:rsidP="00DF2A48">
      <w:pPr>
        <w:spacing w:line="360" w:lineRule="auto"/>
        <w:jc w:val="both"/>
        <w:rPr>
          <w:color w:val="000000" w:themeColor="text1"/>
        </w:rPr>
      </w:pPr>
      <w:r w:rsidRPr="00DF2A48">
        <w:rPr>
          <w:color w:val="000000" w:themeColor="text1"/>
        </w:rPr>
        <w:t>Figure 56: PLS-DA for integrated comparison among sample fraction in EMJH (Difco) media at 28℃ and 37℃</w:t>
      </w:r>
      <w:r w:rsidR="00FF042D">
        <w:rPr>
          <w:color w:val="000000" w:themeColor="text1"/>
        </w:rPr>
        <w:t>................................................................................................................................</w:t>
      </w:r>
      <w:r w:rsidR="00161151">
        <w:rPr>
          <w:color w:val="000000" w:themeColor="text1"/>
        </w:rPr>
        <w:t>74</w:t>
      </w:r>
    </w:p>
    <w:p w14:paraId="75C2016B" w14:textId="6B3263F0" w:rsidR="00DF2A48" w:rsidRPr="00DF2A48" w:rsidRDefault="00DF2A48" w:rsidP="00DF2A48">
      <w:pPr>
        <w:spacing w:line="360" w:lineRule="auto"/>
        <w:jc w:val="both"/>
        <w:rPr>
          <w:color w:val="000000" w:themeColor="text1"/>
        </w:rPr>
      </w:pPr>
      <w:r w:rsidRPr="00DF2A48">
        <w:rPr>
          <w:color w:val="000000" w:themeColor="text1"/>
        </w:rPr>
        <w:lastRenderedPageBreak/>
        <w:t>Figure 57: Three Dimensional PLS-DA for integrated comparison among sample fraction in EMJH (Difco) media at 28℃ and 37℃</w:t>
      </w:r>
      <w:r w:rsidR="00FF042D">
        <w:rPr>
          <w:color w:val="000000" w:themeColor="text1"/>
        </w:rPr>
        <w:t>.....................................................................................................</w:t>
      </w:r>
      <w:r w:rsidR="00161151">
        <w:rPr>
          <w:color w:val="000000" w:themeColor="text1"/>
        </w:rPr>
        <w:t>75</w:t>
      </w:r>
    </w:p>
    <w:p w14:paraId="2EBD4EEC" w14:textId="3255DA22" w:rsidR="00DF2A48" w:rsidRPr="00DF2A48" w:rsidRDefault="00DF2A48" w:rsidP="00DF2A48">
      <w:pPr>
        <w:spacing w:line="360" w:lineRule="auto"/>
        <w:jc w:val="both"/>
        <w:rPr>
          <w:color w:val="000000" w:themeColor="text1"/>
        </w:rPr>
      </w:pPr>
      <w:r w:rsidRPr="00DF2A48">
        <w:rPr>
          <w:color w:val="000000" w:themeColor="text1"/>
        </w:rPr>
        <w:t>Figure 58: VIP Score plot for integrated comparison among sample fraction in EMJH (Difco) media at 28℃ and 37℃</w:t>
      </w:r>
      <w:r w:rsidR="00FF042D">
        <w:rPr>
          <w:color w:val="000000" w:themeColor="text1"/>
        </w:rPr>
        <w:t>..................................................................................................................</w:t>
      </w:r>
      <w:r w:rsidR="00161151">
        <w:rPr>
          <w:color w:val="000000" w:themeColor="text1"/>
        </w:rPr>
        <w:t>76</w:t>
      </w:r>
    </w:p>
    <w:p w14:paraId="2F89808A" w14:textId="04D2DC80" w:rsidR="00DF2A48" w:rsidRPr="00DF2A48" w:rsidRDefault="00DF2A48" w:rsidP="00DF2A48">
      <w:pPr>
        <w:spacing w:line="360" w:lineRule="auto"/>
        <w:jc w:val="both"/>
        <w:rPr>
          <w:color w:val="000000" w:themeColor="text1"/>
        </w:rPr>
      </w:pPr>
      <w:r w:rsidRPr="00DF2A48">
        <w:rPr>
          <w:color w:val="000000" w:themeColor="text1"/>
        </w:rPr>
        <w:t>Figure 59: PLS-DA for integrated comparison among sample fraction in EMJH (in house) &amp;EMJH (Difco)</w:t>
      </w:r>
      <w:r w:rsidR="00161151">
        <w:rPr>
          <w:color w:val="000000" w:themeColor="text1"/>
        </w:rPr>
        <w:t>....</w:t>
      </w:r>
      <w:r w:rsidR="00FF042D">
        <w:rPr>
          <w:color w:val="000000" w:themeColor="text1"/>
        </w:rPr>
        <w:t>........................................................................................................................................</w:t>
      </w:r>
      <w:r w:rsidR="00161151">
        <w:rPr>
          <w:color w:val="000000" w:themeColor="text1"/>
        </w:rPr>
        <w:t>7</w:t>
      </w:r>
      <w:r w:rsidR="00FF042D">
        <w:rPr>
          <w:color w:val="000000" w:themeColor="text1"/>
        </w:rPr>
        <w:t>8</w:t>
      </w:r>
    </w:p>
    <w:p w14:paraId="4914E894" w14:textId="690872F4" w:rsidR="00DF2A48" w:rsidRPr="00DF2A48" w:rsidRDefault="00DF2A48" w:rsidP="00DF2A48">
      <w:pPr>
        <w:spacing w:line="360" w:lineRule="auto"/>
        <w:jc w:val="both"/>
        <w:rPr>
          <w:color w:val="000000" w:themeColor="text1"/>
        </w:rPr>
      </w:pPr>
      <w:r w:rsidRPr="00DF2A48">
        <w:rPr>
          <w:color w:val="000000" w:themeColor="text1"/>
        </w:rPr>
        <w:t>Figure 60: Three Dimensional PLS-DA for integrated comparison among sample fraction in EMJH (in house) &amp;EMJH (Difco) media at 28℃</w:t>
      </w:r>
      <w:r w:rsidR="00FF042D">
        <w:rPr>
          <w:color w:val="000000" w:themeColor="text1"/>
        </w:rPr>
        <w:t>......................................................................................</w:t>
      </w:r>
      <w:r w:rsidR="00161151">
        <w:rPr>
          <w:color w:val="000000" w:themeColor="text1"/>
        </w:rPr>
        <w:t>79</w:t>
      </w:r>
    </w:p>
    <w:p w14:paraId="422B4351" w14:textId="16CA9FA1" w:rsidR="00DF2A48" w:rsidRPr="00DF2A48" w:rsidRDefault="00DF2A48" w:rsidP="00DF2A48">
      <w:pPr>
        <w:spacing w:line="360" w:lineRule="auto"/>
        <w:jc w:val="both"/>
        <w:rPr>
          <w:color w:val="000000" w:themeColor="text1"/>
        </w:rPr>
      </w:pPr>
      <w:r w:rsidRPr="00DF2A48">
        <w:rPr>
          <w:color w:val="000000" w:themeColor="text1"/>
        </w:rPr>
        <w:t>Figure 61: VIP Score plot for integrated comparison among sample fraction in EMJH (in house) &amp;EMJH (Difco) media at 28℃</w:t>
      </w:r>
      <w:r w:rsidR="00FF042D">
        <w:rPr>
          <w:color w:val="000000" w:themeColor="text1"/>
        </w:rPr>
        <w:t>......................................................................................................8</w:t>
      </w:r>
      <w:r w:rsidR="00161151">
        <w:rPr>
          <w:color w:val="000000" w:themeColor="text1"/>
        </w:rPr>
        <w:t>0</w:t>
      </w:r>
    </w:p>
    <w:p w14:paraId="10C25431" w14:textId="0F217397" w:rsidR="00DF2A48" w:rsidRPr="00DF2A48" w:rsidRDefault="00DF2A48" w:rsidP="00DF2A48">
      <w:pPr>
        <w:spacing w:line="360" w:lineRule="auto"/>
        <w:jc w:val="both"/>
        <w:rPr>
          <w:color w:val="000000" w:themeColor="text1"/>
        </w:rPr>
      </w:pPr>
      <w:r w:rsidRPr="00DF2A48">
        <w:rPr>
          <w:color w:val="000000" w:themeColor="text1"/>
        </w:rPr>
        <w:t>Figure 62: PLS-DA for integrated comparison among sample fraction in EMJH (in house) &amp;EMJH (Difco) media at 37℃</w:t>
      </w:r>
      <w:r w:rsidR="00FF042D">
        <w:rPr>
          <w:color w:val="000000" w:themeColor="text1"/>
        </w:rPr>
        <w:t>.....................................................................................................................8</w:t>
      </w:r>
      <w:r w:rsidR="00161151">
        <w:rPr>
          <w:color w:val="000000" w:themeColor="text1"/>
        </w:rPr>
        <w:t>1</w:t>
      </w:r>
    </w:p>
    <w:p w14:paraId="0A24A682" w14:textId="18CD384F" w:rsidR="00DF2A48" w:rsidRPr="00DF2A48" w:rsidRDefault="00DF2A48" w:rsidP="00DF2A48">
      <w:pPr>
        <w:spacing w:line="360" w:lineRule="auto"/>
        <w:jc w:val="both"/>
        <w:rPr>
          <w:color w:val="000000" w:themeColor="text1"/>
        </w:rPr>
      </w:pPr>
      <w:r w:rsidRPr="00DF2A48">
        <w:rPr>
          <w:color w:val="000000" w:themeColor="text1"/>
        </w:rPr>
        <w:t>Figure 63: Three Dimensional PLS-DA for integrated comparison among sample fraction in EMJH (in house) &amp;EMJH (Difco) media at 37℃</w:t>
      </w:r>
      <w:r w:rsidR="00FF042D">
        <w:rPr>
          <w:color w:val="000000" w:themeColor="text1"/>
        </w:rPr>
        <w:t>......................................................................................8</w:t>
      </w:r>
      <w:r w:rsidR="00161151">
        <w:rPr>
          <w:color w:val="000000" w:themeColor="text1"/>
        </w:rPr>
        <w:t>2</w:t>
      </w:r>
    </w:p>
    <w:p w14:paraId="3B148060" w14:textId="5B3D66A8" w:rsidR="00DF2A48" w:rsidRPr="00DF2A48" w:rsidRDefault="00DF2A48" w:rsidP="00DF2A48">
      <w:pPr>
        <w:spacing w:line="360" w:lineRule="auto"/>
        <w:jc w:val="both"/>
        <w:rPr>
          <w:color w:val="000000" w:themeColor="text1"/>
        </w:rPr>
      </w:pPr>
      <w:r w:rsidRPr="00DF2A48">
        <w:rPr>
          <w:color w:val="000000" w:themeColor="text1"/>
        </w:rPr>
        <w:t>Figure 64: VIP Score plot for integrated comparison among sample fraction in EMJH (in house) &amp;EMJH (Difco) media at 37℃</w:t>
      </w:r>
      <w:r w:rsidR="00FF042D">
        <w:rPr>
          <w:color w:val="000000" w:themeColor="text1"/>
        </w:rPr>
        <w:t>......................................................................................................8</w:t>
      </w:r>
      <w:r w:rsidR="00161151">
        <w:rPr>
          <w:color w:val="000000" w:themeColor="text1"/>
        </w:rPr>
        <w:t>3</w:t>
      </w:r>
    </w:p>
    <w:p w14:paraId="1C8DB0BA" w14:textId="77777777" w:rsidR="00DF2A48" w:rsidRPr="00DF2A48" w:rsidRDefault="00DF2A48" w:rsidP="00DF2A48">
      <w:pPr>
        <w:spacing w:line="360" w:lineRule="auto"/>
        <w:rPr>
          <w:color w:val="000000" w:themeColor="text1"/>
        </w:rPr>
      </w:pPr>
    </w:p>
    <w:p w14:paraId="02C19ED9" w14:textId="77777777" w:rsidR="00DF2A48" w:rsidRPr="00DF2A48" w:rsidRDefault="00DF2A48" w:rsidP="00DF2A48">
      <w:pPr>
        <w:spacing w:line="360" w:lineRule="auto"/>
        <w:rPr>
          <w:color w:val="000000" w:themeColor="text1"/>
        </w:rPr>
      </w:pPr>
    </w:p>
    <w:p w14:paraId="3D711D89" w14:textId="23D58F80" w:rsidR="002D55EC" w:rsidRDefault="002D55EC" w:rsidP="00DF2A48">
      <w:pPr>
        <w:spacing w:line="360" w:lineRule="auto"/>
        <w:rPr>
          <w:color w:val="000000" w:themeColor="text1"/>
        </w:rPr>
        <w:sectPr w:rsidR="002D55EC" w:rsidSect="002D55EC">
          <w:footerReference w:type="even" r:id="rId8"/>
          <w:footerReference w:type="default" r:id="rId9"/>
          <w:pgSz w:w="12240" w:h="15840"/>
          <w:pgMar w:top="1440" w:right="1440" w:bottom="1440" w:left="1440" w:header="720" w:footer="720" w:gutter="0"/>
          <w:pgNumType w:fmt="lowerRoman" w:start="1"/>
          <w:cols w:space="720"/>
          <w:titlePg/>
          <w:docGrid w:linePitch="360"/>
        </w:sectPr>
      </w:pPr>
    </w:p>
    <w:p w14:paraId="1931F8CC" w14:textId="77777777" w:rsidR="002D55EC" w:rsidRDefault="002D55EC" w:rsidP="00DF2A48">
      <w:pPr>
        <w:spacing w:line="360" w:lineRule="auto"/>
        <w:rPr>
          <w:color w:val="000000" w:themeColor="text1"/>
        </w:rPr>
        <w:sectPr w:rsidR="002D55EC" w:rsidSect="002D55EC">
          <w:type w:val="continuous"/>
          <w:pgSz w:w="12240" w:h="15840"/>
          <w:pgMar w:top="1440" w:right="1440" w:bottom="1440" w:left="1440" w:header="720" w:footer="720" w:gutter="0"/>
          <w:pgNumType w:fmt="lowerRoman" w:start="1"/>
          <w:cols w:space="720"/>
          <w:titlePg/>
          <w:docGrid w:linePitch="360"/>
        </w:sectPr>
      </w:pPr>
    </w:p>
    <w:p w14:paraId="6CD27D10" w14:textId="77777777" w:rsidR="00DF2A48" w:rsidRPr="00DF2A48" w:rsidRDefault="00DF2A48" w:rsidP="00DF2A48">
      <w:pPr>
        <w:spacing w:line="360" w:lineRule="auto"/>
        <w:jc w:val="center"/>
        <w:rPr>
          <w:b/>
          <w:bCs/>
          <w:color w:val="000000" w:themeColor="text1"/>
        </w:rPr>
      </w:pPr>
      <w:r w:rsidRPr="00DF2A48">
        <w:rPr>
          <w:b/>
          <w:bCs/>
          <w:color w:val="000000" w:themeColor="text1"/>
        </w:rPr>
        <w:lastRenderedPageBreak/>
        <w:t>Chapter 1</w:t>
      </w:r>
    </w:p>
    <w:p w14:paraId="6214B5B0" w14:textId="77777777" w:rsidR="00DF2A48" w:rsidRPr="00DF2A48" w:rsidRDefault="00DF2A48" w:rsidP="00DF2A48">
      <w:pPr>
        <w:spacing w:line="360" w:lineRule="auto"/>
        <w:jc w:val="center"/>
        <w:rPr>
          <w:b/>
          <w:bCs/>
          <w:color w:val="000000" w:themeColor="text1"/>
        </w:rPr>
      </w:pPr>
      <w:r w:rsidRPr="00DF2A48">
        <w:rPr>
          <w:b/>
          <w:bCs/>
          <w:color w:val="000000" w:themeColor="text1"/>
        </w:rPr>
        <w:t>Introduction</w:t>
      </w:r>
    </w:p>
    <w:p w14:paraId="483CB341" w14:textId="69C7F774" w:rsidR="004560CB" w:rsidRPr="00DF2A48" w:rsidRDefault="00DF2A48" w:rsidP="00DF2A48">
      <w:pPr>
        <w:spacing w:line="360" w:lineRule="auto"/>
        <w:rPr>
          <w:b/>
          <w:bCs/>
          <w:color w:val="000000" w:themeColor="text1"/>
        </w:rPr>
      </w:pPr>
      <w:r w:rsidRPr="00DF2A48">
        <w:rPr>
          <w:b/>
          <w:bCs/>
          <w:i/>
          <w:iCs/>
          <w:color w:val="000000" w:themeColor="text1"/>
        </w:rPr>
        <w:t>Leptospira</w:t>
      </w:r>
      <w:r w:rsidRPr="00DF2A48">
        <w:rPr>
          <w:b/>
          <w:bCs/>
          <w:color w:val="000000" w:themeColor="text1"/>
        </w:rPr>
        <w:t xml:space="preserve"> and leptospirosis</w:t>
      </w:r>
    </w:p>
    <w:p w14:paraId="24081BD8" w14:textId="5681F015" w:rsidR="00DF2A48" w:rsidRPr="005C0725" w:rsidRDefault="00DF2A48" w:rsidP="002F04D4">
      <w:pPr>
        <w:spacing w:line="360" w:lineRule="auto"/>
      </w:pPr>
      <w:r w:rsidRPr="005C0725">
        <w:t>Leptospirosis is a significant zoonotic disease caused by spirochetes of the genus</w:t>
      </w:r>
      <w:r w:rsidR="00073673" w:rsidRPr="005C0725">
        <w:t xml:space="preserve"> </w:t>
      </w:r>
      <w:proofErr w:type="spellStart"/>
      <w:r w:rsidR="00073673" w:rsidRPr="005914F5">
        <w:rPr>
          <w:i/>
          <w:iCs/>
        </w:rPr>
        <w:t>leptospira</w:t>
      </w:r>
      <w:proofErr w:type="spellEnd"/>
      <w:r w:rsidR="00073673" w:rsidRPr="005C0725">
        <w:t>.</w:t>
      </w:r>
      <w:r w:rsidRPr="005C0725">
        <w:t xml:space="preserve"> It is prevalent globally, affecting both humans and a wide range of animals.</w:t>
      </w:r>
      <w:r w:rsidRPr="005914F5">
        <w:rPr>
          <w:vertAlign w:val="superscript"/>
        </w:rPr>
        <w:fldChar w:fldCharType="begin" w:fldLock="1"/>
      </w:r>
      <w:r w:rsidR="00073673" w:rsidRPr="005914F5">
        <w:rPr>
          <w:vertAlign w:val="superscript"/>
        </w:rPr>
        <w:instrText>ADDIN CSL_CITATION {"citationItems":[{"id":"ITEM-1","itemData":{"DOI":"10.1371/JOURNAL.PNTD.0003898',","ISSN":"1935-2735","author":[{"dropping-particle":"","family":"Costa","given":"Federico","non-dropping-particle":"","parse-names":false,"suffix":""},{"dropping-particle":"","family":"Hagan","given":"José E.","non-dropping-particle":"","parse-names":false,"suffix":""},{"dropping-particle":"","family":"Calcagno","given":"Juan","non-dropping-particle":"","parse-names":false,"suffix":""},{"dropping-particle":"","family":"Kane","given":"Michael","non-dropping-particle":"","parse-names":false,"suffix":""},{"dropping-particle":"","family":"Torgerson","given":"Paul","non-dropping-particle":"","parse-names":false,"suffix":""},{"dropping-particle":"","family":"Martinez-Silveira","given":"Martha S.","non-dropping-particle":"","parse-names":false,"suffix":""},{"dropping-particle":"","family":"Stein","given":"Claudia","non-dropping-particle":"","parse-names":false,"suffix":""},{"dropping-particle":"","family":"Abela-Ridder","given":"Bernadette","non-dropping-particle":"","parse-names":false,"suffix":""},{"dropping-particle":"","family":"Ko","given":"Albert I.","non-dropping-particle":"","parse-names":false,"suffix":""}],"container-title":"PLOS Neglected Tropical Diseases","editor":[{"dropping-particle":"","family":"Small","given":"Pamela L. C.","non-dropping-particle":"","parse-names":false,"suffix":""}],"id":"ITEM-1","issue":"9","issued":{"date-parts":[["2015","9","17"]]},"page":"e0003898","title":"Global Morbidity and Mortality of Leptospirosis: A Systematic Review","type":"article-journal","volume":"9"},"uris":["http://www.mendeley.com/documents/?uuid=aae19cdd-390e-3a20-bde6-e6d351425a13"]}],"mendeley":{"formattedCitation":"&lt;sup&gt;1&lt;/sup&gt;","plainTextFormattedCitation":"1","previouslyFormattedCitation":"&lt;sup&gt;1&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1</w:t>
      </w:r>
      <w:r w:rsidRPr="005914F5">
        <w:rPr>
          <w:vertAlign w:val="superscript"/>
        </w:rPr>
        <w:fldChar w:fldCharType="end"/>
      </w:r>
      <w:r w:rsidRPr="005C0725">
        <w:t xml:space="preserve"> Leptospirosis is also known as Weil’s disease, after its first discovery in 1886 by Adolph Weil.</w:t>
      </w:r>
      <w:r w:rsidRPr="005914F5">
        <w:rPr>
          <w:vertAlign w:val="superscript"/>
        </w:rPr>
        <w:fldChar w:fldCharType="begin" w:fldLock="1"/>
      </w:r>
      <w:r w:rsidR="00073673" w:rsidRPr="005914F5">
        <w:rPr>
          <w:vertAlign w:val="superscript"/>
        </w:rPr>
        <w:instrText>ADDIN CSL_CITATION {"citationItems":[{"id":"ITEM-1","itemData":{"DOI":"10.1007/978-3-662-45059-8_1","ISBN":"978-3-662-45059-8","ISSN":"2196-9965","PMID":"25388129","abstract":"Leptospira was isolated and identified as the causative agent of the severe human syndrome Weil’s diseaseWeil’s disease\n               about 100 years ago almost simultaneously, but independently, by workers in Japan and Europe. Since...","author":[{"dropping-particle":"","family":"Adler","given":"Ben","non-dropping-particle":"","parse-names":false,"suffix":""}],"container-title":"Current Topics in Microbiology and Immunology","id":"ITEM-1","issued":{"date-parts":[["2015"]]},"page":"1-9","publisher":"Springer, Berlin, Heidelberg","title":"History of Leptospirosis and Leptospira","type":"article-journal","volume":"387"},"uris":["http://www.mendeley.com/documents/?uuid=29a3c3c3-6852-3882-8887-0a8ed0dd999f"]}],"mendeley":{"formattedCitation":"&lt;sup&gt;2&lt;/sup&gt;","plainTextFormattedCitation":"2","previouslyFormattedCitation":"&lt;sup&gt;2&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w:t>
      </w:r>
      <w:r w:rsidRPr="005914F5">
        <w:rPr>
          <w:vertAlign w:val="superscript"/>
        </w:rPr>
        <w:fldChar w:fldCharType="end"/>
      </w:r>
      <w:r w:rsidRPr="005C0725">
        <w:t xml:space="preserve"> The symptoms noted by Adolph Weil for leptospirosis was jaundice, kidney complications, eye inflammation, enlarged spleen, and skin rashes.</w:t>
      </w:r>
      <w:r w:rsidRPr="005914F5">
        <w:rPr>
          <w:vertAlign w:val="superscript"/>
        </w:rPr>
        <w:fldChar w:fldCharType="begin" w:fldLock="1"/>
      </w:r>
      <w:r w:rsidR="00073673" w:rsidRPr="005914F5">
        <w:rPr>
          <w:vertAlign w:val="superscript"/>
        </w:rPr>
        <w:instrText>ADDIN CSL_CITATION {"citationItems":[{"id":"ITEM-1","itemData":{"DOI":"10.1007/978-3-662-45059-8_1","ISBN":"978-3-662-45059-8","ISSN":"2196-9965","PMID":"25388129","abstract":"Leptospira was isolated and identified as the causative agent of the severe human syndrome Weil’s diseaseWeil’s disease\n               about 100 years ago almost simultaneously, but independently, by workers in Japan and Europe. Since...","author":[{"dropping-particle":"","family":"Adler","given":"Ben","non-dropping-particle":"","parse-names":false,"suffix":""}],"container-title":"Current Topics in Microbiology and Immunology","id":"ITEM-1","issued":{"date-parts":[["2015"]]},"page":"1-9","publisher":"Springer, Berlin, Heidelberg","title":"History of Leptospirosis and Leptospira","type":"article-journal","volume":"387"},"uris":["http://www.mendeley.com/documents/?uuid=29a3c3c3-6852-3882-8887-0a8ed0dd999f"]}],"mendeley":{"formattedCitation":"&lt;sup&gt;2&lt;/sup&gt;","plainTextFormattedCitation":"2","previouslyFormattedCitation":"&lt;sup&gt;2&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w:t>
      </w:r>
      <w:r w:rsidRPr="005914F5">
        <w:rPr>
          <w:vertAlign w:val="superscript"/>
        </w:rPr>
        <w:fldChar w:fldCharType="end"/>
      </w:r>
      <w:r w:rsidRPr="005C0725">
        <w:t xml:space="preserve">  Until 1900, the cause of Weil’s disease was not attributed to </w:t>
      </w:r>
      <w:r w:rsidRPr="004F63BE">
        <w:rPr>
          <w:rFonts w:eastAsiaTheme="majorEastAsia"/>
          <w:i/>
          <w:iCs/>
        </w:rPr>
        <w:t>Leptospira</w:t>
      </w:r>
      <w:r w:rsidRPr="005C0725">
        <w:rPr>
          <w:rFonts w:eastAsiaTheme="majorEastAsia"/>
        </w:rPr>
        <w:t xml:space="preserve">. In 1907, when </w:t>
      </w:r>
      <w:proofErr w:type="spellStart"/>
      <w:r w:rsidRPr="005914F5">
        <w:rPr>
          <w:rFonts w:eastAsiaTheme="majorEastAsia"/>
          <w:i/>
          <w:iCs/>
        </w:rPr>
        <w:t>leptospira</w:t>
      </w:r>
      <w:proofErr w:type="spellEnd"/>
      <w:r w:rsidRPr="005C0725">
        <w:rPr>
          <w:rFonts w:eastAsiaTheme="majorEastAsia"/>
        </w:rPr>
        <w:t xml:space="preserve"> was first observed in a patient suspected of yellow fever, later in 1917 this virulent pathogen was distinctively linked to leptospirosis based on a study on Japanese coal miners.</w:t>
      </w:r>
      <w:r w:rsidRPr="005914F5">
        <w:rPr>
          <w:rFonts w:eastAsiaTheme="majorEastAsia"/>
          <w:vertAlign w:val="superscript"/>
        </w:rPr>
        <w:fldChar w:fldCharType="begin" w:fldLock="1"/>
      </w:r>
      <w:r w:rsidR="00073673" w:rsidRPr="005914F5">
        <w:rPr>
          <w:rFonts w:eastAsiaTheme="majorEastAsia"/>
          <w:vertAlign w:val="superscript"/>
        </w:rPr>
        <w:instrText>ADDIN CSL_CITATION {"citationItems":[{"id":"ITEM-1","itemData":{"DOI":"10.1007/978-3-662-45059-8_1","ISBN":"978-3-662-45059-8","ISSN":"2196-9965","PMID":"25388129","abstract":"Leptospira was isolated and identified as the causative agent of the severe human syndrome Weil’s diseaseWeil’s disease\n               about 100 years ago almost simultaneously, but independently, by workers in Japan and Europe. Since...","author":[{"dropping-particle":"","family":"Adler","given":"Ben","non-dropping-particle":"","parse-names":false,"suffix":""}],"container-title":"Current Topics in Microbiology and Immunology","id":"ITEM-1","issued":{"date-parts":[["2015"]]},"page":"1-9","publisher":"Springer, Berlin, Heidelberg","title":"History of Leptospirosis and Leptospira","type":"article-journal","volume":"387"},"uris":["http://www.mendeley.com/documents/?uuid=29a3c3c3-6852-3882-8887-0a8ed0dd999f"]}],"mendeley":{"formattedCitation":"&lt;sup&gt;2&lt;/sup&gt;","plainTextFormattedCitation":"2","previouslyFormattedCitation":"&lt;sup&gt;2&lt;/sup&gt;"},"properties":{"noteIndex":0},"schema":"https://github.com/citation-style-language/schema/raw/master/csl-citation.json"}</w:instrText>
      </w:r>
      <w:r w:rsidRPr="005914F5">
        <w:rPr>
          <w:rFonts w:eastAsiaTheme="majorEastAsia"/>
          <w:vertAlign w:val="superscript"/>
        </w:rPr>
        <w:fldChar w:fldCharType="separate"/>
      </w:r>
      <w:r w:rsidR="001F530E" w:rsidRPr="005914F5">
        <w:rPr>
          <w:rFonts w:eastAsiaTheme="majorEastAsia"/>
          <w:noProof/>
          <w:vertAlign w:val="superscript"/>
        </w:rPr>
        <w:t>2</w:t>
      </w:r>
      <w:r w:rsidRPr="005914F5">
        <w:rPr>
          <w:rFonts w:eastAsiaTheme="majorEastAsia"/>
          <w:vertAlign w:val="superscript"/>
        </w:rPr>
        <w:fldChar w:fldCharType="end"/>
      </w:r>
      <w:r w:rsidRPr="005914F5">
        <w:rPr>
          <w:rFonts w:eastAsiaTheme="majorEastAsia"/>
          <w:vertAlign w:val="superscript"/>
        </w:rPr>
        <w:t>,</w:t>
      </w:r>
      <w:r w:rsidRPr="005914F5">
        <w:rPr>
          <w:rFonts w:eastAsiaTheme="majorEastAsia"/>
          <w:vertAlign w:val="superscript"/>
        </w:rPr>
        <w:fldChar w:fldCharType="begin" w:fldLock="1"/>
      </w:r>
      <w:r w:rsidR="00073673" w:rsidRPr="005914F5">
        <w:rPr>
          <w:rFonts w:eastAsiaTheme="majorEastAsia"/>
          <w:vertAlign w:val="superscript"/>
        </w:rPr>
        <w:instrText>ADDIN CSL_CITATION {"citationItems":[{"id":"ITEM-1","itemData":{"DOI":"10.1084/jem.23.3.377","ISSN":"15409538","PMID":"19867994","author":[{"dropping-particle":"","family":"Inada","given":"Ryokichi","non-dropping-particle":"","parse-names":false,"suffix":""},{"dropping-particle":"","family":"Ido","given":"Yutaka","non-dropping-particle":"","parse-names":false,"suffix":""},{"dropping-particle":"","family":"Hoki","given":"Rokuro","non-dropping-particle":"","parse-names":false,"suffix":""},{"dropping-particle":"","family":"Kaneko","given":"Renjiro","non-dropping-particle":"","parse-names":false,"suffix":""},{"dropping-particle":"","family":"Ito","given":"Hiroshi","non-dropping-particle":"","parse-names":false,"suffix":""}],"container-title":"Journal of Experimental Medicine.","id":"ITEM-1","issue":"3","issued":{"date-parts":[["1916","3","1"]]},"page":"377-402","title":"The etiology, mode of infection, and specific therapy of Weil’s disease. (Spirochaetosis icterohaemorrhagica)","type":"article-journal","volume":"23"},"uris":["http://www.mendeley.com/documents/?uuid=624a5c50-ef2f-3cf4-8be5-ec29552e7d56"]}],"mendeley":{"formattedCitation":"&lt;sup&gt;3&lt;/sup&gt;","plainTextFormattedCitation":"3","previouslyFormattedCitation":"&lt;sup&gt;3&lt;/sup&gt;"},"properties":{"noteIndex":0},"schema":"https://github.com/citation-style-language/schema/raw/master/csl-citation.json"}</w:instrText>
      </w:r>
      <w:r w:rsidRPr="005914F5">
        <w:rPr>
          <w:rFonts w:eastAsiaTheme="majorEastAsia"/>
          <w:vertAlign w:val="superscript"/>
        </w:rPr>
        <w:fldChar w:fldCharType="separate"/>
      </w:r>
      <w:r w:rsidR="001F530E" w:rsidRPr="005914F5">
        <w:rPr>
          <w:rFonts w:eastAsiaTheme="majorEastAsia"/>
          <w:noProof/>
          <w:vertAlign w:val="superscript"/>
        </w:rPr>
        <w:t>3</w:t>
      </w:r>
      <w:r w:rsidRPr="005914F5">
        <w:rPr>
          <w:rFonts w:eastAsiaTheme="majorEastAsia"/>
          <w:vertAlign w:val="superscript"/>
        </w:rPr>
        <w:fldChar w:fldCharType="end"/>
      </w:r>
      <w:r w:rsidRPr="005914F5">
        <w:rPr>
          <w:rFonts w:eastAsiaTheme="majorEastAsia"/>
          <w:vertAlign w:val="superscript"/>
        </w:rPr>
        <w:t>,</w:t>
      </w:r>
      <w:r w:rsidRPr="005914F5">
        <w:rPr>
          <w:rFonts w:eastAsiaTheme="majorEastAsia"/>
          <w:vertAlign w:val="superscript"/>
        </w:rPr>
        <w:fldChar w:fldCharType="begin" w:fldLock="1"/>
      </w:r>
      <w:r w:rsidR="00073673" w:rsidRPr="005914F5">
        <w:rPr>
          <w:rFonts w:eastAsiaTheme="majorEastAsia"/>
          <w:vertAlign w:val="superscript"/>
        </w:rPr>
        <w:instrText>ADDIN CSL_CITATION {"citationItems":[{"id":"ITEM-1","itemData":{"author":[{"dropping-particle":"","family":"Arean","given":"Victor M","non-dropping-particle":"","parse-names":false,"suffix":""}],"container-title":"The American journal of pathology","id":"ITEM-1","issue":"4","issued":{"date-parts":[["1962"]]},"page":"393","title":"The pathologic anatomy and pathogenesis of fatal human leptospirosis (Weil's disease)","type":"article-journal","volume":"40"},"uris":["http://www.mendeley.com/documents/?uuid=a2926bf4-5145-4cde-b147-ea543b54d868"]}],"mendeley":{"formattedCitation":"&lt;sup&gt;4&lt;/sup&gt;","plainTextFormattedCitation":"4","previouslyFormattedCitation":"&lt;sup&gt;4&lt;/sup&gt;"},"properties":{"noteIndex":0},"schema":"https://github.com/citation-style-language/schema/raw/master/csl-citation.json"}</w:instrText>
      </w:r>
      <w:r w:rsidRPr="005914F5">
        <w:rPr>
          <w:rFonts w:eastAsiaTheme="majorEastAsia"/>
          <w:vertAlign w:val="superscript"/>
        </w:rPr>
        <w:fldChar w:fldCharType="separate"/>
      </w:r>
      <w:r w:rsidR="001F530E" w:rsidRPr="005914F5">
        <w:rPr>
          <w:rFonts w:eastAsiaTheme="majorEastAsia"/>
          <w:noProof/>
          <w:vertAlign w:val="superscript"/>
        </w:rPr>
        <w:t>4</w:t>
      </w:r>
      <w:r w:rsidRPr="005914F5">
        <w:rPr>
          <w:rFonts w:eastAsiaTheme="majorEastAsia"/>
          <w:vertAlign w:val="superscript"/>
        </w:rPr>
        <w:fldChar w:fldCharType="end"/>
      </w:r>
      <w:r w:rsidRPr="005C0725">
        <w:rPr>
          <w:rFonts w:eastAsiaTheme="majorEastAsia"/>
        </w:rPr>
        <w:t xml:space="preserve"> </w:t>
      </w:r>
      <w:r w:rsidRPr="005C0725">
        <w:t>Extreme leptospirosis,  also known as Weil’s disease, which result into multi-organ failure, jaundice, pulmonary hemorrhage, and acute renal and hepatic complications</w:t>
      </w:r>
      <w:r w:rsidR="005914F5">
        <w:t>.</w:t>
      </w:r>
      <w:r w:rsidRPr="005914F5">
        <w:rPr>
          <w:vertAlign w:val="superscript"/>
        </w:rPr>
        <w:fldChar w:fldCharType="begin" w:fldLock="1"/>
      </w:r>
      <w:r w:rsidR="00073673" w:rsidRPr="005914F5">
        <w:rPr>
          <w:vertAlign w:val="superscript"/>
        </w:rPr>
        <w:instrText>ADDIN CSL_CITATION {"citationItems":[{"id":"ITEM-1","itemData":{"DOI":"10.1007/978-3-662-45059-8_5","ISBN":"978-3-662-45059-8","ISSN":"2196-9965","PMID":"25388133","abstract":"LeptospirosisLeptospirosis\n               is a widespread and potentially fatal zoonosis that is endemic in many tropical regions and causes large epidemics after heavy rainfall and flooding. Infection results from direct or indirect exposure to...","author":[{"dropping-particle":"","family":"Haake","given":"David A.","non-dropping-particle":"","parse-names":false,"suffix":""},{"dropping-particle":"","family":"Levett","given":"Paul N.","non-dropping-particle":"","parse-names":false,"suffix":""}],"container-title":"Current Topics in Microbiology and Immunology","id":"ITEM-1","issued":{"date-parts":[["2015"]]},"page":"65-97","publisher":"Springer, Berlin, Heidelberg","title":"Leptospirosis in Humans","type":"article-journal","volume":"387"},"uris":["http://www.mendeley.com/documents/?uuid=72aca1c6-c5dc-3eca-87e5-2d1de97f9d44"]}],"mendeley":{"formattedCitation":"&lt;sup&gt;5&lt;/sup&gt;","plainTextFormattedCitation":"5","previouslyFormattedCitation":"&lt;sup&gt;5&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5</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{"citationItems":[{"id":"ITEM-1","itemData":{"DOI":"10.1038/NRMICRO.2017.5","ISSN":"17401534","PMID":"28260786","abstract":"Pathogenic leptospires are the bacterial agents of leptospirosis, which is an emerging zoonotic disease that affects animals and humans worldwide. The success of leptospires as pathogens is explained by their spiral shape and endoflagellar motility (which enable these spirochetes to rapidly cross connective tissues and barriers), as well as by their ability to escape or hijack the host immune system. However, the basic biology and virulence factors of leptospires remain poorly characterized. In this Review, we discuss the recent advances in our understanding of the epidemiology, taxonomy, genomics and the molecular basis of virulence in leptospires, and how these properties contribute to the mechanism of pathogenesis of leptospirosis.","author":[{"dropping-particle":"","family":"Picardeau","given":"Mathieu","non-dropping-particle":"","parse-names":false,"suffix":""}],"container-title":"Nature Reviews Microbiology","id":"ITEM-1","issue":"5","issued":{"date-parts":[["2017","4","10"]]},"page":"297-307","publisher":"Nature Publishing Group","title":"Virulence of the zoonotic agent of leptospirosis: Still terra incognita?","type":"article-journal","volume":"15"},"uris":["http://www.mendeley.com/documents/?uuid=9761ac25-337a-39b1-9638-944d0451e4c7"]}],"mendeley":{"formattedCitation":"&lt;sup&gt;6&lt;/sup&gt;","plainTextFormattedCitation":"6","previouslyFormattedCitation":"&lt;sup&gt;6&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6</w:t>
      </w:r>
      <w:r w:rsidRPr="005914F5">
        <w:rPr>
          <w:vertAlign w:val="superscript"/>
        </w:rPr>
        <w:fldChar w:fldCharType="end"/>
      </w:r>
    </w:p>
    <w:p w14:paraId="6620EC08" w14:textId="60032F62" w:rsidR="00DF2A48" w:rsidRPr="005914F5" w:rsidRDefault="00DF2A48" w:rsidP="002F04D4">
      <w:pPr>
        <w:spacing w:line="360" w:lineRule="auto"/>
      </w:pPr>
      <w:r w:rsidRPr="005914F5">
        <w:t>The clinical symptoms of leptospirosis in humans are varied, spanning from mild, flu-like symptoms to often life-threatening ones. The diagnosis of leptospirosis is often complicated, especially in the tropical region because of co-circulating diseases with similar symptoms.</w:t>
      </w:r>
      <w:r w:rsidRPr="005914F5">
        <w:rPr>
          <w:vertAlign w:val="superscript"/>
        </w:rPr>
        <w:fldChar w:fldCharType="begin" w:fldLock="1"/>
      </w:r>
      <w:r w:rsidR="00073673" w:rsidRPr="005914F5">
        <w:rPr>
          <w:vertAlign w:val="superscript"/>
        </w:rPr>
        <w:instrText>ADDIN CSL_CITATION {"citationItems":[{"id":"ITEM-1","itemData":{"DOI":"10.4269/ajtmh.18-0629","author":[{"dropping-particle":"","family":"Goarant","given":"Cyrille","non-dropping-particle":"","parse-names":false,"suffix":""},{"dropping-particle":"","family":"Tarantola","given":"Arnaud","non-dropping-particle":"","parse-names":false,"suffix":""}],"container-title":"The American Journal of Tropical Medicine and Hygiene","id":"ITEM-1","issued":{"date-parts":[["2018","10","8"]]},"title":"Leptospirosis in French Historical Medical Literature: Weil’s Disease or Kelsch’s Disease?","type":"article-journal","volume":"99"},"uris":["http://www.mendeley.com/documents/?uuid=6584616c-ac93-419d-8eeb-e043dc1d8210"]}],"mendeley":{"formattedCitation":"&lt;sup&gt;7&lt;/sup&gt;","plainTextFormattedCitation":"7","previouslyFormattedCitation":"&lt;sup&gt;7&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7</w:t>
      </w:r>
      <w:r w:rsidRPr="005914F5">
        <w:rPr>
          <w:vertAlign w:val="superscript"/>
        </w:rPr>
        <w:fldChar w:fldCharType="end"/>
      </w:r>
      <w:r w:rsidRPr="005914F5">
        <w:t xml:space="preserve"> While typically more prevalent in rural area with warm and humid climate, leptospirosis is also highly prevalent in urban areas as it transmits through contaminated water and soil.</w:t>
      </w:r>
      <w:r w:rsidRPr="005914F5">
        <w:rPr>
          <w:vertAlign w:val="superscript"/>
        </w:rPr>
        <w:fldChar w:fldCharType="begin" w:fldLock="1"/>
      </w:r>
      <w:r w:rsidR="00073673" w:rsidRPr="005914F5">
        <w:rPr>
          <w:vertAlign w:val="superscript"/>
        </w:rPr>
        <w:instrText>ADDIN CSL_CITATION {"citationItems":[{"id":"ITEM-1","itemData":{"DOI":"10.1371/JOURNAL.PONE.0227055;","ISSN":"19326203","PMID":"31986154","abstract":"Background Leptospirosis, caused by pathogenic Leptospira, is a zoonosis of global distribution. This infectious disease is mainly transmitted by indirect exposure to urine of asymptomatic animals via the environment. As human cases generally occur after heavy rain, an emerging hypothesis suggests that rainfall re-suspend leptospires together with soil particles. Bacteria are then carried to surface water, where humans get exposed. It is currently assumed that pathogenic leptospires can survive in the environment but do not multiply. However, little is known on their capacity to survive in a soil and freshwater environment. Methods We conducted a systematic review on Leptospira and leptospirosis in the environment in order to collect current knowledge on the lifestyle of Leptospira in soil and water. In total, 86 scientific articles retrieved from online databases or institutional libraries were included in this study. Principals findings/significance This work identified evidence of survival of Leptospira in the environment but major gaps remain about the survival of virulent species associated with human and animal diseases. Studies providing quantitative data on Leptospira in soil and water are a very recent trend, but must be interpreted with caution because of the uncertainty in the species identification. Several studies mentioned the presence of Leptospira in soils more frequently than in waters, supporting the hypothesis of the soil habitat and dispersion of Leptospira with resuspended soil particles during heavy rain. In a near future, the growing use of high throughput sequencing will offer new opportunities to improve our understanding of the habitat of Leptospira in the environment. This better insight into the risk of leptospirosis will allow implementing efficient control measures and prevention for the human and animal populations exposed.","author":[{"dropping-particle":"","family":"Bierque","given":"Emilie","non-dropping-particle":"","parse-names":false,"suffix":""},{"dropping-particle":"","family":"Thibeaux","given":"Roman","non-dropping-particle":"","parse-names":false,"suffix":""},{"dropping-particle":"","family":"Girault","given":"Dominique","non-dropping-particle":"","parse-names":false,"suffix":""},{"dropping-particle":"","family":"Soupé-Gilbert","given":"Marie Estelle","non-dropping-particle":"","parse-names":false,"suffix":""},{"dropping-particle":"","family":"Goarant","given":"Cyrille","non-dropping-particle":"","parse-names":false,"suffix":""}],"container-title":"PLoS ONE","id":"ITEM-1","issue":"1","issued":{"date-parts":[["2020","1","1"]]},"publisher":"Public Library of Science","title":"A systematic review of Leptospira in water and soil environments","type":"article-journal","volume":"15"},"uris":["http://www.mendeley.com/documents/?uuid=30715ba0-6c23-3eee-81ae-3087096dc128"]}],"mendeley":{"formattedCitation":"&lt;sup&gt;8&lt;/sup&gt;","plainTextFormattedCitation":"8","previouslyFormattedCitation":"&lt;sup&gt;8&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8</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{"citationItems":[{"id":"ITEM-1","itemData":{"DOI":"10.3390/PATHOGENS12091167","ISSN":"20760817","abstract":"Leptospirosis is a zoonotic disease of global importance with significant morbidity and mortality. However, the disease is frequently overlooked and underdiagnosed, leading to uncertainty of the true scale and severity of the disease. A neglected tropical disease, leptospirosis disproportionately impacts disadvantaged socioeconomic communities most vulnerable to outbreaks of zoonotic disease, due to contact with infectious animals and contaminated soils and waters. With growing evidence that Leptospira survives, persists, and reproduces in the environment, this paper reviews the current understanding of the pathogen in the environment and highlights the unknowns that are most important for future study. Through a systematic Boolean review of the literature, our study finds that detailed field-based study of Leptospira prevalence, survival, and transmission in natural waters and soils is lacking from the current literature. This review identified a strong need for assessment of physical characteristics and biogeochemical processes that support long-term viability of Leptospira in the environment followed by epidemiological assessment of the transmission and movement of the same strains of Leptospira in the present wildlife and livestock as the first steps in improving our understanding of the environmental stage of the leptospirosis transmission cycle.","author":[{"dropping-particle":"","family":"Bradley","given":"Elizabeth A.","non-dropping-particle":"","parse-names":false,"suffix":""},{"dropping-particle":"","family":"Lockaby","given":"Graeme","non-dropping-particle":"","parse-names":false,"suffix":""}],"container-title":"Pathogens","id":"ITEM-1","issue":"9","issued":{"date-parts":[["2023","9","1"]]},"publisher":"Multidisciplinary Digital Publishing Institute (MDPI)","title":"Leptospirosis and the Environment: A Review and Future Directions","type":"article-journal","volume":"12"},"uris":["http://www.mendeley.com/documents/?uuid=48c7e63b-be60-3f00-a158-f2ea92429475"]}],"mendeley":{"formattedCitation":"&lt;sup&gt;9&lt;/sup&gt;","plainTextFormattedCitation":"9","previouslyFormattedCitation":"&lt;sup&gt;9&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9</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{"citationItems":[{"id":"ITEM-1","itemData":{"DOI":"10.1371/JOURNAL.PNTD.0007270;","ISSN":"19352735","PMID":"31120895","abstract":"The causative agents of leptospirosis are responsible for an emerging zoonotic disease worldwide. One of the major routes of transmission for leptospirosis is the natural environment contaminated with the urine of a wide range of reservoir animals. Soils and surface waters also host a high diversity of non-pathogenic Leptospira and species for which the virulence status is not clearly established. The genus Leptospira is currently divided into 35 species classified into three phylogenetic clusters, which supposedly correlate with the virulence of the bacteria. In this study, a total of 90 Leptospira strains isolated from different environments worldwide including Japan, Malaysia, New Caledonia, Algeria, mainland France, and the island of Mayotte in the Indian Ocean were sequenced. A comparison of average nucleotide identity (ANI) values of genomes of the 90 isolates and representative genomes of known species revealed 30 new Leptospira species. These data also supported the existence of two clades and 4 subclades. To avoid classification that strongly implies assumption on the virulence status of the lineages, we called them P1, P2, S1, S2. One of these subclades has not yet been described and is composed of Leptospira idonii and 4 novel species that are phylogenetically related to the saprophytes. We then investigated genome diversity and evolutionary relationships among members of the genus Leptospira by studying the pangenome and core gene sets. Our data enable the identification of genome features, genes and domains that are important for each subclade, thereby laying the foundation for refining the classification of this complex bacterial genus. We also shed light on atypical genomic features of a group of species that includes the species often associated with human infection, suggesting a specific and ongoing evolution of this group of species that will require more attention. In conclusion, we have uncovered a massive species diversity and revealed a novel subclade in environmental samples collected worldwide and we have redefined the classification of species in the genus. The implication of several new potentially infectious Leptospira species for human and animal health remains to be determined but our data also provide new insights into the emergence of virulence in the pathogenic species.","author":[{"dropping-particle":"","family":"Vincent","given":"Antony T.","non-dropping-particle":"","parse-names":false,"suffix":""},{"dropping-particle":"","family":"Schiettekatte","given":"Olivier","non-dropping-particle":"","parse-names":false,"suffix":""},{"dropping-particle":"","family":"Goarant","given":"Cyrille","non-dropping-particle":"","parse-names":false,"suffix":""},{"dropping-particle":"","family":"Neela","given":"Vasantha Kumari","non-dropping-particle":"","parse-names":false,"suffix":""},{"dropping-particle":"","family":"Bernet","given":"Eve","non-dropping-particle":"","parse-names":false,"suffix":""},{"dropping-particle":"","family":"Thibeaux","given":"Roman","non-dropping-particle":"","parse-names":false,"suffix":""},{"dropping-particle":"","family":"Ismail","given":"Nabilah","non-dropping-particle":"","parse-names":false,"suffix":""},{"dropping-particle":"","family":"Khalid","given":"Mohd Khairul Nizam Mohd","non-dropping-particle":"","parse-names":false,"suffix":""},{"dropping-particle":"","family":"Amran","given":"Fairuz","non-dropping-particle":"","parse-names":false,"suffix":""},{"dropping-particle":"","family":"Masuzawa","given":"Toshiyuki","non-dropping-particle":"","parse-names":false,"suffix":""},{"dropping-particle":"","family":"Nakao","given":"Ryo","non-dropping-particle":"","parse-names":false,"suffix":""},{"dropping-particle":"","family":"Korba","given":"Anissa Amara","non-dropping-particle":"","parse-names":false,"suffix":""},{"dropping-particle":"","family":"Bourhy","given":"Pascale","non-dropping-particle":"","parse-names":false,"suffix":""},{"dropping-particle":"","family":"Veyrier","given":"Frederic J.","non-dropping-particle":"","parse-names":false,"suffix":""},{"dropping-particle":"","family":"Picardeau","given":"Mathieu","non-dropping-particle":"","parse-names":false,"suffix":""}],"container-title":"PLoS Neglected Tropical Diseases","id":"ITEM-1","issue":"5","issued":{"date-parts":[["2019","5","1"]]},"publisher":"Public Library of Science","title":"Revisiting the taxonomy and evolution of pathogenicity of the genus Leptospira through the prism of genomics","type":"article-journal","volume":"13"},"uris":["http://www.mendeley.com/documents/?uuid=5fd57521-1a8b-3021-8f82-33ad4cdfd274"]}],"mendeley":{"formattedCitation":"&lt;sup&gt;10&lt;/sup&gt;","plainTextFormattedCitation":"10","previouslyFormattedCitation":"&lt;sup&gt;10&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10</w:t>
      </w:r>
      <w:r w:rsidRPr="005914F5">
        <w:rPr>
          <w:vertAlign w:val="superscript"/>
        </w:rPr>
        <w:fldChar w:fldCharType="end"/>
      </w:r>
      <w:r w:rsidR="00073673" w:rsidRPr="005914F5">
        <w:t xml:space="preserve"> Every year, roughly one million leptospirosis infection is diagnosed and the death toll of leptospirosis is approximately 60,000 annually.</w:t>
      </w:r>
      <w:r w:rsidR="00073673" w:rsidRPr="005914F5">
        <w:rPr>
          <w:vertAlign w:val="superscript"/>
        </w:rPr>
        <w:fldChar w:fldCharType="begin" w:fldLock="1"/>
      </w:r>
      <w:r w:rsidR="001F04D6">
        <w:rPr>
          <w:vertAlign w:val="superscript"/>
        </w:rPr>
        <w:instrText>ADDIN CSL_CITATION {"citationItems":[{"id":"ITEM-1","itemData":{"DOI":"10.4269/AJTMH.2012.10-0497","ISSN":"00029637","PMID":"22232450","abstract":"We conducted a prospective, inpatient fever study in malaria-endemic Papua, Indonesia to determine non-malaria fever etiologies. Investigations included malaria blood films, blood culture, paired serologic samples analysis for dengue, Japanese encephalitis, leptospirosis, scrub typhus, murine typhus, and spotted fever group rickettsia. During 1997-2000, 226 patients (127 males and 99 females) 1-80 years of age (median age = 25 years) were enrolled. Positive blood cultures (n = 34, 15%) were obtained for Salmonella Typhi (n = 13), Escherichia coli (n = 8), Streptococcus pneumoniae (n = 6), Staphylococcus aureus (n = 5), Streptococcus pyogenes (n = 1), and Klebsiella pneumoniae (n = 1). Twenty (8.8%) patients were positive for leptospirosis by polymerase chain reaction. Eighty (35.4%) of 226 patients had &amp;γε; 1 positive serology, diagnostic for 15 rickettsial and 9 dengue cases. Acid-fast bacilli-positive sputum was obtained from three patients. Most common confirmed (81 of 226, 35.8%)/suspected diagnoses were typhoid fever (n = 41), pneumonia (n = 29), leptospirosis (n = 28), urinary tract infections (n = 20), rickettsioses (n = 19), dengue (n = 17), and meningitis/encephalitis (n = 15). There were 17 deaths, 7 (46.7%) were caused by meningitis/encephalitis. Multiple positive serologic results and few confirmed diagnoses indicate the need for improved diagnostics. Copyright © 2012 by The American Society of Tropical Medicine and Hygiene.","author":[{"dropping-particle":"","family":"Punjabi","given":"Narain H.","non-dropping-particle":"","parse-names":false,"suffix":""},{"dropping-particle":"","family":"Taylor","given":"Walter R.J.","non-dropping-particle":"","parse-names":false,"suffix":""},{"dropping-particle":"","family":"Murphy","given":"Gerald S.","non-dropping-particle":"","parse-names":false,"suffix":""},{"dropping-particle":"","family":"Purwaningsih","given":"Sri","non-dropping-particle":"","parse-names":false,"suffix":""},{"dropping-particle":"","family":"Picarima","given":"Helena","non-dropping-particle":"","parse-names":false,"suffix":""},{"dropping-particle":"","family":"Sisson","given":"John","non-dropping-particle":"","parse-names":false,"suffix":""},{"dropping-particle":"","family":"Olson","given":"James G.","non-dropping-particle":"","parse-names":false,"suffix":""},{"dropping-particle":"","family":"Baso","given":"Samuel","non-dropping-particle":"","parse-names":false,"suffix":""},{"dropping-particle":"","family":"Wangsasaputra","given":"Ferry","non-dropping-particle":"","parse-names":false,"suffix":""},{"dropping-particle":"","family":"Lesmana","given":"Murad","non-dropping-particle":"","parse-names":false,"suffix":""},{"dropping-particle":"","family":"Oyofo","given":"Buhari A.","non-dropping-particle":"","parse-names":false,"suffix":""},{"dropping-particle":"","family":"Simanjuntak","given":"Cyrus H.","non-dropping-particle":"","parse-names":false,"suffix":""},{"dropping-particle":"","family":"Subekti","given":"Decy","non-dropping-particle":"","parse-names":false,"suffix":""},{"dropping-particle":"","family":"Corwin","given":"Andrew L.","non-dropping-particle":"","parse-names":false,"suffix":""},{"dropping-particle":"","family":"Richie","given":"Thomas L.","non-dropping-particle":"","parse-names":false,"suffix":""}],"container-title":"American Journal of Tropical Medicine and Hygiene","id":"ITEM-1","issue":"1","issued":{"date-parts":[["2012","1"]]},"page":"46-51","title":"Etiology of acute, non-malaria, febrile illnesses in Jayapura, Northeastern Papua, Indonesia","type":"article-journal","volume":"86"},"uris":["http://www.mendeley.com/documents/?uuid=9f47eb13-3a0c-3a3d-ba7a-0fd737842a11"]}],"mendeley":{"formattedCitation":"&lt;sup&gt;11&lt;/sup&gt;","plainTextFormattedCitation":"11","previouslyFormattedCitation":"&lt;sup&gt;11&lt;/sup&gt;"},"properties":{"noteIndex":0},"schema":"https://github.com/citation-style-language/schema/raw/master/csl-citation.json"}</w:instrText>
      </w:r>
      <w:r w:rsidR="00073673" w:rsidRPr="005914F5">
        <w:rPr>
          <w:vertAlign w:val="superscript"/>
        </w:rPr>
        <w:fldChar w:fldCharType="separate"/>
      </w:r>
      <w:r w:rsidR="00073673" w:rsidRPr="005914F5">
        <w:rPr>
          <w:noProof/>
          <w:vertAlign w:val="superscript"/>
        </w:rPr>
        <w:t>11</w:t>
      </w:r>
      <w:r w:rsidR="00073673" w:rsidRPr="005914F5">
        <w:rPr>
          <w:vertAlign w:val="superscript"/>
        </w:rPr>
        <w:fldChar w:fldCharType="end"/>
      </w:r>
      <w:r w:rsidRPr="005914F5">
        <w:t xml:space="preserve"> Despite a fatality ratio of 6.85%, leptospirosis often remains neglected due to its symptoms aligning with common fever, lack of specific antibiotic treatment, and wide range of 300 pathogenic serovars.</w:t>
      </w:r>
      <w:r w:rsidRPr="005914F5">
        <w:rPr>
          <w:vertAlign w:val="superscript"/>
        </w:rPr>
        <w:fldChar w:fldCharType="begin" w:fldLock="1"/>
      </w:r>
      <w:r w:rsidR="00073673" w:rsidRPr="005914F5">
        <w:rPr>
          <w:vertAlign w:val="superscript"/>
        </w:rPr>
        <w:instrText>ADDIN CSL_CITATION {"citationItems":[{"id":"ITEM-1","itemData":{"DOI":"10.1371/JOURNAL.PNTD.0004122","ISSN":"19352735","PMID":"26431366","abstract":"Background: Leptospirosis, a spirochaetal zoonosis, occurs in diverse epidemiological settings and affects vulnerable populations, such as rural subsistence farmers and urban slum dwellers. Although leptospirosis can cause life-threatening disease, there is no global burden of disease estimate in terms of Disability Adjusted Life Years (DALYs) available. Methodology/Principal Findings: We utilised the results of a parallel publication that reported global estimates of morbidity and mortality due to leptospirosis. We estimated Years of Life Lost (YLLs) from age and gender stratified mortality rates. Years of Life with Disability (YLDs) were developed from a simple disease model indicating likely sequelae. DALYs were estimated from the sum of YLLs and YLDs. The study suggested that globally approximately 2·90 million DALYs are lost per annum (UIs 1·25–4·54 million) from the approximately annual 1·03 million cases reported previously. Males are predominantly affected with an estimated 2·33 million DALYs (UIs 0·98–3·69) or approximately 80% of the total burden. For comparison, this is over 70% of the global burden of cholera estimated by GBD 2010. Tropical regions of South and South-east Asia, Western Pacific, Central and South America, and Africa had the highest estimated leptospirosis disease burden. Conclusions/Significance: Leptospirosis imparts a significant health burden worldwide, which approach or exceed those encountered for a number of other zoonotic and neglected tropical diseases. The study findings indicate that highest burden estimates occur in resource-poor tropical countries, which include regions of Africa where the burden of leptospirosis has been under-appreciated and possibly misallocated to other febrile illnesses such as malaria.","author":[{"dropping-particle":"","family":"Torgerson","given":"Paul R.","non-dropping-particle":"","parse-names":false,"suffix":""},{"dropping-particle":"","family":"Hagan","given":"José E.","non-dropping-particle":"","parse-names":false,"suffix":""},{"dropping-particle":"","family":"Costa","given":"Federico","non-dropping-particle":"","parse-names":false,"suffix":""},{"dropping-particle":"","family":"Calcagno","given":"Juan","non-dropping-particle":"","parse-names":false,"suffix":""},{"dropping-particle":"","family":"Kane","given":"Michael","non-dropping-particle":"","parse-names":false,"suffix":""},{"dropping-particle":"","family":"Martinez-Silveira","given":"Martha S.","non-dropping-particle":"","parse-names":false,"suffix":""},{"dropping-particle":"","family":"Goris","given":"Marga G.A.","non-dropping-particle":"","parse-names":false,"suffix":""},{"dropping-particle":"","family":"Stein","given":"Claudia","non-dropping-particle":"","parse-names":false,"suffix":""},{"dropping-particle":"","family":"Ko","given":"Albert I.","non-dropping-particle":"","parse-names":false,"suffix":""},{"dropping-particle":"","family":"Abela-Ridder","given":"Bernadette","non-dropping-particle":"","parse-names":false,"suffix":""}],"container-title":"PLoS Neglected Tropical Diseases","id":"ITEM-1","issue":"10","issued":{"date-parts":[["2015","10","2"]]},"publisher":"Public Library of Science","title":"Global Burden of Leptospirosis: Estimated in Terms of Disability Adjusted Life Years","type":"article-journal","volume":"9"},"uris":["http://www.mendeley.com/documents/?uuid=d87519fb-b960-3e1f-884b-f12c866ff1ab"]}],"mendeley":{"formattedCitation":"&lt;sup&gt;12&lt;/sup&gt;","plainTextFormattedCitation":"12","previouslyFormattedCitation":"&lt;sup&gt;12&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12</w:t>
      </w:r>
      <w:r w:rsidRPr="005914F5">
        <w:rPr>
          <w:vertAlign w:val="superscript"/>
        </w:rPr>
        <w:fldChar w:fldCharType="end"/>
      </w:r>
      <w:r w:rsidRPr="005914F5">
        <w:t xml:space="preserve"> </w:t>
      </w:r>
    </w:p>
    <w:p w14:paraId="180BE273" w14:textId="44B0F874" w:rsidR="00DF2A48" w:rsidRPr="005914F5" w:rsidRDefault="00DF2A48" w:rsidP="002F04D4">
      <w:pPr>
        <w:spacing w:line="360" w:lineRule="auto"/>
        <w:rPr>
          <w:vertAlign w:val="superscript"/>
        </w:rPr>
      </w:pPr>
      <w:r w:rsidRPr="004F63BE">
        <w:rPr>
          <w:i/>
          <w:iCs/>
        </w:rPr>
        <w:t>Leptospira</w:t>
      </w:r>
      <w:r w:rsidRPr="005914F5">
        <w:t xml:space="preserve"> is a gram-negative, thin spiral shaped pathogenic bacteria. </w:t>
      </w:r>
      <w:r w:rsidRPr="004F63BE">
        <w:rPr>
          <w:i/>
          <w:iCs/>
        </w:rPr>
        <w:t>Leptospira</w:t>
      </w:r>
      <w:r w:rsidRPr="005914F5">
        <w:t xml:space="preserve"> belongs to spirochete group. It is physiologically related to multiple pathogens such as syphilis causing bacteria Treponema, Lyme disease causing Borrelia, and even animal pathogen Brachyspira.</w:t>
      </w:r>
      <w:r w:rsidRPr="005914F5">
        <w:rPr>
          <w:vertAlign w:val="superscript"/>
        </w:rPr>
        <w:fldChar w:fldCharType="begin" w:fldLock="1"/>
      </w:r>
      <w:r w:rsidR="00073673" w:rsidRPr="005914F5">
        <w:rPr>
          <w:vertAlign w:val="superscript"/>
        </w:rPr>
        <w:instrText>ADDIN CSL_CITATION {"citationItems":[{"id":"ITEM-1","itemData":{"DOI":"10.1038/NRMICRO.2017.5","ISSN":"17401534","PMID":"28260786","abstract":"Pathogenic leptospires are the bacterial agents of leptospirosis, which is an emerging zoonotic disease that affects animals and humans worldwide. The success of leptospires as pathogens is explained by their spiral shape and endoflagellar motility (which enable these spirochetes to rapidly cross connective tissues and barriers), as well as by their ability to escape or hijack the host immune system. However, the basic biology and virulence factors of leptospires remain poorly characterized. In this Review, we discuss the recent advances in our understanding of the epidemiology, taxonomy, genomics and the molecular basis of virulence in leptospires, and how these properties contribute to the mechanism of pathogenesis of leptospirosis.","author":[{"dropping-particle":"","family":"Picardeau","given":"Mathieu","non-dropping-particle":"","parse-names":false,"suffix":""}],"container-title":"Nature Reviews Microbiology","id":"ITEM-1","issue":"5","issued":{"date-parts":[["2017","4","10"]]},"page":"297-307","publisher":"Nature Publishing Group","title":"Virulence of the zoonotic agent of leptospirosis: Still terra incognita?","type":"article-journal","volume":"15"},"uris":["http://www.mendeley.com/documents/?uuid=9761ac25-337a-39b1-9638-944d0451e4c7"]}],"mendeley":{"formattedCitation":"&lt;sup&gt;6&lt;/sup&gt;","plainTextFormattedCitation":"6","previouslyFormattedCitation":"&lt;sup&gt;6&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6</w:t>
      </w:r>
      <w:r w:rsidRPr="005914F5">
        <w:rPr>
          <w:vertAlign w:val="superscript"/>
        </w:rPr>
        <w:fldChar w:fldCharType="end"/>
      </w:r>
      <w:r w:rsidRPr="005914F5">
        <w:t xml:space="preserve"> Its unique spirochete motile ability provides fast movement enabling rapid dissemination in the mammalian or animal host.</w:t>
      </w:r>
      <w:r w:rsidRPr="005914F5">
        <w:rPr>
          <w:vertAlign w:val="superscript"/>
        </w:rPr>
        <w:fldChar w:fldCharType="begin" w:fldLock="1"/>
      </w:r>
      <w:r w:rsidR="00073673" w:rsidRPr="005914F5">
        <w:rPr>
          <w:vertAlign w:val="superscript"/>
        </w:rPr>
        <w:instrText>ADDIN CSL_CITATION {"citationItems":[{"id":"ITEM-1","itemData":{"DOI":"10.3389/FMICB.2020.01886/BIBTEX","ISSN":"1664302X","abstract":"Bacterial motility is crucial for many pathogenic species in the process of invasion and/or dissemination. The spirochete bacteria Leptospira spp. cause symptoms, such as hemorrhage, jaundice, and nephritis, in diverse mammals including humans. Although loss-of-motility attenuate the spirochete’s virulence, the mechanism of the motility-dependent pathogenicity is unknown. Here, focusing on that Leptospira spp. swim in liquid and crawl on solid surfaces, we investigated the spirochetal dynamics on the host tissues by infecting cultured kidney cells from various species with pathogenic and non-pathogenic leptospires. We found that, in the case of the pathogenic leptospires, a larger fraction of bacteria attached to the host cells and persistently traveled long distances using the crawling mechanism. Our results associate the kinetics and kinematic features of the spirochetal pathogens with their virulence.","author":[{"dropping-particle":"","family":"Xu","given":"Jun","non-dropping-particle":"","parse-names":false,"suffix":""},{"dropping-particle":"","family":"Koizumi","given":"Nobuo","non-dropping-particle":"","parse-names":false,"suffix":""},{"dropping-particle":"","family":"Nakamura","given":"Shuichi","non-dropping-particle":"","parse-names":false,"suffix":""}],"container-title":"Frontiers in Microbiology","id":"ITEM-1","issued":{"date-parts":[["2020","8","5"]]},"page":"566997","publisher":"Frontiers Media S.A.","title":"Crawling Motility on the Host Tissue Surfaces Is Associated With the Pathogenicity of the Zoonotic Spirochete Leptospira","type":"article-journal","volume":"11"},"uris":["http://www.mendeley.com/documents/?uuid=dce7dcb7-2f4e-3988-9632-624387543251"]}],"mendeley":{"formattedCitation":"&lt;sup&gt;13&lt;/sup&gt;","plainTextFormattedCitation":"13","previouslyFormattedCitation":"&lt;sup&gt;13&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13</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{"citationItems":[{"id":"ITEM-1","itemData":{"DOI":"10.3389/FCIMB.2021.777709/XML","ISSN":"22352988","PMID":"34900757","abstract":"Leptospirosis is a widespread zoonosis caused by pathogenic Leptospira spp. It is considered a neglected infectious disease of human and veterinary concern. Our group has been investigating proteins annotated as hypothetical, predicted to be located on the leptospiral surface. Because of their location, these proteins may have the ability to interact with various host components, which could allow establishment of the infection. These proteins act as adherence factors by binding to host receptor molecules, such as the extracellular matrix (ECM) components laminin and glycosaminoglycans to help bacterial colonization. Leptospira also interacts with the host fibrinolytic system, which has been demonstrated to be a powerful tool for invasion mechanisms. The interaction with fibrinogen and thrombin has been shown to reduce fibrin clot formation. Additionally, the degradation of coagulation cascade components by secreted proteases or by acquired surface plasmin could also play a role in reducing clot formation, hence facilitating dissemination during infection. Interaction with host complement system regulators also plays a role in helping bacteria to evade the immune system, facilitating invasion. Interaction of Leptospira to cell receptors, such as cadherins, can contribute to investigate molecules that participate in virulence. To achieve a better understanding of the host-pathogen interaction, leptospiral mutagenesis tools have been developed and explored. This work presents several proteins that mediate binding to components of the ECM, plasma, components of the complement system and cells, to gather research achievements that can be helpful in better understanding the mechanisms of leptospiral-host interactions and discuss genetic manipulation for Leptospira spp. aimed at protein function validation.","author":[{"dropping-particle":"","family":"Daroz","given":"Brenda B.","non-dropping-particle":"","parse-names":false,"suffix":""},{"dropping-particle":"","family":"Fernandes","given":"Luis G.V.","non-dropping-particle":"","parse-names":false,"suffix":""},{"dropping-particle":"","family":"Cavenague","given":"Maria F.","non-dropping-particle":"","parse-names":false,"suffix":""},{"dropping-particle":"","family":"Kochi","given":"Leandro T.","non-dropping-particle":"","parse-names":false,"suffix":""},{"dropping-particle":"","family":"Passalia","given":"Felipe J.","non-dropping-particle":"","parse-names":false,"suffix":""},{"dropping-particle":"","family":"Takahashi","given":"Maria B.","non-dropping-particle":"","parse-names":false,"suffix":""},{"dropping-particle":"","family":"Nascimento Filho","given":"Edson G.","non-dropping-particle":"","parse-names":false,"suffix":""},{"dropping-particle":"","family":"Teixeira","given":"Aline F.","non-dropping-particle":"","parse-names":false,"suffix":""},{"dropping-particle":"","family":"Nascimento","given":"Ana L.T.O.","non-dropping-particle":"","parse-names":false,"suffix":""}],"container-title":"Frontiers in Cellular and Infection Microbiology","id":"ITEM-1","issued":{"date-parts":[["2021","11","25"]]},"page":"777709","publisher":"Frontiers Media S.A.","title":"A Review on Host-Leptospira Interactions: What We Know and Future Expectations","type":"article-journal","volume":"11"},"uris":["http://www.mendeley.com/documents/?uuid=c89e0ff3-eea0-30f7-9f33-f0bf6e176aef"]}],"mendeley":{"formattedCitation":"&lt;sup&gt;14&lt;/sup&gt;","plainTextFormattedCitation":"14","previouslyFormattedCitation":"&lt;sup&gt;14&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14</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{"citationItems":[{"id":"ITEM-1","itemData":{"DOI":"10.3389/FMICB.2024.1514738/XML","ISSN":"1664302X","abstract":"Background: Leptospirosis is an acute zoonotic disease caused by pathogenic Leptospira, primarily transmitted to humans through contact with water or soil contaminated by the bacteria. It is globally distributed, with heightened prevalence in tropical regions. While prior studies have examined the pathophysiology, epidemiology, and risk factors of leptospirosis, few have explored trends and emerging topics in the field. This study applies bibliometric analysis to generate a visual knowledge map, identifying research hotspots and forecasting future trends in leptospirosis investigations. Methods: Data were extracted from the Web of Science Core Collection (WOSCC), encompassing all publications up to May 1, 2024. CiteSpace and VOSViewer software were used to analyze annual publication trends, as well as contributions from countries, institutions, journals, authors, references, and keywords, thereby pinpointing current research priorities and potential future directions. Results: A total of 5,244 articles were included, sourced from 4,716 institutions, 955 journals, and 156 countries or regions. The United States led with 1,315 publications and had the most significant influence in the field. “PLOS Neglected Tropical Diseases” published the highest number of articles (166), while “Infection and Immunity” garnered the most citations (6,591). Prominent research areas included restriction endonucleases, monoclonal antibodies, outer membrane proteins, water environments, detection methods, and antimicrobial agents. Research focus has shifted from early genomic and antigenic studies to investigations into outer membrane protein functions and environmental persistence, culminating in recent advances in molecular mechanisms and diagnostic technology development. Conclusion: This bibliometric analysis provides a comprehensive snapshot of leptospirosis research, emphasizing collaborations and impact among authors, countries, institutions, and journals. It offers valuable insights into ongoing trends and serves as a reference for future collaboration and research opportunities in the field.","author":[{"dropping-particle":"","family":"Wang","given":"Wei","non-dropping-particle":"","parse-names":false,"suffix":""},{"dropping-particle":"","family":"Gao","given":"Yamin","non-dropping-particle":"","parse-names":false,"suffix":""},{"dropping-particle":"","family":"Ji","given":"Jianyu","non-dropping-particle":"","parse-names":false,"suffix":""},{"dropping-particle":"","family":"Huang","given":"Zhai","non-dropping-particle":"","parse-names":false,"suffix":""},{"dropping-particle":"","family":"Xiong","given":"Bin","non-dropping-particle":"","parse-names":false,"suffix":""},{"dropping-particle":"","family":"Xiang","given":"Shulin","non-dropping-particle":"","parse-names":false,"suffix":""}],"container-title":"Frontiers in Microbiology","id":"ITEM-1","issued":{"date-parts":[["2024","1","8"]]},"page":"1514738","publisher":"Frontiers Media SA","title":"Trends and advances in Leptospira, a bibliometric analysis","type":"article-journal","volume":"15"},"uris":["http://www.mendeley.com/documents/?uuid=c532127c-789c-39cf-b13a-273ebf48dc2b"]}],"mendeley":{"formattedCitation":"&lt;sup&gt;15&lt;/sup&gt;","plainTextFormattedCitation":"15","previouslyFormattedCitation":"&lt;sup&gt;15&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15</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10.1128/AEM.02288-12","author":[{"dropping-particle":"","family":"Ambroise","given":"Lambert","non-dropping-particle":"","parse-names":false,"suffix":""},{"dropping-particle":"","family":"Naoko","given":"Takahashi","non-dropping-particle":"","parse-names":false,"suffix":""},{"dropping-particle":"","family":"W.","given":"Charon Nyles","non-dropping-particle":"","parse-names":false,"suffix":""},{"dropping-particle":"","family":"Mathieu","given":"Picardeau","non-dropping-particle":"","parse-names":false,"suffix":""}],"container-title":"Applied and Environmental Microbiology","id":"ITEM-1","issue":"23","issued":{"date-parts":[["2012","12","1"]]},"note":"doi: 10.1128/AEM.02288-12","page":"8467-8469","publisher":"American Society for Microbiology","title":"Chemotactic Behavior of Pathogenic and Nonpathogenic Leptospira Species","type":"article-journal","volume":"78"},"uris":["http://www.mendeley.com/documents/?uuid=a16aec37-ea94-415c-9d78-7886c1260543"]}],"mendeley":{"formattedCitation":"&lt;sup&gt;16&lt;/sup&gt;","plainTextFormattedCitation":"16","previouslyFormattedCitation":"&lt;sup&gt;16&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16</w:t>
      </w:r>
      <w:r w:rsidRPr="005914F5">
        <w:rPr>
          <w:vertAlign w:val="superscript"/>
        </w:rPr>
        <w:fldChar w:fldCharType="end"/>
      </w:r>
      <w:r w:rsidR="005D6FDC" w:rsidRPr="005914F5">
        <w:t xml:space="preserve"> This pathogenic bacterium survives and thrives in host organism with an ability to persist, especially in soil, standing water and in other diverse reservoirs. </w:t>
      </w:r>
      <w:r w:rsidR="005D6FDC" w:rsidRPr="005914F5">
        <w:rPr>
          <w:rFonts w:eastAsiaTheme="majorEastAsia"/>
        </w:rPr>
        <w:t xml:space="preserve"> </w:t>
      </w:r>
      <w:proofErr w:type="spellStart"/>
      <w:r w:rsidRPr="005914F5">
        <w:rPr>
          <w:rFonts w:eastAsiaTheme="majorEastAsia"/>
        </w:rPr>
        <w:t>Leptospires</w:t>
      </w:r>
      <w:proofErr w:type="spellEnd"/>
      <w:r w:rsidRPr="005914F5">
        <w:rPr>
          <w:rFonts w:eastAsiaTheme="majorEastAsia"/>
        </w:rPr>
        <w:t xml:space="preserve"> can enter the host tissue through skin or mucous membrane, and attack liver, lungs, and kidney – specifically the renal tubules.</w:t>
      </w:r>
      <w:r w:rsidRPr="005914F5">
        <w:rPr>
          <w:rFonts w:eastAsiaTheme="majorEastAsia"/>
          <w:vertAlign w:val="superscript"/>
        </w:rPr>
        <w:fldChar w:fldCharType="begin" w:fldLock="1"/>
      </w:r>
      <w:r w:rsidR="00073673" w:rsidRPr="005914F5">
        <w:rPr>
          <w:rFonts w:eastAsiaTheme="majorEastAsia"/>
          <w:vertAlign w:val="superscript"/>
        </w:rPr>
        <w:instrText>ADDIN CSL_CITATION {"citationItems":[{"id":"ITEM-1","itemData":{"DOI":"10.1371/JOURNAL.PNTD.0003898',","ISSN":"1935-2735","author":[{"dropping-particle":"","family":"Costa","given":"Federico","non-dropping-particle":"","parse-names":false,"suffix":""},{"dropping-particle":"","family":"Hagan","given":"José E.","non-dropping-particle":"","parse-names":false,"suffix":""},{"dropping-particle":"","family":"Calcagno","given":"Juan","non-dropping-particle":"","parse-names":false,"suffix":""},{"dropping-particle":"","family":"Kane","given":"Michael","non-dropping-particle":"","parse-names":false,"suffix":""},{"dropping-particle":"","family":"Torgerson","given":"Paul","non-dropping-particle":"","parse-names":false,"suffix":""},{"dropping-particle":"","family":"Martinez-Silveira","given":"Martha S.","non-dropping-particle":"","parse-names":false,"suffix":""},{"dropping-particle":"","family":"Stein","given":"Claudia","non-dropping-particle":"","parse-names":false,"suffix":""},{"dropping-particle":"","family":"Abela-Ridder","given":"Bernadette","non-dropping-particle":"","parse-names":false,"suffix":""},{"dropping-particle":"","family":"Ko","given":"Albert I.","non-dropping-particle":"","parse-names":false,"suffix":""}],"container-title":"PLOS Neglected Tropical Diseases","editor":[{"dropping-particle":"","family":"Small","given":"Pamela L. C.","non-dropping-particle":"","parse-names":false,"suffix":""}],"id":"ITEM-1","issue":"9","issued":{"date-parts":[["2015","9","17"]]},"page":"e0003898","title":"Global Morbidity and Mortality of Leptospirosis: A Systematic Review","type":"article-journal","volume":"9"},"uris":["http://www.mendeley.com/documents/?uuid=aae19cdd-390e-3a20-bde6-e6d351425a13"]}],"mendeley":{"formattedCitation":"&lt;sup&gt;1&lt;/sup&gt;","plainTextFormattedCitation":"1","previouslyFormattedCitation":"&lt;sup&gt;1&lt;/sup&gt;"},"properties":{"noteIndex":0},"schema":"https://github.com/citation-style-language/schema/raw/master/csl-citation.json"}</w:instrText>
      </w:r>
      <w:r w:rsidRPr="005914F5">
        <w:rPr>
          <w:rFonts w:eastAsiaTheme="majorEastAsia"/>
          <w:vertAlign w:val="superscript"/>
        </w:rPr>
        <w:fldChar w:fldCharType="separate"/>
      </w:r>
      <w:r w:rsidR="001F530E" w:rsidRPr="005914F5">
        <w:rPr>
          <w:rFonts w:eastAsiaTheme="majorEastAsia"/>
          <w:noProof/>
          <w:vertAlign w:val="superscript"/>
        </w:rPr>
        <w:t>1</w:t>
      </w:r>
      <w:r w:rsidRPr="005914F5">
        <w:rPr>
          <w:rFonts w:eastAsiaTheme="majorEastAsia"/>
          <w:vertAlign w:val="superscript"/>
        </w:rPr>
        <w:fldChar w:fldCharType="end"/>
      </w:r>
      <w:r w:rsidRPr="005914F5">
        <w:rPr>
          <w:rFonts w:eastAsiaTheme="majorEastAsia"/>
          <w:vertAlign w:val="superscript"/>
        </w:rPr>
        <w:t>,</w:t>
      </w:r>
      <w:r w:rsidRPr="005914F5">
        <w:rPr>
          <w:rFonts w:eastAsiaTheme="majorEastAsia"/>
          <w:vertAlign w:val="superscript"/>
        </w:rPr>
        <w:fldChar w:fldCharType="begin" w:fldLock="1"/>
      </w:r>
      <w:r w:rsidR="00073673" w:rsidRPr="005914F5">
        <w:rPr>
          <w:rFonts w:eastAsiaTheme="majorEastAsia"/>
          <w:vertAlign w:val="superscript"/>
        </w:rPr>
        <w:instrText>ADDIN CSL_CITATION {"citationItems":[{"id":"ITEM-1","itemData":{"DOI":"10.1186/s12866-018-1206-8","ISSN":"1471-2180","abstract":"Leptospira interrogans is a pathogenic, spirochetal bacterium that is responsible for leptospirosis, an emerging worldwide zoonosis. Leptospires colonize the renal proximal tubules and chronically infect the kidney. Live bacteria are excreted into urine, contaminating the environment. While it is well known that leptospires can persist in the kidneys without signs of disease for several months, the interactions of leptospires with the proximal renal epithelial tubule cells that allow the chronic renal colonization have not been elucidated yet. In the present study, we compared the interactions between a virulent, low passage (LP) strain and a cultured-attenuated, high passage (HP) strain with renal proximal tubule epithelial cells (RPTECs) to elucidate the strategies used by Leptospira to colonize the kidney.","author":[{"dropping-particle":"","family":"Yamaguchi","given":"Takayoshi","non-dropping-particle":"","parse-names":false,"suffix":""},{"dropping-particle":"","family":"Higa","given":"Naomi","non-dropping-particle":"","parse-names":false,"suffix":""},{"dropping-particle":"","family":"Okura","given":"Nobuhiko","non-dropping-particle":"","parse-names":false,"suffix":""},{"dropping-particle":"","family":"Matsumoto","given":"Arina","non-dropping-particle":"","parse-names":false,"suffix":""},{"dropping-particle":"","family":"Hermawan","given":"Idam","non-dropping-particle":"","parse-names":false,"suffix":""},{"dropping-particle":"","family":"Yamashiro","given":"Tetsu","non-dropping-particle":"","parse-names":false,"suffix":""},{"dropping-particle":"","family":"Suzuki","given":"Toshihiko","non-dropping-particle":"","parse-names":false,"suffix":""},{"dropping-particle":"","family":"Toma","given":"Claudia","non-dropping-particle":"","parse-names":false,"suffix":""}],"container-title":"BMC Microbiology","id":"ITEM-1","issue":"1","issued":{"date-parts":[["2018"]]},"page":"64","title":"Characterizing interactions of Leptospira interrogans with proximal renal tubule epithelial cells","type":"article-journal","volume":"18"},"uris":["http://www.mendeley.com/documents/?uuid=755b36fd-4a1d-4821-b6d2-8edcd463fe2f"]}],"mendeley":{"formattedCitation":"&lt;sup&gt;17&lt;/sup&gt;","plainTextFormattedCitation":"17","previouslyFormattedCitation":"&lt;sup&gt;17&lt;/sup&gt;"},"properties":{"noteIndex":0},"schema":"https://github.com/citation-style-language/schema/raw/master/csl-citation.json"}</w:instrText>
      </w:r>
      <w:r w:rsidRPr="005914F5">
        <w:rPr>
          <w:rFonts w:eastAsiaTheme="majorEastAsia"/>
          <w:vertAlign w:val="superscript"/>
        </w:rPr>
        <w:fldChar w:fldCharType="separate"/>
      </w:r>
      <w:r w:rsidR="001F530E" w:rsidRPr="005914F5">
        <w:rPr>
          <w:rFonts w:eastAsiaTheme="majorEastAsia"/>
          <w:noProof/>
          <w:vertAlign w:val="superscript"/>
        </w:rPr>
        <w:t>17</w:t>
      </w:r>
      <w:r w:rsidRPr="005914F5">
        <w:rPr>
          <w:rFonts w:eastAsiaTheme="majorEastAsia"/>
          <w:vertAlign w:val="superscript"/>
        </w:rPr>
        <w:fldChar w:fldCharType="end"/>
      </w:r>
      <w:r w:rsidRPr="005914F5">
        <w:rPr>
          <w:rFonts w:eastAsiaTheme="majorEastAsia"/>
        </w:rPr>
        <w:t xml:space="preserve"> The persistent transmission cycle makes the eradication process complicated.</w:t>
      </w:r>
      <w:r w:rsidRPr="005914F5">
        <w:rPr>
          <w:vertAlign w:val="superscript"/>
        </w:rPr>
        <w:fldChar w:fldCharType="begin" w:fldLock="1"/>
      </w:r>
      <w:r w:rsidR="00073673" w:rsidRPr="005914F5">
        <w:rPr>
          <w:vertAlign w:val="superscript"/>
        </w:rPr>
        <w:instrText>ADDIN CSL_CITATION {"citationItems":[{"id":"ITEM-1","itemData":{"DOI":"10.3390/PATHOGENS12091167","ISSN":"20760817","abstract":"Leptospirosis is a zoonotic disease of global importance with significant morbidity and mortality. However, the disease is frequently overlooked and underdiagnosed, leading to uncertainty of the true scale and severity of the disease. A neglected tropical disease, leptospirosis disproportionately impacts disadvantaged socioeconomic communities most vulnerable to outbreaks of zoonotic disease, due to contact with infectious animals and contaminated soils and waters. With growing evidence that Leptospira survives, persists, and reproduces in the environment, this paper reviews the current understanding of the pathogen in the environment and highlights the unknowns that are most important for future study. Through a systematic Boolean review of the literature, our study finds that detailed field-based study of Leptospira prevalence, survival, and transmission in natural waters and soils is lacking from the current literature. This review identified a strong need for assessment of physical characteristics and biogeochemical processes that support long-term viability of Leptospira in the environment followed by epidemiological assessment of the transmission and movement of the same strains of Leptospira in the present wildlife and livestock as the first steps in improving our understanding of the environmental stage of the leptospirosis transmission cycle.","author":[{"dropping-particle":"","family":"Bradley","given":"Elizabeth A.","non-dropping-particle":"","parse-names":false,"suffix":""},{"dropping-particle":"","family":"Lockaby","given":"Graeme","non-dropping-particle":"","parse-names":false,"suffix":""}],"container-title":"Pathogens","id":"ITEM-1","issue":"9","issued":{"date-parts":[["2023","9","1"]]},"publisher":"Multidisciplinary Digital Publishing Institute (MDPI)","title":"Leptospirosis and the Environment: A Review and Future Directions","type":"article-journal","volume":"12"},"uris":["http://www.mendeley.com/documents/?uuid=48c7e63b-be60-3f00-a158-f2ea92429475"]}],"mendeley":{"formattedCitation":"&lt;sup&gt;9&lt;/sup&gt;","plainTextFormattedCitation":"9","previouslyFormattedCitation":"&lt;sup&gt;9&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9</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{"citationItems":[{"id":"ITEM-1","itemData":{"DOI":"10.1128/spectrum.02157-21","author":[{"dropping-particle":"","family":"Yasutake","given":"Yanagihara","non-dropping-particle":"","parse-names":false,"suffix":""},{"dropping-particle":"","family":"M.","given":"Villanueva Sharon Y A","non-dropping-particle":"","parse-names":false,"suffix":""},{"dropping-particle":"","family":"Naoki","given":"Nomura","non-dropping-particle":"","parse-names":false,"suffix":""},{"dropping-particle":"","family":"Marumi","given":"Ohno","non-dropping-particle":"","parse-names":false,"suffix":""},{"dropping-particle":"","family":"Toshiki","given":"Sekiya","non-dropping-particle":"","parse-names":false,"suffix":""},{"dropping-particle":"","family":"Chimuka","given":"Handabile","non-dropping-particle":"","parse-names":false,"suffix":""},{"dropping-particle":"","family":"Masashi","given":"Shingai","non-dropping-particle":"","parse-names":false,"suffix":""},{"dropping-particle":"","family":"Hideaki","given":"Higashi","non-dropping-particle":"","parse-names":false,"suffix":""},{"dropping-particle":"","family":"Shin-ichi","given":"Yoshida","non-dropping-particle":"","parse-names":false,"suffix":""},{"dropping-particle":"","family":"Toshiyuki","given":"Masuzawa","non-dropping-particle":"","parse-names":false,"suffix":""},{"dropping-particle":"","family":"G.","given":"Gloriani Nina","non-dropping-particle":"","parse-names":false,"suffix":""},{"dropping-particle":"","family":"Mitsumasa","given":"Saito","non-dropping-particle":"","parse-names":false,"suffix":""},{"dropping-particle":"","family":"Hiroshi","given":"Kida","non-dropping-particle":"","parse-names":false,"suffix":""}],"container-title":"Microbiology Spectrum","id":"ITEM-1","issue":"2","issued":{"date-parts":[["2022","3","15"]]},"note":"doi: 10.1128/spectrum.02157-21","page":"e02157-21","publisher":"American Society for Microbiology","title":"Leptospira Is an Environmental Bacterium That Grows in Waterlogged Soil","type":"article-journal","volume":"10"},"uris":["http://www.mendeley.com/documents/?uuid=9fd6f64f-77f3-4a98-b5b6-597c7b388051"]}],"mendeley":{"formattedCitation":"&lt;sup&gt;18&lt;/sup&gt;","plainTextFormattedCitation":"18","previouslyFormattedCitation":"&lt;sup&gt;18&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18</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{"citationItems":[{"id":"ITEM-1","itemData":{"DOI":"10.3389/FPUBH.2022.892366/FULL","ISSN":"22962565","PMID":"35875032","abstract":"Humans live in complex socio-ecological systems where we interact with parasites and pathogens that spend time in abiotic and biotic environmental reservoirs (e.g., water, air, soil, other vertebrate hosts, vectors, intermediate hosts). Through a synthesis of published literature, we reviewed the life cycles and environmental persistence of 150 parasites and pathogens tracked by the World Health Organization's Global Burden of Disease study. We used those data to derive the time spent in each component of a pathogen's life cycle, including total time spent in humans versus all environmental stages. We found that nearly all infectious organisms were “environmentally mediated” to some degree, meaning that they spend time in reservoirs and can be transmitted from those reservoirs to human hosts. Correspondingly, many infectious diseases were primarily controlled through environmental interventions (e.g., vector control, water sanitation), whereas few (14%) were primarily controlled by integrated methods (i.e., combining medical and environmental interventions). Data on critical life history attributes for most of the 150 parasites and pathogens were difficult to find and often uncertain, potentially hampering efforts to predict disease dynamics and model interactions between life cycle time scales and infection control strategies. We hope that this synthetic review and associated database serve as a resource for understanding both common patterns among parasites and pathogens and important variability and uncertainty regarding particular infectious diseases. These insights can be used to improve systems-based approaches for controlling environmentally mediated diseases of humans in an era where the environment is rapidly changing.","author":[{"dropping-particle":"","family":"Hopkins","given":"Skylar R.","non-dropping-particle":"","parse-names":false,"suffix":""},{"dropping-particle":"","family":"Jones","given":"Isabel J.","non-dropping-particle":"","parse-names":false,"suffix":""},{"dropping-particle":"","family":"Buck","given":"Julia C.","non-dropping-particle":"","parse-names":false,"suffix":""},{"dropping-particle":"","family":"LeBoa","given":"Christopher","non-dropping-particle":"","parse-names":false,"suffix":""},{"dropping-particle":"","family":"Kwong","given":"Laura H.","non-dropping-particle":"","parse-names":false,"suffix":""},{"dropping-particle":"","family":"Jacobsen","given":"Kim","non-dropping-particle":"","parse-names":false,"suffix":""},{"dropping-particle":"","family":"Rickards","given":"Chloe","non-dropping-particle":"","parse-names":false,"suffix":""},{"dropping-particle":"","family":"Lund","given":"Andrea J.","non-dropping-particle":"","parse-names":false,"suffix":""},{"dropping-particle":"","family":"Nova","given":"Nicole","non-dropping-particle":"","parse-names":false,"suffix":""},{"dropping-particle":"","family":"MacDonald","given":"Andrew J.","non-dropping-particle":"","parse-names":false,"suffix":""},{"dropping-particle":"","family":"Lambert-Peck","given":"Miles","non-dropping-particle":"","parse-names":false,"suffix":""},{"dropping-particle":"","family":"Leo","given":"Giulio A.","non-dropping-particle":"De","parse-names":false,"suffix":""},{"dropping-particle":"","family":"Sokolow","given":"Susanne H.","non-dropping-particle":"","parse-names":false,"suffix":""}],"container-title":"Frontiers in Public Health","id":"ITEM-1","issued":{"date-parts":[["2022","7","8"]]},"page":"892366","publisher":"Frontiers Media S.A.","title":"Environmental Persistence of the World's Most Burdensome Infectious and Parasitic Diseases","type":"article-journal","volume":"10"},"uris":["http://www.mendeley.com/documents/?uuid=aaa709c4-eda5-3817-8a9f-7f782fb482f2"]}],"mendeley":{"formattedCitation":"&lt;sup&gt;19&lt;/sup&gt;","plainTextFormattedCitation":"19","previouslyFormattedCitation":"&lt;sup&gt;19&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19</w:t>
      </w:r>
      <w:r w:rsidRPr="005914F5">
        <w:rPr>
          <w:vertAlign w:val="superscript"/>
        </w:rPr>
        <w:fldChar w:fldCharType="end"/>
      </w:r>
      <w:r w:rsidRPr="005914F5">
        <w:t xml:space="preserve"> Biofilm formation and adaptive metabolism </w:t>
      </w:r>
      <w:r w:rsidRPr="005914F5">
        <w:lastRenderedPageBreak/>
        <w:t xml:space="preserve">allow </w:t>
      </w:r>
      <w:proofErr w:type="spellStart"/>
      <w:r w:rsidRPr="005914F5">
        <w:t>leptospires</w:t>
      </w:r>
      <w:proofErr w:type="spellEnd"/>
      <w:r w:rsidRPr="005914F5">
        <w:t xml:space="preserve"> to survive through hostile condition favoring bacterial survival, eventually maintaining virulence.</w:t>
      </w:r>
      <w:r w:rsidRPr="005914F5">
        <w:rPr>
          <w:vertAlign w:val="superscript"/>
        </w:rPr>
        <w:fldChar w:fldCharType="begin" w:fldLock="1"/>
      </w:r>
      <w:r w:rsidR="00073673" w:rsidRPr="005914F5">
        <w:rPr>
          <w:vertAlign w:val="superscript"/>
        </w:rPr>
        <w:instrText>ADDIN CSL_CITATION {"citationItems":[{"id":"ITEM-1","itemData":{"DOI":"10.1128/aem.01914-24","author":[{"dropping-particle":"","family":"Silva","given":"Dias Carla","non-dropping-particle":"","parse-names":false,"suffix":""},{"dropping-particle":"","family":"Hanzen","given":"Pinna Melissa","non-dropping-particle":"","parse-names":false,"suffix":""}],"container-title":"Applied and Environmental Microbiology","id":"ITEM-1","issue":"2","issued":{"date-parts":[["2025","1","10"]]},"note":"doi: 10.1128/aem.01914-24","page":"e01914-24","publisher":"American Society for Microbiology","title":"Leptospira biofilms: implications for survival, transmission, and disease management","type":"article-journal","volume":"91"},"uris":["http://www.mendeley.com/documents/?uuid=3fc8c3b6-98d6-4426-9dfb-3b805b2a5869"]}],"mendeley":{"formattedCitation":"&lt;sup&gt;20&lt;/sup&gt;","plainTextFormattedCitation":"20","previouslyFormattedCitation":"&lt;sup&gt;20&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20</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{"citationItems":[{"id":"ITEM-1","itemData":{"DOI":"10.1038/s41522-024-00570-0","ISSN":"2055-5008","abstract":"Life-threatening Leptospira interrogans navigate a dual existence: surviving in the environment and infecting mammalian hosts. Biofilm formation is presumably an important survival strategy to achieve this process. Understanding the relation between biofilm and virulence might improve our comprehension of leptospirosis epidemiology. Our study focused on elucidating Leptospira’s adaptations and regulations involved in such complex microenvironments. To determine the transcriptional profile of Leptospira in biofilm, we compared the transcriptomes in late biofilms and in exponential planktonic cultures. While genes for motility, energy production, and metabolism were downregulated, those governing general stress response, defense against metal stress, and redox homeostasis showed a significant upsurge, hinting at a tailored defensive strategy against stress. Further, despite a reduced metabolic state, biofilm disruption swiftly restored metabolic activity. Crucially, bacteria in late biofilms or resulting from biofilm disruption retained virulence in an animal model. In summary, our study highlights Leptospira’s adaptive equilibrium in biofilms: minimizing energy expenditure, potentially aiding in withstanding stresses while maintaining pathogenicity. These insights are important for explaining the survival strategies of Leptospira, revealing that a biofilm lifestyle may confer an advantage in maintaining virulence, an understanding essential for managing leptospirosis across both environmental and mammalian reservoirs.","author":[{"dropping-particle":"","family":"Davignon","given":"Grégoire","non-dropping-particle":"","parse-names":false,"suffix":""},{"dropping-particle":"","family":"Pietrosemoli","given":"Natalia","non-dropping-particle":"","parse-names":false,"suffix":""},{"dropping-particle":"","family":"Benaroudj","given":"Nadia","non-dropping-particle":"","parse-names":false,"suffix":""},{"dropping-particle":"","family":"Soupé-Gilbert","given":"Marie-Estelle","non-dropping-particle":"","parse-names":false,"suffix":""},{"dropping-particle":"","family":"Cagliero","given":"Julie","non-dropping-particle":"","parse-names":false,"suffix":""},{"dropping-particle":"","family":"Turc","given":"Élodie","non-dropping-particle":"","parse-names":false,"suffix":""},{"dropping-particle":"","family":"Picardeau","given":"Mathieu","non-dropping-particle":"","parse-names":false,"suffix":""},{"dropping-particle":"","family":"Guentas","given":"Linda","non-dropping-particle":"","parse-names":false,"suffix":""},{"dropping-particle":"","family":"Goarant","given":"Cyrille","non-dropping-particle":"","parse-names":false,"suffix":""},{"dropping-particle":"","family":"Thibeaux","given":"Roman","non-dropping-particle":"","parse-names":false,"suffix":""}],"container-title":"npj Biofilms and Microbiomes","id":"ITEM-1","issue":"1","issued":{"date-parts":[["2024"]]},"page":"95","title":"Leptospira interrogans biofilm transcriptome highlights adaption to starvation and general stress while maintaining virulence","type":"article-journal","volume":"10"},"uris":["http://www.mendeley.com/documents/?uuid=311fcfa4-50d8-4215-a652-749e505539cd"]}],"mendeley":{"formattedCitation":"&lt;sup&gt;21&lt;/sup&gt;","plainTextFormattedCitation":"21","previouslyFormattedCitation":"&lt;sup&gt;21&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21</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{"citationItems":[{"id":"ITEM-1","itemData":{"DOI":"10.1099/MGEN.0.000144/CITE/REFWORKS","ISSN":"20575858","PMID":"29310748","abstract":"Despite recent advances in our understanding of the genomics of members of the genus Leptospira, little is known on how virulence has emerged in this heterogeneous bacterial genus as well as on the lifestyle of pathogenic members of the genus Leptospira outside animal hosts. Here, we isolated 12 novel species of the genus Leptospira from tropical soils, significantly increasing the number of known species to 35 and finding evidence of highly unexplored biodiversity in the genus. Extended comparative phylogenomics and pan-genome analyses at the genus level by incorporating 26 novel genomes, revealed that, the traditional leptospiral 'pathogens' cluster, as defined by their phylogenetic position, can be split in two groups with distinct virulence potential and accessory gene patterns. These genomic distinctions are strongly linked to the ability to cause or not severe infections in animal models and humans. Our results not only provide new insights into virulence evolution in the members of the genus Leptospira, but also lay the foundations for refining the classification of the pathogenic species.","author":[{"dropping-particle":"","family":"Thibeaux","given":"Roman","non-dropping-particle":"","parse-names":false,"suffix":""},{"dropping-particle":"","family":"Iraola","given":"Gregorio","non-dropping-particle":"","parse-names":false,"suffix":""},{"dropping-particle":"","family":"Ferrés","given":"Ignacio","non-dropping-particle":"","parse-names":false,"suffix":""},{"dropping-particle":"","family":"Bierque","given":"Emilie","non-dropping-particle":"","parse-names":false,"suffix":""},{"dropping-particle":"","family":"Girault","given":"Dominique","non-dropping-particle":"","parse-names":false,"suffix":""},{"dropping-particle":"","family":"Soupé-Gilbert","given":"Marie Estelle","non-dropping-particle":"","parse-names":false,"suffix":""},{"dropping-particle":"","family":"Picardeau","given":"Mathieu","non-dropping-particle":"","parse-names":false,"suffix":""},{"dropping-particle":"","family":"Goarant","given":"Cyrille","non-dropping-particle":"","parse-names":false,"suffix":""}],"container-title":"Microbial genomics","id":"ITEM-1","issue":"1","issued":{"date-parts":[["2018","1","1"]]},"page":"e000144","publisher":"NLM (Medline)","title":"Deciphering the unexplored Leptospira diversity from soils uncovers genomic evolution to virulence","type":"article-journal","volume":"4"},"uris":["http://www.mendeley.com/documents/?uuid=08be74e1-a263-3cb5-8630-125abde5568f"]}],"mendeley":{"formattedCitation":"&lt;sup&gt;22&lt;/sup&gt;","plainTextFormattedCitation":"22","previouslyFormattedCitation":"&lt;sup&gt;22&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22</w:t>
      </w:r>
      <w:r w:rsidRPr="005914F5">
        <w:rPr>
          <w:vertAlign w:val="superscript"/>
        </w:rPr>
        <w:fldChar w:fldCharType="end"/>
      </w:r>
      <w:r w:rsidRPr="005914F5">
        <w:t> The outer membrane protein, surface exposed liposaccharides plays a key role in evading the host immune system and colonization infecting multiple organs.</w:t>
      </w:r>
      <w:r w:rsidRPr="005914F5">
        <w:rPr>
          <w:vertAlign w:val="superscript"/>
        </w:rPr>
        <w:fldChar w:fldCharType="begin" w:fldLock="1"/>
      </w:r>
      <w:r w:rsidR="00073673" w:rsidRPr="005914F5">
        <w:rPr>
          <w:vertAlign w:val="superscript"/>
        </w:rPr>
        <w:instrText>ADDIN CSL_CITATION {"citationItems":[{"id":"ITEM-1","itemData":{"DOI":"10.1038/srep39530","ISSN":"2045-2322","abstract":"Leptospirosis is zoonotic and emerging infectious disease of global importance. Little is understood about Leptospira pathogenesis and host immune response. In the present work we have investigated how Leptospira modulates the host innate immune response mediated by Toll-like receptors (TLRs) via surface exposed proteins. We screened Leptospira outer membrane/surface proteins for their ability to activate/inhibit TLR2/4 signaling in HEK293 cell lines. Of these the 21 kDa Leptospira surface adhesin, Lsa21 had strong TLR2 and TLR4 activity leading to production of proinflammatory cytokines and expression of costimulatory molecules in mouse macrophages. This activity of Lsa21 on innate response was dependent on activation of mitogen activated protein kinases (MAPKs) via stimulating the rapid phosphorylation of p38, JNK and activation of transcription factor NF-κB. Additionally, neutralizing antibodies against TLR2 and TLR4 significantly inhibited cytokine secretion and attenuated Lsa21 induced phosphorylation of p38 and JNK. Furthermore, Lsa21 induced cytokine levels were significantly lower in TLR2−/− and TLR4−/− than in wild type mouse macrophage cell lines. Confocal microscopy and molecular docking confirmed that Lsa21 interacted with both TLR2 and TLR4. These results indicate that Lsa21 is a potent TLR2 and TLR4 agonist that induces strong innate response and may play important role in Leptospira pathogenesis.","author":[{"dropping-particle":"","family":"Faisal","given":"Syed M","non-dropping-particle":"","parse-names":false,"suffix":""},{"dropping-particle":"","family":"Varma","given":"Vivek P","non-dropping-particle":"","parse-names":false,"suffix":""},{"dropping-particle":"","family":"Subathra","given":"M","non-dropping-particle":"","parse-names":false,"suffix":""},{"dropping-particle":"","family":"Azam","given":"Sarwar","non-dropping-particle":"","parse-names":false,"suffix":""},{"dropping-particle":"","family":"Sunkara","given":"Anil K","non-dropping-particle":"","parse-names":false,"suffix":""},{"dropping-particle":"","family":"Akif","given":"Mohd","non-dropping-particle":"","parse-names":false,"suffix":""},{"dropping-particle":"","family":"Baig","given":"Mirza. S","non-dropping-particle":"","parse-names":false,"suffix":""},{"dropping-particle":"","family":"Chang","given":"Yung-Fu","non-dropping-particle":"","parse-names":false,"suffix":""}],"container-title":"Scientific Reports","id":"ITEM-1","issue":"1","issued":{"date-parts":[["2016"]]},"page":"39530","title":"Leptospira surface adhesin (Lsa21) induces Toll like receptor 2 and 4 mediated inflammatory responses in macrophages","type":"article-journal","volume":"6"},"uris":["http://www.mendeley.com/documents/?uuid=c3a21981-d8df-49cf-bfe8-c40d5736efa3"]}],"mendeley":{"formattedCitation":"&lt;sup&gt;23&lt;/sup&gt;","plainTextFormattedCitation":"23","previouslyFormattedCitation":"&lt;sup&gt;23&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23</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{"citationItems":[{"id":"ITEM-1","itemData":{"DOI":"10.3390/MEMBRANES12030300","ISSN":"2077-0375","abstract":"Leptospirosis is a widespread zoonosis that frequently occurs in tropical and subtropical countries. Leptospira enters the host through wounds or mucous membranes and spreads to the whole body through the blood, causing systemic infection. Kidneys are the preferential site where Leptospira accumulates, especially in the renal interstitium and renal tubule epithelial cells. Clinical symptoms in humans include high fever, jaundice, renal failure, and severe multiple-organ failure (Weil’s syndrome). Surface-exposed antigens are located at the outermost layer of Leptospira and these potential virulence factors are likely involved in primary host-pathogen interactions, adhesion, and/or invasion. Using the knockout/knockdown techniques to the evaluation of pathogenicity in the virulence factor are the most direct and effective methods and many virulence factors are evaluated including lipopolysaccharides (LPS), Leptospira lipoprotein 32 (LipL32), Leptospira ompA domain protein 22 (Loa22), LipL41, LipL71, Leptospira immunoglobulin-like repeat A (LigA), LigB, and LipL21. In this review, we will discuss the structure, functions, and dynamics of these virulence factors and the roles of these virulence factors in Leptospira pathogenicity. In addition, a protein family with special Leucine-rich repeat (LRR) will also be discussed for their vital role in Leptospira pathogenicity. Finally, these surface-exposed antigens are discussed in the application of the diagnosis target for leptospirosis and compared with the serum microscope agglutination test (MAT), the gold standard for leptospirosis.","author":[{"dropping-particle":"","family":"Hsu","given":"Shen Hsing","non-dropping-particle":"","parse-names":false,"suffix":""},{"dropping-particle":"","family":"Yang","given":"Chih Wei","non-dropping-particle":"","parse-names":false,"suffix":""}],"container-title":"Membranes 2022, Vol. 12, Page 300","id":"ITEM-1","issue":"3","issued":{"date-parts":[["2022","3","7"]]},"page":"300","publisher":"Multidisciplinary Digital Publishing Institute","title":"Insight into the Structure, Functions, and Dynamics of the Leptospira Outer Membrane Proteins with the Pathogenicity","type":"article-journal","volume":"12"},"uris":["http://www.mendeley.com/documents/?uuid=dcf819ee-6847-3dc0-9dd0-8653f750057d"]}],"mendeley":{"formattedCitation":"&lt;sup&gt;24&lt;/sup&gt;","plainTextFormattedCitation":"24","previouslyFormattedCitation":"&lt;sup&gt;24&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24</w:t>
      </w:r>
      <w:r w:rsidRPr="005914F5">
        <w:rPr>
          <w:vertAlign w:val="superscript"/>
        </w:rPr>
        <w:fldChar w:fldCharType="end"/>
      </w:r>
      <w:r w:rsidRPr="005914F5">
        <w:t xml:space="preserve"> Utilizing advance genomics techniques and molecular biology, </w:t>
      </w:r>
      <w:proofErr w:type="spellStart"/>
      <w:r w:rsidRPr="005914F5">
        <w:t>leptospires</w:t>
      </w:r>
      <w:proofErr w:type="spellEnd"/>
      <w:r w:rsidRPr="005914F5">
        <w:t xml:space="preserve"> are classified into more than 20 species. Genetic and serological subdivision includes pathogenic, saprophytic groups.</w:t>
      </w:r>
      <w:r w:rsidRPr="005914F5">
        <w:rPr>
          <w:vertAlign w:val="superscript"/>
        </w:rPr>
        <w:fldChar w:fldCharType="begin" w:fldLock="1"/>
      </w:r>
      <w:r w:rsidR="00073673" w:rsidRPr="005914F5">
        <w:rPr>
          <w:vertAlign w:val="superscript"/>
        </w:rPr>
        <w:instrText>ADDIN CSL_CITATION {"citationItems":[{"id":"ITEM-1","itemData":{"DOI":"10.2217/FMB.10.102;","ISSN":"17460913","PMID":"20860485","abstract":"Leptospirosis, the most widespread zoonosis in the world, is an emerging public health problem, particularly in large urban centers of developing countries. Several pathogenic species of the genus Leptospira can cause a wide range of clinical manifestations, from a mild, flu-like illness to a severe disease form characterized by multiorgan system complications leading to death. However, the mechanisms of pathogenesis of Leptospira are largely unknown. This article will address the animal models of acute and chronic leptospire infections, and the recent developments in the genetic manipulation of the bacteria, which facilitate the identification of virulence factors involved in pathogenesis and the assessment of their potential values in the control and prevention of leptospirosis. © 2010 Future Medicine Ltd.","author":[{"dropping-particle":"V.","family":"Evangelista","given":"Karen","non-dropping-particle":"","parse-names":false,"suffix":""},{"dropping-particle":"","family":"Coburn","given":"Jenifer","non-dropping-particle":"","parse-names":false,"suffix":""}],"container-title":"Future Microbiology","id":"ITEM-1","issue":"9","issued":{"date-parts":[["2010","9"]]},"page":"1413-1425","title":"Leptospira as an emerging pathogen: A review of its biology, pathogenesis and host immune responses","type":"article-journal","volume":"5"},"uris":["http://www.mendeley.com/documents/?uuid=2dc440fc-648a-308e-b8b9-1afec744cd26"]}],"mendeley":{"formattedCitation":"&lt;sup&gt;25&lt;/sup&gt;","plainTextFormattedCitation":"25","previouslyFormattedCitation":"&lt;sup&gt;25&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25</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{"citationItems":[{"id":"ITEM-1","itemData":{"ISSN":"2235-2988","abstract":"Leptospirosis is a widespread zoonosis caused by pathogenic Leptospira spp.. It is considered a neglected infectious disease of human and veterinary concern. Our group has been investigating proteins annotated as hypothetical, predicted to be located on the leptospiral surface. Because of their location, these proteins may have the ability to interact with various host components, which could allow establishment of the infection. These proteins act as adherence factors by binding to host receptor molecules, such as the extracellular matrix (ECM) components laminin and glycosaminoglycans to help bacterial colonization. Leptospira also interacts with the host fibrinolytic system, which has been demonstrated to be a powerful tool for invasion mechanisms. The interaction with fibrinogen and thrombin has been shown to reduce fibrin clot formation. Additionally, the degradation of coagulation cascade components by secreted proteases or by acquired surface plasmin could also play a role in reducing clot formation, hence facilitating dissemination during infection. Interaction with host complement system regulators also plays a role in helping bacteria to evade the immune system, facilitating invasion. Interaction of Leptospira to cell receptors, such as cadherins, can contribute to investigate molecules that participate in virulence.  To achieve a better understanding of the host-pathogen interaction, leptospiral mutagenesis tools have been developed and explored. This work presents several proteins that mediate binding to components of the ECM, plasma, components of the complement system and cells, to gather research achievements that can be helpful in better understanding the mechanisms of leptospiral-host interactions and discuss genetic manipulation for Leptospira spp. aimed at protein function validation.","author":[{"dropping-particle":"","family":"Daroz","given":"Brenda B","non-dropping-particle":"","parse-names":false,"suffix":""},{"dropping-particle":"V","family":"Fernandes","given":"Luis G","non-dropping-particle":"","parse-names":false,"suffix":""},{"dropping-particle":"","family":"Cavenague","given":"Maria F","non-dropping-particle":"","parse-names":false,"suffix":""},{"dropping-particle":"","family":"Kochi","given":"Leandro T","non-dropping-particle":"","parse-names":false,"suffix":""},{"dropping-particle":"","family":"Passalia","given":"Felipe J","non-dropping-particle":"","parse-names":false,"suffix":""},{"dropping-particle":"","family":"Takahashi","given":"Maria B","non-dropping-particle":"","parse-names":false,"suffix":""},{"dropping-particle":"","family":"Nascimento Filho","given":"Edson G","non-dropping-particle":"","parse-names":false,"suffix":""},{"dropping-particle":"","family":"Teixeira","given":"Aline F","non-dropping-particle":"","parse-names":false,"suffix":""},{"dropping-particle":"","family":"Nascimento","given":"Ana L T O","non-dropping-particle":"","parse-names":false,"suffix":""}],"container-title":"Frontiers in Cellular and Infection Microbiology","id":"ITEM-1","issued":{"date-parts":[["2021"]]},"title":"A Review on Host-Leptospira Interactions: What We Know and Future Expectations","type":"article-journal","volume":"Volume 11 "},"uris":["http://www.mendeley.com/documents/?uuid=a42d77df-89e2-43ba-95ad-8cc2c9d73cce"]}],"mendeley":{"formattedCitation":"&lt;sup&gt;26&lt;/sup&gt;","plainTextFormattedCitation":"26","previouslyFormattedCitation":"&lt;sup&gt;26&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26</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{"citationItems":[{"id":"ITEM-1","itemData":{"DOI":"10.3390/PATHOGENS10020145","ISSN":"2076-0817","abstract":"Leptospirosis is a perplexing conundrum for many. In the existing literature, the pathophysiological mechanisms pertaining to leptospirosis is still not understood in full. Considered as a neglected tropical zoonotic disease, leptospirosis is culminating as a serious problem worldwide, seemingly existing as co-infections with various other unrelated diseases, including dengue and malaria. Misdiagnosis is also common as non-specific symptoms are documented extensively in the literature. This can easily lead to death, as the severe form of leptospirosis (Weil’s disease) manifests as a complex of systemic complications, especially renal failure. The virulence of Leptospira sp. is usually attributed to the outer membrane proteins, including LipL32. With an armament of virulence factors at their disposal, their ability to easily adhere, invade and replicate within cells calls for a swift refinement in research progress to establish their exact pathophysiological framework. As an effort to reconstitute the current knowledge on leptospirosis, the basis of leptospiral infection, including its risk factors, classification, morphology, transmission, pathogenesis, co-infections and clinical manifestations are highlighted in this review. The various diagnostic techniques are also outlined with emphasis on their respective pros and cons.","author":[{"dropping-particle":"V.","family":"Samrot","given":"Antony","non-dropping-particle":"","parse-names":false,"suffix":""},{"dropping-particle":"","family":"Sean","given":"Tan Chuan","non-dropping-particle":"","parse-names":false,"suffix":""},{"dropping-particle":"","family":"Bhavya","given":"Karanam Sai","non-dropping-particle":"","parse-names":false,"suffix":""},{"dropping-particle":"","family":"Sahithya","given":"Chamarthy Sai","non-dropping-particle":"","parse-names":false,"suffix":""},{"dropping-particle":"","family":"Chandrasekaran","given":"Saipriya","non-dropping-particle":"","parse-names":false,"suffix":""},{"dropping-particle":"","family":"Palanisamy","given":"Raji","non-dropping-particle":"","parse-names":false,"suffix":""},{"dropping-particle":"","family":"Robinson","given":"Emilin Renitta","non-dropping-particle":"","parse-names":false,"suffix":""},{"dropping-particle":"","family":"Subbiah","given":"Suresh Kumar","non-dropping-particle":"","parse-names":false,"suffix":""},{"dropping-particle":"","family":"Mok","given":"Pooi Ling","non-dropping-particle":"","parse-names":false,"suffix":""}],"container-title":"Pathogens 2021, Vol. 10, Page 145","id":"ITEM-1","issue":"2","issued":{"date-parts":[["2021","2","1"]]},"page":"145","publisher":"Multidisciplinary Digital Publishing Institute","title":"Leptospiral Infection, Pathogenesis and Its Diagnosis—A Review","type":"article-journal","volume":"10"},"uris":["http://www.mendeley.com/documents/?uuid=a6d97447-6b96-3c37-9b91-4c8d0039cf34"]}],"mendeley":{"formattedCitation":"&lt;sup&gt;27&lt;/sup&gt;","plainTextFormattedCitation":"27","previouslyFormattedCitation":"&lt;sup&gt;27&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27</w:t>
      </w:r>
      <w:r w:rsidRPr="005914F5">
        <w:rPr>
          <w:vertAlign w:val="superscript"/>
        </w:rPr>
        <w:fldChar w:fldCharType="end"/>
      </w:r>
      <w:r w:rsidRPr="005914F5">
        <w:rPr>
          <w:vertAlign w:val="superscript"/>
        </w:rPr>
        <w:t xml:space="preserve"> </w:t>
      </w:r>
    </w:p>
    <w:p w14:paraId="1794C61C" w14:textId="376D1C25" w:rsidR="004560CB" w:rsidRPr="005914F5" w:rsidRDefault="00DF2A48" w:rsidP="002F04D4">
      <w:pPr>
        <w:spacing w:line="360" w:lineRule="auto"/>
      </w:pPr>
      <w:r w:rsidRPr="005914F5">
        <w:t xml:space="preserve">There are two types of </w:t>
      </w:r>
      <w:r w:rsidRPr="004F63BE">
        <w:rPr>
          <w:i/>
          <w:iCs/>
        </w:rPr>
        <w:t>Leptospira</w:t>
      </w:r>
      <w:r w:rsidRPr="005914F5">
        <w:t xml:space="preserve"> hosts: incidental (or unintentional) hosts and maintenance hosts.</w:t>
      </w:r>
      <w:r w:rsidRPr="005914F5">
        <w:rPr>
          <w:vertAlign w:val="superscript"/>
        </w:rPr>
        <w:fldChar w:fldCharType="begin" w:fldLock="1"/>
      </w:r>
      <w:r w:rsidR="00073673" w:rsidRPr="005914F5">
        <w:rPr>
          <w:vertAlign w:val="superscript"/>
        </w:rPr>
        <w:instrText>ADDIN CSL_CITATION {"citationItems":[{"id":"ITEM-1","itemData":{"DOI":"10.1080/01652176.1996.9694722","ISSN":"18755941","PMID":"8933702","abstract":"(1996). Leptospirosis in wild animals. Veterinary Quarterly: Vol. 18, No. sup3, pp. 149-150.","author":[{"dropping-particle":"","family":"Hartskeerl","given":"P. A.","non-dropping-particle":"","parse-names":false,"suffix":""},{"dropping-particle":"","family":"Terpstra","given":"W. J.","non-dropping-particle":"","parse-names":false,"suffix":""}],"container-title":"Veterinary Quarterly","id":"ITEM-1","issued":{"date-parts":[["1996"]]},"page":"149-150","publisher":"Taylor &amp; Francis Group","title":"Leptospirosis in wild animals","type":"article-journal","volume":"18"},"uris":["http://www.mendeley.com/documents/?uuid=eccf85bd-bc2f-3633-b5e9-8d99ed55244a"]}],"mendeley":{"formattedCitation":"&lt;sup&gt;28&lt;/sup&gt;","plainTextFormattedCitation":"28","previouslyFormattedCitation":"&lt;sup&gt;28&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28</w:t>
      </w:r>
      <w:r w:rsidRPr="005914F5">
        <w:rPr>
          <w:vertAlign w:val="superscript"/>
        </w:rPr>
        <w:fldChar w:fldCharType="end"/>
      </w:r>
      <w:r w:rsidRPr="005914F5">
        <w:t xml:space="preserve"> Long-term urine shedding of the pathogen is possible in maintenance hosts, which are typically animals, who can harbor the bacteria in their kidneys asymptomatically.</w:t>
      </w:r>
      <w:r w:rsidRPr="005914F5">
        <w:rPr>
          <w:vertAlign w:val="superscript"/>
        </w:rPr>
        <w:fldChar w:fldCharType="begin" w:fldLock="1"/>
      </w:r>
      <w:r w:rsidR="00073673" w:rsidRPr="005914F5">
        <w:rPr>
          <w:vertAlign w:val="superscript"/>
        </w:rPr>
        <w:instrText>ADDIN CSL_CITATION {"citationItems":[{"id":"ITEM-1","itemData":{"DOI":"10.3390/VETSCI12030285","ISSN":"2306-7381","abstract":"The demand for unconventional pets has markedly increased in recent years worldwide. Among them, many species of mammals are frequently kept in domestic environments in close contact with their owners. Pets often harbor zoonotic microorganisms without showing clinical signs; therefore, owners do not suspect that they can be a source of pathogens. Pets of several unconventional species may act mainly as maintenance hosts for leptospires; they are clinically silent but shed the spirochetes in their urine representing a serious risk of infection for people living in the same domestic area. However, their role as maintenance or incidental hosts seems variable in relation to the animal species, and it has not always been elucidated. No vaccines against Leptospira spp. are available for unconventional mammal pets, and so prophylaxis is based on rigorous hygienic measures and the identification of infected animals through indirect and/or direct diagnosis for leptospirosis.","author":[{"dropping-particle":"","family":"Bertelloni","given":"Fabrizio","non-dropping-particle":"","parse-names":false,"suffix":""},{"dropping-particle":"","family":"Ebani","given":"Valentina Virginia","non-dropping-particle":"","parse-names":false,"suffix":""}],"container-title":"Veterinary Sciences 2025, Vol. 12, Page 285","id":"ITEM-1","issue":"3","issued":{"date-parts":[["2025","3","19"]]},"page":"285","publisher":"Multidisciplinary Digital Publishing Institute","title":"Leptospirosis in Unconventional Mammal Pets","type":"article-journal","volume":"12"},"uris":["http://www.mendeley.com/documents/?uuid=a39d4733-2f64-3e5c-bdcc-777ecad04da4"]}],"mendeley":{"formattedCitation":"&lt;sup&gt;29&lt;/sup&gt;","plainTextFormattedCitation":"29","previouslyFormattedCitation":"&lt;sup&gt;29&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29</w:t>
      </w:r>
      <w:r w:rsidRPr="005914F5">
        <w:rPr>
          <w:vertAlign w:val="superscript"/>
        </w:rPr>
        <w:fldChar w:fldCharType="end"/>
      </w:r>
      <w:r w:rsidRPr="005914F5">
        <w:t xml:space="preserve"> On the other hand, accidental hosts, like people or other animals, have observable symptoms and lose the bacteria more quickly.</w:t>
      </w:r>
      <w:r w:rsidRPr="005914F5">
        <w:rPr>
          <w:vertAlign w:val="superscript"/>
        </w:rPr>
        <w:fldChar w:fldCharType="begin" w:fldLock="1"/>
      </w:r>
      <w:r w:rsidR="00073673" w:rsidRPr="005914F5">
        <w:rPr>
          <w:vertAlign w:val="superscript"/>
        </w:rPr>
        <w:instrText>ADDIN CSL_CITATION {"citationItems":[{"id":"ITEM-1","itemData":{"DOI":"10.1007/978-3-662-45059-8_6","ISSN":"21969965","PMID":"25388134","abstract":"Leptospirosis is a global disease of animals, which can have a major economic impact on livestock industries and is an important zoonosis. The current knowledge base is heavily biased towards the developed agricultural economies. The disease situation in the developing economies presents a major challenge as humans and animals frequently live in close association. The severity of disease varies with the infecting serovar and the affected species, but there are many common aspects across the species; for example, the acute phase of infection is mostly sub-clinical and the greatest economic losses arise from chronic infection causing reproductive wastage. The principles of, and tests for, diagnosis, treatment, control and surveillance are applicable across the species.","author":[{"dropping-particle":"","family":"Ellis","given":"William A.","non-dropping-particle":"","parse-names":false,"suffix":""}],"container-title":"Current Topics in Microbiology and Immunology","id":"ITEM-1","issued":{"date-parts":[["2015"]]},"page":"99-137","publisher":"Springer Verlag","title":"Animal Leptospirosis","type":"article-journal","volume":"387"},"uris":["http://www.mendeley.com/documents/?uuid=163423c6-2cb9-348a-b6b1-94e5534504c7"]}],"mendeley":{"formattedCitation":"&lt;sup&gt;30&lt;/sup&gt;","plainTextFormattedCitation":"30","previouslyFormattedCitation":"&lt;sup&gt;30&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30</w:t>
      </w:r>
      <w:r w:rsidRPr="005914F5">
        <w:rPr>
          <w:vertAlign w:val="superscript"/>
        </w:rPr>
        <w:fldChar w:fldCharType="end"/>
      </w:r>
      <w:r w:rsidRPr="005914F5">
        <w:t xml:space="preserve"> Some serovars exhibit host specialization, whereas others infect a broad variety of species. </w:t>
      </w:r>
      <w:proofErr w:type="spellStart"/>
      <w:r w:rsidRPr="005914F5">
        <w:t>Copenhageni</w:t>
      </w:r>
      <w:proofErr w:type="spellEnd"/>
      <w:r w:rsidRPr="005914F5">
        <w:t xml:space="preserve">, </w:t>
      </w:r>
      <w:proofErr w:type="spellStart"/>
      <w:r w:rsidRPr="005914F5">
        <w:t>Grippotyphosa</w:t>
      </w:r>
      <w:proofErr w:type="spellEnd"/>
      <w:r w:rsidRPr="005914F5">
        <w:t xml:space="preserve">, </w:t>
      </w:r>
      <w:proofErr w:type="spellStart"/>
      <w:r w:rsidRPr="005914F5">
        <w:t>Icterohaemorrhagiae</w:t>
      </w:r>
      <w:proofErr w:type="spellEnd"/>
      <w:r w:rsidRPr="005914F5">
        <w:t>, Pomona, Australis, and Ballum are some of the most common serovars. Rats, cattle, dogs, and pigs are common reservoirs for these serovars</w:t>
      </w:r>
      <w:r w:rsidR="00004F1A" w:rsidRPr="005914F5">
        <w:t>.</w:t>
      </w:r>
      <w:r w:rsidRPr="005914F5">
        <w:fldChar w:fldCharType="begin" w:fldLock="1"/>
      </w:r>
      <w:r w:rsidR="00073673" w:rsidRPr="005914F5">
        <w:instrText>ADDIN CSL_CITATION {"citationItems":[{"id":"ITEM-1","itemData":{"DOI":"10.1111/TMI.13965;","ISSN":"13653156","PMID":"38351504","abstract":"Objectives: Leptospira, the spirochaete causing leptospirosis, can be classified into &gt;250 antigenically distinct serovars. Although knowledge of the animal host species and geographic distribution of Leptospira serovars is critical to understand the human and animal epidemiology of leptospirosis, current data are fragmented. We aimed to systematically review, the literature on animal host species and geographic distribution of Leptospira serovars to examine associations between serovars with animal host species and regions and to identify geographic regions in need of study. Methods: Nine library databases were searched from inception through 9 March 2023 using keywords including Leptospira, animal, and a list of serovars. We sought reports of detection of Leptospira, from any animal, characterised by cross agglutinin absorption test, monoclonal antibody typing, serum factor analysis, or pulsed-field gel electrophoresis to identify the serovar. Results: We included 409 reports, published from 1927 through 2022, yielding data on 154 Leptospira serovars. The reports included data from 66 (26.5%) of 249 countries. Detections were from 144 animal host species including 135 (93.8%) from the class Mammalia, 5 (3.5%) from Amphibia, 3 (2.1%) from Reptilia, and 1 (0.7%) from Arachnida. Across the animal host species, Leptospira serovars that were detected in the largest number of animal species included Grippotyphosa (n = 39), Icterohaemorrhagiae (n = 29), Pomona (n = 28), Australis (n = 25), and Ballum (n = 25). Of serovars, 76 were detected in a single animal host species. We created an online database to identify animal host species for each serovar by country. Conclusions: We found that many countries have few or no Leptospira serovars detected from animal host species and that many serovars were detected from a single animal species. Our study highlights the importance of efforts to identify animal host species of leptospirosis, especially in places with a high incidence of human leptospirosis. We provide an updated resource for leptospirosis researchers.","author":[{"dropping-particle":"","family":"Hagedoorn","given":"Nienke N.","non-dropping-particle":"","parse-names":false,"suffix":""},{"dropping-particle":"","family":"Maze","given":"Michael J.","non-dropping-particle":"","parse-names":false,"suffix":""},{"dropping-particle":"","family":"Carugati","given":"Manuela","non-dropping-particle":"","parse-names":false,"suffix":""},{"dropping-particle":"","family":"Cash-Goldwasser","given":"Shama","non-dropping-particle":"","parse-names":false,"suffix":""},{"dropping-particle":"","family":"Allan","given":"Kathryn J.","non-dropping-particle":"","parse-names":false,"suffix":""},{"dropping-particle":"","family":"Chen","given":"Kevin","non-dropping-particle":"","parse-names":false,"suffix":""},{"dropping-particle":"","family":"Cossic","given":"Brieuc","non-dropping-particle":"","parse-names":false,"suffix":""},{"dropping-particle":"","family":"Demeter","given":"Elena","non-dropping-particle":"","parse-names":false,"suffix":""},{"dropping-particle":"","family":"Gallagher","given":"Sarah","non-dropping-particle":"","parse-names":false,"suffix":""},{"dropping-particle":"","family":"German","given":"Richard","non-dropping-particle":"","parse-names":false,"suffix":""},{"dropping-particle":"","family":"Galloway","given":"Renee L.","non-dropping-particle":"","parse-names":false,"suffix":""},{"dropping-particle":"","family":"Habuš","given":"Josipa","non-dropping-particle":"","parse-names":false,"suffix":""},{"dropping-particle":"","family":"Rubach","given":"Matthew P.","non-dropping-particle":"","parse-names":false,"suffix":""},{"dropping-particle":"","family":"Shiokawa","given":"Kanae","non-dropping-particle":"","parse-names":false,"suffix":""},{"dropping-particle":"","family":"Sulikhan","given":"Nadezhda","non-dropping-particle":"","parse-names":false,"suffix":""},{"dropping-particle":"","family":"Crump","given":"John A.","non-dropping-particle":"","parse-names":false,"suffix":""}],"container-title":"Tropical Medicine and International Health","id":"ITEM-1","issue":"3","issued":{"date-parts":[["2024","3","1"]]},"page":"161-172","publisher":"John Wiley and Sons Inc","title":"Global distribution of Leptospira serovar isolations and detections from animal host species: A systematic review and online database","type":"article-journal","volume":"29"},"uris":["http://www.mendeley.com/documents/?uuid=cc5e83fb-6f01-3516-b4cf-22e980b24dbd"]}],"mendeley":{"formattedCitation":"&lt;sup&gt;31&lt;/sup&gt;","plainTextFormattedCitation":"31","previouslyFormattedCitation":"&lt;sup&gt;31&lt;/sup&gt;"},"properties":{"noteIndex":0},"schema":"https://github.com/citation-style-language/schema/raw/master/csl-citation.json"}</w:instrText>
      </w:r>
      <w:r w:rsidRPr="005914F5">
        <w:fldChar w:fldCharType="separate"/>
      </w:r>
      <w:r w:rsidR="001F530E" w:rsidRPr="005914F5">
        <w:rPr>
          <w:noProof/>
          <w:vertAlign w:val="superscript"/>
        </w:rPr>
        <w:t>31</w:t>
      </w:r>
      <w:r w:rsidRPr="005914F5">
        <w:fldChar w:fldCharType="end"/>
      </w:r>
      <w:r w:rsidRPr="005914F5">
        <w:t xml:space="preserve"> For instance, dogs are typically connected with serovar </w:t>
      </w:r>
      <w:proofErr w:type="spellStart"/>
      <w:r w:rsidRPr="005914F5">
        <w:t>Canicola</w:t>
      </w:r>
      <w:proofErr w:type="spellEnd"/>
      <w:r w:rsidRPr="005914F5">
        <w:t xml:space="preserve">, while </w:t>
      </w:r>
      <w:proofErr w:type="spellStart"/>
      <w:r w:rsidRPr="005914F5">
        <w:t>Grippotyphosa</w:t>
      </w:r>
      <w:proofErr w:type="spellEnd"/>
      <w:r w:rsidRPr="005914F5">
        <w:t xml:space="preserve"> is found in numerous animal species.</w:t>
      </w:r>
      <w:r w:rsidRPr="005914F5">
        <w:rPr>
          <w:vertAlign w:val="superscript"/>
        </w:rPr>
        <w:fldChar w:fldCharType="begin" w:fldLock="1"/>
      </w:r>
      <w:r w:rsidR="00073673" w:rsidRPr="005914F5">
        <w:rPr>
          <w:vertAlign w:val="superscript"/>
        </w:rPr>
        <w:instrText>ADDIN CSL_CITATION {"citationItems":[{"id":"ITEM-1","itemData":{"DOI":"10.1016/j.vetmic.2009.03.012","ISSN":"03781135","PMID":"19345023","abstract":"Leptospirosis is the most wide spread zoonosis worldwide; it is present in all continents except Antarctica and evidence for the carriage of Leptospira has been found in virtually all mammalian species examined. Humans most commonly become infected through occupational, recreational, or domestic contact with the urine of carrier animals, either directly or via contaminated water or soil. Leptospires are thin, helical bacteria classified into at least 12 pathogenic and 4 saprophytic species, with more than 250 pathogenic serovars. Immunity following infection is generally, but not exclusively, mediated by antibody against leptospiral LPS and restricted to antigenically related serovars. Vaccines currently available consist of killed whole cell bacterins which are used widely in animals, but less so in humans. Current work with recombinant protein antigens shows promise for the development of vaccines based on defined protective antigens. The cellular and molecular basis for virulence remains poorly understood, but comparative genomics of pathogenic and saprophytic species suggests that Leptospira expresses unique virulence determinants. However, the recent development of defined mutagenesis systems for Leptospira heralds the potential for gaining a much improved understanding of pathogenesis in leptospirosis. © 2009 Elsevier B.V. All rights reserved.","author":[{"dropping-particle":"","family":"Adler","given":"Ben","non-dropping-particle":"","parse-names":false,"suffix":""},{"dropping-particle":"","family":"la Peña Moctezuma","given":"Alejandro","non-dropping-particle":"de","parse-names":false,"suffix":""}],"container-title":"Veterinary Microbiology","id":"ITEM-1","issue":"3-4","issued":{"date-parts":[["2010","1","27"]]},"page":"287-296","title":"Leptospira and leptospirosis","type":"article-journal","volume":"140"},"uris":["http://www.mendeley.com/documents/?uuid=4bbdb155-8b06-361b-9743-4cd37b64bc09"]}],"mendeley":{"formattedCitation":"&lt;sup&gt;32&lt;/sup&gt;","plainTextFormattedCitation":"32","previouslyFormattedCitation":"&lt;sup&gt;32&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32</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{"citationItems":[{"id":"ITEM-1","itemData":{"DOI":"10.1111/TMI.13965;","ISSN":"13653156","PMID":"38351504","abstract":"Objectives: Leptospira, the spirochaete causing leptospirosis, can be classified into &gt;250 antigenically distinct serovars. Although knowledge of the animal host species and geographic distribution of Leptospira serovars is critical to understand the human and animal epidemiology of leptospirosis, current data are fragmented. We aimed to systematically review, the literature on animal host species and geographic distribution of Leptospira serovars to examine associations between serovars with animal host species and regions and to identify geographic regions in need of study. Methods: Nine library databases were searched from inception through 9 March 2023 using keywords including Leptospira, animal, and a list of serovars. We sought reports of detection of Leptospira, from any animal, characterised by cross agglutinin absorption test, monoclonal antibody typing, serum factor analysis, or pulsed-field gel electrophoresis to identify the serovar. Results: We included 409 reports, published from 1927 through 2022, yielding data on 154 Leptospira serovars. The reports included data from 66 (26.5%) of 249 countries. Detections were from 144 animal host species including 135 (93.8%) from the class Mammalia, 5 (3.5%) from Amphibia, 3 (2.1%) from Reptilia, and 1 (0.7%) from Arachnida. Across the animal host species, Leptospira serovars that were detected in the largest number of animal species included Grippotyphosa (n = 39), Icterohaemorrhagiae (n = 29), Pomona (n = 28), Australis (n = 25), and Ballum (n = 25). Of serovars, 76 were detected in a single animal host species. We created an online database to identify animal host species for each serovar by country. Conclusions: We found that many countries have few or no Leptospira serovars detected from animal host species and that many serovars were detected from a single animal species. Our study highlights the importance of efforts to identify animal host species of leptospirosis, especially in places with a high incidence of human leptospirosis. We provide an updated resource for leptospirosis researchers.","author":[{"dropping-particle":"","family":"Hagedoorn","given":"Nienke N.","non-dropping-particle":"","parse-names":false,"suffix":""},{"dropping-particle":"","family":"Maze","given":"Michael J.","non-dropping-particle":"","parse-names":false,"suffix":""},{"dropping-particle":"","family":"Carugati","given":"Manuela","non-dropping-particle":"","parse-names":false,"suffix":""},{"dropping-particle":"","family":"Cash-Goldwasser","given":"Shama","non-dropping-particle":"","parse-names":false,"suffix":""},{"dropping-particle":"","family":"Allan","given":"Kathryn J.","non-dropping-particle":"","parse-names":false,"suffix":""},{"dropping-particle":"","family":"Chen","given":"Kevin","non-dropping-particle":"","parse-names":false,"suffix":""},{"dropping-particle":"","family":"Cossic","given":"Brieuc","non-dropping-particle":"","parse-names":false,"suffix":""},{"dropping-particle":"","family":"Demeter","given":"Elena","non-dropping-particle":"","parse-names":false,"suffix":""},{"dropping-particle":"","family":"Gallagher","given":"Sarah","non-dropping-particle":"","parse-names":false,"suffix":""},{"dropping-particle":"","family":"German","given":"Richard","non-dropping-particle":"","parse-names":false,"suffix":""},{"dropping-particle":"","family":"Galloway","given":"Renee L.","non-dropping-particle":"","parse-names":false,"suffix":""},{"dropping-particle":"","family":"Habuš","given":"Josipa","non-dropping-particle":"","parse-names":false,"suffix":""},{"dropping-particle":"","family":"Rubach","given":"Matthew P.","non-dropping-particle":"","parse-names":false,"suffix":""},{"dropping-particle":"","family":"Shiokawa","given":"Kanae","non-dropping-particle":"","parse-names":false,"suffix":""},{"dropping-particle":"","family":"Sulikhan","given":"Nadezhda","non-dropping-particle":"","parse-names":false,"suffix":""},{"dropping-particle":"","family":"Crump","given":"John A.","non-dropping-particle":"","parse-names":false,"suffix":""}],"container-title":"Tropical Medicine and International Health","id":"ITEM-1","issue":"3","issued":{"date-parts":[["2024","3","1"]]},"page":"161-172","publisher":"John Wiley and Sons Inc","title":"Global distribution of Leptospira serovar isolations and detections from animal host species: A systematic review and online database","type":"article-journal","volume":"29"},"uris":["http://www.mendeley.com/documents/?uuid=cc5e83fb-6f01-3516-b4cf-22e980b24dbd"]}],"mendeley":{"formattedCitation":"&lt;sup&gt;31&lt;/sup&gt;","plainTextFormattedCitation":"31","previouslyFormattedCitation":"&lt;sup&gt;31&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31</w:t>
      </w:r>
      <w:r w:rsidRPr="005914F5">
        <w:rPr>
          <w:vertAlign w:val="superscript"/>
        </w:rPr>
        <w:fldChar w:fldCharType="end"/>
      </w:r>
      <w:r w:rsidRPr="005914F5">
        <w:rPr>
          <w:highlight w:val="green"/>
        </w:rPr>
        <w:t xml:space="preserve"> </w:t>
      </w:r>
    </w:p>
    <w:p w14:paraId="092437DF" w14:textId="6FDD8CB5" w:rsidR="004560CB" w:rsidRPr="007E69BE" w:rsidRDefault="00DF2A48" w:rsidP="001301EA">
      <w:pPr>
        <w:spacing w:line="360" w:lineRule="auto"/>
        <w:rPr>
          <w:b/>
          <w:bCs/>
        </w:rPr>
      </w:pPr>
      <w:r w:rsidRPr="004F63BE">
        <w:rPr>
          <w:b/>
          <w:bCs/>
          <w:i/>
          <w:iCs/>
        </w:rPr>
        <w:t>Leptospira</w:t>
      </w:r>
      <w:r w:rsidRPr="005914F5">
        <w:rPr>
          <w:b/>
          <w:bCs/>
        </w:rPr>
        <w:t xml:space="preserve"> and metabolomics</w:t>
      </w:r>
    </w:p>
    <w:p w14:paraId="40989B32" w14:textId="44BAF8D6" w:rsidR="00DF2A48" w:rsidRPr="005914F5" w:rsidRDefault="00DF2A48" w:rsidP="002F04D4">
      <w:pPr>
        <w:spacing w:line="360" w:lineRule="auto"/>
      </w:pPr>
      <w:r w:rsidRPr="005914F5">
        <w:t>Metabolomics, the study of small molecules, helps elucidate the molecular information of microorganisms of interest. Investigation of the metabolic features of an organism is an extraordinary opportunity to unravel the understanding of several significant underlying reasons of a microorganism’s functions.</w:t>
      </w:r>
      <w:r w:rsidRPr="005914F5">
        <w:rPr>
          <w:vertAlign w:val="superscript"/>
        </w:rPr>
        <w:fldChar w:fldCharType="begin" w:fldLock="1"/>
      </w:r>
      <w:r w:rsidR="00073673" w:rsidRPr="005914F5">
        <w:rPr>
          <w:vertAlign w:val="superscript"/>
        </w:rPr>
        <w:instrText>ADDIN CSL_CITATION {"citationItems":[{"id":"ITEM-1","itemData":{"DOI":"https://doi.org/10.1146/annurev-biophys-030722-021957","ISSN":"1936-1238","abstract":"Over the past decades, our understanding of microbial metabolism has increased dramatically. Metabolomics, a family of techniques that are used to measure the quantities of small molecules in biological samples, has been central to these efforts. Advances in analytical chemistry have made it possible to measure the relative and absolute concentrations of more and more compounds with increasing levels of certainty. In this review, we highlight how metabolomics has contributed to understanding microbial metabolism and in what ways it can still be deployed to expand our systematic understanding of metabolism. To that end, we explain how metabolomics was used to (a) characterize network topologies of metabolism and its regulation networks, (b) elucidate the control of metabolic function, and (c) understand the molecular basis of higher-order phenomena. We also discuss areas of inquiry where technological advances should continue to increase the impact of metabolomics, as well as areas where our understanding is bottlenecked by other factors such as the availability of statistical and modeling frameworks that can extract biological meaning from metabolomics data.","author":[{"dropping-particle":"","family":"Holbrook-Smith","given":"Duncan","non-dropping-particle":"","parse-names":false,"suffix":""},{"dropping-particle":"","family":"Trouillon","given":"Julian","non-dropping-particle":"","parse-names":false,"suffix":""},{"dropping-particle":"","family":"Sauer","given":"Uwe","non-dropping-particle":"","parse-names":false,"suffix":""}],"container-title":"Annual Review of Biophysics","id":"ITEM-1","issue":"Volume 53, 2024","issued":{"date-parts":[["2024"]]},"page":"41-64","publisher":"Annual Reviews","title":"Metabolomics and Microbial Metabolism: Toward a Systematic Understanding","type":"article-journal","volume":"53"},"uris":["http://www.mendeley.com/documents/?uuid=688429dc-0e28-4d45-8c8d-7f6e98919bd7"]}],"mendeley":{"formattedCitation":"&lt;sup&gt;33&lt;/sup&gt;","plainTextFormattedCitation":"33","previouslyFormattedCitation":"&lt;sup&gt;33&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33</w:t>
      </w:r>
      <w:r w:rsidRPr="005914F5">
        <w:rPr>
          <w:vertAlign w:val="superscript"/>
        </w:rPr>
        <w:fldChar w:fldCharType="end"/>
      </w:r>
      <w:r w:rsidRPr="005914F5">
        <w:t xml:space="preserve"> Ongoing research employing metabolomics can uncover an organism’s survival, pathogenicity, dissemination, virulence. Exploiting the ecophysiology of pathogens can be utilized to improve diagnostic measures and treatment.</w:t>
      </w:r>
      <w:r w:rsidRPr="005914F5">
        <w:rPr>
          <w:vertAlign w:val="superscript"/>
        </w:rPr>
        <w:fldChar w:fldCharType="begin" w:fldLock="1"/>
      </w:r>
      <w:r w:rsidR="00073673" w:rsidRPr="005914F5">
        <w:rPr>
          <w:vertAlign w:val="superscript"/>
        </w:rPr>
        <w:instrText>ADDIN CSL_CITATION {"citationItems":[{"id":"ITEM-1","itemData":{"DOI":"https://doi.org/10.1111/1755-0998.12959","ISSN":"1755-098X","abstract":"Abstract High-throughput identification technologies provide efficient tools for understanding the ecology and functioning of microorganisms. Yet, these methods have been only rarely used for monitoring and testing ecological hypotheses in plant pathogens and pests in spite of their immense importance in agriculture, forestry and plant community dynamics. The main objectives of this manuscript are the following: (a) to provide a comprehensive overview about the state-of-the-art high-throughput quantification and molecular identification methods used to address population dynamics, community ecology and host associations of microorganisms, with a specific focus on antagonists such as pathogens, viruses and pests; (b) to compile available information and provide recommendations about specific protocols and workable primers for bacteria, fungi, oomycetes and insect pests; and (c) to provide examples of novel methods used in other microbiological disciplines that are of great potential use for testing specific biological hypotheses related to pathology. Finally, we evaluate the overall perspectives of the state-of-the-art and still evolving methods for diagnostics and population- and community-level ecological research of pathogens and pests.","author":[{"dropping-particle":"","family":"Tedersoo","given":"Leho","non-dropping-particle":"","parse-names":false,"suffix":""},{"dropping-particle":"","family":"Drenkhan","given":"Rein","non-dropping-particle":"","parse-names":false,"suffix":""},{"dropping-particle":"","family":"Anslan","given":"Sten","non-dropping-particle":"","parse-names":false,"suffix":""},{"dropping-particle":"","family":"Morales-Rodriguez","given":"Carmen","non-dropping-particle":"","parse-names":false,"suffix":""},{"dropping-particle":"","family":"Cleary","given":"Michelle","non-dropping-particle":"","parse-names":false,"suffix":""}],"container-title":"Molecular Ecology Resources","id":"ITEM-1","issue":"1","issued":{"date-parts":[["2019","1","1"]]},"page":"47-76","publisher":"John Wiley &amp; Sons, Ltd","title":"High-throughput identification and diagnostics of pathogens and pests: Overview and practical recommendations","type":"article-journal","volume":"19"},"uris":["http://www.mendeley.com/documents/?uuid=90505029-8a25-4ce7-b220-62cb94a14627"]}],"mendeley":{"formattedCitation":"&lt;sup&gt;34&lt;/sup&gt;","plainTextFormattedCitation":"34","previouslyFormattedCitation":"&lt;sup&gt;34&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34</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{"citationItems":[{"id":"ITEM-1","itemData":{"DOI":"10.3390/ijms26125574","ISBN":"1422-0067","abstract":"Antibiotic pressure exerts profound effects on bacterial physiology, not limited to classical genetic resistance mechanisms. Increasing evidence highlights the ability of pathogens to undergo metabolic rewiring—an adaptive, reversible reorganization of core metabolic pathways that promotes survival under antimicrobial stress. This review provides a comprehensive analysis of antibiotic-induced metabolic adaptations, encompassing glycolysis, the tricarboxylic acid cycle, fermentation, redox balance, amino acid catabolism, and membrane biosynthesis. We critically examine how diverse antibiotic classes—including β-lactams, aminoglycosides, quinolones, glycopeptides, polymyxins, and antimetabolites—interact with bacterial metabolism to induce tolerance and persistence, often preceding stable resistance mutations. In parallel, we explore the ecological and host-derived signals—such as immunometabolites and quorum sensing—that modulate these metabolic responses. Therapeutically, targeting metabolic pathways offers promising strategies to potentiate antibiotic efficacy, including enzyme inhibition, metabolic adjuvants, and precision-guided therapy based on pathogen metabolic profiling. By framing metabolic plasticity as a dynamic and evolutionarily relevant phenomenon, this review proposes a unifying model linking transient tolerance to stable resistance. Integrating metabolic rewiring into antimicrobial research, clinical diagnostics, and therapeutic design represents a necessary paradigm shift in combating bacterial persistence and resistance.","author":[{"dropping-particle":"","family":"Acierno","given":"Carlo","non-dropping-particle":"","parse-names":false,"suffix":""},{"dropping-particle":"","family":"Barletta","given":"Fannia","non-dropping-particle":"","parse-names":false,"suffix":""},{"dropping-particle":"","family":"Nevola","given":"Riccardo","non-dropping-particle":"","parse-names":false,"suffix":""},{"dropping-particle":"","family":"Rinaldi","given":"Luca","non-dropping-particle":"","parse-names":false,"suffix":""},{"dropping-particle":"","family":"Sasso","given":"Ferdinando C","non-dropping-particle":"","parse-names":false,"suffix":""},{"dropping-particle":"","family":"Adinolfi","given":"Luigi E","non-dropping-particle":"","parse-names":false,"suffix":""},{"dropping-particle":"","family":"Caturano","given":"Alfredo","non-dropping-particle":"","parse-names":false,"suffix":""}],"container-title":"International Journal of Molecular Sciences","id":"ITEM-1","issue":"12","issued":{"date-parts":[["2025"]]},"title":"Metabolic Rewiring of Bacterial Pathogens in Response to Antibiotic Pressure—A Molecular Perspective","type":"article","volume":"26"},"uris":["http://www.mendeley.com/documents/?uuid=a424cc9a-a884-4e76-aa63-badd7622afca"]}],"mendeley":{"formattedCitation":"&lt;sup&gt;35&lt;/sup&gt;","plainTextFormattedCitation":"35","previouslyFormattedCitation":"&lt;sup&gt;35&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35</w:t>
      </w:r>
      <w:r w:rsidRPr="005914F5">
        <w:rPr>
          <w:vertAlign w:val="superscript"/>
        </w:rPr>
        <w:fldChar w:fldCharType="end"/>
      </w:r>
      <w:r w:rsidRPr="005914F5">
        <w:t xml:space="preserve"> Technological advancements provide new opportunities to leverage these techniques in order to discover the metabolic adaptations of </w:t>
      </w:r>
      <w:proofErr w:type="spellStart"/>
      <w:r w:rsidRPr="005914F5">
        <w:rPr>
          <w:i/>
          <w:iCs/>
        </w:rPr>
        <w:t>leptospira</w:t>
      </w:r>
      <w:proofErr w:type="spellEnd"/>
      <w:r w:rsidRPr="005914F5">
        <w:t xml:space="preserve"> during its growth in presence of environmental stressors.</w:t>
      </w:r>
      <w:r w:rsidRPr="005914F5">
        <w:rPr>
          <w:vertAlign w:val="superscript"/>
        </w:rPr>
        <w:fldChar w:fldCharType="begin" w:fldLock="1"/>
      </w:r>
      <w:r w:rsidR="00073673" w:rsidRPr="005914F5">
        <w:rPr>
          <w:vertAlign w:val="superscript"/>
        </w:rPr>
        <w:instrText>ADDIN CSL_CITATION {"citationItems":[{"id":"ITEM-1","itemData":{"DOI":"10.1038/S41522-020-0134-1","ISSN":"20555008","PMID":"32532998","abstract":"The zoonotic bacterium Leptospira interrogans is the aetiological agent of leptospirosis, a re-emerging infectious disease that is a growing public health concern. Most human cases of leptospirosis result from environmental infection. Biofilm formation and its contribution to the persistence of virulent leptospires in the environment or in the host have scarcely been addressed. Here, we examined spatial and time-domain changes in biofilm production by L. interrogans. Our observations showed that biofilm formation in L. interrogans is a highly dynamic process and leads to a polarized architecture. We notably found that the biofilm matrix is composed of extracellular DNA, which enhances the biofilm’s cohesiveness. By studying L. interrogans mutants with defective diguanylate cyclase and phosphodiesterase genes, we show that biofilm production is regulated by intracellular levels of bis-(3′–5′)-cyclic dimeric guanosine monophosphate (c-di-GMP) and underpins the bacterium’s ability to withstand a wide variety of simulated environmental stresses. Our present results show how the c-di-GMP pathway regulates biofilm formation by L. interrogans, provide insights into the environmental persistence of L. interrogans and, more generally, highlight leptospirosis as an environment-borne threat to human health.","author":[{"dropping-particle":"","family":"Thibeaux","given":"Roman","non-dropping-particle":"","parse-names":false,"suffix":""},{"dropping-particle":"","family":"Soupé-Gilbert","given":"Marie Estelle","non-dropping-particle":"","parse-names":false,"suffix":""},{"dropping-particle":"","family":"Kainiu","given":"Malia","non-dropping-particle":"","parse-names":false,"suffix":""},{"dropping-particle":"","family":"Girault","given":"Dominique","non-dropping-particle":"","parse-names":false,"suffix":""},{"dropping-particle":"","family":"Bierque","given":"Emilie","non-dropping-particle":"","parse-names":false,"suffix":""},{"dropping-particle":"","family":"Fernandes","given":"Julien","non-dropping-particle":"","parse-names":false,"suffix":""},{"dropping-particle":"","family":"Bähre","given":"Heike","non-dropping-particle":"","parse-names":false,"suffix":""},{"dropping-particle":"","family":"Douyère","given":"Anthony","non-dropping-particle":"","parse-names":false,"suffix":""},{"dropping-particle":"","family":"Eskenazi","given":"Nicolas","non-dropping-particle":"","parse-names":false,"suffix":""},{"dropping-particle":"","family":"Vinh","given":"Joëlle","non-dropping-particle":"","parse-names":false,"suffix":""},{"dropping-particle":"","family":"Picardeau","given":"Mathieu","non-dropping-particle":"","parse-names":false,"suffix":""},{"dropping-particle":"","family":"Goarant","given":"Cyrille","non-dropping-particle":"","parse-names":false,"suffix":""}],"container-title":"npj Biofilms and Microbiomes","id":"ITEM-1","issue":"1","issued":{"date-parts":[["2020","12","1"]]},"publisher":"Nature Research","title":"The zoonotic pathogen Leptospira interrogans mitigates environmental stress through cyclic-di-GMP-controlled biofilm production","type":"article-journal","volume":"6"},"uris":["http://www.mendeley.com/documents/?uuid=4126f7f7-66ed-301d-bf66-915ee0dac144"]}],"mendeley":{"formattedCitation":"&lt;sup&gt;36&lt;/sup&gt;","plainTextFormattedCitation":"36","previouslyFormattedCitation":"&lt;sup&gt;36&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36</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{"citationItems":[{"id":"ITEM-1","itemData":{"DOI":"10.1038/s41522-024-00570-0","ISSN":"2055-5008","abstract":"Life-threatening Leptospira interrogans navigate a dual existence: surviving in the environment and infecting mammalian hosts. Biofilm formation is presumably an important survival strategy to achieve this process. Understanding the relation between biofilm and virulence might improve our comprehension of leptospirosis epidemiology. Our study focused on elucidating Leptospira’s adaptations and regulations involved in such complex microenvironments. To determine the transcriptional profile of Leptospira in biofilm, we compared the transcriptomes in late biofilms and in exponential planktonic cultures. While genes for motility, energy production, and metabolism were downregulated, those governing general stress response, defense against metal stress, and redox homeostasis showed a significant upsurge, hinting at a tailored defensive strategy against stress. Further, despite a reduced metabolic state, biofilm disruption swiftly restored metabolic activity. Crucially, bacteria in late biofilms or resulting from biofilm disruption retained virulence in an animal model. In summary, our study highlights Leptospira’s adaptive equilibrium in biofilms: minimizing energy expenditure, potentially aiding in withstanding stresses while maintaining pathogenicity. These insights are important for explaining the survival strategies of Leptospira, revealing that a biofilm lifestyle may confer an advantage in maintaining virulence, an understanding essential for managing leptospirosis across both environmental and mammalian reservoirs.","author":[{"dropping-particle":"","family":"Davignon","given":"Grégoire","non-dropping-particle":"","parse-names":false,"suffix":""},{"dropping-particle":"","family":"Pietrosemoli","given":"Natalia","non-dropping-particle":"","parse-names":false,"suffix":""},{"dropping-particle":"","family":"Benaroudj","given":"Nadia","non-dropping-particle":"","parse-names":false,"suffix":""},{"dropping-particle":"","family":"Soupé-Gilbert","given":"Marie-Estelle","non-dropping-particle":"","parse-names":false,"suffix":""},{"dropping-particle":"","family":"Cagliero","given":"Julie","non-dropping-particle":"","parse-names":false,"suffix":""},{"dropping-particle":"","family":"Turc","given":"Élodie","non-dropping-particle":"","parse-names":false,"suffix":""},{"dropping-particle":"","family":"Picardeau","given":"Mathieu","non-dropping-particle":"","parse-names":false,"suffix":""},{"dropping-particle":"","family":"Guentas","given":"Linda","non-dropping-particle":"","parse-names":false,"suffix":""},{"dropping-particle":"","family":"Goarant","given":"Cyrille","non-dropping-particle":"","parse-names":false,"suffix":""},{"dropping-particle":"","family":"Thibeaux","given":"Roman","non-dropping-particle":"","parse-names":false,"suffix":""}],"container-title":"npj Biofilms and Microbiomes","id":"ITEM-1","issue":"1","issued":{"date-parts":[["2024"]]},"page":"95","title":"Leptospira interrogans biofilm transcriptome highlights adaption to starvation and general stress while maintaining virulence","type":"article-journal","volume":"10"},"uris":["http://www.mendeley.com/documents/?uuid=311fcfa4-50d8-4215-a652-749e505539cd"]}],"mendeley":{"formattedCitation":"&lt;sup&gt;21&lt;/sup&gt;","plainTextFormattedCitation":"21","previouslyFormattedCitation":"&lt;sup&gt;21&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21</w:t>
      </w:r>
      <w:r w:rsidRPr="005914F5">
        <w:rPr>
          <w:vertAlign w:val="superscript"/>
        </w:rPr>
        <w:fldChar w:fldCharType="end"/>
      </w:r>
      <w:r w:rsidRPr="005914F5">
        <w:t xml:space="preserve"> </w:t>
      </w:r>
    </w:p>
    <w:p w14:paraId="009EFADD" w14:textId="77777777" w:rsidR="007E69BE" w:rsidRDefault="00DF2A48" w:rsidP="001301EA">
      <w:pPr>
        <w:spacing w:line="360" w:lineRule="auto"/>
        <w:rPr>
          <w:color w:val="000000" w:themeColor="text1"/>
        </w:rPr>
      </w:pPr>
      <w:r w:rsidRPr="005914F5">
        <w:t xml:space="preserve">Over the past two decades, omics technologies have helped expanding the understanding of </w:t>
      </w:r>
      <w:proofErr w:type="spellStart"/>
      <w:r w:rsidRPr="005914F5">
        <w:rPr>
          <w:i/>
          <w:iCs/>
        </w:rPr>
        <w:t>leptospira</w:t>
      </w:r>
      <w:proofErr w:type="spellEnd"/>
      <w:r w:rsidRPr="005914F5">
        <w:t xml:space="preserve"> biology. Molecular genomics, transcriptomics, proteomics enabled determination of taxonomy, pathogenic vs. nonpathogenic species of </w:t>
      </w:r>
      <w:proofErr w:type="spellStart"/>
      <w:r w:rsidRPr="005914F5">
        <w:rPr>
          <w:i/>
          <w:iCs/>
        </w:rPr>
        <w:t>leptospira</w:t>
      </w:r>
      <w:proofErr w:type="spellEnd"/>
      <w:r w:rsidRPr="005914F5">
        <w:t>, their virulence, and host pathogen interaction.</w:t>
      </w:r>
      <w:r w:rsidRPr="005914F5">
        <w:rPr>
          <w:vertAlign w:val="superscript"/>
        </w:rPr>
        <w:fldChar w:fldCharType="begin" w:fldLock="1"/>
      </w:r>
      <w:r w:rsidR="00073673" w:rsidRPr="005914F5">
        <w:rPr>
          <w:vertAlign w:val="superscript"/>
        </w:rPr>
        <w:instrText>ADDIN CSL_CITATION {"citationItems":[{"id":"ITEM-1","itemData":{"DOI":"10.1371/JOURNAL.PNTD.0007270;","ISSN":"19352735","PMID":"31120895","abstract":"The causative agents of leptospirosis are responsible for an emerging zoonotic disease worldwide. One of the major routes of transmission for leptospirosis is the natural environment contaminated with the urine of a wide range of reservoir animals. Soils and surface waters also host a high diversity of non-pathogenic Leptospira and species for which the virulence status is not clearly established. The genus Leptospira is currently divided into 35 species classified into three phylogenetic clusters, which supposedly correlate with the virulence of the bacteria. In this study, a total of 90 Leptospira strains isolated from different environments worldwide including Japan, Malaysia, New Caledonia, Algeria, mainland France, and the island of Mayotte in the Indian Ocean were sequenced. A comparison of average nucleotide identity (ANI) values of genomes of the 90 isolates and representative genomes of known species revealed 30 new Leptospira species. These data also supported the existence of two clades and 4 subclades. To avoid classification that strongly implies assumption on the virulence status of the lineages, we called them P1, P2, S1, S2. One of these subclades has not yet been described and is composed of Leptospira idonii and 4 novel species that are phylogenetically related to the saprophytes. We then investigated genome diversity and evolutionary relationships among members of the genus Leptospira by studying the pangenome and core gene sets. Our data enable the identification of genome features, genes and domains that are important for each subclade, thereby laying the foundation for refining the classification of this complex bacterial genus. We also shed light on atypical genomic features of a group of species that includes the species often associated with human infection, suggesting a specific and ongoing evolution of this group of species that will require more attention. In conclusion, we have uncovered a massive species diversity and revealed a novel subclade in environmental samples collected worldwide and we have redefined the classification of species in the genus. The implication of several new potentially infectious Leptospira species for human and animal health remains to be determined but our data also provide new insights into the emergence of virulence in the pathogenic species.","author":[{"dropping-particle":"","family":"Vincent","given":"Antony T.","non-dropping-particle":"","parse-names":false,"suffix":""},{"dropping-particle":"","family":"Schiettekatte","given":"Olivier","non-dropping-particle":"","parse-names":false,"suffix":""},{"dropping-particle":"","family":"Goarant","given":"Cyrille","non-dropping-particle":"","parse-names":false,"suffix":""},{"dropping-particle":"","family":"Neela","given":"Vasantha Kumari","non-dropping-particle":"","parse-names":false,"suffix":""},{"dropping-particle":"","family":"Bernet","given":"Eve","non-dropping-particle":"","parse-names":false,"suffix":""},{"dropping-particle":"","family":"Thibeaux","given":"Roman","non-dropping-particle":"","parse-names":false,"suffix":""},{"dropping-particle":"","family":"Ismail","given":"Nabilah","non-dropping-particle":"","parse-names":false,"suffix":""},{"dropping-particle":"","family":"Khalid","given":"Mohd Khairul Nizam Mohd","non-dropping-particle":"","parse-names":false,"suffix":""},{"dropping-particle":"","family":"Amran","given":"Fairuz","non-dropping-particle":"","parse-names":false,"suffix":""},{"dropping-particle":"","family":"Masuzawa","given":"Toshiyuki","non-dropping-particle":"","parse-names":false,"suffix":""},{"dropping-particle":"","family":"Nakao","given":"Ryo","non-dropping-particle":"","parse-names":false,"suffix":""},{"dropping-particle":"","family":"Korba","given":"Anissa Amara","non-dropping-particle":"","parse-names":false,"suffix":""},{"dropping-particle":"","family":"Bourhy","given":"Pascale","non-dropping-particle":"","parse-names":false,"suffix":""},{"dropping-particle":"","family":"Veyrier","given":"Frederic J.","non-dropping-particle":"","parse-names":false,"suffix":""},{"dropping-particle":"","family":"Picardeau","given":"Mathieu","non-dropping-particle":"","parse-names":false,"suffix":""}],"container-title":"PLoS Neglected Tropical Diseases","id":"ITEM-1","issue":"5","issued":{"date-parts":[["2019","5","1"]]},"publisher":"Public Library of Science","title":"Revisiting the taxonomy and evolution of pathogenicity of the genus Leptospira through the prism of genomics","type":"article-journal","volume":"13"},"uris":["http://www.mendeley.com/documents/?uuid=5fd57521-1a8b-3021-8f82-33ad4cdfd274"]}],"mendeley":{"formattedCitation":"&lt;sup&gt;10&lt;/sup&gt;","plainTextFormattedCitation":"10","previouslyFormattedCitation":"&lt;sup&gt;10&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10</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{"citationItems":[{"id":"ITEM-1","itemData":{"DOI":"10.1128/aem.01914-24","author":[{"dropping-particle":"","family":"Silva","given":"Dias Carla","non-dropping-particle":"","parse-names":false,"suffix":""},{"dropping-particle":"","family":"Hanzen","given":"Pinna Melissa","non-dropping-particle":"","parse-names":false,"suffix":""}],"container-title":"Applied and Environmental Microbiology","id":"ITEM-1","issue":"2","issued":{"date-parts":[["2025","1","10"]]},"note":"doi: 10.1128/aem.01914-24","page":"e01914-24","publisher":"American Society for Microbiology","title":"Leptospira biofilms: implications for survival, transmission, and disease management","type":"article-journal","volume":"91"},"uris":["http://www.mendeley.com/documents/?uuid=3fc8c3b6-98d6-4426-9dfb-3b805b2a5869"]}],"mendeley":{"formattedCitation":"&lt;sup&gt;20&lt;/sup&gt;","plainTextFormattedCitation":"20","previouslyFormattedCitation":"&lt;sup&gt;20&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20</w:t>
      </w:r>
      <w:r w:rsidRPr="005914F5">
        <w:rPr>
          <w:vertAlign w:val="superscript"/>
        </w:rPr>
        <w:fldChar w:fldCharType="end"/>
      </w:r>
      <w:r w:rsidRPr="005914F5">
        <w:rPr>
          <w:vertAlign w:val="superscript"/>
        </w:rPr>
        <w:t>,</w:t>
      </w:r>
      <w:r w:rsidRPr="005914F5">
        <w:rPr>
          <w:vertAlign w:val="superscript"/>
        </w:rPr>
        <w:fldChar w:fldCharType="begin" w:fldLock="1"/>
      </w:r>
      <w:r w:rsidR="00073673" w:rsidRPr="005914F5">
        <w:rPr>
          <w:vertAlign w:val="superscript"/>
        </w:rPr>
        <w:instrText>ADDIN CSL_CITATION {"citationItems":[{"id":"ITEM-1","itemData":{"DOI":"10.1038/s41522-024-00570-0","ISSN":"2055-5008","abstract":"Life-threatening Leptospira interrogans navigate a dual existence: surviving in the environment and infecting mammalian hosts. Biofilm formation is presumably an important survival strategy to achieve this process. Understanding the relation between biofilm and virulence might improve our comprehension of leptospirosis epidemiology. Our study focused on elucidating Leptospira’s adaptations and regulations involved in such complex microenvironments. To determine the transcriptional profile of Leptospira in biofilm, we compared the transcriptomes in late biofilms and in exponential planktonic cultures. While genes for motility, energy production, and metabolism were downregulated, those governing general stress response, defense against metal stress, and redox homeostasis showed a significant upsurge, hinting at a tailored defensive strategy against stress. Further, despite a reduced metabolic state, biofilm disruption swiftly restored metabolic activity. Crucially, bacteria in late biofilms or resulting from biofilm disruption retained virulence in an animal model. In summary, our study highlights Leptospira’s adaptive equilibrium in biofilms: minimizing energy expenditure, potentially aiding in withstanding stresses while maintaining pathogenicity. These insights are important for explaining the survival strategies of Leptospira, revealing that a biofilm lifestyle may confer an advantage in maintaining virulence, an understanding essential for managing leptospirosis across both environmental and mammalian reservoirs.","author":[{"dropping-particle":"","family":"Davignon","given":"Grégoire","non-dropping-particle":"","parse-names":false,"suffix":""},{"dropping-particle":"","family":"Pietrosemoli","given":"Natalia","non-dropping-particle":"","parse-names":false,"suffix":""},{"dropping-particle":"","family":"Benaroudj","given":"Nadia","non-dropping-particle":"","parse-names":false,"suffix":""},{"dropping-particle":"","family":"Soupé-Gilbert","given":"Marie-Estelle","non-dropping-particle":"","parse-names":false,"suffix":""},{"dropping-particle":"","family":"Cagliero","given":"Julie","non-dropping-particle":"","parse-names":false,"suffix":""},{"dropping-particle":"","family":"Turc","given":"Élodie","non-dropping-particle":"","parse-names":false,"suffix":""},{"dropping-particle":"","family":"Picardeau","given":"Mathieu","non-dropping-particle":"","parse-names":false,"suffix":""},{"dropping-particle":"","family":"Guentas","given":"Linda","non-dropping-particle":"","parse-names":false,"suffix":""},{"dropping-particle":"","family":"Goarant","given":"Cyrille","non-dropping-particle":"","parse-names":false,"suffix":""},{"dropping-particle":"","family":"Thibeaux","given":"Roman","non-dropping-particle":"","parse-names":false,"suffix":""}],"container-title":"npj Biofilms and Microbiomes","id":"ITEM-1","issue":"1","issued":{"date-parts":[["2024"]]},"page":"95","title":"Leptospira interrogans biofilm transcriptome highlights adaption to starvation and general stress while maintaining virulence","type":"article-journal","volume":"10"},"uris":["http://www.mendeley.com/documents/?uuid=311fcfa4-50d8-4215-a652-749e505539cd"]}],"mendeley":{"formattedCitation":"&lt;sup&gt;21&lt;/sup&gt;","plainTextFormattedCitation":"21","previouslyFormattedCitation":"&lt;sup&gt;21&lt;/sup&gt;"},"properties":{"noteIndex":0},"schema":"https://github.com/citation-style-language/schema/raw/master/csl-citation.json"}</w:instrText>
      </w:r>
      <w:r w:rsidRPr="005914F5">
        <w:rPr>
          <w:vertAlign w:val="superscript"/>
        </w:rPr>
        <w:fldChar w:fldCharType="separate"/>
      </w:r>
      <w:r w:rsidR="001F530E" w:rsidRPr="005914F5">
        <w:rPr>
          <w:noProof/>
          <w:vertAlign w:val="superscript"/>
        </w:rPr>
        <w:t>21</w:t>
      </w:r>
      <w:r w:rsidRPr="005914F5">
        <w:rPr>
          <w:vertAlign w:val="superscript"/>
        </w:rPr>
        <w:fldChar w:fldCharType="end"/>
      </w:r>
      <w:r w:rsidRPr="005914F5">
        <w:t xml:space="preserve"> Integrated transcriptomics and metabolomics study on murine model</w:t>
      </w:r>
      <w:r w:rsidRPr="00DF2A48">
        <w:rPr>
          <w:color w:val="000000" w:themeColor="text1"/>
        </w:rPr>
        <w:t xml:space="preserve"> investigated renal injuries caused by leptospirosis.</w:t>
      </w:r>
      <w:r w:rsidRPr="00DF2A48">
        <w:rPr>
          <w:color w:val="000000" w:themeColor="text1"/>
        </w:rPr>
        <w:fldChar w:fldCharType="begin" w:fldLock="1"/>
      </w:r>
      <w:r w:rsidR="00073673">
        <w:rPr>
          <w:color w:val="000000" w:themeColor="text1"/>
        </w:rPr>
        <w:instrText>ADDIN CSL_CITATION {"citationItems":[{"id":"ITEM-1","itemData":{"DOI":"10.3390/pathogens11070764","ISBN":"2076-0817","abstract":"Renal leptospirosis caused by leptospiral infection is characterised by tubulointerstitial nephritis and tubular dysfunction, resulting in acute and chronic kidney injury. Metabolomic and transcriptomic data from a murine model of Leptospira infection were analysed to determine whether metabolomic data from urine were associated with transcriptome changes relevant to kidney injury caused by Leptospira infection. Our findings revealed that 37 metabolites from the urine of L. interrogans-infected mice had significantly different concentrations than L. biflexa-infected and non-infected control mice. Of these, urinary L-carnitine and acetyl-L-carnitine levels were remarkably elevated in L. interrogans-infected mice. Using an integrated pathway analysis, we found that L-carnitine and acetyl-L-carnitine were involved in metabolic pathways such as fatty acid activation, the mitochondrial L-carnitine shuttle pathway, and triacylglycerol biosynthesis that were enriched in the renal tissues of the L. interrogans-infected mice. This study highlights that L-carnitine and acetyl-L-carnitine are implicated in leptospiral infection-induced kidney injury, suggesting their potential as metabolic modulators.","author":[{"dropping-particle":"","family":"Chen","given":"Kuan-Hsing","non-dropping-particle":"","parse-names":false,"suffix":""},{"dropping-particle":"","family":"Chou","given":"Li-Fang","non-dropping-particle":"","parse-names":false,"suffix":""},{"dropping-particle":"","family":"Hung","given":"Cheng-Chieh","non-dropping-particle":"","parse-names":false,"suffix":""},{"dropping-particle":"","family":"Tang","given":"Hsiang-Yu","non-dropping-particle":"","parse-names":false,"suffix":""},{"dropping-particle":"","family":"Cheng","given":"Mei-Ling","non-dropping-particle":"","parse-names":false,"suffix":""},{"dropping-particle":"","family":"Yang","given":"Huang-Yu","non-dropping-particle":"","parse-names":false,"suffix":""},{"dropping-particle":"","family":"Hsu","given":"Hsiang-Hao","non-dropping-particle":"","parse-names":false,"suffix":""},{"dropping-particle":"","family":"Tian","given":"Ya-Chung","non-dropping-particle":"","parse-names":false,"suffix":""},{"dropping-particle":"","family":"Yang","given":"Chih-Wei","non-dropping-particle":"","parse-names":false,"suffix":""}],"container-title":"Pathogens","id":"ITEM-1","issue":"7","issued":{"date-parts":[["2022"]]},"title":"Integrated Metabolomic and Transcriptomic Analysis of Acute Kidney Injury Caused by Leptospira Infection","type":"article","volume":"11"},"uris":["http://www.mendeley.com/documents/?uuid=b54730b0-be34-47b7-8d4d-e24670b02c5e"]}],"mendeley":{"formattedCitation":"&lt;sup&gt;37&lt;/sup&gt;","plainTextFormattedCitation":"37","previouslyFormattedCitation":"&lt;sup&gt;37&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37</w:t>
      </w:r>
      <w:r w:rsidRPr="00DF2A48">
        <w:rPr>
          <w:color w:val="000000" w:themeColor="text1"/>
        </w:rPr>
        <w:fldChar w:fldCharType="end"/>
      </w:r>
      <w:r w:rsidRPr="00DF2A48">
        <w:rPr>
          <w:color w:val="000000" w:themeColor="text1"/>
        </w:rPr>
        <w:t xml:space="preserve"> Despite these advances, the metabolome of </w:t>
      </w:r>
      <w:proofErr w:type="spellStart"/>
      <w:r w:rsidRPr="00DF2A48">
        <w:rPr>
          <w:i/>
          <w:iCs/>
          <w:color w:val="000000" w:themeColor="text1"/>
        </w:rPr>
        <w:t>leptospira</w:t>
      </w:r>
      <w:proofErr w:type="spellEnd"/>
      <w:r w:rsidRPr="00DF2A48">
        <w:rPr>
          <w:color w:val="000000" w:themeColor="text1"/>
        </w:rPr>
        <w:t xml:space="preserve"> has remained uninvestigated. Metabolic activities, biochemical pathways, environmental persistence of </w:t>
      </w:r>
      <w:proofErr w:type="spellStart"/>
      <w:r w:rsidRPr="00DF2A48">
        <w:rPr>
          <w:i/>
          <w:iCs/>
          <w:color w:val="000000" w:themeColor="text1"/>
        </w:rPr>
        <w:t>leptospira</w:t>
      </w:r>
      <w:proofErr w:type="spellEnd"/>
      <w:r w:rsidRPr="00DF2A48">
        <w:rPr>
          <w:color w:val="000000" w:themeColor="text1"/>
        </w:rPr>
        <w:t xml:space="preserve"> is still unknown. Investigation of dynamic state of </w:t>
      </w:r>
      <w:r w:rsidRPr="00DF2A48">
        <w:rPr>
          <w:color w:val="000000" w:themeColor="text1"/>
        </w:rPr>
        <w:lastRenderedPageBreak/>
        <w:t xml:space="preserve">metabolism of </w:t>
      </w:r>
      <w:proofErr w:type="spellStart"/>
      <w:r w:rsidRPr="00DF2A48">
        <w:rPr>
          <w:i/>
          <w:iCs/>
          <w:color w:val="000000" w:themeColor="text1"/>
        </w:rPr>
        <w:t>leptospira</w:t>
      </w:r>
      <w:proofErr w:type="spellEnd"/>
      <w:r w:rsidRPr="00DF2A48">
        <w:rPr>
          <w:color w:val="000000" w:themeColor="text1"/>
        </w:rPr>
        <w:t xml:space="preserve"> </w:t>
      </w:r>
      <w:r w:rsidRPr="00DF2A48">
        <w:rPr>
          <w:i/>
          <w:iCs/>
          <w:color w:val="000000" w:themeColor="text1"/>
        </w:rPr>
        <w:t>in vitro</w:t>
      </w:r>
      <w:r w:rsidRPr="00DF2A48">
        <w:rPr>
          <w:color w:val="000000" w:themeColor="text1"/>
        </w:rPr>
        <w:t xml:space="preserve"> could potentially bridge this gap by underpinning the causes of its phenotypical pathogenicity, environmental durability.</w:t>
      </w:r>
      <w:r w:rsidRPr="00DF2A48">
        <w:rPr>
          <w:color w:val="000000" w:themeColor="text1"/>
        </w:rPr>
        <w:fldChar w:fldCharType="begin" w:fldLock="1"/>
      </w:r>
      <w:r w:rsidR="00073673">
        <w:rPr>
          <w:color w:val="000000" w:themeColor="text1"/>
        </w:rPr>
        <w:instrText>ADDIN CSL_CITATION {"citationItems":[{"id":"ITEM-1","itemData":{"abstract":"Author Summary Leptospirosis is an important tropical disease around the world, particularly in humid tropical and subtropical countries. As a major pathogen of this disease, Leptospira interrogans can be shed from the urine of reservoir hosts, survive in soil and water, and infect humans through broken skin or mucous membranes. Recently, host adaptability and immune evasion of L. interrogans to host innate immunity was partially elucidated in infection or animal models. A better understanding of the molecular mechanisms of L. interrogans in response to host innate immunity is required to learn the nature of early leptospirosis. This study focused on the transcriptome of L. interrogans during host immune cells interaction. Significant changes in energy metabolism, oxygen tolerance and outer membrane protein profile were identified as potential immune evasion strategies by pathogenic Leptospira during the early stage of infection. The major outer membrane proteins (OMPs) of L. interrogans may be regulated by the major OmpR specific transcription factor (LB333). These results provide a foundation for further studying the pathogenesis of leptospirosis, as well as identifying gene regulatory networks in Leptospira spp.","author":[{"dropping-particle":"","family":"Xue","given":"Feng","non-dropping-particle":"","parse-names":false,"suffix":""},{"dropping-particle":"","family":"Dong","given":"Haiyan","non-dropping-particle":"","parse-names":false,"suffix":""},{"dropping-particle":"","family":"Wu","given":"Jinyu","non-dropping-particle":"","parse-names":false,"suffix":""},{"dropping-particle":"","family":"Wu","given":"Zuowei","non-dropping-particle":"","parse-names":false,"suffix":""},{"dropping-particle":"","family":"Hu","given":"Weilin","non-dropping-particle":"","parse-names":false,"suffix":""},{"dropping-particle":"","family":"Sun","given":"Aihua","non-dropping-particle":"","parse-names":false,"suffix":""},{"dropping-particle":"","family":"Troxell","given":"Bryan","non-dropping-particle":"","parse-names":false,"suffix":""},{"dropping-particle":"","family":"Yang","given":"X Frank","non-dropping-particle":"","parse-names":false,"suffix":""},{"dropping-particle":"","family":"Yan","given":"Jie","non-dropping-particle":"","parse-names":false,"suffix":""}],"container-title":"PLOS Neglected Tropical Diseases","id":"ITEM-1","issue":"10","issued":{"date-parts":[["2010","10","26"]]},"page":"e857","publisher":"Public Library of Science","title":"Transcriptional Responses of Leptospira interrogans to Host Innate Immunity: Significant Changes in Metabolism, Oxygen Tolerance, and Outer Membrane","type":"article-journal","volume":"4"},"uris":["http://www.mendeley.com/documents/?uuid=fd2f786e-963f-4240-bbae-29df5fecb7f2"]}],"mendeley":{"formattedCitation":"&lt;sup&gt;38&lt;/sup&gt;","plainTextFormattedCitation":"38","previouslyFormattedCitation":"&lt;sup&gt;38&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38</w:t>
      </w:r>
      <w:r w:rsidRPr="00DF2A48">
        <w:rPr>
          <w:color w:val="000000" w:themeColor="text1"/>
        </w:rPr>
        <w:fldChar w:fldCharType="end"/>
      </w:r>
      <w:r w:rsidRPr="00DF2A48">
        <w:rPr>
          <w:color w:val="000000" w:themeColor="text1"/>
        </w:rPr>
        <w:t xml:space="preserve"> High throughput methods such as metabolomics, </w:t>
      </w:r>
      <w:r w:rsidR="005A6478" w:rsidRPr="00DF2A48">
        <w:rPr>
          <w:color w:val="000000" w:themeColor="text1"/>
        </w:rPr>
        <w:t>specially</w:t>
      </w:r>
      <w:r w:rsidRPr="00DF2A48">
        <w:rPr>
          <w:color w:val="000000" w:themeColor="text1"/>
        </w:rPr>
        <w:t xml:space="preserve"> employed </w:t>
      </w:r>
      <w:r w:rsidRPr="00DF2A48">
        <w:rPr>
          <w:i/>
          <w:iCs/>
          <w:color w:val="000000" w:themeColor="text1"/>
        </w:rPr>
        <w:t>in vitro</w:t>
      </w:r>
      <w:r w:rsidRPr="00DF2A48">
        <w:rPr>
          <w:color w:val="000000" w:themeColor="text1"/>
        </w:rPr>
        <w:t xml:space="preserve"> could potentially characterize a large number of </w:t>
      </w:r>
      <w:r w:rsidR="005A6478" w:rsidRPr="00DF2A48">
        <w:rPr>
          <w:color w:val="000000" w:themeColor="text1"/>
        </w:rPr>
        <w:t>intracellular</w:t>
      </w:r>
      <w:r w:rsidRPr="00DF2A48">
        <w:rPr>
          <w:color w:val="000000" w:themeColor="text1"/>
        </w:rPr>
        <w:t xml:space="preserve"> and </w:t>
      </w:r>
      <w:r w:rsidR="005A6478" w:rsidRPr="00DF2A48">
        <w:rPr>
          <w:color w:val="000000" w:themeColor="text1"/>
        </w:rPr>
        <w:t>extracellular</w:t>
      </w:r>
      <w:r w:rsidRPr="00DF2A48">
        <w:rPr>
          <w:color w:val="000000" w:themeColor="text1"/>
        </w:rPr>
        <w:t xml:space="preserve"> metabolites. Leveraging this resource, discovery of the molecular basis of virulence, innovation of diagnostic marker and intervention strategies towards pathogenesis</w:t>
      </w:r>
      <w:r w:rsidRPr="00DF2A48">
        <w:rPr>
          <w:color w:val="000000" w:themeColor="text1"/>
        </w:rPr>
        <w:fldChar w:fldCharType="begin" w:fldLock="1"/>
      </w:r>
      <w:r w:rsidR="00073673">
        <w:rPr>
          <w:color w:val="000000" w:themeColor="text1"/>
        </w:rPr>
        <w:instrText>ADDIN CSL_CITATION {"citationItems":[{"id":"ITEM-1","itemData":{"DOI":"https://doi.org/10.1016/j.tim.2024.11.009","ISSN":"0966-842X","abstract":"The traditional view of metabolism as merely supplying energy and biosynthetic precursors is undergoing a paradigm shift. Metabolic dynamics not only regulates gene expression but also orchestrates cellular processes with remarkable precision. Most bacterial pathogens exhibit exceptional metabolic plasticity, enabling them to adapt to diverse environments, including hostile conditions within a host. While the role of intracellular bacterial metabolism in pathogen–host interactions has been extensively studied, the contributions of the extracellularly released or secreted bacterial metabolites (referred to here as the bacterial ‘exometabolome’) to metabolic adaptations and disease pathogenesis remain largely unexplored. In this review, we highlight the significant and intriguing roles of bacterial exometabolomes in drug tolerance, immune suppression, and disease pathogenesis, opening a new frontier in our understanding of bacterial–host interactions.","author":[{"dropping-particle":"","family":"Chugh","given":"Saurabh","non-dropping-particle":"","parse-names":false,"suffix":""},{"dropping-particle":"","family":"Létisse","given":"Fabien","non-dropping-particle":"","parse-names":false,"suffix":""},{"dropping-particle":"","family":"Neyrolles","given":"Olivier","non-dropping-particle":"","parse-names":false,"suffix":""}],"container-title":"Trends in Microbiology","id":"ITEM-1","issue":"5","issued":{"date-parts":[["2025"]]},"page":"546-557","title":"The exometabolome as a hidden driver of bacterial virulence and pathogenesis","type":"article-journal","volume":"33"},"uris":["http://www.mendeley.com/documents/?uuid=bd53f4a6-fb5b-49e6-ab94-39ed142b421a"]}],"mendeley":{"formattedCitation":"&lt;sup&gt;39&lt;/sup&gt;","plainTextFormattedCitation":"39","previouslyFormattedCitation":"&lt;sup&gt;39&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39</w:t>
      </w:r>
      <w:r w:rsidRPr="00DF2A48">
        <w:rPr>
          <w:color w:val="000000" w:themeColor="text1"/>
        </w:rPr>
        <w:fldChar w:fldCharType="end"/>
      </w:r>
      <w:r w:rsidRPr="00DF2A48">
        <w:rPr>
          <w:color w:val="000000" w:themeColor="text1"/>
        </w:rPr>
        <w:t xml:space="preserve"> becomes a possibility.</w:t>
      </w:r>
      <w:r w:rsidRPr="00DF2A48">
        <w:rPr>
          <w:color w:val="000000" w:themeColor="text1"/>
        </w:rPr>
        <w:fldChar w:fldCharType="begin" w:fldLock="1"/>
      </w:r>
      <w:r w:rsidR="00073673">
        <w:rPr>
          <w:color w:val="000000" w:themeColor="text1"/>
        </w:rPr>
        <w:instrText>ADDIN CSL_CITATION {"citationItems":[{"id":"ITEM-1","itemData":{"DOI":"10.1128/SPECTRUM.03135-22,","ISSN":"21650497","PMID":"36853003","abstract":" Leptospirosis is a zoonotic disease of global importance. It is caused by a Gram-negative bacterial spirochete of the genus Leptospira .  Leptospirosis, a bacterial zoonosis caused by pathogenic Leptospira spp., is prevalent worldwide and has become a serious threat in recent years. Limited understanding of Leptospira pathogenesis and host response has hampered the development of effective vaccine and diagnostics. Although Leptospira is phagocytosed by innate immune cells, it resists its destruction, and the evading mechanism involved is unclear. In the present study, we used an integrative multi-omics approach to identify the critical molecular factors of Leptospira involved in pathogenesis during interaction with human macrophages. Transcriptomic and proteomic analyses were performed at 24 h postinfection of human macrophages (phorbol-12-myristate-13-acetate differentiated THP-1 cells) with the pathogenic Leptospira interrogans serovar Icterohaemorrhagiae strain RGA (LEPIRGA). Our results identified a total of 1,528 transcripts and 871 proteins that were significantly expressed with an adjusted P value of &lt;0.05. The correlations between the transcriptomic and proteomic data were above average ( r = 0.844), suggesting the role of the posttranscriptional processes during host interaction. The conjoint analysis revealed the expression of several virulence-associated proteins such as adhesins, invasins, and secretory and chemotaxis proteins that might be involved in various processes of attachment and invasion and as effectors during pathogenesis in the host. Further, the interaction of bacteria with the host cell (macrophages) was a major factor in the differential expression of these proteins. Finally, eight common differentially expressed RNA-protein pairs, predicted as virulent, outer membrane/extracellular proteins were validated by quantitative PCR. This is the first report using integrated multi-omics approach to identify critical factors involved in Leptospira pathogenesis. Validation of these critical factors may lead to the identification of target antigens for the development of improved diagnostics and vaccines against leptospirosis.  IMPORTANCE Leptospirosis is a zoonotic disease of global importance. It is caused by a Gram-negative bacterial spirochete of the genus Leptospira . The current challenge is to detect the infection at early stage for treatment or to develop potent vaccines that can induce cross-protection against various pathogen…","author":[{"dropping-particle":"","family":"Kavela","given":"Sridhar","non-dropping-particle":"","parse-names":false,"suffix":""},{"dropping-particle":"","family":"Vyas","given":"Pallavi","non-dropping-particle":"","parse-names":false,"suffix":""},{"dropping-particle":"","family":"CP","given":"Jusail","non-dropping-particle":"","parse-names":false,"suffix":""},{"dropping-particle":"","family":"Kushwaha","given":"Sandeep K.","non-dropping-particle":"","parse-names":false,"suffix":""},{"dropping-particle":"","family":"Majumdar","given":"Subeer S.","non-dropping-particle":"","parse-names":false,"suffix":""},{"dropping-particle":"","family":"Faisal","given":"Syed M.","non-dropping-particle":"","parse-names":false,"suffix":""}],"container-title":"Microbiology Spectrum","id":"ITEM-1","issue":"2","issued":{"date-parts":[["2023","4","13"]]},"publisher":"American Society for Microbiology","title":" Use of an Integrated Multi-Omics Approach To Identify Molecular Mechanisms and Critical Factors Involved in the Pathogenesis of Leptospira ","type":"article-journal","volume":"11"},"uris":["http://www.mendeley.com/documents/?uuid=56b322f1-b15a-3e1f-a816-f3b06cbfb331"]}],"mendeley":{"formattedCitation":"&lt;sup&gt;40&lt;/sup&gt;","plainTextFormattedCitation":"40","previouslyFormattedCitation":"&lt;sup&gt;40&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40</w:t>
      </w:r>
      <w:r w:rsidRPr="00DF2A48">
        <w:rPr>
          <w:color w:val="000000" w:themeColor="text1"/>
        </w:rPr>
        <w:fldChar w:fldCharType="end"/>
      </w:r>
      <w:r w:rsidRPr="00DF2A48">
        <w:rPr>
          <w:color w:val="000000" w:themeColor="text1"/>
          <w:vertAlign w:val="superscript"/>
        </w:rPr>
        <w:t>,</w:t>
      </w:r>
      <w:r w:rsidRPr="00DF2A48">
        <w:rPr>
          <w:color w:val="000000" w:themeColor="text1"/>
          <w:vertAlign w:val="superscript"/>
        </w:rPr>
        <w:fldChar w:fldCharType="begin" w:fldLock="1"/>
      </w:r>
      <w:r w:rsidR="00073673">
        <w:rPr>
          <w:color w:val="000000" w:themeColor="text1"/>
          <w:vertAlign w:val="superscript"/>
        </w:rPr>
        <w:instrText>ADDIN CSL_CITATION {"citationItems":[{"id":"ITEM-1","itemData":{"ISBN":"9798379690816","author":[{"dropping-particle":"","family":"Xu","given":"Ruijie","non-dropping-particle":"","parse-names":false,"suffix":""}],"id":"ITEM-1","issued":{"date-parts":[["2023"]]},"publisher":"University of Georgia","title":"Using Multi-Omics Data to Study Leptospira sp. Across Multiple Biological Scales","type":"article"},"uris":["http://www.mendeley.com/documents/?uuid=afdc53cc-04b5-4124-b464-3e604924e5ea"]}],"mendeley":{"formattedCitation":"&lt;sup&gt;41&lt;/sup&gt;","plainTextFormattedCitation":"41","previouslyFormattedCitation":"&lt;sup&gt;41&lt;/sup&gt;"},"properties":{"noteIndex":0},"schema":"https://github.com/citation-style-language/schema/raw/master/csl-citation.json"}</w:instrText>
      </w:r>
      <w:r w:rsidRPr="00DF2A48">
        <w:rPr>
          <w:color w:val="000000" w:themeColor="text1"/>
          <w:vertAlign w:val="superscript"/>
        </w:rPr>
        <w:fldChar w:fldCharType="separate"/>
      </w:r>
      <w:r w:rsidR="001F530E" w:rsidRPr="001F530E">
        <w:rPr>
          <w:noProof/>
          <w:color w:val="000000" w:themeColor="text1"/>
          <w:vertAlign w:val="superscript"/>
        </w:rPr>
        <w:t>41</w:t>
      </w:r>
      <w:r w:rsidRPr="00DF2A48">
        <w:rPr>
          <w:color w:val="000000" w:themeColor="text1"/>
          <w:vertAlign w:val="superscript"/>
        </w:rPr>
        <w:fldChar w:fldCharType="end"/>
      </w:r>
      <w:r w:rsidRPr="00DF2A48">
        <w:rPr>
          <w:color w:val="000000" w:themeColor="text1"/>
        </w:rPr>
        <w:t xml:space="preserve">  </w:t>
      </w:r>
    </w:p>
    <w:p w14:paraId="07FBAEFC" w14:textId="77777777" w:rsidR="007E69BE" w:rsidRDefault="00DF2A48" w:rsidP="002F04D4">
      <w:pPr>
        <w:spacing w:line="360" w:lineRule="auto"/>
        <w:rPr>
          <w:color w:val="000000" w:themeColor="text1"/>
        </w:rPr>
      </w:pPr>
      <w:r w:rsidRPr="00DF2A48">
        <w:rPr>
          <w:color w:val="000000" w:themeColor="text1"/>
        </w:rPr>
        <w:t>Untargeted metabolomics is a widely known and recognized tool in studying small molecules. The biological samples contain a wide array of small molecule which could be investigated leveraging LC-MS (Liquid chromatography mass spectrometry) based untargeted metabolomics.</w:t>
      </w:r>
      <w:r w:rsidRPr="00DF2A48">
        <w:rPr>
          <w:color w:val="000000" w:themeColor="text1"/>
        </w:rPr>
        <w:fldChar w:fldCharType="begin" w:fldLock="1"/>
      </w:r>
      <w:r w:rsidR="00073673">
        <w:rPr>
          <w:color w:val="000000" w:themeColor="text1"/>
        </w:rPr>
        <w:instrText>ADDIN CSL_CITATION {"citationItems":[{"id":"ITEM-1","itemData":{"DOI":"10.1021/ac401140h","ISSN":"0003-2700","author":[{"dropping-particle":"","family":"Ivanisevic","given":"Julijana","non-dropping-particle":"","parse-names":false,"suffix":""},{"dropping-particle":"","family":"Zhu","given":"Zheng-Jiang","non-dropping-particle":"","parse-names":false,"suffix":""},{"dropping-particle":"","family":"Plate","given":"Lars","non-dropping-particle":"","parse-names":false,"suffix":""},{"dropping-particle":"","family":"Tautenhahn","given":"Ralf","non-dropping-particle":"","parse-names":false,"suffix":""},{"dropping-particle":"","family":"Chen","given":"Stephen","non-dropping-particle":"","parse-names":false,"suffix":""},{"dropping-particle":"","family":"O’Brien","given":"Peter J","non-dropping-particle":"","parse-names":false,"suffix":""},{"dropping-particle":"","family":"Johnson","given":"Caroline H","non-dropping-particle":"","parse-names":false,"suffix":""},{"dropping-particle":"","family":"Marletta","given":"Michael A","non-dropping-particle":"","parse-names":false,"suffix":""},{"dropping-particle":"","family":"Patti","given":"Gary J","non-dropping-particle":"","parse-names":false,"suffix":""},{"dropping-particle":"","family":"Siuzdak","given":"Gary","non-dropping-particle":"","parse-names":false,"suffix":""}],"container-title":"Analytical Chemistry","id":"ITEM-1","issue":"14","issued":{"date-parts":[["2013","7","16"]]},"note":"doi: 10.1021/ac401140h","page":"6876-6884","publisher":"American Chemical Society","title":"Toward ‘Omic Scale Metabolite Profiling: A Dual Separation–Mass Spectrometry Approach for Coverage of Lipid and Central Carbon Metabolism","type":"article-journal","volume":"85"},"uris":["http://www.mendeley.com/documents/?uuid=dd7b902d-3a41-43e5-8e0a-10f6fb3cd8a1"]}],"mendeley":{"formattedCitation":"&lt;sup&gt;42&lt;/sup&gt;","plainTextFormattedCitation":"42","previouslyFormattedCitation":"&lt;sup&gt;42&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42</w:t>
      </w:r>
      <w:r w:rsidRPr="00DF2A48">
        <w:rPr>
          <w:color w:val="000000" w:themeColor="text1"/>
        </w:rPr>
        <w:fldChar w:fldCharType="end"/>
      </w:r>
      <w:r w:rsidRPr="00DF2A48">
        <w:rPr>
          <w:color w:val="000000" w:themeColor="text1"/>
        </w:rPr>
        <w:t xml:space="preserve"> This advanced technique could detect alteration in cellular metabolism providing insight to the physiological regulation.</w:t>
      </w:r>
      <w:r w:rsidRPr="00DF2A48">
        <w:rPr>
          <w:color w:val="000000" w:themeColor="text1"/>
        </w:rPr>
        <w:fldChar w:fldCharType="begin" w:fldLock="1"/>
      </w:r>
      <w:r w:rsidR="00073673">
        <w:rPr>
          <w:color w:val="000000" w:themeColor="text1"/>
        </w:rPr>
        <w:instrText>ADDIN CSL_CITATION {"citationItems":[{"id":"ITEM-1","itemData":{"ISSN":"1664-3224","abstract":"&lt;sec&gt;&lt;title&gt;Introduction&lt;/title&gt;&lt;p&gt;Immunometabolism examines the links between immune cell function and metabolism. Dysregulation of immune cell metabolism is now an established feature of innate immune cell activation. Advances in liquid chromatography mass spectrometry (LC-MS) technologies have allowed discovery of unique insights into cellular metabolomics. Here we have studied and compared different sample preparation techniques and data normalisation methods described in the literature when applied to metabolomic profiling of human monocytes.&lt;/p&gt;&lt;/sec&gt;&lt;sec&gt;&lt;title&gt;Methods&lt;/title&gt;&lt;p&gt;Primary monocytes stimulated with lipopolysaccharide (LPS) for four hours was used as a study model. Monocytes (n=24) were freshly isolated from whole blood and stimulated for four hours with lipopolysaccharide (LPS). A methanol-based extraction protocol was developed and metabolomic profiling carried out using a Hydrophilic Interaction Liquid Chromatography (HILIC) LC-MS method. Data analysis pipelines used both targeted and untargeted approaches, and over 40 different data normalisation techniques to account for technical and biological variation were examined. Cytokine levels in supernatants were measured by ELISA.&lt;/p&gt;&lt;/sec&gt;&lt;sec&gt;&lt;title&gt;Results&lt;/title&gt;&lt;p&gt;This method provided broad coverage of the monocyte metabolome. The most efficient and consistent normalisation method was measurement of residual protein in the metabolite fraction, which was further validated and optimised using a commercial kit. Alterations to the monocyte metabolome in response to LPS can be detected as early as four hours post stimulation. Broad and profound changes in monocyte metabolism were seen, in line with increased cytokine production. Elevated levels of amino acids and Krebs cycle metabolites were noted and decreases in aspartate and β-alanine are also reported for the first time. In the untargeted analysis, 154 metabolite entities were significantly altered compared to unstimulated cells. Pathway analysis revealed the most prominent changes occurred to (phospho-) inositol metabolism, glycolysis, and the pentose phosphate pathway.&lt;/p&gt;&lt;/sec&gt;&lt;sec&gt;&lt;title&gt;Discussion&lt;/title&gt;&lt;p&gt;These data report the emergent changes to monocyte metabolism in response to LPS, in line with reports from later time points. A number of these metabolites are reported to alter inflammatory gene expression, which may facilitate the increases in cytokine production. Further validation is needed to confirm the link between…","author":[{"dropping-particle":"","family":"Leacy","given":"Emma","non-dropping-particle":"","parse-names":false,"suffix":""},{"dropping-particle":"","family":"Batten","given":"Isabella","non-dropping-particle":"","parse-names":false,"suffix":""},{"dropping-particle":"","family":"Sanelli","given":"Laetitia","non-dropping-particle":"","parse-names":false,"suffix":""},{"dropping-particle":"","family":"McElheron","given":"Matthew","non-dropping-particle":"","parse-names":false,"suffix":""},{"dropping-particle":"","family":"Brady","given":"Gareth","non-dropping-particle":"","parse-names":false,"suffix":""},{"dropping-particle":"","family":"Little","given":"Mark A","non-dropping-particle":"","parse-names":false,"suffix":""},{"dropping-particle":"","family":"Khouri","given":"Hania","non-dropping-particle":"","parse-names":false,"suffix":""}],"container-title":"Frontiers in Immunology","id":"ITEM-1","issued":{"date-parts":[["2023"]]},"title":"Optimal LC-MS metabolomic profiling reveals emergent changes to monocyte metabolism in response to lipopolysaccharide","type":"article-journal","volume":"Volume 14 "},"uris":["http://www.mendeley.com/documents/?uuid=4a84a4b1-af7e-4d56-a981-91c8d414e49c"]}],"mendeley":{"formattedCitation":"&lt;sup&gt;43&lt;/sup&gt;","plainTextFormattedCitation":"43","previouslyFormattedCitation":"&lt;sup&gt;43&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43</w:t>
      </w:r>
      <w:r w:rsidRPr="00DF2A48">
        <w:rPr>
          <w:color w:val="000000" w:themeColor="text1"/>
        </w:rPr>
        <w:fldChar w:fldCharType="end"/>
      </w:r>
      <w:r w:rsidRPr="00DF2A48">
        <w:rPr>
          <w:color w:val="000000" w:themeColor="text1"/>
        </w:rPr>
        <w:t xml:space="preserve"> Untargeted metabolomics technique investigates the entire metabolome to find as many metabolomes as possible causing the changes in regulation of metabolomes in samples, unlike targeted metabolomics which only concentrates on specific metabolome.</w:t>
      </w:r>
      <w:r w:rsidRPr="00DF2A48">
        <w:rPr>
          <w:color w:val="000000" w:themeColor="text1"/>
        </w:rPr>
        <w:fldChar w:fldCharType="begin" w:fldLock="1"/>
      </w:r>
      <w:r w:rsidR="00073673">
        <w:rPr>
          <w:color w:val="000000" w:themeColor="text1"/>
        </w:rPr>
        <w:instrText>ADDIN CSL_CITATION {"citationItems":[{"id":"ITEM-1","itemData":{"ISSN":"1932-6203","author":[{"dropping-particle":"","family":"Ribbenstedt","given":"Anton","non-dropping-particle":"","parse-names":false,"suffix":""},{"dropping-particle":"","family":"Ziarrusta","given":"Haizea","non-dropping-particle":"","parse-names":false,"suffix":""},{"dropping-particle":"","family":"Benskin","given":"Jonathan P","non-dropping-particle":"","parse-names":false,"suffix":""}],"container-title":"PloS one","id":"ITEM-1","issue":"11","issued":{"date-parts":[["2018"]]},"page":"e0207082","publisher":"Public Library of Science San Francisco, CA USA","title":"Development, characterization and comparisons of targeted and non-targeted metabolomics methods","type":"article-journal","volume":"13"},"uris":["http://www.mendeley.com/documents/?uuid=261f3905-cc39-4a4f-b415-8370e7dd943d"]}],"mendeley":{"formattedCitation":"&lt;sup&gt;44&lt;/sup&gt;","plainTextFormattedCitation":"44","previouslyFormattedCitation":"&lt;sup&gt;44&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44</w:t>
      </w:r>
      <w:r w:rsidRPr="00DF2A48">
        <w:rPr>
          <w:color w:val="000000" w:themeColor="text1"/>
        </w:rPr>
        <w:fldChar w:fldCharType="end"/>
      </w:r>
      <w:r w:rsidRPr="00DF2A48">
        <w:rPr>
          <w:color w:val="000000" w:themeColor="text1"/>
        </w:rPr>
        <w:t xml:space="preserve"> For this holistic approach, untargeted metabolomics is often able to discover novel biomarkers, uncover unanticipated metabolic changes.</w:t>
      </w:r>
      <w:r w:rsidRPr="00DF2A48">
        <w:rPr>
          <w:color w:val="000000" w:themeColor="text1"/>
        </w:rPr>
        <w:fldChar w:fldCharType="begin" w:fldLock="1"/>
      </w:r>
      <w:r w:rsidR="00073673">
        <w:rPr>
          <w:color w:val="000000" w:themeColor="text1"/>
        </w:rPr>
        <w:instrText>ADDIN CSL_CITATION {"citationItems":[{"id":"ITEM-1","itemData":{"DOI":"10.3390/molecules29102198","ISBN":"1420-3049","abstract":"As links between genotype and phenotype, small-molecule metabolites are attractive biomarkers for disease diagnosis, prognosis, classification, drug screening and treatment, insight into understanding disease pathology and identifying potential targets. Metabolomics technology is crucial for discovering targets of small-molecule metabolites involved in disease phenotype. Mass spectrometry-based metabolomics has implemented in applications in various fields including target discovery, explanation of disease mechanisms and compound screening. It is used to analyze the physiological or pathological states of the organism by investigating the changes in endogenous small-molecule metabolites and associated metabolism from complex metabolic pathways in biological samples. The present review provides a critical update of high-throughput functional metabolomics techniques and diverse applications, and recommends the use of mass spectrometry-based metabolomics for discovering small-molecule metabolite signatures that provide valuable insights into metabolic targets. We also recommend using mass spectrometry-based metabolomics as a powerful tool for identifying and understanding metabolic patterns, metabolic targets and for efficacy evaluation of herbal medicine.","author":[{"dropping-particle":"","family":"Lin","given":"Chunsheng","non-dropping-particle":"","parse-names":false,"suffix":""},{"dropping-particle":"","family":"Tian","given":"Qianqian","non-dropping-particle":"","parse-names":false,"suffix":""},{"dropping-particle":"","family":"Guo","given":"Sifan","non-dropping-particle":"","parse-names":false,"suffix":""},{"dropping-particle":"","family":"Xie","given":"Dandan","non-dropping-particle":"","parse-names":false,"suffix":""},{"dropping-particle":"","family":"Cai","given":"Ying","non-dropping-particle":"","parse-names":false,"suffix":""},{"dropping-particle":"","family":"Wang","given":"Zhibo","non-dropping-particle":"","parse-names":false,"suffix":""},{"dropping-particle":"","family":"Chu","given":"Hang","non-dropping-particle":"","parse-names":false,"suffix":""},{"dropping-particle":"","family":"Qiu","given":"Shi","non-dropping-particle":"","parse-names":false,"suffix":""},{"dropping-particle":"","family":"Tang","given":"Songqi","non-dropping-particle":"","parse-names":false,"suffix":""},{"dropping-particle":"","family":"Zhang","given":"Aihua","non-dropping-particle":"","parse-names":false,"suffix":""}],"container-title":"Molecules","id":"ITEM-1","issue":"10","issued":{"date-parts":[["2024"]]},"title":"Metabolomics for Clinical Biomarker Discovery and Therapeutic Target Identification","type":"article","volume":"29"},"uris":["http://www.mendeley.com/documents/?uuid=03d1fa9c-d8c2-4979-9ad9-46546c9f2c84"]}],"mendeley":{"formattedCitation":"&lt;sup&gt;45&lt;/sup&gt;","plainTextFormattedCitation":"45","previouslyFormattedCitation":"&lt;sup&gt;45&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45</w:t>
      </w:r>
      <w:r w:rsidRPr="00DF2A48">
        <w:rPr>
          <w:color w:val="000000" w:themeColor="text1"/>
        </w:rPr>
        <w:fldChar w:fldCharType="end"/>
      </w:r>
    </w:p>
    <w:p w14:paraId="7E5B46B2" w14:textId="69BD22FA" w:rsidR="00DF2A48" w:rsidRPr="00DF2A48" w:rsidRDefault="00DF2A48" w:rsidP="002F04D4">
      <w:pPr>
        <w:spacing w:line="360" w:lineRule="auto"/>
        <w:rPr>
          <w:color w:val="000000" w:themeColor="text1"/>
        </w:rPr>
      </w:pPr>
      <w:r w:rsidRPr="00DF2A48">
        <w:rPr>
          <w:color w:val="000000" w:themeColor="text1"/>
        </w:rPr>
        <w:t>Untargeted metabolom</w:t>
      </w:r>
      <w:r w:rsidR="007E69BE">
        <w:rPr>
          <w:color w:val="000000" w:themeColor="text1"/>
        </w:rPr>
        <w:t>ics</w:t>
      </w:r>
      <w:r w:rsidRPr="00DF2A48">
        <w:rPr>
          <w:color w:val="000000" w:themeColor="text1"/>
        </w:rPr>
        <w:t xml:space="preserve"> has emerged as an invaluable tool in the research specially in the studies of microbes. The advantage of using this technique towards microscopic species, is that it allows investigation at a molecular level.</w:t>
      </w:r>
      <w:r w:rsidRPr="00DF2A48">
        <w:rPr>
          <w:color w:val="000000" w:themeColor="text1"/>
        </w:rPr>
        <w:fldChar w:fldCharType="begin" w:fldLock="1"/>
      </w:r>
      <w:r w:rsidR="00073673">
        <w:rPr>
          <w:color w:val="000000" w:themeColor="text1"/>
        </w:rPr>
        <w:instrText>ADDIN CSL_CITATION {"citationItems":[{"id":"ITEM-1","itemData":{"ISSN":"2296-889X","abstract":"Bamboo species have traditionally been used as building material and potential source of bioactive substances, as they produce a wide variety of phenolic compounds, including flavonoids and cinnamic acid derivatives that are considered biologically active. However, the effects of growth conditions such as location, altitude, climate, and soil on the metabolome of these species still need to be fully understood. This study aimed to evaluate variations in chemical composition induced by altitudinal gradient (0 to 3000 m) by utilizing an untargeted metabolomics approach and mapping chemical space using molecular networking analysis. We analyzed 111 samples from 12 bamboo species collected from different altitudinal ranges using liquid chromatography coupled with quadrupole time-of-flight mass spectrometry (LC-QTOF-MS). We used multivariate and univariate statistical analyses to identify the metabolites that showed significant differences in the altitude environments. Additionally, we used the Global Natural Products Social Molecular Networking (GNPS) web platform to perform chemical mapping by comparing the metabolome among the studied species and the reference spectra from its database. The results showed 89 differential metabolites between the altitudinal ranges investigated, wherein high altitude environments significantly increased the profile of flavonoids. While, low altitude environments significantly boosted the profile of cinnamic acid derivatives, particularly caffeoylquinic acids (CQAs). MolNetEnhancer networks confirmed the same differential molecular families already found, revealing metabolic diversity. Overall, this study provides the first report of variations induced by altitude in the chemical profile of bamboo species. The findings may possess fascinating active biological properties, thus offering an alternative use for bamboo.","author":[{"dropping-particle":"","family":"Chitiva","given":"Luis Carlos","non-dropping-particle":"","parse-names":false,"suffix":""},{"dropping-particle":"","family":"Lozano-Puentes","given":"Hair Santiago","non-dropping-particle":"","parse-names":false,"suffix":""},{"dropping-particle":"","family":"Londoño","given":"Ximena","non-dropping-particle":"","parse-names":false,"suffix":""},{"dropping-particle":"","family":"Leão","given":"Tiago F","non-dropping-particle":"","parse-names":false,"suffix":""},{"dropping-particle":"","family":"Cala","given":"Mónica P","non-dropping-particle":"","parse-names":false,"suffix":""},{"dropping-particle":"","family":"Ruiz-Sanchez","given":"Eduardo","non-dropping-particle":"","parse-names":false,"suffix":""},{"dropping-particle":"","family":"Díaz-Ariza","given":"Lucía Ana","non-dropping-particle":"","parse-names":false,"suffix":""},{"dropping-particle":"","family":"Prieto-Rodríguez","given":"Juliet A","non-dropping-particle":"","parse-names":false,"suffix":""},{"dropping-particle":"","family":"Castro-Gamboa","given":"Ian","non-dropping-particle":"","parse-names":false,"suffix":""},{"dropping-particle":"","family":"Costa","given":"Geison M","non-dropping-particle":"","parse-names":false,"suffix":""}],"container-title":"Frontiers in Molecular Biosciences","id":"ITEM-1","issued":{"date-parts":[["2023"]]},"title":"Untargeted metabolomics approach and molecular networking analysis reveal changes in chemical composition under the influence of altitudinal variation in bamboo species","type":"article-journal","volume":"Volume 10 "},"uris":["http://www.mendeley.com/documents/?uuid=a15b3f54-b6bf-44f0-ba2a-0b42c832da7b"]}],"mendeley":{"formattedCitation":"&lt;sup&gt;46&lt;/sup&gt;","plainTextFormattedCitation":"46","previouslyFormattedCitation":"&lt;sup&gt;46&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46</w:t>
      </w:r>
      <w:r w:rsidRPr="00DF2A48">
        <w:rPr>
          <w:color w:val="000000" w:themeColor="text1"/>
        </w:rPr>
        <w:fldChar w:fldCharType="end"/>
      </w:r>
      <w:r w:rsidRPr="00DF2A48">
        <w:rPr>
          <w:color w:val="000000" w:themeColor="text1"/>
        </w:rPr>
        <w:t xml:space="preserve"> The host pathogen interaction, molecular fingerprint correlated to those interactions could be elucidated, uncovering the metabolic pathways, biomarkers, disease causes and eventual treatments possibilities exploiting the metabolic pathway. This tool plays a critical role in studying pathogenic microorganism such as </w:t>
      </w:r>
      <w:proofErr w:type="spellStart"/>
      <w:r w:rsidRPr="00DF2A48">
        <w:rPr>
          <w:i/>
          <w:iCs/>
          <w:color w:val="000000" w:themeColor="text1"/>
        </w:rPr>
        <w:t>leptospira</w:t>
      </w:r>
      <w:proofErr w:type="spellEnd"/>
      <w:r w:rsidRPr="00DF2A48">
        <w:rPr>
          <w:color w:val="000000" w:themeColor="text1"/>
        </w:rPr>
        <w:t>. It allows to distinguish between the pathogenicity and non-pathogenicity among species.</w:t>
      </w:r>
      <w:r w:rsidRPr="00DF2A48">
        <w:rPr>
          <w:color w:val="000000" w:themeColor="text1"/>
        </w:rPr>
        <w:fldChar w:fldCharType="begin" w:fldLock="1"/>
      </w:r>
      <w:r w:rsidR="00073673">
        <w:rPr>
          <w:color w:val="000000" w:themeColor="text1"/>
        </w:rPr>
        <w:instrText>ADDIN CSL_CITATION {"citationItems":[{"id":"ITEM-1","itemData":{"DOI":"10.3390/biom10071041","ISBN":"2218-273X","abstract":"Pseudomonas aeruginosa is a facultative pathogen that can cause, inter alia, acute or chronic pneumonia in predisposed individuals. The gram-negative bacterium displays considerable genomic and phenotypic diversity that is also shaped by small molecule secondary metabolites. The discrimination of virulence phenotypes is highly relevant to the diagnosis and prognosis of P. aeruginosa infections. In order to discover small molecule metabolites that distinguish different virulence phenotypes of P. aeruginosa, 35 clinical strains were cultivated under standard conditions, characterized in terms of virulence and biofilm phenotype, and their metabolomes were investigated by untargeted liquid chromatography—mass spectrometry. The data was both mined for individual candidate markers as well as used to construct statistical models to infer the virulence phenotype from metabolomics data. We found that clinical strains that differed in their virulence and biofilm phenotype also had pronounced divergence in their metabolomes, as underlined by 332 features that were significantly differentially abundant with fold changes greater than 1.5 in both directions. Important virulence-associated secondary metabolites like rhamnolipids, alkyl quinolones or phenazines were found to be strongly upregulated in virulent strains. In contrast, we observed little change in primary metabolism. A hitherto novel cationic metabolite with a sum formula of C12H15N2 could be identified as a candidate biomarker. A random forest model was able to classify strains according to their virulence and biofilm phenotype with an area under the Receiver Operation Characteristics curve of 0.84. These findings demonstrate that untargeted metabolomics is a valuable tool to characterize P. aeruginosa virulence, and to explore interrelations between clinically important phenotypic traits and the bacterial metabolome.","author":[{"dropping-particle":"","family":"Depke","given":"Tobias","non-dropping-particle":"","parse-names":false,"suffix":""},{"dropping-particle":"","family":"Thöming","given":"Janne G","non-dropping-particle":"","parse-names":false,"suffix":""},{"dropping-particle":"","family":"Kordes","given":"Adrian","non-dropping-particle":"","parse-names":false,"suffix":""},{"dropping-particle":"","family":"Häussler","given":"Susanne","non-dropping-particle":"","parse-names":false,"suffix":""},{"dropping-particle":"","family":"Brönstrup","given":"Mark","non-dropping-particle":"","parse-names":false,"suffix":""}],"container-title":"Biomolecules","id":"ITEM-1","issue":"7","issued":{"date-parts":[["2020"]]},"title":"Untargeted LC-MS Metabolomics Differentiates Between Virulent and Avirulent Clinical Strains of Pseudomonas aeruginosa","type":"article","volume":"10"},"uris":["http://www.mendeley.com/documents/?uuid=5fd24410-10a6-4c4d-8c28-f54d9d5236ba"]}],"mendeley":{"formattedCitation":"&lt;sup&gt;47&lt;/sup&gt;","plainTextFormattedCitation":"47","previouslyFormattedCitation":"&lt;sup&gt;47&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47</w:t>
      </w:r>
      <w:r w:rsidRPr="00DF2A48">
        <w:rPr>
          <w:color w:val="000000" w:themeColor="text1"/>
        </w:rPr>
        <w:fldChar w:fldCharType="end"/>
      </w:r>
      <w:r w:rsidRPr="00DF2A48">
        <w:rPr>
          <w:color w:val="000000" w:themeColor="text1"/>
        </w:rPr>
        <w:t xml:space="preserve"> For example, integrated omics study of murine models has highlighted significant upregulated level of N-carnitine associated with acute kidney injury during leptospirosis. Such findings reinforce necessity of using untargeted in order to find potential biomarkers which could lead to the finding vaccines for disease maintenance and regulation.</w:t>
      </w:r>
      <w:r w:rsidRPr="00DF2A48">
        <w:rPr>
          <w:color w:val="000000" w:themeColor="text1"/>
        </w:rPr>
        <w:fldChar w:fldCharType="begin" w:fldLock="1"/>
      </w:r>
      <w:r w:rsidR="00073673">
        <w:rPr>
          <w:color w:val="000000" w:themeColor="text1"/>
        </w:rPr>
        <w:instrText>ADDIN CSL_CITATION {"citationItems":[{"id":"ITEM-1","itemData":{"DOI":"10.3390/pathogens11070764","ISBN":"2076-0817","abstract":"Renal leptospirosis caused by leptospiral infection is characterised by tubulointerstitial nephritis and tubular dysfunction, resulting in acute and chronic kidney injury. Metabolomic and transcriptomic data from a murine model of Leptospira infection were analysed to determine whether metabolomic data from urine were associated with transcriptome changes relevant to kidney injury caused by Leptospira infection. Our findings revealed that 37 metabolites from the urine of L. interrogans-infected mice had significantly different concentrations than L. biflexa-infected and non-infected control mice. Of these, urinary L-carnitine and acetyl-L-carnitine levels were remarkably elevated in L. interrogans-infected mice. Using an integrated pathway analysis, we found that L-carnitine and acetyl-L-carnitine were involved in metabolic pathways such as fatty acid activation, the mitochondrial L-carnitine shuttle pathway, and triacylglycerol biosynthesis that were enriched in the renal tissues of the L. interrogans-infected mice. This study highlights that L-carnitine and acetyl-L-carnitine are implicated in leptospiral infection-induced kidney injury, suggesting their potential as metabolic modulators.","author":[{"dropping-particle":"","family":"Chen","given":"Kuan-Hsing","non-dropping-particle":"","parse-names":false,"suffix":""},{"dropping-particle":"","family":"Chou","given":"Li-Fang","non-dropping-particle":"","parse-names":false,"suffix":""},{"dropping-particle":"","family":"Hung","given":"Cheng-Chieh","non-dropping-particle":"","parse-names":false,"suffix":""},{"dropping-particle":"","family":"Tang","given":"Hsiang-Yu","non-dropping-particle":"","parse-names":false,"suffix":""},{"dropping-particle":"","family":"Cheng","given":"Mei-Ling","non-dropping-particle":"","parse-names":false,"suffix":""},{"dropping-particle":"","family":"Yang","given":"Huang-Yu","non-dropping-particle":"","parse-names":false,"suffix":""},{"dropping-particle":"","family":"Hsu","given":"Hsiang-Hao","non-dropping-particle":"","parse-names":false,"suffix":""},{"dropping-particle":"","family":"Tian","given":"Ya-Chung","non-dropping-particle":"","parse-names":false,"suffix":""},{"dropping-particle":"","family":"Yang","given":"Chih-Wei","non-dropping-particle":"","parse-names":false,"suffix":""}],"container-title":"Pathogens","id":"ITEM-1","issue":"7","issued":{"date-parts":[["2022"]]},"title":"Integrated Metabolomic and Transcriptomic Analysis of Acute Kidney Injury Caused by Leptospira Infection","type":"article","volume":"11"},"uris":["http://www.mendeley.com/documents/?uuid=b54730b0-be34-47b7-8d4d-e24670b02c5e"]}],"mendeley":{"formattedCitation":"&lt;sup&gt;37&lt;/sup&gt;","plainTextFormattedCitation":"37","previouslyFormattedCitation":"&lt;sup&gt;37&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37</w:t>
      </w:r>
      <w:r w:rsidRPr="00DF2A48">
        <w:rPr>
          <w:color w:val="000000" w:themeColor="text1"/>
        </w:rPr>
        <w:fldChar w:fldCharType="end"/>
      </w:r>
      <w:r w:rsidRPr="00DF2A48">
        <w:rPr>
          <w:color w:val="000000" w:themeColor="text1"/>
        </w:rPr>
        <w:t xml:space="preserve"> </w:t>
      </w:r>
    </w:p>
    <w:p w14:paraId="74F8BB87" w14:textId="17F3D18D" w:rsidR="005914F5" w:rsidRPr="00DF2A48" w:rsidRDefault="00DF2A48" w:rsidP="001301EA">
      <w:pPr>
        <w:spacing w:line="360" w:lineRule="auto"/>
        <w:rPr>
          <w:b/>
          <w:bCs/>
          <w:color w:val="000000" w:themeColor="text1"/>
        </w:rPr>
      </w:pPr>
      <w:r w:rsidRPr="00DF2A48">
        <w:rPr>
          <w:b/>
          <w:bCs/>
          <w:color w:val="000000" w:themeColor="text1"/>
        </w:rPr>
        <w:t xml:space="preserve">Purpose of study and specific aim </w:t>
      </w:r>
    </w:p>
    <w:p w14:paraId="532C093F" w14:textId="3E8F3241" w:rsidR="005914F5" w:rsidRPr="00DF2A48" w:rsidRDefault="00DF2A48" w:rsidP="001301EA">
      <w:pPr>
        <w:pStyle w:val="p1"/>
        <w:spacing w:line="360" w:lineRule="auto"/>
        <w:rPr>
          <w:color w:val="000000" w:themeColor="text1"/>
          <w:sz w:val="24"/>
          <w:szCs w:val="24"/>
        </w:rPr>
      </w:pPr>
      <w:r w:rsidRPr="00DF2A48">
        <w:rPr>
          <w:color w:val="000000" w:themeColor="text1"/>
          <w:sz w:val="24"/>
          <w:szCs w:val="24"/>
        </w:rPr>
        <w:t>To improve the diagnostic method and prevention strategies of leptospirosis, it is imperative to study its pathogenesis.</w:t>
      </w:r>
      <w:r w:rsidRPr="00DF2A48">
        <w:rPr>
          <w:color w:val="000000" w:themeColor="text1"/>
          <w:sz w:val="24"/>
          <w:szCs w:val="24"/>
        </w:rPr>
        <w:fldChar w:fldCharType="begin" w:fldLock="1"/>
      </w:r>
      <w:r w:rsidR="00073673">
        <w:rPr>
          <w:color w:val="000000" w:themeColor="text1"/>
          <w:sz w:val="24"/>
          <w:szCs w:val="24"/>
        </w:rPr>
        <w:instrText>ADDIN CSL_CITATION {"citationItems":[{"id":"ITEM-1","itemData":{"DOI":"10.1016/j.vetmic.2009.03.012","ISSN":"03781135","PMID":"19345023","abstract":"Leptospirosis is the most wide spread zoonosis worldwide; it is present in all continents except Antarctica and evidence for the carriage of Leptospira has been found in virtually all mammalian species examined. Humans most commonly become infected through occupational, recreational, or domestic contact with the urine of carrier animals, either directly or via contaminated water or soil. Leptospires are thin, helical bacteria classified into at least 12 pathogenic and 4 saprophytic species, with more than 250 pathogenic serovars. Immunity following infection is generally, but not exclusively, mediated by antibody against leptospiral LPS and restricted to antigenically related serovars. Vaccines currently available consist of killed whole cell bacterins which are used widely in animals, but less so in humans. Current work with recombinant protein antigens shows promise for the development of vaccines based on defined protective antigens. The cellular and molecular basis for virulence remains poorly understood, but comparative genomics of pathogenic and saprophytic species suggests that Leptospira expresses unique virulence determinants. However, the recent development of defined mutagenesis systems for Leptospira heralds the potential for gaining a much improved understanding of pathogenesis in leptospirosis. © 2009 Elsevier B.V. All rights reserved.","author":[{"dropping-particle":"","family":"Adler","given":"Ben","non-dropping-particle":"","parse-names":false,"suffix":""},{"dropping-particle":"","family":"la Peña Moctezuma","given":"Alejandro","non-dropping-particle":"de","parse-names":false,"suffix":""}],"container-title":"Veterinary Microbiology","id":"ITEM-1","issue":"3-4","issued":{"date-parts":[["2010","1","27"]]},"page":"287-296","title":"Leptospira and leptospirosis","type":"article-journal","volume":"140"},"uris":["http://www.mendeley.com/documents/?uuid=4bbdb155-8b06-361b-9743-4cd37b64bc09"]}],"mendeley":{"formattedCitation":"&lt;sup&gt;32&lt;/sup&gt;","plainTextFormattedCitation":"32","previouslyFormattedCitation":"&lt;sup&gt;32&lt;/sup&gt;"},"properties":{"noteIndex":0},"schema":"https://github.com/citation-style-language/schema/raw/master/csl-citation.json"}</w:instrText>
      </w:r>
      <w:r w:rsidRPr="00DF2A48">
        <w:rPr>
          <w:color w:val="000000" w:themeColor="text1"/>
          <w:sz w:val="24"/>
          <w:szCs w:val="24"/>
        </w:rPr>
        <w:fldChar w:fldCharType="separate"/>
      </w:r>
      <w:r w:rsidR="001F530E" w:rsidRPr="001F530E">
        <w:rPr>
          <w:noProof/>
          <w:color w:val="000000" w:themeColor="text1"/>
          <w:sz w:val="24"/>
          <w:szCs w:val="24"/>
          <w:vertAlign w:val="superscript"/>
        </w:rPr>
        <w:t>32</w:t>
      </w:r>
      <w:r w:rsidRPr="00DF2A48">
        <w:rPr>
          <w:color w:val="000000" w:themeColor="text1"/>
          <w:sz w:val="24"/>
          <w:szCs w:val="24"/>
        </w:rPr>
        <w:fldChar w:fldCharType="end"/>
      </w:r>
      <w:r w:rsidRPr="00DF2A48">
        <w:rPr>
          <w:color w:val="000000" w:themeColor="text1"/>
          <w:sz w:val="24"/>
          <w:szCs w:val="24"/>
          <w:vertAlign w:val="superscript"/>
        </w:rPr>
        <w:t>,</w:t>
      </w:r>
      <w:r w:rsidRPr="00DF2A48">
        <w:rPr>
          <w:color w:val="000000" w:themeColor="text1"/>
          <w:sz w:val="24"/>
          <w:szCs w:val="24"/>
        </w:rPr>
        <w:fldChar w:fldCharType="begin" w:fldLock="1"/>
      </w:r>
      <w:r w:rsidR="00073673">
        <w:rPr>
          <w:color w:val="000000" w:themeColor="text1"/>
          <w:sz w:val="24"/>
          <w:szCs w:val="24"/>
        </w:rPr>
        <w:instrText>ADDIN CSL_CITATION {"citationItems":[{"id":"ITEM-1","itemData":{"DOI":"10.1371/JOURNAL.PNTD.0004403","ISSN":"19352735","PMID":"26890609","abstract":"Leptospirosis, caused by spirochetes of the genus Leptospira, is a globally widespread, neglected and emerging zoonotic disease. While whole genome analysis of individual pathogenic, intermediately pathogenic and saprophytic Leptospira species has been reported, comprehensive cross-species genomic comparison of all known species of infectious and non-infectious Leptospira, with the goal of identifying genes related to pathogenesis and mammalian host adaptation, remains a key gap in the field. Infectious Leptospira, comprised of pathogenic and intermediately pathogenic Leptospira, evolutionarily diverged from non-infectious, saprophytic Leptospira, as demonstrated by the following computational biology analyses: 1) the definitive taxonomy and evolutionary relatedness among all known Leptospira species; 2) genomically-predicted metabolic reconstructions that indicate novel adaptation of infectious Leptospira to mammals, including sialic acid biosynthesis, pathogen-specific porphyrin metabolism and the first-time demonstration of cobalamin (B12) autotrophy as a bacterial virulence factor; 3) CRISPR/Cas systems demonstrated only to be present in pathogenic Leptospira, suggesting a potential mechanism for this clade’s refractoriness to gene targeting; 4) finding Leptospira pathogen-specific specialized protein secretion systems; 5) novel virulence-related genes/gene families such as the Virulence Modifying (VM) (PF07598 paralogs) proteins and pathogen-specific adhesins; 6) discovery of novel, pathogen-specific protein modification and secretion mechanisms including unique lipoprotein signal peptide motifs, Sec-independent twin arginine protein secretion motifs, and the absence of certain canonical signal recognition particle proteins from all Leptospira; and 7) and demonstration of infectious Leptospira-specific signal-responsive gene expression, motility and chemotaxis systems. By identifying large scale changes in infectious (pathogenic and intermediately pathogenic) vs. non-infectious Leptospira, this work provides new insights into the evolution of a genus of bacterial pathogens. This work will be a comprehensive roadmap for understanding leptospirosis pathogenesis. More generally, it provides new insights into mechanisms by which bacterial pathogens adapt to mammalian hosts.","author":[{"dropping-particle":"","family":"Fouts","given":"Derrick E.","non-dropping-particle":"","parse-names":false,"suffix":""},{"dropping-particle":"","family":"Matthias","given":"Michael A.","non-dropping-particle":"","parse-names":false,"suffix":""},{"dropping-particle":"","family":"Adhikarla","given":"Haritha","non-dropping-particle":"","parse-names":false,"suffix":""},{"dropping-particle":"","family":"Adler","given":"Ben","non-dropping-particle":"","parse-names":false,"suffix":""},{"dropping-particle":"","family":"Amorim-Santos","given":"Luciane","non-dropping-particle":"","parse-names":false,"suffix":""},{"dropping-particle":"","family":"Berg","given":"Douglas E.","non-dropping-particle":"","parse-names":false,"suffix":""},{"dropping-particle":"","family":"Bulach","given":"Dieter","non-dropping-particle":"","parse-names":false,"suffix":""},{"dropping-particle":"","family":"Buschiazzo","given":"Alejandro","non-dropping-particle":"","parse-names":false,"suffix":""},{"dropping-particle":"","family":"Chang","given":"Yung Fu","non-dropping-particle":"","parse-names":false,"suffix":""},{"dropping-particle":"","family":"Galloway","given":"Renee L.","non-dropping-particle":"","parse-names":false,"suffix":""},{"dropping-particle":"","family":"Haake","given":"David A.","non-dropping-particle":"","parse-names":false,"suffix":""},{"dropping-particle":"","family":"Haft","given":"Daniel H.","non-dropping-particle":"","parse-names":false,"suffix":""},{"dropping-particle":"","family":"Hartskeerl","given":"Rudy","non-dropping-particle":"","parse-names":false,"suffix":""},{"dropping-particle":"","family":"Ko","given":"Albert I.","non-dropping-particle":"","parse-names":false,"suffix":""},{"dropping-particle":"","family":"Levett","given":"Paul N.","non-dropping-particle":"","parse-names":false,"suffix":""},{"dropping-particle":"","family":"Matsunaga","given":"James","non-dropping-particle":"","parse-names":false,"suffix":""},{"dropping-particle":"","family":"Mechaly","given":"Ariel E.","non-dropping-particle":"","parse-names":false,"suffix":""},{"dropping-particle":"","family":"Monk","given":"Jonathan M.","non-dropping-particle":"","parse-names":false,"suffix":""},{"dropping-particle":"","family":"Nascimento","given":"Ana L.T.","non-dropping-particle":"","parse-names":false,"suffix":""},{"dropping-particle":"","family":"Nelson","given":"Karen E.","non-dropping-particle":"","parse-names":false,"suffix":""},{"dropping-particle":"","family":"Palsson","given":"Bernhard","non-dropping-particle":"","parse-names":false,"suffix":""},{"dropping-particle":"","family":"Peacock","given":"Sharon J.","non-dropping-particle":"","parse-names":false,"suffix":""},{"dropping-particle":"","family":"Picardeau","given":"Mathieu","non-dropping-particle":"","parse-names":false,"suffix":""},{"dropping-particle":"","family":"Ricaldi","given":"Jessica N.","non-dropping-particle":"","parse-names":false,"suffix":""},{"dropping-particle":"","family":"Thaipandungpanit","given":"Janjira","non-dropping-particle":"","parse-names":false,"suffix":""},{"dropping-particle":"","family":"Wunder","given":"Elsio A.","non-dropping-particle":"","parse-names":false,"suffix":""},{"dropping-particle":"","family":"Yang","given":"X. Frank","non-dropping-particle":"","parse-names":false,"suffix":""},{"dropping-particle":"","family":"Zhang","given":"Jun Jie","non-dropping-particle":"","parse-names":false,"suffix":""},{"dropping-particle":"","family":"Vinetz","given":"Joseph M.","non-dropping-particle":"","parse-names":false,"suffix":""}],"container-title":"PLoS Neglected Tropical Diseases","id":"ITEM-1","issue":"2","issued":{"date-parts":[["2016","2","18"]]},"publisher":"Public Library of Science","title":"What Makes a Bacterial Species Pathogenic?:Comparative Genomic Analysis of the Genus Leptospira","type":"article-journal","volume":"10"},"uris":["http://www.mendeley.com/documents/?uuid=e73323fd-0577-3e06-81c9-16cfbb56175a"]}],"mendeley":{"formattedCitation":"&lt;sup&gt;48&lt;/sup&gt;","plainTextFormattedCitation":"48","previouslyFormattedCitation":"&lt;sup&gt;48&lt;/sup&gt;"},"properties":{"noteIndex":0},"schema":"https://github.com/citation-style-language/schema/raw/master/csl-citation.json"}</w:instrText>
      </w:r>
      <w:r w:rsidRPr="00DF2A48">
        <w:rPr>
          <w:color w:val="000000" w:themeColor="text1"/>
          <w:sz w:val="24"/>
          <w:szCs w:val="24"/>
        </w:rPr>
        <w:fldChar w:fldCharType="separate"/>
      </w:r>
      <w:r w:rsidR="001F530E" w:rsidRPr="001F530E">
        <w:rPr>
          <w:noProof/>
          <w:color w:val="000000" w:themeColor="text1"/>
          <w:sz w:val="24"/>
          <w:szCs w:val="24"/>
          <w:vertAlign w:val="superscript"/>
        </w:rPr>
        <w:t>48</w:t>
      </w:r>
      <w:r w:rsidRPr="00DF2A48">
        <w:rPr>
          <w:color w:val="000000" w:themeColor="text1"/>
          <w:sz w:val="24"/>
          <w:szCs w:val="24"/>
        </w:rPr>
        <w:fldChar w:fldCharType="end"/>
      </w:r>
      <w:r w:rsidRPr="00DF2A48">
        <w:rPr>
          <w:color w:val="000000" w:themeColor="text1"/>
        </w:rPr>
        <w:t xml:space="preserve"> </w:t>
      </w:r>
      <w:r w:rsidRPr="00DF2A48">
        <w:rPr>
          <w:color w:val="000000" w:themeColor="text1"/>
          <w:sz w:val="24"/>
          <w:szCs w:val="24"/>
        </w:rPr>
        <w:t xml:space="preserve">To investigate the metabolic profile of pathogenic </w:t>
      </w:r>
      <w:proofErr w:type="spellStart"/>
      <w:r w:rsidRPr="00DF2A48">
        <w:rPr>
          <w:i/>
          <w:iCs/>
          <w:color w:val="000000" w:themeColor="text1"/>
          <w:sz w:val="24"/>
          <w:szCs w:val="24"/>
        </w:rPr>
        <w:t>leptospira</w:t>
      </w:r>
      <w:proofErr w:type="spellEnd"/>
      <w:r w:rsidRPr="00DF2A48">
        <w:rPr>
          <w:color w:val="000000" w:themeColor="text1"/>
          <w:sz w:val="24"/>
          <w:szCs w:val="24"/>
        </w:rPr>
        <w:t xml:space="preserve">, understanding of variables influencing its growth is necessary. To achieve that, outcome of metabolomic study of </w:t>
      </w:r>
      <w:r w:rsidRPr="00DF2A48">
        <w:rPr>
          <w:i/>
          <w:iCs/>
          <w:color w:val="000000" w:themeColor="text1"/>
          <w:sz w:val="24"/>
          <w:szCs w:val="24"/>
        </w:rPr>
        <w:t>in vitro</w:t>
      </w:r>
      <w:r w:rsidRPr="00DF2A48">
        <w:rPr>
          <w:color w:val="000000" w:themeColor="text1"/>
          <w:sz w:val="24"/>
          <w:szCs w:val="24"/>
        </w:rPr>
        <w:t xml:space="preserve"> culture will give an insight to the metabolic profiles of </w:t>
      </w:r>
      <w:proofErr w:type="spellStart"/>
      <w:r w:rsidRPr="00DF2A48">
        <w:rPr>
          <w:i/>
          <w:iCs/>
          <w:color w:val="000000" w:themeColor="text1"/>
          <w:sz w:val="24"/>
          <w:szCs w:val="24"/>
        </w:rPr>
        <w:t>leptospira</w:t>
      </w:r>
      <w:proofErr w:type="spellEnd"/>
      <w:r w:rsidRPr="00DF2A48">
        <w:rPr>
          <w:color w:val="000000" w:themeColor="text1"/>
          <w:sz w:val="24"/>
          <w:szCs w:val="24"/>
        </w:rPr>
        <w:t xml:space="preserve"> </w:t>
      </w:r>
      <w:proofErr w:type="spellStart"/>
      <w:r w:rsidRPr="00DF2A48">
        <w:rPr>
          <w:i/>
          <w:iCs/>
          <w:color w:val="000000" w:themeColor="text1"/>
          <w:sz w:val="24"/>
          <w:szCs w:val="24"/>
        </w:rPr>
        <w:lastRenderedPageBreak/>
        <w:t>interrogan</w:t>
      </w:r>
      <w:proofErr w:type="spellEnd"/>
      <w:r w:rsidRPr="00DF2A48">
        <w:rPr>
          <w:color w:val="000000" w:themeColor="text1"/>
          <w:sz w:val="24"/>
          <w:szCs w:val="24"/>
        </w:rPr>
        <w:t xml:space="preserve"> serovar were cultured under 4 different controlled laboratory condition. Two different media formulation EMJH (in house) and EMJH (Difco) were used for incubation at 28°C and 37°C separately to simulate environmental condition and host-like condition. From each set of culture conditions pellets, supernatants, media control samples were collected which serve as   intracellular content, extra cellular content, and control respectively. These sample fractions are representative of </w:t>
      </w:r>
      <w:proofErr w:type="spellStart"/>
      <w:r w:rsidRPr="00DF2A48">
        <w:rPr>
          <w:color w:val="000000" w:themeColor="text1"/>
          <w:sz w:val="24"/>
          <w:szCs w:val="24"/>
        </w:rPr>
        <w:t>cytophysiology</w:t>
      </w:r>
      <w:proofErr w:type="spellEnd"/>
      <w:r w:rsidRPr="00DF2A48">
        <w:rPr>
          <w:color w:val="000000" w:themeColor="text1"/>
          <w:sz w:val="24"/>
          <w:szCs w:val="24"/>
        </w:rPr>
        <w:t xml:space="preserve">, secreted metabolic product, and nutrient consumption during growth phase. Evaluation of these sample fractions with LC-MS based untargeted metabolomic enables elucidation of </w:t>
      </w:r>
      <w:proofErr w:type="spellStart"/>
      <w:r w:rsidRPr="00DF2A48">
        <w:rPr>
          <w:i/>
          <w:iCs/>
          <w:color w:val="000000" w:themeColor="text1"/>
          <w:sz w:val="24"/>
          <w:szCs w:val="24"/>
        </w:rPr>
        <w:t>leptospira</w:t>
      </w:r>
      <w:proofErr w:type="spellEnd"/>
      <w:r w:rsidRPr="00DF2A48">
        <w:rPr>
          <w:color w:val="000000" w:themeColor="text1"/>
          <w:sz w:val="24"/>
          <w:szCs w:val="24"/>
        </w:rPr>
        <w:t xml:space="preserve"> metabolism modulation, response to environmental factor, and potential metabolic signature dependent on environmental and growth conditions. </w:t>
      </w:r>
    </w:p>
    <w:p w14:paraId="18499D89" w14:textId="3AFBFDD2" w:rsidR="005914F5" w:rsidRPr="00DF2A48" w:rsidRDefault="00DF2A48" w:rsidP="001301EA">
      <w:pPr>
        <w:pStyle w:val="p1"/>
        <w:spacing w:line="360" w:lineRule="auto"/>
        <w:rPr>
          <w:b/>
          <w:bCs/>
          <w:color w:val="000000" w:themeColor="text1"/>
          <w:sz w:val="24"/>
          <w:szCs w:val="24"/>
        </w:rPr>
      </w:pPr>
      <w:r w:rsidRPr="00DF2A48">
        <w:rPr>
          <w:b/>
          <w:bCs/>
          <w:color w:val="000000" w:themeColor="text1"/>
          <w:sz w:val="24"/>
          <w:szCs w:val="24"/>
        </w:rPr>
        <w:t>Purpose of the study</w:t>
      </w:r>
    </w:p>
    <w:p w14:paraId="4B4CE386" w14:textId="70453222" w:rsidR="005914F5" w:rsidRPr="00DF2A48" w:rsidRDefault="00DF2A48" w:rsidP="001301EA">
      <w:pPr>
        <w:pStyle w:val="p1"/>
        <w:spacing w:line="360" w:lineRule="auto"/>
        <w:rPr>
          <w:color w:val="000000" w:themeColor="text1"/>
          <w:sz w:val="24"/>
          <w:szCs w:val="24"/>
        </w:rPr>
      </w:pPr>
      <w:r w:rsidRPr="00DF2A48">
        <w:rPr>
          <w:color w:val="000000" w:themeColor="text1"/>
          <w:sz w:val="24"/>
          <w:szCs w:val="24"/>
        </w:rPr>
        <w:tab/>
        <w:t xml:space="preserve">The purpose of the study is to characterize the intracellular and extracellular metabolic profiles of the </w:t>
      </w:r>
      <w:proofErr w:type="spellStart"/>
      <w:r w:rsidRPr="00DF2A48">
        <w:rPr>
          <w:i/>
          <w:iCs/>
          <w:color w:val="000000" w:themeColor="text1"/>
          <w:sz w:val="24"/>
          <w:szCs w:val="24"/>
        </w:rPr>
        <w:t>leptospira</w:t>
      </w:r>
      <w:proofErr w:type="spellEnd"/>
      <w:r w:rsidRPr="00DF2A48">
        <w:rPr>
          <w:color w:val="000000" w:themeColor="text1"/>
          <w:sz w:val="24"/>
          <w:szCs w:val="24"/>
        </w:rPr>
        <w:t xml:space="preserve"> </w:t>
      </w:r>
      <w:r w:rsidRPr="00DF2A48">
        <w:rPr>
          <w:i/>
          <w:iCs/>
          <w:color w:val="000000" w:themeColor="text1"/>
          <w:sz w:val="24"/>
          <w:szCs w:val="24"/>
        </w:rPr>
        <w:t>interorgan</w:t>
      </w:r>
      <w:r w:rsidRPr="00DF2A48">
        <w:rPr>
          <w:color w:val="000000" w:themeColor="text1"/>
          <w:sz w:val="24"/>
          <w:szCs w:val="24"/>
        </w:rPr>
        <w:t xml:space="preserve"> serovar and to develop a metabolic profile of it using LC-MS based untargeted metabolomics.</w:t>
      </w:r>
    </w:p>
    <w:p w14:paraId="5BD1AC71" w14:textId="5BB5A798" w:rsidR="00DF2A48" w:rsidRPr="00DF2A48" w:rsidRDefault="00DF2A48" w:rsidP="001301EA">
      <w:pPr>
        <w:pStyle w:val="p1"/>
        <w:spacing w:line="360" w:lineRule="auto"/>
        <w:rPr>
          <w:b/>
          <w:bCs/>
          <w:color w:val="000000" w:themeColor="text1"/>
          <w:sz w:val="24"/>
          <w:szCs w:val="24"/>
        </w:rPr>
      </w:pPr>
      <w:r w:rsidRPr="00DF2A48">
        <w:rPr>
          <w:b/>
          <w:bCs/>
          <w:color w:val="000000" w:themeColor="text1"/>
          <w:sz w:val="24"/>
          <w:szCs w:val="24"/>
        </w:rPr>
        <w:t>Specific Aims</w:t>
      </w:r>
    </w:p>
    <w:p w14:paraId="15D1620A" w14:textId="77777777" w:rsidR="00DF2A48" w:rsidRPr="00DF2A48" w:rsidRDefault="00DF2A48" w:rsidP="001301EA">
      <w:pPr>
        <w:pStyle w:val="p1"/>
        <w:numPr>
          <w:ilvl w:val="0"/>
          <w:numId w:val="34"/>
        </w:numPr>
        <w:spacing w:line="360" w:lineRule="auto"/>
        <w:rPr>
          <w:color w:val="000000" w:themeColor="text1"/>
          <w:sz w:val="24"/>
          <w:szCs w:val="24"/>
        </w:rPr>
      </w:pPr>
      <w:r w:rsidRPr="00DF2A48">
        <w:rPr>
          <w:color w:val="000000" w:themeColor="text1"/>
          <w:sz w:val="24"/>
          <w:szCs w:val="24"/>
        </w:rPr>
        <w:t xml:space="preserve">Characterization of </w:t>
      </w:r>
      <w:proofErr w:type="spellStart"/>
      <w:r w:rsidRPr="00DF2A48">
        <w:rPr>
          <w:i/>
          <w:iCs/>
          <w:color w:val="000000" w:themeColor="text1"/>
          <w:sz w:val="24"/>
          <w:szCs w:val="24"/>
        </w:rPr>
        <w:t>leptospira</w:t>
      </w:r>
      <w:proofErr w:type="spellEnd"/>
      <w:r w:rsidRPr="00DF2A48">
        <w:rPr>
          <w:color w:val="000000" w:themeColor="text1"/>
          <w:sz w:val="24"/>
          <w:szCs w:val="24"/>
        </w:rPr>
        <w:t xml:space="preserve"> metabolic composition under two distinct media and at two temperatures condition to identify intracellular and extracellular metabolites. </w:t>
      </w:r>
    </w:p>
    <w:p w14:paraId="1CAADE32" w14:textId="77777777" w:rsidR="00DF2A48" w:rsidRPr="00DF2A48" w:rsidRDefault="00DF2A48" w:rsidP="001301EA">
      <w:pPr>
        <w:pStyle w:val="p1"/>
        <w:numPr>
          <w:ilvl w:val="0"/>
          <w:numId w:val="34"/>
        </w:numPr>
        <w:spacing w:line="360" w:lineRule="auto"/>
        <w:rPr>
          <w:color w:val="000000" w:themeColor="text1"/>
          <w:sz w:val="24"/>
          <w:szCs w:val="24"/>
        </w:rPr>
      </w:pPr>
      <w:r w:rsidRPr="00DF2A48">
        <w:rPr>
          <w:color w:val="000000" w:themeColor="text1"/>
          <w:sz w:val="24"/>
          <w:szCs w:val="24"/>
        </w:rPr>
        <w:t xml:space="preserve">Development of a global metabolomics profile for </w:t>
      </w:r>
      <w:proofErr w:type="spellStart"/>
      <w:r w:rsidRPr="00DF2A48">
        <w:rPr>
          <w:i/>
          <w:iCs/>
          <w:color w:val="000000" w:themeColor="text1"/>
          <w:sz w:val="24"/>
          <w:szCs w:val="24"/>
        </w:rPr>
        <w:t>leptospira</w:t>
      </w:r>
      <w:proofErr w:type="spellEnd"/>
      <w:r w:rsidRPr="00DF2A48">
        <w:rPr>
          <w:color w:val="000000" w:themeColor="text1"/>
          <w:sz w:val="24"/>
          <w:szCs w:val="24"/>
        </w:rPr>
        <w:t xml:space="preserve"> to inspect for potential biomarker for diagnosis of leptospirosis</w:t>
      </w:r>
      <w:r w:rsidRPr="00DF2A48">
        <w:rPr>
          <w:color w:val="000000" w:themeColor="text1"/>
        </w:rPr>
        <w:br w:type="page"/>
      </w:r>
    </w:p>
    <w:p w14:paraId="621ADF5B" w14:textId="77777777" w:rsidR="00DF2A48" w:rsidRPr="00DF2A48" w:rsidRDefault="00DF2A48" w:rsidP="00DF2A48">
      <w:pPr>
        <w:spacing w:line="360" w:lineRule="auto"/>
        <w:jc w:val="center"/>
        <w:rPr>
          <w:b/>
          <w:bCs/>
          <w:color w:val="000000" w:themeColor="text1"/>
        </w:rPr>
      </w:pPr>
      <w:r w:rsidRPr="00DF2A48">
        <w:rPr>
          <w:b/>
          <w:bCs/>
          <w:color w:val="000000" w:themeColor="text1"/>
        </w:rPr>
        <w:lastRenderedPageBreak/>
        <w:t>Chapter 2</w:t>
      </w:r>
    </w:p>
    <w:p w14:paraId="23CC8B61" w14:textId="29C32FB4" w:rsidR="00DF2A48" w:rsidRPr="00533017" w:rsidRDefault="00DF2A48" w:rsidP="00533017">
      <w:pPr>
        <w:spacing w:line="360" w:lineRule="auto"/>
        <w:jc w:val="center"/>
        <w:rPr>
          <w:b/>
          <w:bCs/>
          <w:color w:val="000000" w:themeColor="text1"/>
        </w:rPr>
      </w:pPr>
      <w:r w:rsidRPr="00DF2A48">
        <w:rPr>
          <w:b/>
          <w:bCs/>
          <w:color w:val="000000" w:themeColor="text1"/>
        </w:rPr>
        <w:t>Materials and Methods</w:t>
      </w:r>
    </w:p>
    <w:p w14:paraId="3603D801" w14:textId="3A70BF81" w:rsidR="004560CB" w:rsidRPr="00DF2A48" w:rsidRDefault="00DF2A48" w:rsidP="00DF2A48">
      <w:pPr>
        <w:spacing w:line="360" w:lineRule="auto"/>
        <w:rPr>
          <w:b/>
          <w:bCs/>
          <w:color w:val="000000" w:themeColor="text1"/>
        </w:rPr>
      </w:pPr>
      <w:r w:rsidRPr="00DF2A48">
        <w:rPr>
          <w:b/>
          <w:bCs/>
          <w:color w:val="000000" w:themeColor="text1"/>
        </w:rPr>
        <w:t>Sample Preparation</w:t>
      </w:r>
    </w:p>
    <w:p w14:paraId="40C95CEA" w14:textId="036ED548" w:rsidR="004560CB" w:rsidRPr="00DF2A48" w:rsidRDefault="00DF2A48" w:rsidP="002F04D4">
      <w:pPr>
        <w:pStyle w:val="p1"/>
        <w:spacing w:line="360" w:lineRule="auto"/>
        <w:rPr>
          <w:color w:val="000000" w:themeColor="text1"/>
          <w:sz w:val="24"/>
          <w:szCs w:val="24"/>
        </w:rPr>
      </w:pPr>
      <w:r w:rsidRPr="00DF2A48">
        <w:rPr>
          <w:iCs/>
          <w:color w:val="000000" w:themeColor="text1"/>
          <w:sz w:val="24"/>
          <w:szCs w:val="24"/>
        </w:rPr>
        <w:t xml:space="preserve">Pathogenic species </w:t>
      </w:r>
      <w:r w:rsidRPr="00DF2A48">
        <w:rPr>
          <w:i/>
          <w:color w:val="000000" w:themeColor="text1"/>
          <w:sz w:val="24"/>
          <w:szCs w:val="24"/>
        </w:rPr>
        <w:t xml:space="preserve">Leptospira </w:t>
      </w:r>
      <w:proofErr w:type="spellStart"/>
      <w:r w:rsidRPr="00DF2A48">
        <w:rPr>
          <w:i/>
          <w:color w:val="000000" w:themeColor="text1"/>
          <w:sz w:val="24"/>
          <w:szCs w:val="24"/>
        </w:rPr>
        <w:t>interrogans</w:t>
      </w:r>
      <w:proofErr w:type="spellEnd"/>
      <w:r w:rsidRPr="00DF2A48">
        <w:rPr>
          <w:i/>
          <w:color w:val="000000" w:themeColor="text1"/>
          <w:sz w:val="24"/>
          <w:szCs w:val="24"/>
        </w:rPr>
        <w:t xml:space="preserve"> </w:t>
      </w:r>
      <w:r w:rsidRPr="00DF2A48">
        <w:rPr>
          <w:color w:val="000000" w:themeColor="text1"/>
          <w:sz w:val="24"/>
          <w:szCs w:val="24"/>
        </w:rPr>
        <w:t xml:space="preserve">serovar </w:t>
      </w:r>
      <w:proofErr w:type="spellStart"/>
      <w:r w:rsidRPr="00DF2A48">
        <w:rPr>
          <w:color w:val="000000" w:themeColor="text1"/>
          <w:sz w:val="24"/>
          <w:szCs w:val="24"/>
        </w:rPr>
        <w:t>Copenhageni</w:t>
      </w:r>
      <w:proofErr w:type="spellEnd"/>
      <w:r w:rsidRPr="00DF2A48">
        <w:rPr>
          <w:color w:val="000000" w:themeColor="text1"/>
          <w:sz w:val="24"/>
          <w:szCs w:val="24"/>
        </w:rPr>
        <w:t xml:space="preserve"> strain </w:t>
      </w:r>
      <w:proofErr w:type="spellStart"/>
      <w:r w:rsidRPr="00DF2A48">
        <w:rPr>
          <w:color w:val="000000" w:themeColor="text1"/>
          <w:sz w:val="24"/>
          <w:szCs w:val="24"/>
        </w:rPr>
        <w:t>Fiocruz</w:t>
      </w:r>
      <w:proofErr w:type="spellEnd"/>
      <w:r w:rsidRPr="00DF2A48">
        <w:rPr>
          <w:color w:val="000000" w:themeColor="text1"/>
          <w:sz w:val="24"/>
          <w:szCs w:val="24"/>
        </w:rPr>
        <w:t xml:space="preserve"> L1-130 (kindly provided by Dr. Andre Grassmann, University of Connecticut) was grown in two different compositions of EMJH media (Ellinghausen and McCullough, 1965; Johnson and Harris, 1967). A commercial version of EMJH medium </w:t>
      </w:r>
      <w:r w:rsidRPr="008C0513">
        <w:rPr>
          <w:color w:val="000000" w:themeColor="text1"/>
          <w:sz w:val="24"/>
          <w:szCs w:val="24"/>
        </w:rPr>
        <w:t>(EMJH Difco)</w:t>
      </w:r>
      <w:r w:rsidRPr="00DF2A48">
        <w:rPr>
          <w:color w:val="000000" w:themeColor="text1"/>
          <w:sz w:val="24"/>
          <w:szCs w:val="24"/>
        </w:rPr>
        <w:t xml:space="preserve"> was prepared and supplemented with </w:t>
      </w:r>
      <w:r w:rsidRPr="00DF2A48">
        <w:rPr>
          <w:iCs/>
          <w:color w:val="000000" w:themeColor="text1"/>
          <w:sz w:val="24"/>
          <w:szCs w:val="24"/>
        </w:rPr>
        <w:t>Enrichment</w:t>
      </w:r>
      <w:r w:rsidRPr="00DF2A48">
        <w:rPr>
          <w:color w:val="000000" w:themeColor="text1"/>
          <w:sz w:val="24"/>
          <w:szCs w:val="24"/>
        </w:rPr>
        <w:t xml:space="preserve"> EMJH according to manufacturer’s instructions </w:t>
      </w:r>
      <w:r w:rsidRPr="008C0513">
        <w:rPr>
          <w:color w:val="000000" w:themeColor="text1"/>
          <w:sz w:val="24"/>
          <w:szCs w:val="24"/>
        </w:rPr>
        <w:t>(BD, NJ, US),</w:t>
      </w:r>
      <w:r w:rsidRPr="00DF2A48">
        <w:rPr>
          <w:color w:val="000000" w:themeColor="text1"/>
          <w:sz w:val="24"/>
          <w:szCs w:val="24"/>
        </w:rPr>
        <w:t xml:space="preserve"> and an In-house prepared EMJH medium (</w:t>
      </w:r>
      <w:r w:rsidRPr="008C0513">
        <w:rPr>
          <w:color w:val="000000" w:themeColor="text1"/>
          <w:sz w:val="24"/>
          <w:szCs w:val="24"/>
        </w:rPr>
        <w:t>EMJH in house)</w:t>
      </w:r>
      <w:r w:rsidRPr="00DF2A48">
        <w:rPr>
          <w:color w:val="000000" w:themeColor="text1"/>
          <w:sz w:val="24"/>
          <w:szCs w:val="24"/>
        </w:rPr>
        <w:t xml:space="preserve"> was prepared as previously described</w:t>
      </w:r>
      <w:r w:rsidRPr="00DF2A48">
        <w:rPr>
          <w:color w:val="000000" w:themeColor="text1"/>
          <w:sz w:val="24"/>
          <w:szCs w:val="24"/>
        </w:rPr>
        <w:fldChar w:fldCharType="begin" w:fldLock="1"/>
      </w:r>
      <w:r w:rsidR="00073673">
        <w:rPr>
          <w:color w:val="000000" w:themeColor="text1"/>
          <w:sz w:val="24"/>
          <w:szCs w:val="24"/>
        </w:rPr>
        <w:instrText>ADDIN CSL_CITATION {"citationItems":[{"id":"ITEM-1","itemData":{"DOI":"https://doi.org/10.1002/9780471729259.mc12e01s00","ISSN":"1934-8525","abstract":"Abstract Analysis of Leptospira requires use of specialized media for growth, maintenance, and storage of viable bacteria that can be used in experimental protocols in a predictable manner. However, pathogenic Leptospira are fastidious bacteria with unusual nutritional requirements. These problems make primary isolation, routine propagation, and storage of Leptospira difficult. Defined and complex media are available for routine growth of pathogenic Leptospira, and each medium has unique characteristics that favor the growth or isolation of some strains, while not supporting the growth of others. This unit will describe the preparation of Leptospira media and methods for isolation and storage of these bacteria.","author":[{"dropping-particle":"","family":"Zuerner","given":"Richard L","non-dropping-particle":"","parse-names":false,"suffix":""}],"container-title":"Current Protocols in Microbiology","id":"ITEM-1","issue":"1","issued":{"date-parts":[["2006","2","1"]]},"page":"12E.1.1-12E.1.13","publisher":"John Wiley &amp; Sons, Ltd","title":"Laboratory Maintenance of Pathogenic Leptospira","type":"article-journal","volume":"00"},"uris":["http://www.mendeley.com/documents/?uuid=07394f5f-5a52-4547-8719-28e119b49e2c"]}],"mendeley":{"formattedCitation":"&lt;sup&gt;49&lt;/sup&gt;","plainTextFormattedCitation":"49","previouslyFormattedCitation":"&lt;sup&gt;49&lt;/sup&gt;"},"properties":{"noteIndex":0},"schema":"https://github.com/citation-style-language/schema/raw/master/csl-citation.json"}</w:instrText>
      </w:r>
      <w:r w:rsidRPr="00DF2A48">
        <w:rPr>
          <w:color w:val="000000" w:themeColor="text1"/>
          <w:sz w:val="24"/>
          <w:szCs w:val="24"/>
        </w:rPr>
        <w:fldChar w:fldCharType="separate"/>
      </w:r>
      <w:r w:rsidR="001F530E" w:rsidRPr="001F530E">
        <w:rPr>
          <w:noProof/>
          <w:color w:val="000000" w:themeColor="text1"/>
          <w:sz w:val="24"/>
          <w:szCs w:val="24"/>
          <w:vertAlign w:val="superscript"/>
        </w:rPr>
        <w:t>49</w:t>
      </w:r>
      <w:r w:rsidRPr="00DF2A48">
        <w:rPr>
          <w:color w:val="000000" w:themeColor="text1"/>
          <w:sz w:val="24"/>
          <w:szCs w:val="24"/>
        </w:rPr>
        <w:fldChar w:fldCharType="end"/>
      </w:r>
      <w:r w:rsidRPr="00DF2A48">
        <w:rPr>
          <w:color w:val="000000" w:themeColor="text1"/>
          <w:sz w:val="24"/>
          <w:szCs w:val="24"/>
          <w:vertAlign w:val="superscript"/>
        </w:rPr>
        <w:t>,</w:t>
      </w:r>
      <w:r w:rsidRPr="00DF2A48">
        <w:rPr>
          <w:color w:val="000000" w:themeColor="text1"/>
          <w:sz w:val="24"/>
          <w:szCs w:val="24"/>
        </w:rPr>
        <w:fldChar w:fldCharType="begin" w:fldLock="1"/>
      </w:r>
      <w:r w:rsidR="00073673">
        <w:rPr>
          <w:color w:val="000000" w:themeColor="text1"/>
          <w:sz w:val="24"/>
          <w:szCs w:val="24"/>
        </w:rPr>
        <w:instrText>ADDIN CSL_CITATION {"citationItems":[{"id":"ITEM-1","itemData":{"DOI":"10.3389/fcimb.2017.00362","ISSN":"22352988","PMID":"28848720","abstract":"Pathogenic species of Leptospira cause leptospirosis, a bacterial zoonotic disease with a global distribution affecting over one million people annually. Reservoir hosts of leptospirosis, including rodents, dogs, and cattle, exhibit little to no signs of disease but shed large numbers of organisms in their urine. Transmission occurs when mucosal surfaces or abraded skin come into contact with infected urine or urine-contaminated water or soil. Whilst little is known about how Leptospira adapt to and persist within a reservoir host, in vitro studies suggest that leptospires alter their transcriptomic and proteomic profiles in response to environmental signals encountered during mammalian infection. We applied the dialysis membrane chamber (DMC) peritoneal implant model to compare the whole cell proteome of in vivo derived leptospires with that of leptospires cultivated in vitro at 30°C and 37°C by 2-dimensional difference in-gel electrophoresis (2-D DIGE). Of 1,735 protein spots aligned across 9 2-D DIGE gels, 202 protein spots were differentially expressed (p &lt; 0.05, fold change &gt; 1.25 or &lt; -1.25) across all three conditions. Differentially expressed proteins were excised for identification by mass spectrometry. Data are available via ProteomeXchange with identifier PXD006995. The greatest differences were detected when DMC-cultivated leptospires were compared with IV30- or IV37-cultivated leptospires, including the increased expression of multiple isoforms of Loa22, a known virulence factor. Unexpectedly, 20 protein isoforms of LipL32 and 7 isoforms of LipL41 were uniformly identified by DIGE as differentially expressed, suggesting that unique post-translational modifications (PTMs) are operative in response to mammalian host conditions. To test this hypothesis, a rat model of persistent renal colonization was used to isolate leptospires directly from the urine of experimentally infected rats. Comparison of urinary derived leptospires to IV30 leptospires by 2-D immunoblotting confirmed that modification of proteins with trimethyllysine and acetyllysine occurs to a different degree in response to mammalian host signals encountered during persistent renal colonization. These results provide novel insights into differential protein and PTMs present in response to mammalian host signals which can be used to further define the unique equilibrium that exists between pathogenic leptospires and their reservoir host of infection.","author":[{"dropping-particle":"","family":"Nally","given":"Jarlath E.","non-dropping-particle":"","parse-names":false,"suffix":""},{"dropping-particle":"","family":"Grassmann","given":"Andre A.","non-dropping-particle":"","parse-names":false,"suffix":""},{"dropping-particle":"","family":"Planchon","given":"Sébastien","non-dropping-particle":"","parse-names":false,"suffix":""},{"dropping-particle":"","family":"Sergeant","given":"Kjell","non-dropping-particle":"","parse-names":false,"suffix":""},{"dropping-particle":"","family":"Renaut","given":"Jenny","non-dropping-particle":"","parse-names":false,"suffix":""},{"dropping-particle":"","family":"Seshu","given":"Janakiram","non-dropping-particle":"","parse-names":false,"suffix":""},{"dropping-particle":"","family":"McBride","given":"Alan J.","non-dropping-particle":"","parse-names":false,"suffix":""},{"dropping-particle":"","family":"Caimano","given":"Melissa J.","non-dropping-particle":"","parse-names":false,"suffix":""}],"container-title":"Front Cell Infect Microbiol","id":"ITEM-1","issue":"AUG","issued":{"date-parts":[["2017","8","9"]]},"page":"362","publisher":"Frontiers Media S.A.","title":"Pathogenic Leptospires Modulate Protein Expression and Post-translational Modifications in Response to Mammalian Host Signals","type":"article-journal","volume":"7"},"uris":["http://www.mendeley.com/documents/?uuid=41fbe5d5-04fb-3b82-9656-6dd305952af9"]}],"mendeley":{"formattedCitation":"&lt;sup&gt;50&lt;/sup&gt;","plainTextFormattedCitation":"50","previouslyFormattedCitation":"&lt;sup&gt;50&lt;/sup&gt;"},"properties":{"noteIndex":0},"schema":"https://github.com/citation-style-language/schema/raw/master/csl-citation.json"}</w:instrText>
      </w:r>
      <w:r w:rsidRPr="00DF2A48">
        <w:rPr>
          <w:color w:val="000000" w:themeColor="text1"/>
          <w:sz w:val="24"/>
          <w:szCs w:val="24"/>
        </w:rPr>
        <w:fldChar w:fldCharType="separate"/>
      </w:r>
      <w:r w:rsidR="001F530E" w:rsidRPr="001F530E">
        <w:rPr>
          <w:noProof/>
          <w:color w:val="000000" w:themeColor="text1"/>
          <w:sz w:val="24"/>
          <w:szCs w:val="24"/>
          <w:vertAlign w:val="superscript"/>
        </w:rPr>
        <w:t>50</w:t>
      </w:r>
      <w:r w:rsidRPr="00DF2A48">
        <w:rPr>
          <w:color w:val="000000" w:themeColor="text1"/>
          <w:sz w:val="24"/>
          <w:szCs w:val="24"/>
        </w:rPr>
        <w:fldChar w:fldCharType="end"/>
      </w:r>
      <w:r w:rsidRPr="00DF2A48">
        <w:rPr>
          <w:color w:val="000000" w:themeColor="text1"/>
          <w:sz w:val="24"/>
          <w:szCs w:val="24"/>
        </w:rPr>
        <w:t xml:space="preserve">. </w:t>
      </w:r>
      <w:r w:rsidRPr="00DF2A48">
        <w:rPr>
          <w:i/>
          <w:iCs/>
          <w:color w:val="000000" w:themeColor="text1"/>
          <w:sz w:val="24"/>
          <w:szCs w:val="24"/>
        </w:rPr>
        <w:t xml:space="preserve">Leptospira </w:t>
      </w:r>
      <w:r w:rsidRPr="00DF2A48">
        <w:rPr>
          <w:color w:val="000000" w:themeColor="text1"/>
          <w:sz w:val="24"/>
          <w:szCs w:val="24"/>
        </w:rPr>
        <w:t>inoculum containing 10</w:t>
      </w:r>
      <w:r w:rsidRPr="00DF2A48">
        <w:rPr>
          <w:color w:val="000000" w:themeColor="text1"/>
          <w:sz w:val="24"/>
          <w:szCs w:val="24"/>
          <w:vertAlign w:val="superscript"/>
        </w:rPr>
        <w:t>5</w:t>
      </w:r>
      <w:r w:rsidRPr="00DF2A48">
        <w:rPr>
          <w:i/>
          <w:iCs/>
          <w:color w:val="000000" w:themeColor="text1"/>
          <w:sz w:val="24"/>
          <w:szCs w:val="24"/>
        </w:rPr>
        <w:t xml:space="preserve"> </w:t>
      </w:r>
      <w:r w:rsidRPr="00DF2A48">
        <w:rPr>
          <w:color w:val="000000" w:themeColor="text1"/>
          <w:sz w:val="24"/>
          <w:szCs w:val="24"/>
        </w:rPr>
        <w:t xml:space="preserve">/ml was added to 4.5 ml of each medium and incubated at 28°C or 37°C until it reached the mid-log phase of growth. Intact and motile </w:t>
      </w:r>
      <w:r w:rsidRPr="00DF2A48">
        <w:rPr>
          <w:i/>
          <w:iCs/>
          <w:color w:val="000000" w:themeColor="text1"/>
          <w:sz w:val="24"/>
          <w:szCs w:val="24"/>
        </w:rPr>
        <w:t xml:space="preserve">Leptospira </w:t>
      </w:r>
      <w:r w:rsidRPr="00DF2A48">
        <w:rPr>
          <w:color w:val="000000" w:themeColor="text1"/>
          <w:sz w:val="24"/>
          <w:szCs w:val="24"/>
        </w:rPr>
        <w:t>were enumerated daily for 14 days using the Petroff-Hauser chamber under dark-field microscopy. The cultures were also evaluated to confirm the absence of visible contamination, cell degradation, or any atypical motility. At the end of the incubation, 3 ml of each culture</w:t>
      </w:r>
      <w:r w:rsidRPr="00DF2A48">
        <w:rPr>
          <w:i/>
          <w:color w:val="000000" w:themeColor="text1"/>
          <w:sz w:val="24"/>
          <w:szCs w:val="24"/>
        </w:rPr>
        <w:t xml:space="preserve"> </w:t>
      </w:r>
      <w:r w:rsidRPr="00DF2A48">
        <w:rPr>
          <w:color w:val="000000" w:themeColor="text1"/>
          <w:sz w:val="24"/>
          <w:szCs w:val="24"/>
        </w:rPr>
        <w:t xml:space="preserve">was centrifuged at 10000 </w:t>
      </w:r>
      <w:proofErr w:type="spellStart"/>
      <w:r w:rsidRPr="00DF2A48">
        <w:rPr>
          <w:i/>
          <w:color w:val="000000" w:themeColor="text1"/>
          <w:sz w:val="24"/>
          <w:szCs w:val="24"/>
        </w:rPr>
        <w:t>xg</w:t>
      </w:r>
      <w:proofErr w:type="spellEnd"/>
      <w:r w:rsidRPr="00DF2A48">
        <w:rPr>
          <w:color w:val="000000" w:themeColor="text1"/>
          <w:sz w:val="24"/>
          <w:szCs w:val="24"/>
        </w:rPr>
        <w:t xml:space="preserve"> for 10 minutes at room temperature. The supernatants were collected, and the pellets were washed twice with 1 mL of nuclease-free water (</w:t>
      </w:r>
      <w:proofErr w:type="spellStart"/>
      <w:r w:rsidRPr="00DF2A48">
        <w:rPr>
          <w:color w:val="000000" w:themeColor="text1"/>
          <w:sz w:val="24"/>
          <w:szCs w:val="24"/>
        </w:rPr>
        <w:t>Thermo</w:t>
      </w:r>
      <w:proofErr w:type="spellEnd"/>
      <w:r w:rsidRPr="00DF2A48">
        <w:rPr>
          <w:color w:val="000000" w:themeColor="text1"/>
          <w:sz w:val="24"/>
          <w:szCs w:val="24"/>
        </w:rPr>
        <w:t xml:space="preserve"> Scientific, MA, US). The uninoculated media was used as negative control for all analyses. All samples were frozen and stored in liquid nitrogen until processed for metabolomic analysis. Two independent experiments with three technical replicates were performed.</w:t>
      </w:r>
    </w:p>
    <w:p w14:paraId="407C755A" w14:textId="4DF8DC15" w:rsidR="004560CB" w:rsidRPr="001301EA" w:rsidRDefault="00DF2A48" w:rsidP="00DF2A48">
      <w:pPr>
        <w:pStyle w:val="p1"/>
        <w:spacing w:line="360" w:lineRule="auto"/>
        <w:jc w:val="both"/>
        <w:rPr>
          <w:b/>
          <w:bCs/>
          <w:color w:val="000000" w:themeColor="text1"/>
          <w:sz w:val="24"/>
          <w:szCs w:val="24"/>
        </w:rPr>
      </w:pPr>
      <w:r w:rsidRPr="00DF2A48">
        <w:rPr>
          <w:b/>
          <w:bCs/>
          <w:color w:val="000000" w:themeColor="text1"/>
          <w:sz w:val="24"/>
          <w:szCs w:val="24"/>
        </w:rPr>
        <w:t xml:space="preserve">Metabolomics extraction </w:t>
      </w:r>
    </w:p>
    <w:p w14:paraId="5CADC772" w14:textId="349089DC" w:rsidR="00AF2419" w:rsidRDefault="00DF2A48" w:rsidP="002F04D4">
      <w:pPr>
        <w:spacing w:line="360" w:lineRule="auto"/>
        <w:rPr>
          <w:color w:val="000000" w:themeColor="text1"/>
          <w:shd w:val="clear" w:color="auto" w:fill="FFFFFF"/>
        </w:rPr>
      </w:pPr>
      <w:r w:rsidRPr="00DF2A48">
        <w:rPr>
          <w:color w:val="000000" w:themeColor="text1"/>
          <w:shd w:val="clear" w:color="auto" w:fill="FFFFFF"/>
        </w:rPr>
        <w:t xml:space="preserve">Samples were stored at 4°C throughout the metabolomic extraction process. Using an acidic acetonitrile extraction method modified from Rabinowitz and Kimball [33], water-soluble metabolites were extracted. In short, 1.3 mL of 4:4:2 acetonitrile: methanol: water with 0.1 M formic acid was used to extract metabolites from the aliquoted samples. Every solvent was of HPLC quality. After being combined with the extraction solvent, the samples were stored at -20°C for 20 minutes. The mixture was then centrifuged for five minutes, and the supernatant was gathered. The supernatant was collected and mixed with the previously collected supernatant after a further 20 minutes at -20°C and 5 minutes of centrifugation. Each sample's supernatant </w:t>
      </w:r>
      <w:r w:rsidR="00FD7C17" w:rsidRPr="00DF2A48">
        <w:rPr>
          <w:color w:val="000000" w:themeColor="text1"/>
          <w:shd w:val="clear" w:color="auto" w:fill="FFFFFF"/>
        </w:rPr>
        <w:t>was</w:t>
      </w:r>
      <w:r w:rsidRPr="00DF2A48">
        <w:rPr>
          <w:color w:val="000000" w:themeColor="text1"/>
          <w:shd w:val="clear" w:color="auto" w:fill="FFFFFF"/>
        </w:rPr>
        <w:t xml:space="preserve"> dried using pure nitrogen. After drying, each sample was prepared for mass spectrum analysis by adding 300 µL of LC-MS-grade water.</w:t>
      </w:r>
    </w:p>
    <w:p w14:paraId="28058468" w14:textId="77777777" w:rsidR="00AF2419" w:rsidRDefault="00AF2419">
      <w:pPr>
        <w:rPr>
          <w:color w:val="000000" w:themeColor="text1"/>
          <w:shd w:val="clear" w:color="auto" w:fill="FFFFFF"/>
        </w:rPr>
      </w:pPr>
      <w:r>
        <w:rPr>
          <w:color w:val="000000" w:themeColor="text1"/>
          <w:shd w:val="clear" w:color="auto" w:fill="FFFFFF"/>
        </w:rPr>
        <w:br w:type="page"/>
      </w:r>
    </w:p>
    <w:p w14:paraId="2C4E3828" w14:textId="77777777" w:rsidR="00AF2419" w:rsidRDefault="00DF2A48" w:rsidP="007E2377">
      <w:pPr>
        <w:spacing w:line="360" w:lineRule="auto"/>
        <w:rPr>
          <w:color w:val="000000" w:themeColor="text1"/>
          <w:shd w:val="clear" w:color="auto" w:fill="FFFFFF"/>
        </w:rPr>
      </w:pPr>
      <w:r w:rsidRPr="00DF2A48">
        <w:rPr>
          <w:b/>
          <w:bCs/>
          <w:color w:val="000000" w:themeColor="text1"/>
        </w:rPr>
        <w:lastRenderedPageBreak/>
        <w:t xml:space="preserve">Metabolomics data acquisition (HPLC) </w:t>
      </w:r>
    </w:p>
    <w:p w14:paraId="3B09023B" w14:textId="1BCD4148" w:rsidR="004560CB" w:rsidRPr="00AF2419" w:rsidRDefault="00DF2A48" w:rsidP="007E2377">
      <w:pPr>
        <w:spacing w:line="360" w:lineRule="auto"/>
        <w:rPr>
          <w:color w:val="000000" w:themeColor="text1"/>
          <w:shd w:val="clear" w:color="auto" w:fill="FFFFFF"/>
        </w:rPr>
      </w:pPr>
      <w:r w:rsidRPr="00DF2A48">
        <w:rPr>
          <w:color w:val="000000" w:themeColor="text1"/>
        </w:rPr>
        <w:t>Global metabolomic analysis was conducted using a previously reported ultra high-performance liquid chromatography—high resolution mass spectrometry (UHPLC-HRMS) approach.</w:t>
      </w:r>
      <w:r w:rsidRPr="00DF2A48">
        <w:rPr>
          <w:color w:val="000000" w:themeColor="text1"/>
        </w:rPr>
        <w:fldChar w:fldCharType="begin" w:fldLock="1"/>
      </w:r>
      <w:r w:rsidR="00073673">
        <w:rPr>
          <w:color w:val="000000" w:themeColor="text1"/>
        </w:rPr>
        <w:instrText>ADDIN CSL_CITATION {"citationItems":[{"id":"ITEM-1","itemData":{"DOI":"10.1021/AC902837X/SUPPL_FILE/AC902837X_SI_001.PDF","ISSN":"00032700","PMID":"20349993","abstract":"We present a liquid chromatography?mass spectrometry (LC?MS) method that capitalizes on the mass-resolving power of the orbitrap to enable sensitive and specific measurement of known and unanticipated metabolites in parallel, with a focus on water-soluble species involved in core metabolism. The reversed phase LC method, with a cycle time 25 min, involves a water?methanol gradient on a C18 column with tributylamine as the ion pairing agent. The MS portion involves full scans from 85 to 1000 m/z at 1 Hz and 100?000 resolution in negative ion mode on a stand alone orbitrap (\"Exactive\"). The median limit of detection, across 80 metabolite standards, was 5 ng/mL with the linear range typically ≥100-fold. For both standards and a cellular extract from Saccharomyces cerevisiae (Bakers yeast), the median inter-run relative standard deviation in peak intensity was 8%. In yeast exact, we detected 137 known compounds, whose 13C-labeling patterns could also be tracked to probe metabolic flux. In yeast engineered to lack a gene of unknown function (YKL215C), we observed accumulation of an ion of m/z 128.0351, which we subsequently confirmed to be oxoproline, resulting in annotation of YKL215C as an oxoprolinase. These examples demonstrate the suitability of the present method for quantitative metabolomics, fluxomics, and discovery metabolite profiling. © 2010 American Chemical Society.","author":[{"dropping-particle":"","family":"Lu","given":"Wenyun","non-dropping-particle":"","parse-names":false,"suffix":""},{"dropping-particle":"","family":"Clasquin","given":"Michelle F.","non-dropping-particle":"","parse-names":false,"suffix":""},{"dropping-particle":"","family":"Melamud","given":"Eugene","non-dropping-particle":"","parse-names":false,"suffix":""},{"dropping-particle":"","family":"Amador-Noguez","given":"Daniel","non-dropping-particle":"","parse-names":false,"suffix":""},{"dropping-particle":"","family":"Caudy","given":"Amy A.","non-dropping-particle":"","parse-names":false,"suffix":""},{"dropping-particle":"","family":"Rabinowitz","given":"Joshua D.","non-dropping-particle":"","parse-names":false,"suffix":""}],"container-title":"Analytical Chemistry","id":"ITEM-1","issue":"8","issued":{"date-parts":[["2010","4","15"]]},"page":"3212-3221","publisher":" American Chemical Society","title":"Metabolomic analysis via reversed-phase ion-pairing liquid chromatography coupled to a stand alone orbitrap mass spectrometer","type":"article-journal","volume":"82"},"uris":["http://www.mendeley.com/documents/?uuid=477eaa74-82de-3532-8563-69868fe4b726"]}],"mendeley":{"formattedCitation":"&lt;sup&gt;51&lt;/sup&gt;","plainTextFormattedCitation":"51","previouslyFormattedCitation":"&lt;sup&gt;51&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51</w:t>
      </w:r>
      <w:r w:rsidRPr="00DF2A48">
        <w:rPr>
          <w:color w:val="000000" w:themeColor="text1"/>
        </w:rPr>
        <w:fldChar w:fldCharType="end"/>
      </w:r>
      <w:r w:rsidRPr="00DF2A48">
        <w:rPr>
          <w:color w:val="000000" w:themeColor="text1"/>
        </w:rPr>
        <w:t xml:space="preserve"> Metabolites were stored in an </w:t>
      </w:r>
      <w:proofErr w:type="spellStart"/>
      <w:r w:rsidRPr="00DF2A48">
        <w:rPr>
          <w:color w:val="000000" w:themeColor="text1"/>
        </w:rPr>
        <w:t>UltiMate</w:t>
      </w:r>
      <w:proofErr w:type="spellEnd"/>
      <w:r w:rsidRPr="00DF2A48">
        <w:rPr>
          <w:color w:val="000000" w:themeColor="text1"/>
        </w:rPr>
        <w:t xml:space="preserve"> 3000 RS autosampler (</w:t>
      </w:r>
      <w:proofErr w:type="spellStart"/>
      <w:r w:rsidRPr="00DF2A48">
        <w:rPr>
          <w:color w:val="000000" w:themeColor="text1"/>
        </w:rPr>
        <w:t>Dionex</w:t>
      </w:r>
      <w:proofErr w:type="spellEnd"/>
      <w:r w:rsidRPr="00DF2A48">
        <w:rPr>
          <w:color w:val="000000" w:themeColor="text1"/>
        </w:rPr>
        <w:t xml:space="preserve">, Sunnyvale, CA, USA) at 4 °C before analysis. A tributylamine ion pairing reagent, a </w:t>
      </w:r>
      <w:proofErr w:type="spellStart"/>
      <w:r w:rsidRPr="00DF2A48">
        <w:rPr>
          <w:color w:val="000000" w:themeColor="text1"/>
        </w:rPr>
        <w:t>Synergi</w:t>
      </w:r>
      <w:proofErr w:type="spellEnd"/>
      <w:r w:rsidRPr="00DF2A48">
        <w:rPr>
          <w:color w:val="000000" w:themeColor="text1"/>
        </w:rPr>
        <w:t xml:space="preserve"> 2.6 µm Hydro RP column (100 mm × 2.1 mm, 100 Å; Phenomenex, Torrance, CA, USA), an </w:t>
      </w:r>
      <w:proofErr w:type="spellStart"/>
      <w:r w:rsidRPr="00DF2A48">
        <w:rPr>
          <w:color w:val="000000" w:themeColor="text1"/>
        </w:rPr>
        <w:t>UltiMate</w:t>
      </w:r>
      <w:proofErr w:type="spellEnd"/>
      <w:r w:rsidRPr="00DF2A48">
        <w:rPr>
          <w:color w:val="000000" w:themeColor="text1"/>
        </w:rPr>
        <w:t xml:space="preserve"> 3000 pump (</w:t>
      </w:r>
      <w:proofErr w:type="spellStart"/>
      <w:r w:rsidRPr="00DF2A48">
        <w:rPr>
          <w:color w:val="000000" w:themeColor="text1"/>
        </w:rPr>
        <w:t>Dionex</w:t>
      </w:r>
      <w:proofErr w:type="spellEnd"/>
      <w:r w:rsidRPr="00DF2A48">
        <w:rPr>
          <w:color w:val="000000" w:themeColor="text1"/>
        </w:rPr>
        <w:t xml:space="preserve">), a previously described 25 min gradient elution, and a reverse phase ion-paring method were used to achieve chromatographic separation. Before performing a full scan mass spectral analysis using an </w:t>
      </w:r>
      <w:proofErr w:type="spellStart"/>
      <w:r w:rsidRPr="00DF2A48">
        <w:rPr>
          <w:color w:val="000000" w:themeColor="text1"/>
        </w:rPr>
        <w:t>Exactive</w:t>
      </w:r>
      <w:proofErr w:type="spellEnd"/>
      <w:r w:rsidRPr="00DF2A48">
        <w:rPr>
          <w:color w:val="000000" w:themeColor="text1"/>
        </w:rPr>
        <w:t xml:space="preserve"> Plus Orbitrap mass spectrometer (</w:t>
      </w:r>
      <w:proofErr w:type="spellStart"/>
      <w:r w:rsidRPr="00DF2A48">
        <w:rPr>
          <w:color w:val="000000" w:themeColor="text1"/>
        </w:rPr>
        <w:t>Thermo</w:t>
      </w:r>
      <w:proofErr w:type="spellEnd"/>
      <w:r w:rsidRPr="00DF2A48">
        <w:rPr>
          <w:color w:val="000000" w:themeColor="text1"/>
        </w:rPr>
        <w:t xml:space="preserve"> Fisher Scientific, Waltham, MA, USA)</w:t>
      </w:r>
      <w:r w:rsidRPr="00DF2A48">
        <w:rPr>
          <w:color w:val="000000" w:themeColor="text1"/>
        </w:rPr>
        <w:fldChar w:fldCharType="begin" w:fldLock="1"/>
      </w:r>
      <w:r w:rsidR="00073673">
        <w:rPr>
          <w:color w:val="000000" w:themeColor="text1"/>
        </w:rPr>
        <w:instrText>ADDIN CSL_CITATION {"citationItems":[{"id":"ITEM-1","itemData":{"DOI":"10.15698/mic2018.02.613","ISSN":"2311-2638 (Print)","PMID":"29417056","abstract":"In Salmonella enterica, aminoimidazole carboxamide ribotide (AICAR) is a purine  biosynthetic intermediate and a substrate of the AICAR transformylase/IMP cyclohydrolase (PurH) enzyme. When purH is eliminated in an otherwise wild-type strain, AICAR accumulates and indirectly inhibits synthesis of the essential coenzyme thiamine pyrophosphate (TPP). In this study, untargeted metabolomics approaches were used to i) corroborate previously defined metabolite changes, ii) define the global consequences of AICAR accumulation and iii) investigate the metabolic effects of mutations that restore thiamine prototrophy to a purH mutant. The data showed that AICAR accumulation led to an increase in the global regulator cyclic AMP (cAMP) and that disrupting central carbon metabolism could decrease AICAR and/or cAMP to restore thiamine synthesis. A mutant (icc) blocked in cAMP degradation that accumulated cAMP but had wild-type levels of AICAR was used to identify changes in the purH metabolome that were a direct result of elevated cAMP. Data herein describe the use of metabolomics to identify the metabolic state of mutant strains and probe the underlying mechanisms used by AICAR to inhibit thiamine synthesis. The results obtained provide a cautionary tale of using metabolite concentrations as the only data to define the physiological state of a bacterial cell.","author":[{"dropping-particle":"V","family":"Bazurto","given":"Jannell","non-dropping-particle":"","parse-names":false,"suffix":""},{"dropping-particle":"","family":"Dearth","given":"Stephen P","non-dropping-particle":"","parse-names":false,"suffix":""},{"dropping-particle":"","family":"Tague","given":"Eric D","non-dropping-particle":"","parse-names":false,"suffix":""},{"dropping-particle":"","family":"Campagna","given":"Shawn R","non-dropping-particle":"","parse-names":false,"suffix":""},{"dropping-particle":"","family":"Downs","given":"Diana M","non-dropping-particle":"","parse-names":false,"suffix":""}],"container-title":"Microbial cell (Graz, Austria)","id":"ITEM-1","issue":"2","issued":{"date-parts":[["2017","11"]]},"language":"eng","page":"74-87","publisher-place":"Austria","title":"Untargeted metabolomics confirms and extends the understanding of the impact of  aminoimidazole carboxamide ribotide (AICAR) in the metabolic network of Salmonella enterica.","type":"article-journal","volume":"5"},"uris":["http://www.mendeley.com/documents/?uuid=45678d6f-c2ca-4595-b0f2-0b136a86f34e"]}],"mendeley":{"formattedCitation":"&lt;sup&gt;52&lt;/sup&gt;","plainTextFormattedCitation":"52","previouslyFormattedCitation":"&lt;sup&gt;52&lt;/sup&gt;"},"properties":{"noteIndex":0},"schema":"https://github.com/citation-style-language/schema/raw/master/csl-citation.json"}</w:instrText>
      </w:r>
      <w:r w:rsidRPr="00DF2A48">
        <w:rPr>
          <w:color w:val="000000" w:themeColor="text1"/>
        </w:rPr>
        <w:fldChar w:fldCharType="separate"/>
      </w:r>
      <w:r w:rsidR="001F530E" w:rsidRPr="001F530E">
        <w:rPr>
          <w:noProof/>
          <w:color w:val="000000" w:themeColor="text1"/>
          <w:vertAlign w:val="superscript"/>
        </w:rPr>
        <w:t>52</w:t>
      </w:r>
      <w:r w:rsidRPr="00DF2A48">
        <w:rPr>
          <w:color w:val="000000" w:themeColor="text1"/>
        </w:rPr>
        <w:fldChar w:fldCharType="end"/>
      </w:r>
      <w:r w:rsidRPr="00DF2A48">
        <w:rPr>
          <w:color w:val="000000" w:themeColor="text1"/>
        </w:rPr>
        <w:t xml:space="preserve">, the metabolites in the chromatographic eluent were first ionized using negative mode electrospray ionization (ESI), as previously mentioned </w:t>
      </w:r>
    </w:p>
    <w:p w14:paraId="5F5618C9" w14:textId="77777777" w:rsidR="00AF2419" w:rsidRDefault="00DF2A48" w:rsidP="007E2377">
      <w:pPr>
        <w:spacing w:line="360" w:lineRule="auto"/>
        <w:outlineLvl w:val="2"/>
        <w:rPr>
          <w:b/>
          <w:bCs/>
          <w:color w:val="000000" w:themeColor="text1"/>
        </w:rPr>
      </w:pPr>
      <w:r w:rsidRPr="00DF2A48">
        <w:rPr>
          <w:b/>
          <w:bCs/>
          <w:color w:val="000000" w:themeColor="text1"/>
        </w:rPr>
        <w:t>Metabolomics Data Processing</w:t>
      </w:r>
    </w:p>
    <w:p w14:paraId="1F5F38BD" w14:textId="5DF37180" w:rsidR="00DF2A48" w:rsidRPr="00AF2419" w:rsidRDefault="00DF2A48" w:rsidP="007E2377">
      <w:pPr>
        <w:spacing w:line="360" w:lineRule="auto"/>
        <w:outlineLvl w:val="2"/>
        <w:rPr>
          <w:b/>
          <w:bCs/>
          <w:color w:val="000000" w:themeColor="text1"/>
        </w:rPr>
      </w:pPr>
      <w:r w:rsidRPr="00DF2A48">
        <w:rPr>
          <w:color w:val="000000" w:themeColor="text1"/>
          <w:shd w:val="clear" w:color="auto" w:fill="FFFFFF"/>
        </w:rPr>
        <w:t xml:space="preserve">Raw mass spectral files were converted to </w:t>
      </w:r>
      <w:proofErr w:type="spellStart"/>
      <w:r w:rsidRPr="00DF2A48">
        <w:rPr>
          <w:color w:val="000000" w:themeColor="text1"/>
          <w:shd w:val="clear" w:color="auto" w:fill="FFFFFF"/>
        </w:rPr>
        <w:t>mzML</w:t>
      </w:r>
      <w:proofErr w:type="spellEnd"/>
      <w:r w:rsidRPr="00DF2A48">
        <w:rPr>
          <w:color w:val="000000" w:themeColor="text1"/>
          <w:shd w:val="clear" w:color="auto" w:fill="FFFFFF"/>
        </w:rPr>
        <w:t xml:space="preserve"> files using the </w:t>
      </w:r>
      <w:proofErr w:type="spellStart"/>
      <w:r w:rsidRPr="00DF2A48">
        <w:rPr>
          <w:color w:val="000000" w:themeColor="text1"/>
          <w:shd w:val="clear" w:color="auto" w:fill="FFFFFF"/>
        </w:rPr>
        <w:t>msConverter</w:t>
      </w:r>
      <w:proofErr w:type="spellEnd"/>
      <w:r w:rsidRPr="00DF2A48">
        <w:rPr>
          <w:color w:val="000000" w:themeColor="text1"/>
          <w:shd w:val="clear" w:color="auto" w:fill="FFFFFF"/>
        </w:rPr>
        <w:t xml:space="preserve"> package from ProteoWizard</w:t>
      </w:r>
      <w:r w:rsidRPr="00DF2A48">
        <w:rPr>
          <w:color w:val="000000" w:themeColor="text1"/>
          <w:shd w:val="clear" w:color="auto" w:fill="FFFFFF"/>
        </w:rPr>
        <w:fldChar w:fldCharType="begin" w:fldLock="1"/>
      </w:r>
      <w:r w:rsidR="00073673">
        <w:rPr>
          <w:color w:val="000000" w:themeColor="text1"/>
          <w:shd w:val="clear" w:color="auto" w:fill="FFFFFF"/>
        </w:rPr>
        <w:instrText>ADDIN CSL_CITATION {"citationItems":[{"id":"ITEM-1","itemData":{"DOI":"10.1074/mcp.R110.000133","ISSN":"15359476","PMID":"20716697","abstract":"Mass spectrometry is a fundamental tool for discovery and analysis in the life sciences. With the rapid advances in mass spectrometry technology and methods, it has become imperative to provide a standard output format for mass spectrometry data that will facilitate data sharing and analysis. Initially, the efforts to develop a standard format for mass spectrometry data resulted in multiple formats, each designed with a different underlying philosophy. To resolve the issues associated with having multiple formats, vendors, researchers, and software developers convened under the banner of the HUPO PSI to develop a single standard. The new data format incorporated many of the desirable technical attributes from the previous data formats, while adding a number of improvements, including features such as a controlled vocabulary with validation tools to ensure consistent usage of the format, improved support for selected reaction monitoring data, and immediately available implementations to facilitate rapid adoption by the community. The resulting standard data format, mzML, is a well tested open-source format for mass spectrometer output files that can be readily utilized by the community and easily adapted for incremental advances in mass spectrometry technology. © 2011 by The American Society for Biochemistry and Molecular Biology, Inc.","author":[{"dropping-particle":"","family":"Martens","given":"Lennart","non-dropping-particle":"","parse-names":false,"suffix":""},{"dropping-particle":"","family":"Chambers","given":"Matthew","non-dropping-particle":"","parse-names":false,"suffix":""},{"dropping-particle":"","family":"Sturm","given":"Marc","non-dropping-particle":"","parse-names":false,"suffix":""},{"dropping-particle":"","family":"Kessner","given":"Darren","non-dropping-particle":"","parse-names":false,"suffix":""},{"dropping-particle":"","family":"Levander","given":"Fredrik","non-dropping-particle":"","parse-names":false,"suffix":""},{"dropping-particle":"","family":"Shofstahl","given":"Jim","non-dropping-particle":"","parse-names":false,"suffix":""},{"dropping-particle":"","family":"Tang","given":"Wilfred H.","non-dropping-particle":"","parse-names":false,"suffix":""},{"dropping-particle":"","family":"Römpp","given":"Andreas","non-dropping-particle":"","parse-names":false,"suffix":""},{"dropping-particle":"","family":"Neumann","given":"Steffen","non-dropping-particle":"","parse-names":false,"suffix":""},{"dropping-particle":"","family":"Pizarro","given":"Angel D.","non-dropping-particle":"","parse-names":false,"suffix":""},{"dropping-particle":"","family":"Montecchi-Palazzi","given":"Luisa","non-dropping-particle":"","parse-names":false,"suffix":""},{"dropping-particle":"","family":"Tasman","given":"Natalie","non-dropping-particle":"","parse-names":false,"suffix":""},{"dropping-particle":"","family":"Coleman","given":"Mike","non-dropping-particle":"","parse-names":false,"suffix":""},{"dropping-particle":"","family":"Reisinger","given":"Florian","non-dropping-particle":"","parse-names":false,"suffix":""},{"dropping-particle":"","family":"Souda","given":"Puneet","non-dropping-particle":"","parse-names":false,"suffix":""},{"dropping-particle":"","family":"Hermjakob","given":"Henning","non-dropping-particle":"","parse-names":false,"suffix":""},{"dropping-particle":"","family":"Binz","given":"Pierre Alain","non-dropping-particle":"","parse-names":false,"suffix":""},{"dropping-particle":"","family":"Deutschh","given":"Eric W.","non-dropping-particle":"","parse-names":false,"suffix":""}],"container-title":"Molecular and Cellular Proteomics","id":"ITEM-1","issue":"1","issued":{"date-parts":[["2011","1","1"]]},"publisher":"Elsevier","title":"mzML - A community standard for mass spectrometry data","type":"article-journal","volume":"10"},"uris":["http://www.mendeley.com/documents/?uuid=6660e57a-8f34-3cd5-998c-2a5607de9e1c"]}],"mendeley":{"formattedCitation":"&lt;sup&gt;53&lt;/sup&gt;","plainTextFormattedCitation":"53","previouslyFormattedCitation":"&lt;sup&gt;53&lt;/sup&gt;"},"properties":{"noteIndex":0},"schema":"https://github.com/citation-style-language/schema/raw/master/csl-citation.json"}</w:instrText>
      </w:r>
      <w:r w:rsidRPr="00DF2A48">
        <w:rPr>
          <w:color w:val="000000" w:themeColor="text1"/>
          <w:shd w:val="clear" w:color="auto" w:fill="FFFFFF"/>
        </w:rPr>
        <w:fldChar w:fldCharType="separate"/>
      </w:r>
      <w:r w:rsidR="001F530E" w:rsidRPr="001F530E">
        <w:rPr>
          <w:noProof/>
          <w:color w:val="000000" w:themeColor="text1"/>
          <w:shd w:val="clear" w:color="auto" w:fill="FFFFFF"/>
          <w:vertAlign w:val="superscript"/>
        </w:rPr>
        <w:t>53</w:t>
      </w:r>
      <w:r w:rsidRPr="00DF2A48">
        <w:rPr>
          <w:color w:val="000000" w:themeColor="text1"/>
          <w:shd w:val="clear" w:color="auto" w:fill="FFFFFF"/>
        </w:rPr>
        <w:fldChar w:fldCharType="end"/>
      </w:r>
      <w:r w:rsidRPr="00DF2A48">
        <w:rPr>
          <w:color w:val="000000" w:themeColor="text1"/>
          <w:shd w:val="clear" w:color="auto" w:fill="FFFFFF"/>
          <w:vertAlign w:val="superscript"/>
        </w:rPr>
        <w:t>,</w:t>
      </w:r>
      <w:r w:rsidRPr="00DF2A48">
        <w:rPr>
          <w:color w:val="000000" w:themeColor="text1"/>
          <w:shd w:val="clear" w:color="auto" w:fill="FFFFFF"/>
        </w:rPr>
        <w:fldChar w:fldCharType="begin" w:fldLock="1"/>
      </w:r>
      <w:r w:rsidR="00073673">
        <w:rPr>
          <w:color w:val="000000" w:themeColor="text1"/>
          <w:shd w:val="clear" w:color="auto" w:fill="FFFFFF"/>
        </w:rPr>
        <w:instrText>ADDIN CSL_CITATION {"citationItems":[{"id":"ITEM-1","itemData":{"DOI":"10.1038/nbt.2377","ISSN":"1546-1696","author":[{"dropping-particle":"","family":"Chambers","given":"Matthew C","non-dropping-particle":"","parse-names":false,"suffix":""},{"dropping-particle":"","family":"Maclean","given":"Brendan","non-dropping-particle":"","parse-names":false,"suffix":""},{"dropping-particle":"","family":"Burke","given":"Robert","non-dropping-particle":"","parse-names":false,"suffix":""},{"dropping-particle":"","family":"Amodei","given":"Dario","non-dropping-particle":"","parse-names":false,"suffix":""},{"dropping-particle":"","family":"Ruderman","given":"Daniel L","non-dropping-particle":"","parse-names":false,"suffix":""},{"dropping-particle":"","family":"Neumann","given":"Steffen","non-dropping-particle":"","parse-names":false,"suffix":""},{"dropping-particle":"","family":"Gatto","given":"Laurent","non-dropping-particle":"","parse-names":false,"suffix":""},{"dropping-particle":"","family":"Fischer","given":"Bernd","non-dropping-particle":"","parse-names":false,"suffix":""},{"dropping-particle":"","family":"Pratt","given":"Brian","non-dropping-particle":"","parse-names":false,"suffix":""},{"dropping-particle":"","family":"Egertson","given":"Jarrett","non-dropping-particle":"","parse-names":false,"suffix":""},{"dropping-particle":"","family":"Hoff","given":"Katherine","non-dropping-particle":"","parse-names":false,"suffix":""},{"dropping-particle":"","family":"Kessner","given":"Darren","non-dropping-particle":"","parse-names":false,"suffix":""},{"dropping-particle":"","family":"Tasman","given":"Natalie","non-dropping-particle":"","parse-names":false,"suffix":""},{"dropping-particle":"","family":"Shulman","given":"Nicholas","non-dropping-particle":"","parse-names":false,"suffix":""},{"dropping-particle":"","family":"Frewen","given":"Barbara","non-dropping-particle":"","parse-names":false,"suffix":""},{"dropping-particle":"","family":"Baker","given":"Tahmina A","non-dropping-particle":"","parse-names":false,"suffix":""},{"dropping-particle":"","family":"Brusniak","given":"Mi-Youn","non-dropping-particle":"","parse-names":false,"suffix":""},{"dropping-particle":"","family":"Paulse","given":"Christopher","non-dropping-particle":"","parse-names":false,"suffix":""},{"dropping-particle":"","family":"Creasy","given":"David","non-dropping-particle":"","parse-names":false,"suffix":""},{"dropping-particle":"","family":"Flashner","given":"Lisa","non-dropping-particle":"","parse-names":false,"suffix":""},{"dropping-particle":"","family":"Kani","given":"Kian","non-dropping-particle":"","parse-names":false,"suffix":""},{"dropping-particle":"","family":"Moulding","given":"Chris","non-dropping-particle":"","parse-names":false,"suffix":""},{"dropping-particle":"","family":"Seymour","given":"Sean L","non-dropping-particle":"","parse-names":false,"suffix":""},{"dropping-particle":"","family":"Nuwaysir","given":"Lydia M","non-dropping-particle":"","parse-names":false,"suffix":""},{"dropping-particle":"","family":"Lefebvre","given":"Brent","non-dropping-particle":"","parse-names":false,"suffix":""},{"dropping-particle":"","family":"Kuhlmann","given":"Frank","non-dropping-particle":"","parse-names":false,"suffix":""},{"dropping-particle":"","family":"Roark","given":"Joe","non-dropping-particle":"","parse-names":false,"suffix":""},{"dropping-particle":"","family":"Rainer","given":"Paape","non-dropping-particle":"","parse-names":false,"suffix":""},{"dropping-particle":"","family":"Detlev","given":"Suckau","non-dropping-particle":"","parse-names":false,"suffix":""},{"dropping-particle":"","family":"Hemenway","given":"Tina","non-dropping-particle":"","parse-names":false,"suffix":""},{"dropping-particle":"","family":"Huhmer","given":"Andreas","non-dropping-particle":"","parse-names":false,"suffix":""},{"dropping-particle":"","family":"Langridge","given":"James","non-dropping-particle":"","parse-names":false,"suffix":""},{"dropping-particle":"","family":"Connolly","given":"Brian","non-dropping-particle":"","parse-names":false,"suffix":""},{"dropping-particle":"","family":"Chadick","given":"Trey","non-dropping-particle":"","parse-names":false,"suffix":""},{"dropping-particle":"","family":"Holly","given":"Krisztina","non-dropping-particle":"","parse-names":false,"suffix":""},{"dropping-particle":"","family":"Eckels","given":"Josh","non-dropping-particle":"","parse-names":false,"suffix":""},{"dropping-particle":"","family":"Deutsch","given":"Eric W","non-dropping-particle":"","parse-names":false,"suffix":""},{"dropping-particle":"","family":"Moritz","given":"Robert L","non-dropping-particle":"","parse-names":false,"suffix":""},{"dropping-particle":"","family":"Katz","given":"Jonathan E","non-dropping-particle":"","parse-names":false,"suffix":""},{"dropping-particle":"","family":"Agus","given":"David B","non-dropping-particle":"","parse-names":false,"suffix":""},{"dropping-particle":"","family":"MacCoss","given":"Michael","non-dropping-particle":"","parse-names":false,"suffix":""},{"dropping-particle":"","family":"Tabb","given":"David L","non-dropping-particle":"","parse-names":false,"suffix":""},{"dropping-particle":"","family":"Mallick","given":"Parag","non-dropping-particle":"","parse-names":false,"suffix":""}],"container-title":"Nature Biotechnology","id":"ITEM-1","issue":"10","issued":{"date-parts":[["2012"]]},"page":"918-920","title":"A cross-platform toolkit for mass spectrometry and proteomics","type":"article-journal","volume":"30"},"uris":["http://www.mendeley.com/documents/?uuid=1fe1ce43-0b82-4f16-ad28-126fdd71c484"]}],"mendeley":{"formattedCitation":"&lt;sup&gt;54&lt;/sup&gt;","plainTextFormattedCitation":"54","previouslyFormattedCitation":"&lt;sup&gt;54&lt;/sup&gt;"},"properties":{"noteIndex":0},"schema":"https://github.com/citation-style-language/schema/raw/master/csl-citation.json"}</w:instrText>
      </w:r>
      <w:r w:rsidRPr="00DF2A48">
        <w:rPr>
          <w:color w:val="000000" w:themeColor="text1"/>
          <w:shd w:val="clear" w:color="auto" w:fill="FFFFFF"/>
        </w:rPr>
        <w:fldChar w:fldCharType="separate"/>
      </w:r>
      <w:r w:rsidR="001F530E" w:rsidRPr="001F530E">
        <w:rPr>
          <w:noProof/>
          <w:color w:val="000000" w:themeColor="text1"/>
          <w:shd w:val="clear" w:color="auto" w:fill="FFFFFF"/>
          <w:vertAlign w:val="superscript"/>
        </w:rPr>
        <w:t>54</w:t>
      </w:r>
      <w:r w:rsidRPr="00DF2A48">
        <w:rPr>
          <w:color w:val="000000" w:themeColor="text1"/>
          <w:shd w:val="clear" w:color="auto" w:fill="FFFFFF"/>
        </w:rPr>
        <w:fldChar w:fldCharType="end"/>
      </w:r>
      <w:r w:rsidRPr="00DF2A48">
        <w:rPr>
          <w:color w:val="000000" w:themeColor="text1"/>
          <w:shd w:val="clear" w:color="auto" w:fill="FFFFFF"/>
        </w:rPr>
        <w:t>. Metabolites were manually identified using an internal library based on precise mass (±5 ppm) and retention time (±</w:t>
      </w:r>
      <w:r w:rsidR="0011777D">
        <w:rPr>
          <w:color w:val="000000" w:themeColor="text1"/>
          <w:shd w:val="clear" w:color="auto" w:fill="FFFFFF"/>
        </w:rPr>
        <w:t>1</w:t>
      </w:r>
      <w:r w:rsidRPr="00DF2A48">
        <w:rPr>
          <w:color w:val="000000" w:themeColor="text1"/>
          <w:shd w:val="clear" w:color="auto" w:fill="FFFFFF"/>
        </w:rPr>
        <w:t xml:space="preserve"> min) after all </w:t>
      </w:r>
      <w:proofErr w:type="spellStart"/>
      <w:r w:rsidRPr="00DF2A48">
        <w:rPr>
          <w:color w:val="000000" w:themeColor="text1"/>
          <w:shd w:val="clear" w:color="auto" w:fill="FFFFFF"/>
        </w:rPr>
        <w:t>mzML</w:t>
      </w:r>
      <w:proofErr w:type="spellEnd"/>
      <w:r w:rsidRPr="00DF2A48">
        <w:rPr>
          <w:color w:val="000000" w:themeColor="text1"/>
          <w:shd w:val="clear" w:color="auto" w:fill="FFFFFF"/>
        </w:rPr>
        <w:t xml:space="preserve"> files were imported into the open-source program Metabolomics Analysis and Visualization Engine (El-MAVEN)</w:t>
      </w:r>
      <w:r w:rsidRPr="00DF2A48">
        <w:rPr>
          <w:color w:val="000000" w:themeColor="text1"/>
          <w:shd w:val="clear" w:color="auto" w:fill="FFFFFF"/>
        </w:rPr>
        <w:fldChar w:fldCharType="begin" w:fldLock="1"/>
      </w:r>
      <w:r w:rsidR="00073673">
        <w:rPr>
          <w:color w:val="000000" w:themeColor="text1"/>
          <w:shd w:val="clear" w:color="auto" w:fill="FFFFFF"/>
        </w:rPr>
        <w:instrText>ADDIN CSL_CITATION {"citationItems":[{"id":"ITEM-1","itemData":{"DOI":"10.1021/ac1021166","ISSN":"1520-6882 (Electronic)","PMID":"21049934","abstract":"Metabolomic analysis by liquid chromatography-high-resolution mass spectrometry  results in data sets with thousands of features arising from metabolites, fragments, isotopes, and adducts. Here we describe a software package, Metabolomic Analysis and Visualization ENgine (MAVEN), designed for efficient interactive analysis of LC-MS data, including in the presence of isotope labeling. The software contains tools for all aspects of the data analysis process, from feature extraction to pathway-based graphical data display. To facilitate data validation, a machine learning algorithm automatically assesses peak quality. Users interact with raw data primarily in the form of extracted ion chromatograms, which are displayed with overlaid circles indicating peak quality, and bar graphs of peak intensities for both unlabeled and isotope-labeled metabolite forms. Click-based navigation leads to additional information, such as raw data for specific isotopic forms or for metabolites changing significantly between conditions. Fast data processing algorithms result in nearly delay-free browsing. Drop-down menus provide tools for the overlay of data onto pathway maps. These tools enable animating series of pathway graphs, e.g., to show propagation of labeled forms through a metabolic network. MAVEN is released under an open source license at http://maven.princeton.edu.","author":[{"dropping-particle":"","family":"Melamud","given":"Eugene","non-dropping-particle":"","parse-names":false,"suffix":""},{"dropping-particle":"","family":"Vastag","given":"Livia","non-dropping-particle":"","parse-names":false,"suffix":""},{"dropping-particle":"","family":"Rabinowitz","given":"Joshua D","non-dropping-particle":"","parse-names":false,"suffix":""}],"container-title":"Analytical chemistry","id":"ITEM-1","issue":"23","issued":{"date-parts":[["2010","12"]]},"language":"eng","page":"9818-9826","publisher-place":"United States","title":"Metabolomic analysis and visualization engine for LC-MS data.","type":"article-journal","volume":"82"},"uris":["http://www.mendeley.com/documents/?uuid=4d7b8acf-6583-4779-a19f-54d354d29c99"]}],"mendeley":{"formattedCitation":"&lt;sup&gt;55&lt;/sup&gt;","plainTextFormattedCitation":"55","previouslyFormattedCitation":"&lt;sup&gt;55&lt;/sup&gt;"},"properties":{"noteIndex":0},"schema":"https://github.com/citation-style-language/schema/raw/master/csl-citation.json"}</w:instrText>
      </w:r>
      <w:r w:rsidRPr="00DF2A48">
        <w:rPr>
          <w:color w:val="000000" w:themeColor="text1"/>
          <w:shd w:val="clear" w:color="auto" w:fill="FFFFFF"/>
        </w:rPr>
        <w:fldChar w:fldCharType="separate"/>
      </w:r>
      <w:r w:rsidR="001F530E" w:rsidRPr="001F530E">
        <w:rPr>
          <w:noProof/>
          <w:color w:val="000000" w:themeColor="text1"/>
          <w:shd w:val="clear" w:color="auto" w:fill="FFFFFF"/>
          <w:vertAlign w:val="superscript"/>
        </w:rPr>
        <w:t>55</w:t>
      </w:r>
      <w:r w:rsidRPr="00DF2A48">
        <w:rPr>
          <w:color w:val="000000" w:themeColor="text1"/>
          <w:shd w:val="clear" w:color="auto" w:fill="FFFFFF"/>
        </w:rPr>
        <w:fldChar w:fldCharType="end"/>
      </w:r>
      <w:r w:rsidRPr="00DF2A48">
        <w:rPr>
          <w:color w:val="000000" w:themeColor="text1"/>
          <w:shd w:val="clear" w:color="auto" w:fill="FFFFFF"/>
          <w:vertAlign w:val="superscript"/>
        </w:rPr>
        <w:t>,</w:t>
      </w:r>
      <w:r w:rsidRPr="00DF2A48">
        <w:rPr>
          <w:color w:val="000000" w:themeColor="text1"/>
          <w:shd w:val="clear" w:color="auto" w:fill="FFFFFF"/>
        </w:rPr>
        <w:fldChar w:fldCharType="begin" w:fldLock="1"/>
      </w:r>
      <w:r w:rsidR="00073673">
        <w:rPr>
          <w:color w:val="000000" w:themeColor="text1"/>
          <w:shd w:val="clear" w:color="auto" w:fill="FFFFFF"/>
        </w:rPr>
        <w:instrText>ADDIN CSL_CITATION {"citationItems":[{"id":"ITEM-1","itemData":{"DOI":"10.1002/0471250953.bi1411s37","ISSN":"19343396","PMID":"22389014","abstract":"MAVEN is an open-source software program for interactive processing of LC-MS-based metabolomics data. MAVEN enables rapid and reliable metabolite quantitation from multiple reaction monitoring data or high-resolution full-scan mass spectrometry data. It automatically detects and reports peak intensities for isotope-labeled metabolites. Menu-driven, click-based navigation allows visualization of raw and analyzed data. Here we provide a User Guide for MAVEN. Step-by-step instructions are provided for data import, peak alignment across samples, identification of metabolites that differ strongly between biological conditions, quantitation and visualization of isotope-labeling patterns, and export of tables of metabolite-specific peak intensities. Together, these instructions describe a workflow that allows efficient processing of raw LC-MS data into a form ready for biological analysis. © 2012 by John Wiley &amp; Sons, Inc.","author":[{"dropping-particle":"","family":"Clasquin","given":"Michelle F.","non-dropping-particle":"","parse-names":false,"suffix":""},{"dropping-particle":"","family":"Melamud","given":"Eugene","non-dropping-particle":"","parse-names":false,"suffix":""},{"dropping-particle":"","family":"Rabinowitz","given":"Joshua D.","non-dropping-particle":"","parse-names":false,"suffix":""}],"container-title":"Current Protocols in Bioinformatics","id":"ITEM-1","issue":"SUPPL.37","issued":{"date-parts":[["2012","3"]]},"title":"LC-MS data processing with MAVEN: A metabolomic analysis and visualization engine","type":"article-journal"},"uris":["http://www.mendeley.com/documents/?uuid=27d06343-7b3f-3281-8194-412f71f5bc4e"]}],"mendeley":{"formattedCitation":"&lt;sup&gt;56&lt;/sup&gt;","plainTextFormattedCitation":"56","previouslyFormattedCitation":"&lt;sup&gt;56&lt;/sup&gt;"},"properties":{"noteIndex":0},"schema":"https://github.com/citation-style-language/schema/raw/master/csl-citation.json"}</w:instrText>
      </w:r>
      <w:r w:rsidRPr="00DF2A48">
        <w:rPr>
          <w:color w:val="000000" w:themeColor="text1"/>
          <w:shd w:val="clear" w:color="auto" w:fill="FFFFFF"/>
        </w:rPr>
        <w:fldChar w:fldCharType="separate"/>
      </w:r>
      <w:r w:rsidR="001F530E" w:rsidRPr="001F530E">
        <w:rPr>
          <w:noProof/>
          <w:color w:val="000000" w:themeColor="text1"/>
          <w:shd w:val="clear" w:color="auto" w:fill="FFFFFF"/>
          <w:vertAlign w:val="superscript"/>
        </w:rPr>
        <w:t>56</w:t>
      </w:r>
      <w:r w:rsidRPr="00DF2A48">
        <w:rPr>
          <w:color w:val="000000" w:themeColor="text1"/>
          <w:shd w:val="clear" w:color="auto" w:fill="FFFFFF"/>
        </w:rPr>
        <w:fldChar w:fldCharType="end"/>
      </w:r>
      <w:r w:rsidRPr="00DF2A48">
        <w:rPr>
          <w:color w:val="000000" w:themeColor="text1"/>
          <w:shd w:val="clear" w:color="auto" w:fill="FFFFFF"/>
        </w:rPr>
        <w:t xml:space="preserve">. After integrating metabolite peaks, El-MAVEN exported the raw peak intensities for each identified metabolite to a CSV file. </w:t>
      </w:r>
    </w:p>
    <w:p w14:paraId="313B9E36" w14:textId="27E22571" w:rsidR="00A031A4" w:rsidRDefault="00A031A4" w:rsidP="007E2377">
      <w:pPr>
        <w:spacing w:line="360" w:lineRule="auto"/>
        <w:outlineLvl w:val="2"/>
        <w:rPr>
          <w:b/>
          <w:bCs/>
          <w:color w:val="000000" w:themeColor="text1"/>
          <w:shd w:val="clear" w:color="auto" w:fill="FFFFFF"/>
        </w:rPr>
      </w:pPr>
      <w:r w:rsidRPr="000D3EBD">
        <w:rPr>
          <w:b/>
          <w:bCs/>
          <w:color w:val="000000" w:themeColor="text1"/>
          <w:shd w:val="clear" w:color="auto" w:fill="FFFFFF"/>
        </w:rPr>
        <w:t xml:space="preserve">Handling Missing </w:t>
      </w:r>
      <w:r w:rsidR="00533017" w:rsidRPr="000D3EBD">
        <w:rPr>
          <w:b/>
          <w:bCs/>
          <w:color w:val="000000" w:themeColor="text1"/>
          <w:shd w:val="clear" w:color="auto" w:fill="FFFFFF"/>
        </w:rPr>
        <w:t>Values</w:t>
      </w:r>
    </w:p>
    <w:p w14:paraId="2F11D837" w14:textId="77777777" w:rsidR="00AF2419" w:rsidRDefault="004D5485" w:rsidP="007E2377">
      <w:pPr>
        <w:spacing w:line="360" w:lineRule="auto"/>
        <w:outlineLvl w:val="2"/>
        <w:rPr>
          <w:color w:val="000000" w:themeColor="text1"/>
          <w:shd w:val="clear" w:color="auto" w:fill="FFFFFF"/>
        </w:rPr>
      </w:pPr>
      <w:r>
        <w:rPr>
          <w:color w:val="000000" w:themeColor="text1"/>
          <w:shd w:val="clear" w:color="auto" w:fill="FFFFFF"/>
        </w:rPr>
        <w:t xml:space="preserve">The experiment was completed in two parts keeping the experimental setup identical in each case. In the first part of the experiment, </w:t>
      </w:r>
      <w:proofErr w:type="spellStart"/>
      <w:r w:rsidRPr="004D5485">
        <w:rPr>
          <w:i/>
          <w:iCs/>
          <w:color w:val="000000" w:themeColor="text1"/>
          <w:shd w:val="clear" w:color="auto" w:fill="FFFFFF"/>
        </w:rPr>
        <w:t>leptospira</w:t>
      </w:r>
      <w:proofErr w:type="spellEnd"/>
      <w:r>
        <w:rPr>
          <w:color w:val="000000" w:themeColor="text1"/>
          <w:shd w:val="clear" w:color="auto" w:fill="FFFFFF"/>
        </w:rPr>
        <w:t xml:space="preserve"> was grown using EMJH (Difco) media, and in the second part, EMJH (in house) media was used. A total of 100 metabolites was detected in the first experiment, and 81 in the second. When combined, the total sum enumerated to 121 metabolites. </w:t>
      </w:r>
      <w:r w:rsidR="00533017">
        <w:rPr>
          <w:color w:val="000000" w:themeColor="text1"/>
          <w:shd w:val="clear" w:color="auto" w:fill="FFFFFF"/>
        </w:rPr>
        <w:t xml:space="preserve"> To construct a unified matrix of metabolites w</w:t>
      </w:r>
      <w:r w:rsidR="00D11E8B">
        <w:rPr>
          <w:color w:val="000000" w:themeColor="text1"/>
          <w:shd w:val="clear" w:color="auto" w:fill="FFFFFF"/>
        </w:rPr>
        <w:t xml:space="preserve">here a metabolite </w:t>
      </w:r>
      <w:r w:rsidR="00533017">
        <w:rPr>
          <w:color w:val="000000" w:themeColor="text1"/>
          <w:shd w:val="clear" w:color="auto" w:fill="FFFFFF"/>
        </w:rPr>
        <w:t>was absent in one batch, the one-fifth (1/5</w:t>
      </w:r>
      <w:r w:rsidR="00533017" w:rsidRPr="00533017">
        <w:rPr>
          <w:color w:val="000000" w:themeColor="text1"/>
          <w:shd w:val="clear" w:color="auto" w:fill="FFFFFF"/>
          <w:vertAlign w:val="superscript"/>
        </w:rPr>
        <w:t>th</w:t>
      </w:r>
      <w:r w:rsidR="00533017">
        <w:rPr>
          <w:color w:val="000000" w:themeColor="text1"/>
          <w:shd w:val="clear" w:color="auto" w:fill="FFFFFF"/>
        </w:rPr>
        <w:t>) of the average intensity of that metabolite corresponding to the other batch was assigned in place of the missing value. For downstream analysis, the unified list of all the metabolites from both experiments were taken, resulting in a list of 121 metabolites altogether.</w:t>
      </w:r>
    </w:p>
    <w:p w14:paraId="5AA954C1" w14:textId="77777777" w:rsidR="00AF2419" w:rsidRDefault="00AF2419" w:rsidP="007E2377">
      <w:pPr>
        <w:spacing w:line="360" w:lineRule="auto"/>
        <w:rPr>
          <w:color w:val="000000" w:themeColor="text1"/>
          <w:shd w:val="clear" w:color="auto" w:fill="FFFFFF"/>
        </w:rPr>
      </w:pPr>
      <w:r>
        <w:rPr>
          <w:color w:val="000000" w:themeColor="text1"/>
          <w:shd w:val="clear" w:color="auto" w:fill="FFFFFF"/>
        </w:rPr>
        <w:br w:type="page"/>
      </w:r>
    </w:p>
    <w:p w14:paraId="4D92E906" w14:textId="5AA08208" w:rsidR="004560CB" w:rsidRPr="00AF2419" w:rsidRDefault="00DF2A48" w:rsidP="007E2377">
      <w:pPr>
        <w:spacing w:line="360" w:lineRule="auto"/>
        <w:outlineLvl w:val="2"/>
        <w:rPr>
          <w:color w:val="000000" w:themeColor="text1"/>
          <w:shd w:val="clear" w:color="auto" w:fill="FFFFFF"/>
        </w:rPr>
      </w:pPr>
      <w:r w:rsidRPr="00DF2A48">
        <w:rPr>
          <w:b/>
          <w:bCs/>
          <w:color w:val="000000" w:themeColor="text1"/>
        </w:rPr>
        <w:lastRenderedPageBreak/>
        <w:t>Statistical Analysis</w:t>
      </w:r>
    </w:p>
    <w:p w14:paraId="2D8B9244" w14:textId="09DCBE31" w:rsidR="004560CB" w:rsidRPr="001301EA" w:rsidRDefault="00DF2A48" w:rsidP="007E2377">
      <w:pPr>
        <w:spacing w:line="360" w:lineRule="auto"/>
        <w:jc w:val="both"/>
        <w:rPr>
          <w:b/>
          <w:bCs/>
        </w:rPr>
      </w:pPr>
      <w:r w:rsidRPr="0056318B">
        <w:rPr>
          <w:b/>
          <w:bCs/>
        </w:rPr>
        <w:t xml:space="preserve">Random Forest: </w:t>
      </w:r>
    </w:p>
    <w:p w14:paraId="28327405" w14:textId="6CC59813" w:rsidR="00DF2A48" w:rsidRPr="001301EA" w:rsidRDefault="00DF2A48" w:rsidP="007E2377">
      <w:pPr>
        <w:spacing w:line="360" w:lineRule="auto"/>
      </w:pPr>
      <w:r w:rsidRPr="0056318B">
        <w:t>Technical variation in the metabolomics dataset can be corrected using random forest analysis. This approach uses an algorithm based on machine learning to reduce batch effects, signal drift. It applies a random forest regression modeling after systematic variation.  Quality control (QC) samples, injected at a random interval throughout the batch experiments, are used by the machine learning model to adjust for injection order trend to capture and correct for instrument fluctuation. For each detected metabolite, it predicts probable intensities contingent upon the quality control (QC) samples. Followed by this step, the algorithm calibrates the metabolite intensities of each sample accordingly. This yields greater consistency among all samples while retaining original biological differences.</w:t>
      </w:r>
      <w:r w:rsidRPr="0056318B">
        <w:rPr>
          <w:vertAlign w:val="superscript"/>
        </w:rPr>
        <w:fldChar w:fldCharType="begin" w:fldLock="1"/>
      </w:r>
      <w:r w:rsidR="00073673" w:rsidRPr="0056318B">
        <w:rPr>
          <w:vertAlign w:val="superscript"/>
        </w:rPr>
        <w:instrText>ADDIN CSL_CITATION {"citationItems":[{"id":"ITEM-1","itemData":{"DOI":"10.1021/ACS.ANALCHEM.8B05592/SUPPL_FILE/AC8B05592_SI_001.PDF","ISSN":"15206882","PMID":"30758187","abstract":"Large-scale untargeted lipidomics experiments involve the measurement of hundreds to thousands of samples. Such data sets are usually acquired on one instrument over days or weeks of analysis time. Such extensive data acquisition processes introduce a variety of systematic errors, including batch differences, longitudinal drifts, or even instrument-to-instrument variation. Technical data variance can obscure the true biological signal and hinder biological discoveries. To combat this issue, we present a novel normalization approach based on using quality control pool samples (QC). This method is called systematic error removal using random forest (SERRF) for eliminating the unwanted systematic variations in large sample sets. We compared SERRF with 15 other commonly used normalization methods using six lipidomics data sets from three large cohort studies (832, 1162, and 2696 samples). SERRF reduced the average technical errors for these data sets to 5% relative standard deviation. We conclude that SERRF outperforms other existing methods and can significantly reduce the unwanted systematic variation, revealing biological variance of interest.","author":[{"dropping-particle":"","family":"Fan","given":"Sili","non-dropping-particle":"","parse-names":false,"suffix":""},{"dropping-particle":"","family":"Kind","given":"Tobias","non-dropping-particle":"","parse-names":false,"suffix":""},{"dropping-particle":"","family":"Cajka","given":"Tomas","non-dropping-particle":"","parse-names":false,"suffix":""},{"dropping-particle":"","family":"Hazen","given":"Stanley L.","non-dropping-particle":"","parse-names":false,"suffix":""},{"dropping-particle":"","family":"Tang","given":"W. H.Wilson","non-dropping-particle":"","parse-names":false,"suffix":""},{"dropping-particle":"","family":"Kaddurah-Daouk","given":"Rima","non-dropping-particle":"","parse-names":false,"suffix":""},{"dropping-particle":"","family":"Irvin","given":"Marguerite R.","non-dropping-particle":"","parse-names":false,"suffix":""},{"dropping-particle":"","family":"Arnett","given":"Donna K.","non-dropping-particle":"","parse-names":false,"suffix":""},{"dropping-particle":"","family":"Barupal","given":"Dinesh K.","non-dropping-particle":"","parse-names":false,"suffix":""},{"dropping-particle":"","family":"Fiehn","given":"Oliver","non-dropping-particle":"","parse-names":false,"suffix":""}],"container-title":"Analytical Chemistry","id":"ITEM-1","issue":"5","issued":{"date-parts":[["2019","3","5"]]},"page":"3590-3596","publisher":"American Chemical Society","title":"Systematic Error Removal Using Random Forest for Normalizing Large-Scale Untargeted Lipidomics Data","type":"article-journal","volume":"91"},"uris":["http://www.mendeley.com/documents/?uuid=bac576c2-fc01-3dc6-9a9d-18132b633f16"]}],"mendeley":{"formattedCitation":"&lt;sup&gt;57&lt;/sup&gt;","plainTextFormattedCitation":"57","previouslyFormattedCitation":"&lt;sup&gt;57&lt;/sup&gt;"},"properties":{"noteIndex":0},"schema":"https://github.com/citation-style-language/schema/raw/master/csl-citation.json"}</w:instrText>
      </w:r>
      <w:r w:rsidRPr="0056318B">
        <w:rPr>
          <w:vertAlign w:val="superscript"/>
        </w:rPr>
        <w:fldChar w:fldCharType="separate"/>
      </w:r>
      <w:r w:rsidR="001F530E" w:rsidRPr="0056318B">
        <w:rPr>
          <w:noProof/>
          <w:vertAlign w:val="superscript"/>
        </w:rPr>
        <w:t>57</w:t>
      </w:r>
      <w:r w:rsidRPr="0056318B">
        <w:rPr>
          <w:vertAlign w:val="superscript"/>
        </w:rPr>
        <w:fldChar w:fldCharType="end"/>
      </w:r>
      <w:r w:rsidRPr="0056318B">
        <w:t xml:space="preserve"> As the study was carried out in two parts, instead of typical normalization methods, random forest normalization was performed </w:t>
      </w:r>
      <w:r w:rsidR="0079752E">
        <w:t>to leverage</w:t>
      </w:r>
      <w:r w:rsidRPr="0056318B">
        <w:t xml:space="preserve"> its advantages. Systematic Error Removal using Random Forest (SERRF)</w:t>
      </w:r>
      <w:r w:rsidRPr="0056318B">
        <w:rPr>
          <w:vertAlign w:val="superscript"/>
        </w:rPr>
        <w:fldChar w:fldCharType="begin" w:fldLock="1"/>
      </w:r>
      <w:r w:rsidR="00073673" w:rsidRPr="0056318B">
        <w:rPr>
          <w:vertAlign w:val="superscript"/>
        </w:rPr>
        <w:instrText>ADDIN CSL_CITATION {"citationItems":[{"id":"ITEM-1","itemData":{"DOI":"10.1021/ACS.ANALCHEM.8B05592/SUPPL_FILE/AC8B05592_SI_001.PDF","ISSN":"15206882","PMID":"30758187","abstract":"Large-scale untargeted lipidomics experiments involve the measurement of hundreds to thousands of samples. Such data sets are usually acquired on one instrument over days or weeks of analysis time. Such extensive data acquisition processes introduce a variety of systematic errors, including batch differences, longitudinal drifts, or even instrument-to-instrument variation. Technical data variance can obscure the true biological signal and hinder biological discoveries. To combat this issue, we present a novel normalization approach based on using quality control pool samples (QC). This method is called systematic error removal using random forest (SERRF) for eliminating the unwanted systematic variations in large sample sets. We compared SERRF with 15 other commonly used normalization methods using six lipidomics data sets from three large cohort studies (832, 1162, and 2696 samples). SERRF reduced the average technical errors for these data sets to 5% relative standard deviation. We conclude that SERRF outperforms other existing methods and can significantly reduce the unwanted systematic variation, revealing biological variance of interest.","author":[{"dropping-particle":"","family":"Fan","given":"Sili","non-dropping-particle":"","parse-names":false,"suffix":""},{"dropping-particle":"","family":"Kind","given":"Tobias","non-dropping-particle":"","parse-names":false,"suffix":""},{"dropping-particle":"","family":"Cajka","given":"Tomas","non-dropping-particle":"","parse-names":false,"suffix":""},{"dropping-particle":"","family":"Hazen","given":"Stanley L.","non-dropping-particle":"","parse-names":false,"suffix":""},{"dropping-particle":"","family":"Tang","given":"W. H.Wilson","non-dropping-particle":"","parse-names":false,"suffix":""},{"dropping-particle":"","family":"Kaddurah-Daouk","given":"Rima","non-dropping-particle":"","parse-names":false,"suffix":""},{"dropping-particle":"","family":"Irvin","given":"Marguerite R.","non-dropping-particle":"","parse-names":false,"suffix":""},{"dropping-particle":"","family":"Arnett","given":"Donna K.","non-dropping-particle":"","parse-names":false,"suffix":""},{"dropping-particle":"","family":"Barupal","given":"Dinesh K.","non-dropping-particle":"","parse-names":false,"suffix":""},{"dropping-particle":"","family":"Fiehn","given":"Oliver","non-dropping-particle":"","parse-names":false,"suffix":""}],"container-title":"Analytical Chemistry","id":"ITEM-1","issue":"5","issued":{"date-parts":[["2019","3","5"]]},"page":"3590-3596","publisher":"American Chemical Society","title":"Systematic Error Removal Using Random Forest for Normalizing Large-Scale Untargeted Lipidomics Data","type":"article-journal","volume":"91"},"uris":["http://www.mendeley.com/documents/?uuid=bac576c2-fc01-3dc6-9a9d-18132b633f16"]}],"mendeley":{"formattedCitation":"&lt;sup&gt;57&lt;/sup&gt;","plainTextFormattedCitation":"57","previouslyFormattedCitation":"&lt;sup&gt;57&lt;/sup&gt;"},"properties":{"noteIndex":0},"schema":"https://github.com/citation-style-language/schema/raw/master/csl-citation.json"}</w:instrText>
      </w:r>
      <w:r w:rsidRPr="0056318B">
        <w:rPr>
          <w:vertAlign w:val="superscript"/>
        </w:rPr>
        <w:fldChar w:fldCharType="separate"/>
      </w:r>
      <w:r w:rsidR="001F530E" w:rsidRPr="0056318B">
        <w:rPr>
          <w:noProof/>
          <w:vertAlign w:val="superscript"/>
        </w:rPr>
        <w:t>57</w:t>
      </w:r>
      <w:r w:rsidRPr="0056318B">
        <w:rPr>
          <w:vertAlign w:val="superscript"/>
        </w:rPr>
        <w:fldChar w:fldCharType="end"/>
      </w:r>
      <w:r w:rsidRPr="0056318B">
        <w:t xml:space="preserve"> was used to perform the normalization. </w:t>
      </w:r>
      <w:r w:rsidR="0079752E" w:rsidRPr="0079752E">
        <w:t>S</w:t>
      </w:r>
      <w:r w:rsidR="00533017" w:rsidRPr="0079752E">
        <w:t>ample-based normalization was not performed</w:t>
      </w:r>
      <w:r w:rsidR="0079752E" w:rsidRPr="0079752E">
        <w:t xml:space="preserve"> since the pellet was not weighed separately after sample was centrifuged to separate pellet and supernatant. However,</w:t>
      </w:r>
      <w:r w:rsidR="00533017" w:rsidRPr="0079752E">
        <w:t xml:space="preserve"> data-based normalization SERRF corrects for not only for quality control and system injection order, </w:t>
      </w:r>
      <w:r w:rsidR="0079752E" w:rsidRPr="0079752E">
        <w:t>but it</w:t>
      </w:r>
      <w:r w:rsidR="00533017" w:rsidRPr="0079752E">
        <w:t xml:space="preserve"> also corrects based on the behavior of other compounds.</w:t>
      </w:r>
      <w:r w:rsidR="00533017">
        <w:t xml:space="preserve"> </w:t>
      </w:r>
    </w:p>
    <w:p w14:paraId="498C79C8" w14:textId="648A1799" w:rsidR="004560CB" w:rsidRPr="001301EA" w:rsidRDefault="00DF2A48" w:rsidP="007E2377">
      <w:pPr>
        <w:spacing w:line="360" w:lineRule="auto"/>
        <w:rPr>
          <w:b/>
          <w:bCs/>
        </w:rPr>
      </w:pPr>
      <w:r w:rsidRPr="0056318B">
        <w:rPr>
          <w:b/>
          <w:bCs/>
        </w:rPr>
        <w:t>Partial Least Squares Discriminant Analysis (PLS-DA)</w:t>
      </w:r>
    </w:p>
    <w:p w14:paraId="4A9B5AEA" w14:textId="27034C93" w:rsidR="00DF2A48" w:rsidRPr="0056318B" w:rsidRDefault="00DF2A48" w:rsidP="007E2377">
      <w:pPr>
        <w:spacing w:line="360" w:lineRule="auto"/>
      </w:pPr>
      <w:r w:rsidRPr="0056318B">
        <w:t>Multivariate statistical analysis Partial Least Squares Discriminant Analysis PLS-DA method was applied on the data after it underwent random forest normalization by SERRF. PLS-DA maximizes the separation between predefined groups as it is a supervised multivariate statistical method.</w:t>
      </w:r>
      <w:r w:rsidRPr="0056318B">
        <w:rPr>
          <w:vertAlign w:val="superscript"/>
        </w:rPr>
        <w:fldChar w:fldCharType="begin" w:fldLock="1"/>
      </w:r>
      <w:r w:rsidR="00073673" w:rsidRPr="0056318B">
        <w:rPr>
          <w:vertAlign w:val="superscript"/>
        </w:rPr>
        <w:instrText>ADDIN CSL_CITATION {"citationItems":[{"id":"ITEM-1","itemData":{"DOI":"10.1016/j.csbj.2020.07.009","ISSN":"2001-0370","author":[{"dropping-particle":"","family":"Tang","given":"Jing","non-dropping-particle":"","parse-names":false,"suffix":""},{"dropping-particle":"","family":"Wang","given":"Yunxia","non-dropping-particle":"","parse-names":false,"suffix":""},{"dropping-particle":"","family":"Luo","given":"Yongchao","non-dropping-particle":"","parse-names":false,"suffix":""},{"dropping-particle":"","family":"Fu","given":"Jianbo","non-dropping-particle":"","parse-names":false,"suffix":""},{"dropping-particle":"","family":"Zhang","given":"Yang","non-dropping-particle":"","parse-names":false,"suffix":""},{"dropping-particle":"","family":"Li","given":"Yi","non-dropping-particle":"","parse-names":false,"suffix":""},{"dropping-particle":"","family":"Xiao","given":"Ziyu","non-dropping-particle":"","parse-names":false,"suffix":""},{"dropping-particle":"","family":"Lou","given":"Yan","non-dropping-particle":"","parse-names":false,"suffix":""},{"dropping-particle":"","family":"Qiu","given":"Yunqing","non-dropping-particle":"","parse-names":false,"suffix":""},{"dropping-particle":"","family":"Zhu","given":"Feng","non-dropping-particle":"","parse-names":false,"suffix":""}],"container-title":"Computational and Structural Biotechnology Journal","id":"ITEM-1","issued":{"date-parts":[["2020","1","1"]]},"note":"doi: 10.1016/j.csbj.2020.07.009","page":"2012-2025","publisher":"Elsevier","title":"Computational advances of tumor marker selection and sample classification in cancer proteomics","type":"article-journal","volume":"18"},"uris":["http://www.mendeley.com/documents/?uuid=ccb2c418-1047-460f-b09c-6685791f2481"]}],"mendeley":{"formattedCitation":"&lt;sup&gt;58&lt;/sup&gt;","plainTextFormattedCitation":"58","previouslyFormattedCitation":"&lt;sup&gt;58&lt;/sup&gt;"},"properties":{"noteIndex":0},"schema":"https://github.com/citation-style-language/schema/raw/master/csl-citation.json"}</w:instrText>
      </w:r>
      <w:r w:rsidRPr="0056318B">
        <w:rPr>
          <w:vertAlign w:val="superscript"/>
        </w:rPr>
        <w:fldChar w:fldCharType="separate"/>
      </w:r>
      <w:r w:rsidR="001F530E" w:rsidRPr="0056318B">
        <w:rPr>
          <w:noProof/>
          <w:vertAlign w:val="superscript"/>
        </w:rPr>
        <w:t>58</w:t>
      </w:r>
      <w:r w:rsidRPr="0056318B">
        <w:rPr>
          <w:vertAlign w:val="superscript"/>
        </w:rPr>
        <w:fldChar w:fldCharType="end"/>
      </w:r>
      <w:r w:rsidRPr="0056318B">
        <w:rPr>
          <w:vertAlign w:val="superscript"/>
        </w:rPr>
        <w:t>,</w:t>
      </w:r>
      <w:r w:rsidRPr="0056318B">
        <w:rPr>
          <w:vertAlign w:val="superscript"/>
        </w:rPr>
        <w:fldChar w:fldCharType="begin" w:fldLock="1"/>
      </w:r>
      <w:r w:rsidR="00073673" w:rsidRPr="0056318B">
        <w:rPr>
          <w:vertAlign w:val="superscript"/>
        </w:rPr>
        <w:instrText>ADDIN CSL_CITATION {"citationItems":[{"id":"ITEM-1","itemData":{"author":[{"dropping-particle":"","family":"Lee","given":"Loong Chuen","non-dropping-particle":"","parse-names":false,"suffix":""},{"dropping-particle":"","family":"Liong","given":"Choong-Yeun","non-dropping-particle":"","parse-names":false,"suffix":""},{"dropping-particle":"","family":"Jemain","given":"Abdul Aziz","non-dropping-particle":"","parse-names":false,"suffix":""}],"container-title":"Analyst","id":"ITEM-1","issue":"15","issued":{"date-parts":[["2018"]]},"page":"3526-3539","publisher":"Royal Society of Chemistry","title":"Partial least squares-discriminant analysis (PLS-DA) for classification of high-dimensional (HD) data: a review of contemporary practice strategies and knowledge gaps","type":"article-journal","volume":"143"},"uris":["http://www.mendeley.com/documents/?uuid=738a7a12-b677-493d-b7f2-57aadd1e4c8b"]}],"mendeley":{"formattedCitation":"&lt;sup&gt;59&lt;/sup&gt;","plainTextFormattedCitation":"59","previouslyFormattedCitation":"&lt;sup&gt;59&lt;/sup&gt;"},"properties":{"noteIndex":0},"schema":"https://github.com/citation-style-language/schema/raw/master/csl-citation.json"}</w:instrText>
      </w:r>
      <w:r w:rsidRPr="0056318B">
        <w:rPr>
          <w:vertAlign w:val="superscript"/>
        </w:rPr>
        <w:fldChar w:fldCharType="separate"/>
      </w:r>
      <w:r w:rsidR="001F530E" w:rsidRPr="0056318B">
        <w:rPr>
          <w:noProof/>
          <w:vertAlign w:val="superscript"/>
        </w:rPr>
        <w:t>59</w:t>
      </w:r>
      <w:r w:rsidRPr="0056318B">
        <w:rPr>
          <w:vertAlign w:val="superscript"/>
        </w:rPr>
        <w:fldChar w:fldCharType="end"/>
      </w:r>
      <w:r w:rsidRPr="0056318B">
        <w:t xml:space="preserve"> It projects the data in new axes to capture the highest variance corresponding to the predefined groups. The newer axes </w:t>
      </w:r>
      <w:proofErr w:type="gramStart"/>
      <w:r w:rsidRPr="0056318B">
        <w:t>are considered to be</w:t>
      </w:r>
      <w:proofErr w:type="gramEnd"/>
      <w:r w:rsidRPr="0056318B">
        <w:t xml:space="preserve"> latent variables. In complex, large, high dimensional dataset like a metabolomics dataset, it is an efficient tool to reduce the dimensionality yet providing group separation accounting for group structure. It enables detailed visualization for underlying metabolic separation providing information on distinct metabolic profile. All PLS-DA models were prepared using </w:t>
      </w:r>
      <w:proofErr w:type="spellStart"/>
      <w:r w:rsidRPr="0056318B">
        <w:t>MetaboAnalyst</w:t>
      </w:r>
      <w:proofErr w:type="spellEnd"/>
      <w:r w:rsidRPr="0056318B">
        <w:t xml:space="preserve"> 6.0.</w:t>
      </w:r>
      <w:r w:rsidRPr="0056318B">
        <w:rPr>
          <w:vertAlign w:val="superscript"/>
        </w:rPr>
        <w:fldChar w:fldCharType="begin" w:fldLock="1"/>
      </w:r>
      <w:r w:rsidR="00073673" w:rsidRPr="0056318B">
        <w:rPr>
          <w:vertAlign w:val="superscript"/>
        </w:rPr>
        <w:instrText>ADDIN CSL_CITATION {"citationItems":[{"id":"ITEM-1","itemData":{"DOI":"10.1093/nar/gkae253","ISSN":"0305-1048","abstract":"We introduce MetaboAnalyst version 6.0 as a unified platform for processing, analyzing, and interpreting data from targeted as well as untargeted metabolomics studies using liquid chromatography - mass spectrometry (LC–MS). The two main objectives in developing version 6.0 are to support tandem MS (MS2) data processing and annotation, as well as to support the analysis of data from exposomics studies and related experiments. Key features of MetaboAnalyst 6.0 include: (i) a significantly enhanced Spectra Processing module with support for MS2 data and the asari algorithm; (ii) a MS2 Peak Annotation module based on comprehensive MS2 reference databases with fragment-level annotation; (iii) a new Statistical Analysis module dedicated for handling complex study design with multiple factors or phenotypic descriptors; (iv) a Causal Analysis module for estimating metabolite - phenotype causal relations based on two-sample Mendelian randomization, and (v) a Dose-Response Analysis module for benchmark dose calculations. In addition, we have also improved MetaboAnalyst's visualization functions, updated its compound database and metabolite sets, and significantly expanded its pathway analysis support to around 130 species. MetaboAnalyst 6.0 is freely available at https://www.metaboanalyst.ca.","author":[{"dropping-particle":"","family":"Pang","given":"Zhiqiang","non-dropping-particle":"","parse-names":false,"suffix":""},{"dropping-particle":"","family":"Lu","given":"Yao","non-dropping-particle":"","parse-names":false,"suffix":""},{"dropping-particle":"","family":"Zhou","given":"Guangyan","non-dropping-particle":"","parse-names":false,"suffix":""},{"dropping-particle":"","family":"Hui","given":"Fiona","non-dropping-particle":"","parse-names":false,"suffix":""},{"dropping-particle":"","family":"Xu","given":"Lei","non-dropping-particle":"","parse-names":false,"suffix":""},{"dropping-particle":"","family":"Viau","given":"Charles","non-dropping-particle":"","parse-names":false,"suffix":""},{"dropping-particle":"","family":"Spigelman","given":"Aliya F","non-dropping-particle":"","parse-names":false,"suffix":""},{"dropping-particle":"","family":"MacDonald","given":"Patrick E","non-dropping-particle":"","parse-names":false,"suffix":""},{"dropping-particle":"","family":"Wishart","given":"David S","non-dropping-particle":"","parse-names":false,"suffix":""},{"dropping-particle":"","family":"Li","given":"Shuzhao","non-dropping-particle":"","parse-names":false,"suffix":""},{"dropping-particle":"","family":"Xia","given":"Jianguo","non-dropping-particle":"","parse-names":false,"suffix":""}],"container-title":"Nucleic Acids Research","id":"ITEM-1","issue":"W1","issued":{"date-parts":[["2024","7","5"]]},"page":"W398-W406","title":"MetaboAnalyst 6.0: towards a unified platform for metabolomics data processing, analysis and interpretation","type":"article-journal","volume":"52"},"uris":["http://www.mendeley.com/documents/?uuid=b6a5fe6f-5836-4bd7-bcbe-807914dde64b"]}],"mendeley":{"formattedCitation":"&lt;sup&gt;60&lt;/sup&gt;","plainTextFormattedCitation":"60","previouslyFormattedCitation":"&lt;sup&gt;60&lt;/sup&gt;"},"properties":{"noteIndex":0},"schema":"https://github.com/citation-style-language/schema/raw/master/csl-citation.json"}</w:instrText>
      </w:r>
      <w:r w:rsidRPr="0056318B">
        <w:rPr>
          <w:vertAlign w:val="superscript"/>
        </w:rPr>
        <w:fldChar w:fldCharType="separate"/>
      </w:r>
      <w:r w:rsidR="001F530E" w:rsidRPr="0056318B">
        <w:rPr>
          <w:noProof/>
          <w:vertAlign w:val="superscript"/>
        </w:rPr>
        <w:t>60</w:t>
      </w:r>
      <w:r w:rsidRPr="0056318B">
        <w:rPr>
          <w:vertAlign w:val="superscript"/>
        </w:rPr>
        <w:fldChar w:fldCharType="end"/>
      </w:r>
    </w:p>
    <w:p w14:paraId="5C8F2B27" w14:textId="0EE87565" w:rsidR="00B96135" w:rsidRPr="00AF2419" w:rsidRDefault="00DF2A48" w:rsidP="007E2377">
      <w:pPr>
        <w:spacing w:line="360" w:lineRule="auto"/>
        <w:rPr>
          <w:color w:val="000000" w:themeColor="text1"/>
          <w:shd w:val="clear" w:color="auto" w:fill="FFFFFF"/>
        </w:rPr>
      </w:pPr>
      <w:r w:rsidRPr="0056318B">
        <w:rPr>
          <w:b/>
          <w:bCs/>
        </w:rPr>
        <w:t>Variable Importance in Projection (VIP) scores</w:t>
      </w:r>
    </w:p>
    <w:p w14:paraId="2EF86A96" w14:textId="733A593E" w:rsidR="00DF2A48" w:rsidRPr="001301EA" w:rsidRDefault="00DF2A48" w:rsidP="007E2377">
      <w:pPr>
        <w:spacing w:line="360" w:lineRule="auto"/>
      </w:pPr>
      <w:r w:rsidRPr="0056318B">
        <w:t>Variable Importance in Projection (VIP) scores are part or extension of the PLS-DA model that identifies the top variables that are guiding the variance projected in the axes of the PLS-DA.</w:t>
      </w:r>
      <w:r w:rsidR="001F04D6">
        <w:fldChar w:fldCharType="begin" w:fldLock="1"/>
      </w:r>
      <w:r w:rsidR="001F04D6">
        <w:instrText>ADDIN CSL_CITATION {"citationItems":[{"id":"ITEM-1","itemData":{"DOI":"https://doi.org/10.1016/j.chemolab.2023.104986","ISSN":"0169-7439","abstract":"Within the context of Partial Least Squares (PLS) regression, Variable Importance in the Projection (VIP) index is extensively used to highlight the relative importance of a given variable in predicting the response. Very often, it is used as a means to select relevant variables by retaining those variables with a VIP value greater than one. As a starting point of this paper, the VIP index is expressed in matrix notation and extended to (i) a subset of variables instead of one variable at a time and (ii) the framework of Principal Component Analysis (PCA). In a subsequent stage, it is proposed to assess the significance of the VIP values of a given subset of variables based on a permutation test. A fast variable selection procedure is then proposed, taking advantage of the first extension. The theory is illustrated using multiblock spectral and omics data.","author":[{"dropping-particle":"","family":"Mahieu","given":"Benjamin","non-dropping-particle":"","parse-names":false,"suffix":""},{"dropping-particle":"","family":"Qannari","given":"El Mostafa","non-dropping-particle":"","parse-names":false,"suffix":""},{"dropping-particle":"","family":"Jaillais","given":"Benoît","non-dropping-particle":"","parse-names":false,"suffix":""}],"container-title":"Chemometrics and Intelligent Laboratory Systems","id":"ITEM-1","issued":{"date-parts":[["2023"]]},"page":"104986","title":"Extension and significance testing of Variable Importance in Projection (VIP) indices in Partial Least Squares regression and Principal Components Analysis","type":"article-journal","volume":"242"},"uris":["http://www.mendeley.com/documents/?uuid=c1a08fc0-a744-468f-a7d4-725978f80288"]}],"mendeley":{"formattedCitation":"&lt;sup&gt;61&lt;/sup&gt;","plainTextFormattedCitation":"61","previouslyFormattedCitation":"&lt;sup&gt;61&lt;/sup&gt;"},"properties":{"noteIndex":0},"schema":"https://github.com/citation-style-language/schema/raw/master/csl-citation.json"}</w:instrText>
      </w:r>
      <w:r w:rsidR="001F04D6">
        <w:fldChar w:fldCharType="separate"/>
      </w:r>
      <w:r w:rsidR="001F04D6" w:rsidRPr="001F04D6">
        <w:rPr>
          <w:noProof/>
          <w:vertAlign w:val="superscript"/>
        </w:rPr>
        <w:t>61</w:t>
      </w:r>
      <w:r w:rsidR="001F04D6">
        <w:fldChar w:fldCharType="end"/>
      </w:r>
      <w:r w:rsidRPr="0056318B">
        <w:t xml:space="preserve"> It provides a measure of the variable’s contribution in the discrimination among groups displayed </w:t>
      </w:r>
      <w:r w:rsidRPr="0056318B">
        <w:lastRenderedPageBreak/>
        <w:t>in the PLS-DA model. The higher-ranking variable has the greater influence on the variance component driving the separate classification in groups.</w:t>
      </w:r>
      <w:r w:rsidR="001F04D6">
        <w:fldChar w:fldCharType="begin" w:fldLock="1"/>
      </w:r>
      <w:r w:rsidR="001F04D6">
        <w:instrText>ADDIN CSL_CITATION {"citationItems":[{"id":"ITEM-1","itemData":{"author":[{"dropping-particle":"","family":"Banerjee","given":"Priyanka","non-dropping-particle":"","parse-names":false,"suffix":""},{"dropping-particle":"","family":"Ghosh","given":"Sanghamitra","non-dropping-particle":"","parse-names":false,"suffix":""},{"dropping-particle":"","family":"Dutta","given":"Mainak","non-dropping-particle":"","parse-names":false,"suffix":""},{"dropping-particle":"","family":"Subramani","given":"Elavarasan","non-dropping-particle":"","parse-names":false,"suffix":""},{"dropping-particle":"","family":"Khalpada","given":"Jaydeep","non-dropping-particle":"","parse-names":false,"suffix":""},{"dropping-particle":"","family":"RoyChoudhury","given":"Sourav","non-dropping-particle":"","parse-names":false,"suffix":""},{"dropping-particle":"","family":"Chakravarty","given":"B","non-dropping-particle":"","parse-names":false,"suffix":""},{"dropping-particle":"","family":"Chaudhury","given":"K","non-dropping-particle":"","parse-names":false,"suffix":""}],"container-title":"PLOS ONE","id":"ITEM-1","issued":{"date-parts":[["2015"]]},"title":"Important features identified by PLS-DA and VIP scores","type":"article-journal","volume":"10"},"uris":["http://www.mendeley.com/documents/?uuid=2c39d99b-b192-4252-b672-4cb357d9f599"]}],"mendeley":{"formattedCitation":"&lt;sup&gt;62&lt;/sup&gt;","plainTextFormattedCitation":"62","previouslyFormattedCitation":"&lt;sup&gt;62&lt;/sup&gt;"},"properties":{"noteIndex":0},"schema":"https://github.com/citation-style-language/schema/raw/master/csl-citation.json"}</w:instrText>
      </w:r>
      <w:r w:rsidR="001F04D6">
        <w:fldChar w:fldCharType="separate"/>
      </w:r>
      <w:r w:rsidR="001F04D6" w:rsidRPr="001F04D6">
        <w:rPr>
          <w:noProof/>
          <w:vertAlign w:val="superscript"/>
        </w:rPr>
        <w:t>62</w:t>
      </w:r>
      <w:r w:rsidR="001F04D6">
        <w:fldChar w:fldCharType="end"/>
      </w:r>
      <w:r w:rsidRPr="0056318B">
        <w:t xml:space="preserve"> To analyze the VIP score plot, the variables with VIP scores higher than 1 are generally considered significant contributors to the class separation and are further investigated for their relevance to the system studied.</w:t>
      </w:r>
      <w:r w:rsidR="001F04D6">
        <w:fldChar w:fldCharType="begin" w:fldLock="1"/>
      </w:r>
      <w:r w:rsidR="001F04D6">
        <w:instrText>ADDIN CSL_CITATION {"citationItems":[{"id":"ITEM-1","itemData":{"DOI":"10.1186/s13020-023-00718-8","ISSN":"1749-8546","abstract":"Age and herb-drug combination are risk factors for the severity of Xiyanping injection (XYP) associated adverse events (AEs).","author":[{"dropping-particle":"","family":"Zheng","given":"Rui","non-dropping-particle":"","parse-names":false,"suffix":""},{"dropping-particle":"","family":"Chen","given":"Zhao","non-dropping-particle":"","parse-names":false,"suffix":""},{"dropping-particle":"","family":"Guan","given":"Zhiyue","non-dropping-particle":"","parse-names":false,"suffix":""},{"dropping-particle":"","family":"Zhao","given":"Chen","non-dropping-particle":"","parse-names":false,"suffix":""},{"dropping-particle":"","family":"Cui","given":"Herong","non-dropping-particle":"","parse-names":false,"suffix":""},{"dropping-particle":"","family":"Shang","given":"Hongcai","non-dropping-particle":"","parse-names":false,"suffix":""}],"container-title":"Chinese Medicine","id":"ITEM-1","issue":"1","issued":{"date-parts":[["2023"]]},"page":"15","title":"Variable importance for projection (VIP) scores for analyzing the contribution of risk factors in severe adverse events to Xiyanping injection","type":"article-journal","volume":"18"},"uris":["http://www.mendeley.com/documents/?uuid=aa6470b6-5088-4bb6-a76e-da78749f439c"]}],"mendeley":{"formattedCitation":"&lt;sup&gt;63&lt;/sup&gt;","plainTextFormattedCitation":"63"},"properties":{"noteIndex":0},"schema":"https://github.com/citation-style-language/schema/raw/master/csl-citation.json"}</w:instrText>
      </w:r>
      <w:r w:rsidR="001F04D6">
        <w:fldChar w:fldCharType="separate"/>
      </w:r>
      <w:r w:rsidR="001F04D6" w:rsidRPr="001F04D6">
        <w:rPr>
          <w:noProof/>
          <w:vertAlign w:val="superscript"/>
        </w:rPr>
        <w:t>63</w:t>
      </w:r>
      <w:r w:rsidR="001F04D6">
        <w:fldChar w:fldCharType="end"/>
      </w:r>
      <w:r w:rsidRPr="0056318B">
        <w:t xml:space="preserve"> In this study, the variables refer to the metabolites detected and of significance. All the VIP score plots are generated using </w:t>
      </w:r>
      <w:proofErr w:type="spellStart"/>
      <w:r w:rsidRPr="0056318B">
        <w:t>MetaboAnalyst</w:t>
      </w:r>
      <w:proofErr w:type="spellEnd"/>
      <w:r w:rsidRPr="0056318B">
        <w:t xml:space="preserve"> 6.0. These VIP score plots complemented the PLS-DA model facilitating deeper understanding of metabolic alteration in </w:t>
      </w:r>
      <w:proofErr w:type="spellStart"/>
      <w:r w:rsidRPr="001F04D6">
        <w:rPr>
          <w:i/>
          <w:iCs/>
        </w:rPr>
        <w:t>leptospira</w:t>
      </w:r>
      <w:proofErr w:type="spellEnd"/>
      <w:r w:rsidRPr="0056318B">
        <w:t xml:space="preserve"> growth under the experimental conditions of the study.</w:t>
      </w:r>
    </w:p>
    <w:p w14:paraId="0D119B2D" w14:textId="1EE4BF4D" w:rsidR="004F63BE" w:rsidRPr="0056318B" w:rsidRDefault="00DF2A48" w:rsidP="00AF2419">
      <w:pPr>
        <w:spacing w:line="360" w:lineRule="auto"/>
        <w:rPr>
          <w:b/>
          <w:bCs/>
        </w:rPr>
      </w:pPr>
      <w:r w:rsidRPr="0056318B">
        <w:rPr>
          <w:b/>
          <w:bCs/>
        </w:rPr>
        <w:t>Volcano plot</w:t>
      </w:r>
    </w:p>
    <w:p w14:paraId="10755325" w14:textId="23962A5C" w:rsidR="00DF2A48" w:rsidRPr="0056318B" w:rsidRDefault="00DF2A48" w:rsidP="002F04D4">
      <w:pPr>
        <w:spacing w:line="360" w:lineRule="auto"/>
      </w:pPr>
      <w:r w:rsidRPr="0056318B">
        <w:t>To visualize metabolites with significant alteration in abundance, volcano plots were used.</w:t>
      </w:r>
      <w:r w:rsidR="00A12682">
        <w:t xml:space="preserve"> </w:t>
      </w:r>
      <w:r w:rsidRPr="0056318B">
        <w:t>Usually log-10 (or log-2) fold changes are plotted on the x-axis referring to the magnitude of change, and log-10 (or log-2) p-values are plotted on the y-axis to signify the importance of that alteration. Thus, it provides an immediate display of which metabolic feature are of high difference compared to the groups relative to it.</w:t>
      </w:r>
      <w:r w:rsidRPr="0056318B">
        <w:rPr>
          <w:vertAlign w:val="superscript"/>
        </w:rPr>
        <w:fldChar w:fldCharType="begin" w:fldLock="1"/>
      </w:r>
      <w:r w:rsidR="001F04D6">
        <w:rPr>
          <w:vertAlign w:val="superscript"/>
        </w:rPr>
        <w:instrText>ADDIN CSL_CITATION {"citationItems":[{"id":"ITEM-1","itemData":{"DOI":"10.1039/D4NP00039K","ISSN":"0265-0568","abstract":"Covering: 2014 to 2023 for metabolomics, 2002 to 2023 for information visualization LC-MS/MS-based untargeted metabolomics is a rapidly developing research field spawning increasing numbers of computational metabolomics tools assisting researchers with their complex data processing, analysis, and interpretation tasks. In this article, we review the entire untargeted metabolomics workflow from the perspective of information visualization, visual analytics and visual data integration. Data visualization is a crucial step at every stage of the metabolomics workflow, where it provides core components of data inspection, evaluation, and sharing capabilities. However, due to the large number of available data analysis tools and corresponding visualization components, it is hard for both users and developers to get an overview of what is already available and which tools are suitable for their analysis. In addition, there is little cross-pollination between the fields of data visualization and metabolomics, leaving visual tools to be designed in a secondary and mostly ad hoc fashion. With this review, we aim to bridge the gap between the fields of untargeted metabolomics and data visualization. First, we introduce data visualization to the untargeted metabolomics field as a topic worthy of its own dedicated research, and provide a primer on cutting-edge visualization research into data visualization for both researchers as well as developers active in metabolomics. We extend this primer with a discussion of best practices for data visualization as they have emerged from data visualization studies. Second, we provide a practical roadmap to the visual tool landscape and its use within the untargeted metabolomics field. Here, for several computational analysis stages within the untargeted metabolomics workflow, we provide an overview of commonly used visual strategies with practical examples. In this context, we will also outline promising areas for further research and development. We end the review with a set of recommendations for developers and users on how to make the best use of visualizations for more effective and transparent communication of results.","author":[{"dropping-particle":"","family":"Mildau","given":"Kevin","non-dropping-particle":"","parse-names":false,"suffix":""},{"dropping-particle":"","family":"Ehlers","given":"Henry","non-dropping-particle":"","parse-names":false,"suffix":""},{"dropping-particle":"","family":"Meisenburg","given":"Mara","non-dropping-particle":"","parse-names":false,"suffix":""},{"dropping-particle":"","family":"Pup","given":"Elena","non-dropping-particle":"Del","parse-names":false,"suffix":""},{"dropping-particle":"","family":"Koetsier","given":"Robert A","non-dropping-particle":"","parse-names":false,"suffix":""},{"dropping-particle":"","family":"Torres Ortega","given":"Laura Rosina","non-dropping-particle":"","parse-names":false,"suffix":""},{"dropping-particle":"","family":"Jonge","given":"Niek F","non-dropping-particle":"de","parse-names":false,"suffix":""},{"dropping-particle":"","family":"Singh","given":"Kumar Saurabh","non-dropping-particle":"","parse-names":false,"suffix":""},{"dropping-particle":"","family":"Ferreira","given":"Dora","non-dropping-particle":"","parse-names":false,"suffix":""},{"dropping-particle":"","family":"Othibeng","given":"Kgalaletso","non-dropping-particle":"","parse-names":false,"suffix":""},{"dropping-particle":"","family":"Tugizimana","given":"Fidele","non-dropping-particle":"","parse-names":false,"suffix":""},{"dropping-particle":"","family":"Huber","given":"Florian","non-dropping-particle":"","parse-names":false,"suffix":""},{"dropping-particle":"","family":"Hooft","given":"Justin J J","non-dropping-particle":"van der","parse-names":false,"suffix":""}],"container-title":"Natural Product Reports","id":"ITEM-1","issue":"6","issued":{"date-parts":[["2025"]]},"page":"982-1019","publisher":"The Royal Society of Chemistry","title":"Effective data visualization strategies in untargeted metabolomics","type":"article-journal","volume":"42"},"uris":["http://www.mendeley.com/documents/?uuid=a937d1c0-5637-4dda-b591-78536d31de25"]}],"mendeley":{"formattedCitation":"&lt;sup&gt;64&lt;/sup&gt;","plainTextFormattedCitation":"64","previouslyFormattedCitation":"&lt;sup&gt;63&lt;/sup&gt;"},"properties":{"noteIndex":0},"schema":"https://github.com/citation-style-language/schema/raw/master/csl-citation.json"}</w:instrText>
      </w:r>
      <w:r w:rsidRPr="0056318B">
        <w:rPr>
          <w:vertAlign w:val="superscript"/>
        </w:rPr>
        <w:fldChar w:fldCharType="separate"/>
      </w:r>
      <w:r w:rsidR="001F04D6" w:rsidRPr="001F04D6">
        <w:rPr>
          <w:noProof/>
          <w:vertAlign w:val="superscript"/>
        </w:rPr>
        <w:t>64</w:t>
      </w:r>
      <w:r w:rsidRPr="0056318B">
        <w:rPr>
          <w:vertAlign w:val="superscript"/>
        </w:rPr>
        <w:fldChar w:fldCharType="end"/>
      </w:r>
      <w:r w:rsidRPr="0056318B">
        <w:t xml:space="preserve"> For statistical analysis using volcano plot </w:t>
      </w:r>
      <w:proofErr w:type="spellStart"/>
      <w:r w:rsidRPr="0056318B">
        <w:t>MetaboAnalyst</w:t>
      </w:r>
      <w:proofErr w:type="spellEnd"/>
      <w:r w:rsidRPr="0056318B">
        <w:t xml:space="preserve"> 6.0 was used for visualization.</w:t>
      </w:r>
      <w:r w:rsidRPr="0056318B">
        <w:fldChar w:fldCharType="begin" w:fldLock="1"/>
      </w:r>
      <w:r w:rsidR="00073673" w:rsidRPr="0056318B">
        <w:instrText>ADDIN CSL_CITATION {"citationItems":[{"id":"ITEM-1","itemData":{"DOI":"10.1093/nar/gkae253","ISSN":"0305-1048","abstract":"We introduce MetaboAnalyst version 6.0 as a unified platform for processing, analyzing, and interpreting data from targeted as well as untargeted metabolomics studies using liquid chromatography - mass spectrometry (LC–MS). The two main objectives in developing version 6.0 are to support tandem MS (MS2) data processing and annotation, as well as to support the analysis of data from exposomics studies and related experiments. Key features of MetaboAnalyst 6.0 include: (i) a significantly enhanced Spectra Processing module with support for MS2 data and the asari algorithm; (ii) a MS2 Peak Annotation module based on comprehensive MS2 reference databases with fragment-level annotation; (iii) a new Statistical Analysis module dedicated for handling complex study design with multiple factors or phenotypic descriptors; (iv) a Causal Analysis module for estimating metabolite - phenotype causal relations based on two-sample Mendelian randomization, and (v) a Dose-Response Analysis module for benchmark dose calculations. In addition, we have also improved MetaboAnalyst's visualization functions, updated its compound database and metabolite sets, and significantly expanded its pathway analysis support to around 130 species. MetaboAnalyst 6.0 is freely available at https://www.metaboanalyst.ca.","author":[{"dropping-particle":"","family":"Pang","given":"Zhiqiang","non-dropping-particle":"","parse-names":false,"suffix":""},{"dropping-particle":"","family":"Lu","given":"Yao","non-dropping-particle":"","parse-names":false,"suffix":""},{"dropping-particle":"","family":"Zhou","given":"Guangyan","non-dropping-particle":"","parse-names":false,"suffix":""},{"dropping-particle":"","family":"Hui","given":"Fiona","non-dropping-particle":"","parse-names":false,"suffix":""},{"dropping-particle":"","family":"Xu","given":"Lei","non-dropping-particle":"","parse-names":false,"suffix":""},{"dropping-particle":"","family":"Viau","given":"Charles","non-dropping-particle":"","parse-names":false,"suffix":""},{"dropping-particle":"","family":"Spigelman","given":"Aliya F","non-dropping-particle":"","parse-names":false,"suffix":""},{"dropping-particle":"","family":"MacDonald","given":"Patrick E","non-dropping-particle":"","parse-names":false,"suffix":""},{"dropping-particle":"","family":"Wishart","given":"David S","non-dropping-particle":"","parse-names":false,"suffix":""},{"dropping-particle":"","family":"Li","given":"Shuzhao","non-dropping-particle":"","parse-names":false,"suffix":""},{"dropping-particle":"","family":"Xia","given":"Jianguo","non-dropping-particle":"","parse-names":false,"suffix":""}],"container-title":"Nucleic Acids Research","id":"ITEM-1","issue":"W1","issued":{"date-parts":[["2024","7","5"]]},"page":"W398-W406","title":"MetaboAnalyst 6.0: towards a unified platform for metabolomics data processing, analysis and interpretation","type":"article-journal","volume":"52"},"uris":["http://www.mendeley.com/documents/?uuid=b6a5fe6f-5836-4bd7-bcbe-807914dde64b"]}],"mendeley":{"formattedCitation":"&lt;sup&gt;60&lt;/sup&gt;","plainTextFormattedCitation":"60","previouslyFormattedCitation":"&lt;sup&gt;60&lt;/sup&gt;"},"properties":{"noteIndex":0},"schema":"https://github.com/citation-style-language/schema/raw/master/csl-citation.json"}</w:instrText>
      </w:r>
      <w:r w:rsidRPr="0056318B">
        <w:fldChar w:fldCharType="separate"/>
      </w:r>
      <w:r w:rsidR="001F530E" w:rsidRPr="0056318B">
        <w:rPr>
          <w:noProof/>
        </w:rPr>
        <w:t>6</w:t>
      </w:r>
      <w:r w:rsidR="001F530E" w:rsidRPr="0056318B">
        <w:rPr>
          <w:noProof/>
          <w:vertAlign w:val="superscript"/>
        </w:rPr>
        <w:t>0</w:t>
      </w:r>
      <w:r w:rsidRPr="0056318B">
        <w:fldChar w:fldCharType="end"/>
      </w:r>
      <w:r w:rsidRPr="0056318B">
        <w:t xml:space="preserve"> Metabolites displayed on the far right of the plot shows the metabolites of highest fold changes and significance, which could make those metabolites a candidate of biological relevance.</w:t>
      </w:r>
      <w:r w:rsidRPr="0056318B">
        <w:rPr>
          <w:vertAlign w:val="superscript"/>
        </w:rPr>
        <w:fldChar w:fldCharType="begin" w:fldLock="1"/>
      </w:r>
      <w:r w:rsidR="001F04D6">
        <w:rPr>
          <w:vertAlign w:val="superscript"/>
        </w:rPr>
        <w:instrText>ADDIN CSL_CITATION {"citationItems":[{"id":"ITEM-1","itemData":{"DOI":"10.3390/METABO12040357","ISSN":"22181989","PMID":"35448542","abstract":"Metabolomics is an emerging field that quantifies numerous metabolites systematically. The key purpose of metabolomics is to identify the metabolites corresponding to each biological phenotype, and then provide an analysis of the mechanisms involved. Although metabolomics is important to understand the involved biological phenomena, the approach’s ability to obtain an exhaustive description of the processes is limited. Thus, an analysis‐integrated metabolomics, tran-scriptomics, proteomics, and other omics approach is recommended. Such integration of different omics data requires specialized statistical and bioinformatics software. This review focuses on the steps involved in metabolomics research and summarizes several main tools for metabolomics anal-yses. We also outline the most abnormal metabolic pathways in several cancers and diseases, and discuss the importance of multi‐omics integration algorithms. Overall, our goal is to summarize the current metabolomics analysis workflow and its main analysis software to provide useful insights for researchers to establish a preferable pipeline of metabolomics or multi‐omics analysis.","author":[{"dropping-particle":"","family":"Chen","given":"Yang","non-dropping-particle":"","parse-names":false,"suffix":""},{"dropping-particle":"","family":"Li","given":"En Min","non-dropping-particle":"","parse-names":false,"suffix":""},{"dropping-particle":"","family":"Xu","given":"Li Yan","non-dropping-particle":"","parse-names":false,"suffix":""}],"container-title":"Metabolites","id":"ITEM-1","issue":"4","issued":{"date-parts":[["2022","4","1"]]},"page":"357","publisher":"MDPI","title":"Guide to Metabolomics Analysis: A Bioinformatics Workflow","type":"article-journal","volume":"12"},"uris":["http://www.mendeley.com/documents/?uuid=df315c41-d54e-327d-9ad2-939ffbaf77a6"]}],"mendeley":{"formattedCitation":"&lt;sup&gt;65&lt;/sup&gt;","plainTextFormattedCitation":"65","previouslyFormattedCitation":"&lt;sup&gt;64&lt;/sup&gt;"},"properties":{"noteIndex":0},"schema":"https://github.com/citation-style-language/schema/raw/master/csl-citation.json"}</w:instrText>
      </w:r>
      <w:r w:rsidRPr="0056318B">
        <w:rPr>
          <w:vertAlign w:val="superscript"/>
        </w:rPr>
        <w:fldChar w:fldCharType="separate"/>
      </w:r>
      <w:r w:rsidR="001F04D6" w:rsidRPr="001F04D6">
        <w:rPr>
          <w:noProof/>
          <w:vertAlign w:val="superscript"/>
        </w:rPr>
        <w:t>65</w:t>
      </w:r>
      <w:r w:rsidRPr="0056318B">
        <w:rPr>
          <w:vertAlign w:val="superscript"/>
        </w:rPr>
        <w:fldChar w:fldCharType="end"/>
      </w:r>
    </w:p>
    <w:p w14:paraId="00036373" w14:textId="77777777" w:rsidR="00DF2A48" w:rsidRPr="00DF2A48" w:rsidRDefault="00DF2A48" w:rsidP="00DF2A48">
      <w:pPr>
        <w:spacing w:line="360" w:lineRule="auto"/>
        <w:rPr>
          <w:color w:val="000000" w:themeColor="text1"/>
        </w:rPr>
      </w:pPr>
    </w:p>
    <w:p w14:paraId="1D0ADE50" w14:textId="77777777" w:rsidR="00DF2A48" w:rsidRPr="00DF2A48" w:rsidRDefault="00DF2A48" w:rsidP="00DF2A48">
      <w:pPr>
        <w:spacing w:line="360" w:lineRule="auto"/>
        <w:rPr>
          <w:color w:val="000000" w:themeColor="text1"/>
        </w:rPr>
      </w:pPr>
    </w:p>
    <w:p w14:paraId="44FF6AFF" w14:textId="77777777" w:rsidR="00DF2A48" w:rsidRPr="00DF2A48" w:rsidRDefault="00DF2A48" w:rsidP="00DF2A48">
      <w:pPr>
        <w:spacing w:line="360" w:lineRule="auto"/>
        <w:ind w:left="360"/>
        <w:rPr>
          <w:color w:val="000000" w:themeColor="text1"/>
        </w:rPr>
      </w:pPr>
    </w:p>
    <w:p w14:paraId="15B88853" w14:textId="77777777" w:rsidR="00DF2A48" w:rsidRPr="00DF2A48" w:rsidRDefault="00DF2A48" w:rsidP="00DF2A48">
      <w:pPr>
        <w:rPr>
          <w:color w:val="000000" w:themeColor="text1"/>
        </w:rPr>
      </w:pPr>
      <w:r w:rsidRPr="00DF2A48">
        <w:rPr>
          <w:color w:val="000000" w:themeColor="text1"/>
        </w:rPr>
        <w:br w:type="page"/>
      </w:r>
    </w:p>
    <w:p w14:paraId="6352A58D" w14:textId="12296AC6" w:rsidR="00DF2A48" w:rsidRPr="00741511" w:rsidRDefault="00DF2A48" w:rsidP="00741511">
      <w:pPr>
        <w:spacing w:line="360" w:lineRule="auto"/>
        <w:jc w:val="center"/>
        <w:rPr>
          <w:b/>
          <w:bCs/>
          <w:color w:val="000000" w:themeColor="text1"/>
        </w:rPr>
      </w:pPr>
      <w:r w:rsidRPr="00741511">
        <w:rPr>
          <w:b/>
          <w:bCs/>
          <w:color w:val="000000" w:themeColor="text1"/>
        </w:rPr>
        <w:lastRenderedPageBreak/>
        <w:t>C</w:t>
      </w:r>
      <w:r w:rsidR="00741511" w:rsidRPr="00741511">
        <w:rPr>
          <w:b/>
          <w:bCs/>
          <w:color w:val="000000" w:themeColor="text1"/>
        </w:rPr>
        <w:t>hapter Three</w:t>
      </w:r>
    </w:p>
    <w:p w14:paraId="74A60469" w14:textId="720A550A" w:rsidR="00DF2A48" w:rsidRPr="00741511" w:rsidRDefault="00DF2A48" w:rsidP="00741511">
      <w:pPr>
        <w:pStyle w:val="Heading1"/>
        <w:spacing w:before="0" w:after="0" w:line="360" w:lineRule="auto"/>
        <w:jc w:val="center"/>
        <w:rPr>
          <w:rStyle w:val="Heading3Char"/>
        </w:rPr>
      </w:pPr>
      <w:r w:rsidRPr="00741511">
        <w:rPr>
          <w:rFonts w:ascii="Times New Roman" w:hAnsi="Times New Roman" w:cs="Times New Roman"/>
          <w:b/>
          <w:bCs/>
          <w:color w:val="auto"/>
          <w:sz w:val="24"/>
          <w:szCs w:val="24"/>
        </w:rPr>
        <w:t>R</w:t>
      </w:r>
      <w:r w:rsidR="00741511" w:rsidRPr="00741511">
        <w:rPr>
          <w:rFonts w:ascii="Times New Roman" w:hAnsi="Times New Roman" w:cs="Times New Roman"/>
          <w:b/>
          <w:bCs/>
          <w:color w:val="auto"/>
          <w:sz w:val="24"/>
          <w:szCs w:val="24"/>
        </w:rPr>
        <w:t>esults and</w:t>
      </w:r>
      <w:r w:rsidR="00B27434" w:rsidRPr="00741511">
        <w:rPr>
          <w:rFonts w:ascii="Times New Roman" w:hAnsi="Times New Roman" w:cs="Times New Roman"/>
          <w:b/>
          <w:bCs/>
          <w:color w:val="auto"/>
          <w:sz w:val="24"/>
          <w:szCs w:val="24"/>
        </w:rPr>
        <w:t xml:space="preserve"> </w:t>
      </w:r>
      <w:r w:rsidR="00B27434" w:rsidRPr="00741511">
        <w:rPr>
          <w:rStyle w:val="Heading3Char"/>
          <w:rFonts w:ascii="Times New Roman" w:hAnsi="Times New Roman" w:cs="Times New Roman"/>
          <w:b/>
          <w:bCs/>
          <w:color w:val="auto"/>
        </w:rPr>
        <w:t>A</w:t>
      </w:r>
      <w:r w:rsidR="00741511" w:rsidRPr="00741511">
        <w:rPr>
          <w:rStyle w:val="Heading3Char"/>
          <w:rFonts w:ascii="Times New Roman" w:hAnsi="Times New Roman" w:cs="Times New Roman"/>
          <w:b/>
          <w:bCs/>
          <w:color w:val="auto"/>
        </w:rPr>
        <w:t>nalysis</w:t>
      </w:r>
    </w:p>
    <w:p w14:paraId="7463D2F8" w14:textId="612A9133" w:rsidR="00FD7C17" w:rsidRPr="00DF2A48" w:rsidRDefault="00FD7C17" w:rsidP="007118EA">
      <w:pPr>
        <w:spacing w:line="360" w:lineRule="auto"/>
        <w:ind w:firstLine="720"/>
        <w:rPr>
          <w:color w:val="000000" w:themeColor="text1"/>
        </w:rPr>
      </w:pPr>
      <w:r w:rsidRPr="001F530E">
        <w:rPr>
          <w:color w:val="000000" w:themeColor="text1"/>
        </w:rPr>
        <w:t xml:space="preserve">In the experimental design, a total of seven variables were present across the whole dataset in the study of metabolic profiling during the growth of </w:t>
      </w:r>
      <w:r w:rsidR="007720A6" w:rsidRPr="001F530E">
        <w:rPr>
          <w:i/>
          <w:iCs/>
          <w:color w:val="000000" w:themeColor="text1"/>
        </w:rPr>
        <w:t>Leptospira in</w:t>
      </w:r>
      <w:r w:rsidRPr="001F530E">
        <w:rPr>
          <w:i/>
          <w:iCs/>
          <w:color w:val="000000" w:themeColor="text1"/>
        </w:rPr>
        <w:t xml:space="preserve"> vitro</w:t>
      </w:r>
      <w:r w:rsidR="007720A6" w:rsidRPr="001F530E">
        <w:rPr>
          <w:i/>
          <w:iCs/>
          <w:color w:val="000000" w:themeColor="text1"/>
        </w:rPr>
        <w:t xml:space="preserve">. </w:t>
      </w:r>
      <w:r w:rsidR="007720A6" w:rsidRPr="001F530E">
        <w:rPr>
          <w:color w:val="000000" w:themeColor="text1"/>
        </w:rPr>
        <w:t>Due to the complex nature of the dataset consisting of these variables, analysis and interpretation of data was carried out considering one parameter at a time.</w:t>
      </w:r>
    </w:p>
    <w:p w14:paraId="3EEC09AF" w14:textId="77777777" w:rsidR="00DF2A48" w:rsidRPr="00DF2A48" w:rsidRDefault="00DF2A48" w:rsidP="001301EA">
      <w:pPr>
        <w:pStyle w:val="ListParagraph"/>
        <w:numPr>
          <w:ilvl w:val="1"/>
          <w:numId w:val="11"/>
        </w:numPr>
        <w:spacing w:line="360" w:lineRule="auto"/>
        <w:rPr>
          <w:color w:val="000000" w:themeColor="text1"/>
        </w:rPr>
      </w:pPr>
      <w:r w:rsidRPr="00DF2A48">
        <w:rPr>
          <w:color w:val="000000" w:themeColor="text1"/>
        </w:rPr>
        <w:t xml:space="preserve">Choice of Media: </w:t>
      </w:r>
    </w:p>
    <w:p w14:paraId="003C4C94" w14:textId="644914D8" w:rsidR="00DF2A48" w:rsidRPr="00DF2A48" w:rsidRDefault="00DF2A48" w:rsidP="001301EA">
      <w:pPr>
        <w:pStyle w:val="ListParagraph"/>
        <w:numPr>
          <w:ilvl w:val="2"/>
          <w:numId w:val="11"/>
        </w:numPr>
        <w:spacing w:line="360" w:lineRule="auto"/>
        <w:rPr>
          <w:color w:val="000000" w:themeColor="text1"/>
        </w:rPr>
      </w:pPr>
      <w:r w:rsidRPr="00DF2A48">
        <w:rPr>
          <w:color w:val="000000" w:themeColor="text1"/>
        </w:rPr>
        <w:t xml:space="preserve">EMJH (in </w:t>
      </w:r>
      <w:r w:rsidR="007118EA">
        <w:rPr>
          <w:color w:val="000000" w:themeColor="text1"/>
        </w:rPr>
        <w:t>h</w:t>
      </w:r>
      <w:r w:rsidRPr="00DF2A48">
        <w:rPr>
          <w:color w:val="000000" w:themeColor="text1"/>
        </w:rPr>
        <w:t xml:space="preserve">ouse) </w:t>
      </w:r>
    </w:p>
    <w:p w14:paraId="2452809D" w14:textId="77777777" w:rsidR="00DF2A48" w:rsidRPr="00DF2A48" w:rsidRDefault="00DF2A48" w:rsidP="001301EA">
      <w:pPr>
        <w:pStyle w:val="ListParagraph"/>
        <w:numPr>
          <w:ilvl w:val="2"/>
          <w:numId w:val="11"/>
        </w:numPr>
        <w:spacing w:line="360" w:lineRule="auto"/>
        <w:rPr>
          <w:color w:val="000000" w:themeColor="text1"/>
        </w:rPr>
      </w:pPr>
      <w:r w:rsidRPr="00DF2A48">
        <w:rPr>
          <w:color w:val="000000" w:themeColor="text1"/>
        </w:rPr>
        <w:t>EMJH (Difco)</w:t>
      </w:r>
    </w:p>
    <w:p w14:paraId="0C1CDF61" w14:textId="77777777" w:rsidR="00DF2A48" w:rsidRPr="00DF2A48" w:rsidRDefault="00DF2A48" w:rsidP="001301EA">
      <w:pPr>
        <w:pStyle w:val="ListParagraph"/>
        <w:numPr>
          <w:ilvl w:val="1"/>
          <w:numId w:val="11"/>
        </w:numPr>
        <w:spacing w:line="360" w:lineRule="auto"/>
        <w:rPr>
          <w:color w:val="000000" w:themeColor="text1"/>
        </w:rPr>
      </w:pPr>
      <w:r w:rsidRPr="00DF2A48">
        <w:rPr>
          <w:color w:val="000000" w:themeColor="text1"/>
        </w:rPr>
        <w:t>Choice of temperatures:</w:t>
      </w:r>
    </w:p>
    <w:p w14:paraId="4AB25405" w14:textId="4EE43A54" w:rsidR="00DF2A48" w:rsidRPr="00DF2A48" w:rsidRDefault="00DF2A48" w:rsidP="001301EA">
      <w:pPr>
        <w:pStyle w:val="ListParagraph"/>
        <w:numPr>
          <w:ilvl w:val="2"/>
          <w:numId w:val="11"/>
        </w:numPr>
        <w:spacing w:line="360" w:lineRule="auto"/>
        <w:rPr>
          <w:color w:val="000000" w:themeColor="text1"/>
        </w:rPr>
      </w:pPr>
      <w:r w:rsidRPr="00DF2A48">
        <w:rPr>
          <w:color w:val="000000" w:themeColor="text1"/>
        </w:rPr>
        <w:t>28°C</w:t>
      </w:r>
      <w:r>
        <w:rPr>
          <w:color w:val="000000" w:themeColor="text1"/>
        </w:rPr>
        <w:t>.</w:t>
      </w:r>
      <w:r w:rsidRPr="00DF2A48">
        <w:rPr>
          <w:color w:val="000000" w:themeColor="text1"/>
        </w:rPr>
        <w:t xml:space="preserve"> 28°C-30°C temperatures are optimal temperature for </w:t>
      </w:r>
      <w:proofErr w:type="spellStart"/>
      <w:r w:rsidRPr="00DF2A48">
        <w:rPr>
          <w:i/>
          <w:iCs/>
          <w:color w:val="000000" w:themeColor="text1"/>
        </w:rPr>
        <w:t>leptospira</w:t>
      </w:r>
      <w:proofErr w:type="spellEnd"/>
      <w:r w:rsidRPr="00DF2A48">
        <w:rPr>
          <w:color w:val="000000" w:themeColor="text1"/>
        </w:rPr>
        <w:t xml:space="preserve"> bacterial growth.</w:t>
      </w:r>
      <w:r w:rsidRPr="00DF2A48">
        <w:rPr>
          <w:color w:val="000000" w:themeColor="text1"/>
        </w:rPr>
        <w:fldChar w:fldCharType="begin" w:fldLock="1"/>
      </w:r>
      <w:r w:rsidR="001F04D6">
        <w:rPr>
          <w:color w:val="000000" w:themeColor="text1"/>
        </w:rPr>
        <w:instrText>ADDIN CSL_CITATION {"citationItems":[{"id":"ITEM-1","itemData":{"DOI":"10.1038/S41598-020-66526-4;SUBJMETA=1320,1647,2234,2537,326,41,631;KWRD=BACTERIAL+TECHNIQUES+AND+APPLICATIONS,BACTERIOLOGY,MICROBIOLOGY,MICROBIOLOGY+TECHNIQUES","ISSN":"20452322","PMID":"32541841","abstract":"The causative agent of leptospirosis includes multiple serovars and species of pathogenic leptospires that are excreted via urine from reservoir hosts of infection. Primary isolation takes weeks to months, and is limited to semi-solid media at 28-30 °C. Here we present an alternative media formulation, HAN, compared to commercially available EMJH and the more specialized T80/40/LH media formulations, in semi-solid and liquid compositions, for the primary isolation of two diverse species and serovars of pathogenic leptospires directly from host kidney tissue. All three media types supported the isolation and propagation of L. interrogans serovar Copenhageni strain IC:20:001 in semi-solid media at 29 °C. However, only HAN and T80/40/LH supported the growth of L. borgpetersenii serovar Hardjo strain HB15B203 at 29 °C. In addition, HAN supported primary isolation at 37 °C. Both T80/40/LH and HAN supported primary isolation of strain IC:20:001 in liquid media at 29 °C but only HAN supported growth of strain HB15B203 in liquid media, at both 29 and 37 °C. HAN media supports the primary isolation of fastidious pathogenic leptospires directly from infected host tissue at either 29 or 37 °C: this formulation represents a more defined media for the continued optimization of growth factors required to support the primary isolation of the large and diverse range of species and serovars within the genus Leptospira circulating within domestic and wild animal populations.","author":[{"dropping-particle":"","family":"Hornsby","given":"Richard L.","non-dropping-particle":"","parse-names":false,"suffix":""},{"dropping-particle":"","family":"Alt","given":"David P.","non-dropping-particle":"","parse-names":false,"suffix":""},{"dropping-particle":"","family":"Nally","given":"Jarlath E.","non-dropping-particle":"","parse-names":false,"suffix":""}],"container-title":"Scientific reports","id":"ITEM-1","issue":"1","issued":{"date-parts":[["2020","6","15"]]},"page":"9620","publisher":"NLM (Medline)","title":"Isolation and propagation of leptospires at 37 °C directly from the mammalian host","type":"article-journal","volume":"10"},"uris":["http://www.mendeley.com/documents/?uuid=34731c42-3cff-39a1-9cfd-10d25ff505a0"]}],"mendeley":{"formattedCitation":"&lt;sup&gt;66&lt;/sup&gt;","plainTextFormattedCitation":"66","previouslyFormattedCitation":"&lt;sup&gt;65&lt;/sup&gt;"},"properties":{"noteIndex":0},"schema":"https://github.com/citation-style-language/schema/raw/master/csl-citation.json"}</w:instrText>
      </w:r>
      <w:r w:rsidRPr="00DF2A48">
        <w:rPr>
          <w:color w:val="000000" w:themeColor="text1"/>
        </w:rPr>
        <w:fldChar w:fldCharType="separate"/>
      </w:r>
      <w:r w:rsidR="001F04D6" w:rsidRPr="001F04D6">
        <w:rPr>
          <w:noProof/>
          <w:color w:val="000000" w:themeColor="text1"/>
          <w:vertAlign w:val="superscript"/>
        </w:rPr>
        <w:t>66</w:t>
      </w:r>
      <w:r w:rsidRPr="00DF2A48">
        <w:rPr>
          <w:color w:val="000000" w:themeColor="text1"/>
        </w:rPr>
        <w:fldChar w:fldCharType="end"/>
      </w:r>
      <w:r w:rsidRPr="00DF2A48">
        <w:rPr>
          <w:color w:val="000000" w:themeColor="text1"/>
        </w:rPr>
        <w:t xml:space="preserve"> </w:t>
      </w:r>
    </w:p>
    <w:p w14:paraId="364E1E1B" w14:textId="48047F7F" w:rsidR="00DF2A48" w:rsidRPr="00DF2A48" w:rsidRDefault="00DF2A48" w:rsidP="001301EA">
      <w:pPr>
        <w:pStyle w:val="ListParagraph"/>
        <w:numPr>
          <w:ilvl w:val="2"/>
          <w:numId w:val="11"/>
        </w:numPr>
        <w:spacing w:line="360" w:lineRule="auto"/>
        <w:rPr>
          <w:color w:val="000000" w:themeColor="text1"/>
        </w:rPr>
      </w:pPr>
      <w:r w:rsidRPr="00DF2A48">
        <w:rPr>
          <w:color w:val="000000" w:themeColor="text1"/>
        </w:rPr>
        <w:t xml:space="preserve">37°C. 37°C mimics temperature for mammalian host. Moreover, a temperature shift from 37°C-37°C shows a  overrepresentation of </w:t>
      </w:r>
      <w:proofErr w:type="spellStart"/>
      <w:r w:rsidRPr="00DF2A48">
        <w:rPr>
          <w:i/>
          <w:iCs/>
          <w:color w:val="000000" w:themeColor="text1"/>
        </w:rPr>
        <w:t>leptospira</w:t>
      </w:r>
      <w:proofErr w:type="spellEnd"/>
      <w:r w:rsidRPr="00DF2A48">
        <w:rPr>
          <w:color w:val="000000" w:themeColor="text1"/>
        </w:rPr>
        <w:t xml:space="preserve"> gene.</w:t>
      </w:r>
      <w:r w:rsidRPr="00DF2A48">
        <w:rPr>
          <w:color w:val="000000" w:themeColor="text1"/>
        </w:rPr>
        <w:fldChar w:fldCharType="begin" w:fldLock="1"/>
      </w:r>
      <w:r w:rsidR="001F04D6">
        <w:rPr>
          <w:color w:val="000000" w:themeColor="text1"/>
        </w:rPr>
        <w:instrText>ADDIN CSL_CITATION {"citationItems":[{"id":"ITEM-1","itemData":{"DOI":"10.1128/IAI.01619-06/SUPPL_FILE/SUPPLEMENTAL_DATA_REV2.ZIP","ISSN":"00199567","PMID":"17371863","abstract":"Transmission of pathogenic Leptospira between mammalian hosts usually involves dissemination via soil or water contaminated by the urine of carrier animals. The ability of Leptospira to adapt to the diverse conditions found inside and outside the host is reflected in its relatively large genome size and high percentage of signal transduction genes. An exception is Leptospira borgpetersenii serovar Hardjo, which is transmitted by direct contact and appears to have lost genes necessary for survival outside the mammalian host. Invasion of host tissues by Leptospira interrogans involves a transition from a low osmolar environment outside the host to a higher physiologic osmolar environment within the host. Expression of the lipoprotein LigA and LigB adhesins is strongly induced by an upshift in osmolarity to the level found in mammalian host tissues. These data suggest that Leptospira utilizes changes in osmolarity to regulate virulence characteristics. To better understand how L. interrogans serovar Copenhageni adapts to osmolar conditions that correspond with invasion of a mammalian host, we quantified alterations in transcript levels using whole-genome microarrays. Overnight exposure in leptospiral culture medium supplemented with sodium chloride to physiologic osmolarity significantly altered the transcript levels of 6% of L. interrogans genes. Repressed genes were significantly more likely to be absent or pseudogenes in L. borgpetersenii, suggesting that osmolarity is relevant in studying the adaptation of L. interrogans to host conditions. Genes induced by physiologic osmolarity encoded a higher than expected number of proteins involved in signal transduction. Further, genes predicted to encode lipoproteins and those coregulated by temperature were overrepresented among both salt-induced and salt-repressed genes. In contrast, leptospiral homologues of hyperosmotic or general stress genes were not induced at physiologic osmolarity. These findings suggest that physiologic osmolarity is an important signal for regulation of gene expression by pathogenic leptospires during transition from ambient conditions to the host tissue environment. Copyright © 2007, American Society for Microbiology. All Rights Reserved.","author":[{"dropping-particle":"","family":"Matsunaga","given":"James","non-dropping-particle":"","parse-names":false,"suffix":""},{"dropping-particle":"","family":"Lo","given":"Miranda","non-dropping-particle":"","parse-names":false,"suffix":""},{"dropping-particle":"","family":"Bulach","given":"Dieter M.","non-dropping-particle":"","parse-names":false,"suffix":""},{"dropping-particle":"","family":"Zuerner","given":"Richard L.","non-dropping-particle":"","parse-names":false,"suffix":""},{"dropping-particle":"","family":"Adler","given":"Ben","non-dropping-particle":"","parse-names":false,"suffix":""},{"dropping-particle":"","family":"Haake","given":"David A.","non-dropping-particle":"","parse-names":false,"suffix":""}],"container-title":"Infection and Immunity","id":"ITEM-1","issue":"6","issued":{"date-parts":[["2007","6"]]},"page":"2864-2874","publisher":"American Society for Microbiology","title":"Response of Leptospira interrogans to physiologic osmolarity: Relevance in signaling the environment-to-host transition","type":"article-journal","volume":"75"},"uris":["http://www.mendeley.com/documents/?uuid=7ecce413-2039-35ac-b55f-6e19993d76a2"]}],"mendeley":{"formattedCitation":"&lt;sup&gt;67&lt;/sup&gt;","plainTextFormattedCitation":"67","previouslyFormattedCitation":"&lt;sup&gt;66&lt;/sup&gt;"},"properties":{"noteIndex":0},"schema":"https://github.com/citation-style-language/schema/raw/master/csl-citation.json"}</w:instrText>
      </w:r>
      <w:r w:rsidRPr="00DF2A48">
        <w:rPr>
          <w:color w:val="000000" w:themeColor="text1"/>
        </w:rPr>
        <w:fldChar w:fldCharType="separate"/>
      </w:r>
      <w:r w:rsidR="001F04D6" w:rsidRPr="001F04D6">
        <w:rPr>
          <w:noProof/>
          <w:color w:val="000000" w:themeColor="text1"/>
          <w:vertAlign w:val="superscript"/>
        </w:rPr>
        <w:t>67</w:t>
      </w:r>
      <w:r w:rsidRPr="00DF2A48">
        <w:rPr>
          <w:color w:val="000000" w:themeColor="text1"/>
        </w:rPr>
        <w:fldChar w:fldCharType="end"/>
      </w:r>
    </w:p>
    <w:p w14:paraId="6DE5C6ED" w14:textId="77777777" w:rsidR="00DF2A48" w:rsidRPr="00DF2A48" w:rsidRDefault="00DF2A48" w:rsidP="001301EA">
      <w:pPr>
        <w:pStyle w:val="ListParagraph"/>
        <w:numPr>
          <w:ilvl w:val="1"/>
          <w:numId w:val="11"/>
        </w:numPr>
        <w:spacing w:line="360" w:lineRule="auto"/>
        <w:rPr>
          <w:color w:val="000000" w:themeColor="text1"/>
        </w:rPr>
      </w:pPr>
      <w:r w:rsidRPr="00DF2A48">
        <w:rPr>
          <w:color w:val="000000" w:themeColor="text1"/>
        </w:rPr>
        <w:t>Sample fraction</w:t>
      </w:r>
    </w:p>
    <w:p w14:paraId="230D5920" w14:textId="77777777" w:rsidR="00DF2A48" w:rsidRPr="00DF2A48" w:rsidRDefault="00DF2A48" w:rsidP="001301EA">
      <w:pPr>
        <w:pStyle w:val="ListParagraph"/>
        <w:numPr>
          <w:ilvl w:val="2"/>
          <w:numId w:val="11"/>
        </w:numPr>
        <w:spacing w:line="360" w:lineRule="auto"/>
        <w:rPr>
          <w:color w:val="000000" w:themeColor="text1"/>
        </w:rPr>
      </w:pPr>
      <w:r w:rsidRPr="00DF2A48">
        <w:rPr>
          <w:color w:val="000000" w:themeColor="text1"/>
        </w:rPr>
        <w:t>Cell pellets</w:t>
      </w:r>
    </w:p>
    <w:p w14:paraId="5220F12C" w14:textId="1F17E988" w:rsidR="00DF2A48" w:rsidRPr="00DF2A48" w:rsidRDefault="00DF2A48" w:rsidP="001301EA">
      <w:pPr>
        <w:pStyle w:val="ListParagraph"/>
        <w:numPr>
          <w:ilvl w:val="2"/>
          <w:numId w:val="11"/>
        </w:numPr>
        <w:spacing w:line="360" w:lineRule="auto"/>
        <w:rPr>
          <w:color w:val="000000" w:themeColor="text1"/>
        </w:rPr>
      </w:pPr>
      <w:r w:rsidRPr="00DF2A48">
        <w:rPr>
          <w:color w:val="000000" w:themeColor="text1"/>
        </w:rPr>
        <w:t xml:space="preserve">Supernatants </w:t>
      </w:r>
    </w:p>
    <w:p w14:paraId="7250C4DD" w14:textId="7C3D1414" w:rsidR="00DF2A48" w:rsidRPr="007118EA" w:rsidRDefault="00DF2A48" w:rsidP="007118EA">
      <w:pPr>
        <w:pStyle w:val="ListParagraph"/>
        <w:numPr>
          <w:ilvl w:val="2"/>
          <w:numId w:val="11"/>
        </w:numPr>
        <w:spacing w:line="360" w:lineRule="auto"/>
        <w:rPr>
          <w:color w:val="000000" w:themeColor="text1"/>
        </w:rPr>
      </w:pPr>
      <w:r w:rsidRPr="00DF2A48">
        <w:rPr>
          <w:color w:val="000000" w:themeColor="text1"/>
        </w:rPr>
        <w:t>Control media.</w:t>
      </w:r>
    </w:p>
    <w:p w14:paraId="1F9D3EC9" w14:textId="77777777" w:rsidR="00DF2A48" w:rsidRPr="00DF2A48" w:rsidRDefault="00DF2A48" w:rsidP="001301EA">
      <w:pPr>
        <w:spacing w:line="360" w:lineRule="auto"/>
        <w:ind w:firstLine="360"/>
        <w:rPr>
          <w:color w:val="000000" w:themeColor="text1"/>
        </w:rPr>
      </w:pPr>
      <w:r w:rsidRPr="00DF2A48">
        <w:rPr>
          <w:color w:val="000000" w:themeColor="text1"/>
        </w:rPr>
        <w:t>To analyze this complex dataset, the data analysis was broken down to 5 different groups.</w:t>
      </w:r>
    </w:p>
    <w:p w14:paraId="6E7E5918" w14:textId="77777777" w:rsidR="00DF2A48" w:rsidRPr="00DF2A48" w:rsidRDefault="00DF2A48" w:rsidP="001301EA">
      <w:pPr>
        <w:pStyle w:val="ListParagraph"/>
        <w:numPr>
          <w:ilvl w:val="0"/>
          <w:numId w:val="23"/>
        </w:numPr>
        <w:spacing w:line="360" w:lineRule="auto"/>
        <w:rPr>
          <w:rStyle w:val="Heading1Char"/>
          <w:rFonts w:ascii="Times New Roman" w:eastAsiaTheme="minorHAnsi" w:hAnsi="Times New Roman" w:cs="Times New Roman"/>
          <w:color w:val="000000" w:themeColor="text1"/>
          <w:sz w:val="24"/>
          <w:szCs w:val="24"/>
        </w:rPr>
      </w:pPr>
      <w:r w:rsidRPr="00DF2A48">
        <w:rPr>
          <w:color w:val="000000" w:themeColor="text1"/>
        </w:rPr>
        <w:t xml:space="preserve">Metabolomics investigation of the Temperature Effect on Growth of </w:t>
      </w:r>
      <w:r w:rsidRPr="00DF2A48">
        <w:rPr>
          <w:i/>
          <w:iCs/>
          <w:color w:val="000000" w:themeColor="text1"/>
        </w:rPr>
        <w:t>Leptospira</w:t>
      </w:r>
    </w:p>
    <w:p w14:paraId="002CD0C7" w14:textId="77777777" w:rsidR="00DF2A48" w:rsidRPr="00DF2A48" w:rsidRDefault="00DF2A48" w:rsidP="001301EA">
      <w:pPr>
        <w:pStyle w:val="ListParagraph"/>
        <w:numPr>
          <w:ilvl w:val="0"/>
          <w:numId w:val="23"/>
        </w:numPr>
        <w:spacing w:line="360" w:lineRule="auto"/>
        <w:rPr>
          <w:rStyle w:val="Heading1Char"/>
          <w:rFonts w:ascii="Times New Roman" w:hAnsi="Times New Roman" w:cs="Times New Roman"/>
          <w:color w:val="000000" w:themeColor="text1"/>
          <w:sz w:val="24"/>
          <w:szCs w:val="24"/>
        </w:rPr>
      </w:pPr>
      <w:r w:rsidRPr="00DF2A48">
        <w:rPr>
          <w:color w:val="000000" w:themeColor="text1"/>
        </w:rPr>
        <w:t xml:space="preserve">Metabolomics investigation of the Media Effect on Growth of </w:t>
      </w:r>
      <w:r w:rsidRPr="00DF2A48">
        <w:rPr>
          <w:i/>
          <w:iCs/>
          <w:color w:val="000000" w:themeColor="text1"/>
        </w:rPr>
        <w:t>Leptospira</w:t>
      </w:r>
    </w:p>
    <w:p w14:paraId="52521AB7" w14:textId="77777777" w:rsidR="00DF2A48" w:rsidRPr="00DF2A48" w:rsidRDefault="00DF2A48" w:rsidP="001301EA">
      <w:pPr>
        <w:pStyle w:val="ListParagraph"/>
        <w:numPr>
          <w:ilvl w:val="0"/>
          <w:numId w:val="23"/>
        </w:numPr>
        <w:spacing w:line="360" w:lineRule="auto"/>
        <w:rPr>
          <w:color w:val="000000" w:themeColor="text1"/>
        </w:rPr>
      </w:pPr>
      <w:r w:rsidRPr="00DF2A48">
        <w:rPr>
          <w:color w:val="000000" w:themeColor="text1"/>
        </w:rPr>
        <w:t>Cross comparison among sample fractions in each media and temperature component</w:t>
      </w:r>
    </w:p>
    <w:p w14:paraId="32D7AFB5" w14:textId="77777777" w:rsidR="00DF2A48" w:rsidRPr="00DF2A48" w:rsidRDefault="00DF2A48" w:rsidP="001301EA">
      <w:pPr>
        <w:pStyle w:val="ListParagraph"/>
        <w:numPr>
          <w:ilvl w:val="0"/>
          <w:numId w:val="23"/>
        </w:numPr>
        <w:spacing w:line="360" w:lineRule="auto"/>
        <w:rPr>
          <w:color w:val="000000" w:themeColor="text1"/>
        </w:rPr>
      </w:pPr>
      <w:r w:rsidRPr="00DF2A48">
        <w:rPr>
          <w:color w:val="000000" w:themeColor="text1"/>
        </w:rPr>
        <w:t>Cross comparison of each sample fraction in all growth parameters</w:t>
      </w:r>
    </w:p>
    <w:p w14:paraId="3C002146" w14:textId="7D3C1590" w:rsidR="007E2377" w:rsidRPr="007E2377" w:rsidRDefault="00DF2A48" w:rsidP="007E2377">
      <w:pPr>
        <w:pStyle w:val="ListParagraph"/>
        <w:numPr>
          <w:ilvl w:val="0"/>
          <w:numId w:val="23"/>
        </w:numPr>
        <w:spacing w:line="360" w:lineRule="auto"/>
        <w:rPr>
          <w:color w:val="000000" w:themeColor="text1"/>
        </w:rPr>
      </w:pPr>
      <w:r w:rsidRPr="00DF2A48">
        <w:rPr>
          <w:rFonts w:eastAsiaTheme="minorHAnsi"/>
          <w:color w:val="000000" w:themeColor="text1"/>
          <w:kern w:val="2"/>
          <w:lang w:bidi="ar-SA"/>
          <w14:ligatures w14:val="standardContextual"/>
        </w:rPr>
        <w:t xml:space="preserve">Integrative comparison of among sample fraction in both growth parameters </w:t>
      </w:r>
    </w:p>
    <w:p w14:paraId="26B4D4AB" w14:textId="77777777" w:rsidR="007E2377" w:rsidRPr="007E2377" w:rsidRDefault="007E2377" w:rsidP="007E2377">
      <w:pPr>
        <w:numPr>
          <w:ilvl w:val="0"/>
          <w:numId w:val="39"/>
        </w:numPr>
        <w:spacing w:line="360" w:lineRule="auto"/>
        <w:rPr>
          <w:b/>
          <w:bCs/>
          <w:color w:val="000000" w:themeColor="text1"/>
        </w:rPr>
      </w:pPr>
      <w:r w:rsidRPr="007E2377">
        <w:rPr>
          <w:b/>
          <w:bCs/>
          <w:color w:val="000000" w:themeColor="text1"/>
        </w:rPr>
        <w:t xml:space="preserve">Metabolomics investigation of the Temperature Effect on Growth of </w:t>
      </w:r>
      <w:r w:rsidRPr="007E2377">
        <w:rPr>
          <w:b/>
          <w:bCs/>
          <w:i/>
          <w:iCs/>
          <w:color w:val="000000" w:themeColor="text1"/>
        </w:rPr>
        <w:t>Leptospira</w:t>
      </w:r>
    </w:p>
    <w:p w14:paraId="3D63E644" w14:textId="7008C0B8" w:rsidR="007E2377" w:rsidRPr="007E2377" w:rsidRDefault="007E2377" w:rsidP="007E2377">
      <w:pPr>
        <w:spacing w:line="360" w:lineRule="auto"/>
        <w:rPr>
          <w:color w:val="000000" w:themeColor="text1"/>
        </w:rPr>
      </w:pPr>
      <w:r w:rsidRPr="007E2377">
        <w:rPr>
          <w:color w:val="000000" w:themeColor="text1"/>
        </w:rPr>
        <w:t>Temperature is known to affect the growth rate of a bacterial inoculation.</w:t>
      </w:r>
      <w:r w:rsidRPr="007E2377">
        <w:rPr>
          <w:color w:val="000000" w:themeColor="text1"/>
        </w:rPr>
        <w:fldChar w:fldCharType="begin" w:fldLock="1"/>
      </w:r>
      <w:r w:rsidRPr="007E2377">
        <w:rPr>
          <w:color w:val="000000" w:themeColor="text1"/>
        </w:rPr>
        <w:instrText>ADDIN CSL_CITATION {"citationItems":[{"id":"ITEM-1","itemData":{"DOI":"https://doi.org/10.1016/j.ijfoodmicro.2004.10.015","ISSN":"0168-1605","abstract":"Temperature effect on growth rates of Listeria monocytogenes, Salmonella, Escherichia coli, Clostridium perfringens and Bacillus cereus, was studied. Growth rates were obtained in laboratory medium by using a binary dilutions method in which 15 optical density curves were generated to determine one μ value. The temperature was in the range from 2 to 48 °C, depending on the bacterial species. Data were analysed after a square root transformation. No large difference between the strains of a same species was observed, and therefore all the strains of a same species were analysed together with the same secondary model. The variability of the residual error, including both measurements errors and biological strain difference, was homogenous for sub-optimal temperature values. To represent this variability in bacterial kinetic simulation, the 95% confidence interval based on an asymptotic Normal distribution, around the growth rate value was determined. With this modelling approach, the behaviour of bacterial species on food, irrespective of the strain or the laboratory, was described. This growth simulation with confidence limits has several applications, such as to facilitate comparisons between a challenge-test and simulation results, and, to appreciate if the temperature change has or has not a significant effect on a bacterial growth profile, with regard to the uncontrolled factors. The integration of this piece of work in the Sym'Previus software is now in process. Results obtained in five French laboratories will be extended by working on new food and new microbial species and improved by further work on variability estimation.","author":[{"dropping-particle":"","family":"Membré","given":"Jeanne-Marie","non-dropping-particle":"","parse-names":false,"suffix":""},{"dropping-particle":"","family":"Leporq","given":"Benoît","non-dropping-particle":"","parse-names":false,"suffix":""},{"dropping-particle":"","family":"Vialette","given":"Michèle","non-dropping-particle":"","parse-names":false,"suffix":""},{"dropping-particle":"","family":"Mettler","given":"Eric","non-dropping-particle":"","parse-names":false,"suffix":""},{"dropping-particle":"","family":"Perrier","given":"Louise","non-dropping-particle":"","parse-names":false,"suffix":""},{"dropping-particle":"","family":"Thuault","given":"Dominique","non-dropping-particle":"","parse-names":false,"suffix":""},{"dropping-particle":"","family":"Zwietering","given":"Marcel","non-dropping-particle":"","parse-names":false,"suffix":""}],"container-title":"International Journal of Food Microbiology","id":"ITEM-1","issue":"1","issued":{"date-parts":[["2005"]]},"page":"179-186","title":"Temperature effect on bacterial growth rate: quantitative microbiology approach including cardinal values and variability estimates to perform growth simulations on/in food","type":"article-journal","volume":"100"},"uris":["http://www.mendeley.com/documents/?uuid=f80cff5c-02c9-4cbd-921f-1bfc762bc9e8"]}],"mendeley":{"formattedCitation":"&lt;sup&gt;68&lt;/sup&gt;","plainTextFormattedCitation":"68","previouslyFormattedCitation":"&lt;sup&gt;67&lt;/sup&gt;"},"properties":{"noteIndex":0},"schema":"https://github.com/citation-style-language/schema/raw/master/csl-citation.json"}</w:instrText>
      </w:r>
      <w:r w:rsidRPr="007E2377">
        <w:rPr>
          <w:color w:val="000000" w:themeColor="text1"/>
        </w:rPr>
        <w:fldChar w:fldCharType="separate"/>
      </w:r>
      <w:r w:rsidRPr="007E2377">
        <w:rPr>
          <w:color w:val="000000" w:themeColor="text1"/>
          <w:vertAlign w:val="superscript"/>
        </w:rPr>
        <w:t>68</w:t>
      </w:r>
      <w:r w:rsidRPr="007E2377">
        <w:rPr>
          <w:color w:val="000000" w:themeColor="text1"/>
        </w:rPr>
        <w:fldChar w:fldCharType="end"/>
      </w:r>
      <w:r w:rsidRPr="007E2377">
        <w:rPr>
          <w:color w:val="000000" w:themeColor="text1"/>
          <w:vertAlign w:val="superscript"/>
        </w:rPr>
        <w:t>,</w:t>
      </w:r>
      <w:r w:rsidRPr="007E2377">
        <w:rPr>
          <w:color w:val="000000" w:themeColor="text1"/>
        </w:rPr>
        <w:fldChar w:fldCharType="begin" w:fldLock="1"/>
      </w:r>
      <w:r w:rsidRPr="007E2377">
        <w:rPr>
          <w:color w:val="000000" w:themeColor="text1"/>
        </w:rPr>
        <w:instrText>ADDIN CSL_CITATION {"citationItems":[{"id":"ITEM-1","itemData":{"DOI":"10.1007/s00248-024-02353-8","ISSN":"1432-184X","abstract":"Bacteria are key organisms in energy and nutrient cycles, and predicting the effects of temperature change on bacterial activity is important in assessing global change effects. A changing in situ temperature will affect the temperature adaptation of bacterial growth in lake water, both long term in response to global change, and short term in response to seasonal variations. The rate of adaptation may, however, depend on whether temperature is increasing or decreasing, since bacterial growth and turnover scale with temperature. Temperature adaptation was studied for winter (in situ temperature 2.5 °C) and summer communities (16.5 °C) from a temperate lake in Southern Sweden by exposing them to a temperature treatment gradient between 0 and 30 °C in ~ 5 °C increments. This resulted mainly in a temperature increase for the winter and a decrease for the summer community. Temperature adaptation of bacterial community growth was estimated as leucine incorporation using a temperature Sensitivity Index (SI, log growth at 35 °C/4 °C), where higher values indicate adaptation to higher temperatures. High treatment temperatures resulted in higher SI within days for the winter community, resulting in an expected level of community adaptation within 2 weeks. Adaptation for the summer community was also correlated to treatment temperature, but the rate of adaption was slower. Even after 5 weeks, the bacterial community had not fully adapted to the lowest temperature conditions. Thus, during periods of increasing temperature, the bacterial community will rapidly adapt to function optimally, while decreasing temperature may result in long periods of non-optimal functioning.","author":[{"dropping-particle":"","family":"Bååth","given":"Erland","non-dropping-particle":"","parse-names":false,"suffix":""},{"dropping-particle":"","family":"Kritzberg","given":"Emma S","non-dropping-particle":"","parse-names":false,"suffix":""}],"container-title":"Microbial Ecology","id":"ITEM-1","issue":"1","issued":{"date-parts":[["2024"]]},"page":"38","title":"Temperature Adaptation of Aquatic Bacterial Community Growth Is Faster in Response to Rising than to Falling Temperature","type":"article-journal","volume":"87"},"uris":["http://www.mendeley.com/documents/?uuid=f6b727e0-a37b-42df-89bc-30e459f2c017"]}],"mendeley":{"formattedCitation":"&lt;sup&gt;69&lt;/sup&gt;","plainTextFormattedCitation":"69","previouslyFormattedCitation":"&lt;sup&gt;68&lt;/sup&gt;"},"properties":{"noteIndex":0},"schema":"https://github.com/citation-style-language/schema/raw/master/csl-citation.json"}</w:instrText>
      </w:r>
      <w:r w:rsidRPr="007E2377">
        <w:rPr>
          <w:color w:val="000000" w:themeColor="text1"/>
        </w:rPr>
        <w:fldChar w:fldCharType="separate"/>
      </w:r>
      <w:r w:rsidRPr="007E2377">
        <w:rPr>
          <w:color w:val="000000" w:themeColor="text1"/>
          <w:vertAlign w:val="superscript"/>
        </w:rPr>
        <w:t>69</w:t>
      </w:r>
      <w:r w:rsidRPr="007E2377">
        <w:rPr>
          <w:color w:val="000000" w:themeColor="text1"/>
        </w:rPr>
        <w:fldChar w:fldCharType="end"/>
      </w:r>
      <w:r w:rsidRPr="007E2377">
        <w:rPr>
          <w:color w:val="000000" w:themeColor="text1"/>
        </w:rPr>
        <w:t xml:space="preserve"> To investigate how temperature affects the </w:t>
      </w:r>
      <w:proofErr w:type="spellStart"/>
      <w:r w:rsidRPr="007E2377">
        <w:rPr>
          <w:i/>
          <w:iCs/>
          <w:color w:val="000000" w:themeColor="text1"/>
        </w:rPr>
        <w:t>leptospira</w:t>
      </w:r>
      <w:proofErr w:type="spellEnd"/>
      <w:r w:rsidRPr="007E2377">
        <w:rPr>
          <w:color w:val="000000" w:themeColor="text1"/>
        </w:rPr>
        <w:t xml:space="preserve"> growth and influences its metabolic profile, comparisons were performed between pellets grown in media at varying temperatures.</w:t>
      </w:r>
      <w:r>
        <w:rPr>
          <w:color w:val="000000" w:themeColor="text1"/>
        </w:rPr>
        <w:t xml:space="preserve"> </w:t>
      </w:r>
      <w:r w:rsidRPr="007E2377">
        <w:rPr>
          <w:color w:val="000000" w:themeColor="text1"/>
        </w:rPr>
        <w:t>The comparisons performed were-</w:t>
      </w:r>
    </w:p>
    <w:p w14:paraId="2AA10DDC" w14:textId="77777777" w:rsidR="00806D23" w:rsidRDefault="007E2377" w:rsidP="00806D23">
      <w:pPr>
        <w:pStyle w:val="ListParagraph"/>
        <w:numPr>
          <w:ilvl w:val="0"/>
          <w:numId w:val="43"/>
        </w:numPr>
        <w:spacing w:line="360" w:lineRule="auto"/>
        <w:rPr>
          <w:rStyle w:val="Heading1Char"/>
          <w:rFonts w:ascii="Times New Roman" w:hAnsi="Times New Roman" w:cs="Times New Roman"/>
          <w:color w:val="000000" w:themeColor="text1"/>
          <w:sz w:val="24"/>
          <w:szCs w:val="24"/>
        </w:rPr>
      </w:pPr>
      <w:r w:rsidRPr="00DF2A48">
        <w:rPr>
          <w:rStyle w:val="Heading1Char"/>
          <w:rFonts w:ascii="Times New Roman" w:hAnsi="Times New Roman" w:cs="Times New Roman"/>
          <w:color w:val="000000" w:themeColor="text1"/>
          <w:sz w:val="24"/>
          <w:szCs w:val="24"/>
        </w:rPr>
        <w:t>Pellets grown in in EMJH (in house) media at 28°C and 37°C temperature</w:t>
      </w:r>
      <w:r>
        <w:rPr>
          <w:rStyle w:val="Heading1Char"/>
          <w:rFonts w:ascii="Times New Roman" w:hAnsi="Times New Roman" w:cs="Times New Roman"/>
          <w:color w:val="000000" w:themeColor="text1"/>
          <w:sz w:val="24"/>
          <w:szCs w:val="24"/>
        </w:rPr>
        <w:t xml:space="preserve"> </w:t>
      </w:r>
    </w:p>
    <w:p w14:paraId="47C3567B" w14:textId="709B509D" w:rsidR="00DF2A48" w:rsidRPr="00806D23" w:rsidRDefault="007E2377" w:rsidP="007E2377">
      <w:pPr>
        <w:pStyle w:val="ListParagraph"/>
        <w:numPr>
          <w:ilvl w:val="0"/>
          <w:numId w:val="43"/>
        </w:numPr>
        <w:spacing w:line="360" w:lineRule="auto"/>
        <w:rPr>
          <w:rStyle w:val="Heading1Char"/>
          <w:rFonts w:ascii="Times New Roman" w:hAnsi="Times New Roman" w:cs="Times New Roman"/>
          <w:color w:val="000000" w:themeColor="text1"/>
          <w:sz w:val="24"/>
          <w:szCs w:val="24"/>
        </w:rPr>
      </w:pPr>
      <w:r>
        <w:rPr>
          <w:rStyle w:val="Heading1Char"/>
          <w:rFonts w:ascii="Times New Roman" w:hAnsi="Times New Roman" w:cs="Times New Roman"/>
          <w:color w:val="000000" w:themeColor="text1"/>
          <w:sz w:val="24"/>
          <w:szCs w:val="24"/>
        </w:rPr>
        <w:lastRenderedPageBreak/>
        <w:t>Pellets</w:t>
      </w:r>
      <w:r w:rsidR="00806D23">
        <w:rPr>
          <w:rStyle w:val="Heading1Char"/>
          <w:rFonts w:ascii="Times New Roman" w:hAnsi="Times New Roman" w:cs="Times New Roman"/>
          <w:color w:val="000000" w:themeColor="text1"/>
          <w:sz w:val="24"/>
          <w:szCs w:val="24"/>
        </w:rPr>
        <w:t xml:space="preserve"> </w:t>
      </w:r>
      <w:r w:rsidR="00DF2A48" w:rsidRPr="00806D23">
        <w:rPr>
          <w:rStyle w:val="Heading1Char"/>
          <w:rFonts w:ascii="Times New Roman" w:hAnsi="Times New Roman" w:cs="Times New Roman"/>
          <w:color w:val="000000" w:themeColor="text1"/>
          <w:sz w:val="24"/>
          <w:szCs w:val="24"/>
        </w:rPr>
        <w:t>grown in in EMJH (Difco) media at 28°C and 37°C temperature</w:t>
      </w:r>
    </w:p>
    <w:p w14:paraId="2BD9833A" w14:textId="77777777" w:rsidR="00DF2A48" w:rsidRDefault="00DF2A48" w:rsidP="001301EA">
      <w:pPr>
        <w:spacing w:line="360" w:lineRule="auto"/>
        <w:ind w:firstLine="360"/>
        <w:rPr>
          <w:rStyle w:val="Heading1Char"/>
          <w:rFonts w:ascii="Times New Roman" w:hAnsi="Times New Roman" w:cs="Times New Roman"/>
          <w:color w:val="000000" w:themeColor="text1"/>
          <w:sz w:val="24"/>
          <w:szCs w:val="24"/>
        </w:rPr>
      </w:pPr>
      <w:r w:rsidRPr="00DF2A48">
        <w:rPr>
          <w:rStyle w:val="Heading1Char"/>
          <w:rFonts w:ascii="Times New Roman" w:hAnsi="Times New Roman" w:cs="Times New Roman"/>
          <w:color w:val="000000" w:themeColor="text1"/>
          <w:sz w:val="24"/>
          <w:szCs w:val="24"/>
        </w:rPr>
        <w:t xml:space="preserve">However, no growth of </w:t>
      </w:r>
      <w:proofErr w:type="spellStart"/>
      <w:r w:rsidRPr="00DF2A48">
        <w:rPr>
          <w:rStyle w:val="Heading1Char"/>
          <w:rFonts w:ascii="Times New Roman" w:hAnsi="Times New Roman" w:cs="Times New Roman"/>
          <w:i/>
          <w:iCs/>
          <w:color w:val="000000" w:themeColor="text1"/>
          <w:sz w:val="24"/>
          <w:szCs w:val="24"/>
        </w:rPr>
        <w:t>leptospira</w:t>
      </w:r>
      <w:proofErr w:type="spellEnd"/>
      <w:r w:rsidRPr="00DF2A48">
        <w:rPr>
          <w:rStyle w:val="Heading1Char"/>
          <w:rFonts w:ascii="Times New Roman" w:hAnsi="Times New Roman" w:cs="Times New Roman"/>
          <w:color w:val="000000" w:themeColor="text1"/>
          <w:sz w:val="24"/>
          <w:szCs w:val="24"/>
        </w:rPr>
        <w:t xml:space="preserve"> was observed in EMJH (Difco) media at 37°C. Therefore, comparison between pellets grown in in EMJH (Difco) media at 28°C and 37°C temperature could not be performed. </w:t>
      </w:r>
    </w:p>
    <w:p w14:paraId="32A458CF" w14:textId="77777777" w:rsidR="005E4DC5" w:rsidRPr="005E4DC5" w:rsidRDefault="005E4DC5" w:rsidP="005E4DC5">
      <w:pPr>
        <w:spacing w:line="360" w:lineRule="auto"/>
        <w:rPr>
          <w:rStyle w:val="Heading1Char"/>
          <w:rFonts w:ascii="Times New Roman" w:hAnsi="Times New Roman" w:cs="Times New Roman"/>
          <w:b/>
          <w:bCs/>
          <w:color w:val="000000" w:themeColor="text1"/>
          <w:sz w:val="24"/>
          <w:szCs w:val="24"/>
        </w:rPr>
      </w:pPr>
      <w:r w:rsidRPr="005E4DC5">
        <w:rPr>
          <w:b/>
          <w:bCs/>
          <w:color w:val="000000" w:themeColor="text1"/>
        </w:rPr>
        <w:t xml:space="preserve">Temperature effect comparison on growth of </w:t>
      </w:r>
      <w:proofErr w:type="spellStart"/>
      <w:r w:rsidRPr="005E4DC5">
        <w:rPr>
          <w:b/>
          <w:bCs/>
          <w:i/>
          <w:iCs/>
          <w:color w:val="000000" w:themeColor="text1"/>
        </w:rPr>
        <w:t>leptospira</w:t>
      </w:r>
      <w:proofErr w:type="spellEnd"/>
      <w:r w:rsidRPr="005E4DC5">
        <w:rPr>
          <w:rStyle w:val="Heading1Char"/>
          <w:rFonts w:ascii="Times New Roman" w:hAnsi="Times New Roman" w:cs="Times New Roman"/>
          <w:b/>
          <w:bCs/>
          <w:color w:val="000000" w:themeColor="text1"/>
          <w:sz w:val="24"/>
          <w:szCs w:val="24"/>
        </w:rPr>
        <w:t xml:space="preserve"> </w:t>
      </w:r>
    </w:p>
    <w:p w14:paraId="4347C0FA" w14:textId="126D857A" w:rsidR="00B27434" w:rsidRDefault="00B832F5" w:rsidP="00430C22">
      <w:pPr>
        <w:spacing w:line="360" w:lineRule="auto"/>
        <w:rPr>
          <w:color w:val="000000" w:themeColor="text1"/>
        </w:rPr>
      </w:pPr>
      <w:r w:rsidRPr="00B832F5">
        <w:rPr>
          <w:b/>
          <w:bCs/>
          <w:color w:val="000000" w:themeColor="text1"/>
        </w:rPr>
        <w:t>Figure</w:t>
      </w:r>
      <w:r w:rsidR="007E2377">
        <w:rPr>
          <w:b/>
          <w:bCs/>
          <w:color w:val="000000" w:themeColor="text1"/>
        </w:rPr>
        <w:t>s</w:t>
      </w:r>
      <w:r w:rsidRPr="00B832F5">
        <w:rPr>
          <w:b/>
          <w:bCs/>
          <w:color w:val="000000" w:themeColor="text1"/>
        </w:rPr>
        <w:t xml:space="preserve"> 1</w:t>
      </w:r>
      <w:r w:rsidR="002F04D4">
        <w:rPr>
          <w:b/>
          <w:bCs/>
          <w:color w:val="000000" w:themeColor="text1"/>
        </w:rPr>
        <w:t>-</w:t>
      </w:r>
      <w:r w:rsidR="00AF2419" w:rsidRPr="00B832F5">
        <w:rPr>
          <w:b/>
          <w:bCs/>
          <w:color w:val="000000" w:themeColor="text1"/>
        </w:rPr>
        <w:t xml:space="preserve">4 </w:t>
      </w:r>
      <w:r w:rsidR="00AF2419" w:rsidRPr="00AF2419">
        <w:rPr>
          <w:color w:val="000000" w:themeColor="text1"/>
        </w:rPr>
        <w:t>displays</w:t>
      </w:r>
      <w:r w:rsidR="002F04D4">
        <w:rPr>
          <w:b/>
          <w:bCs/>
          <w:color w:val="000000" w:themeColor="text1"/>
        </w:rPr>
        <w:t xml:space="preserve"> </w:t>
      </w:r>
      <w:r w:rsidRPr="00B832F5">
        <w:rPr>
          <w:color w:val="000000" w:themeColor="text1"/>
        </w:rPr>
        <w:t xml:space="preserve">the heatmap, PLS-DA, VIP score plot, and the volcano plot for comparison between pellets </w:t>
      </w:r>
      <w:r w:rsidRPr="00B832F5">
        <w:rPr>
          <w:rStyle w:val="Heading1Char"/>
          <w:rFonts w:ascii="Times New Roman" w:hAnsi="Times New Roman" w:cs="Times New Roman"/>
          <w:color w:val="000000" w:themeColor="text1"/>
          <w:sz w:val="24"/>
          <w:szCs w:val="24"/>
        </w:rPr>
        <w:t>grown in in EMJH (in house) media at 28°C and 37°C temperature</w:t>
      </w:r>
      <w:r>
        <w:rPr>
          <w:rStyle w:val="Heading1Char"/>
          <w:rFonts w:ascii="Times New Roman" w:hAnsi="Times New Roman" w:cs="Times New Roman"/>
          <w:color w:val="000000" w:themeColor="text1"/>
          <w:sz w:val="24"/>
          <w:szCs w:val="24"/>
        </w:rPr>
        <w:t xml:space="preserve"> respectively. </w:t>
      </w:r>
      <w:r>
        <w:rPr>
          <w:color w:val="000000" w:themeColor="text1"/>
        </w:rPr>
        <w:t xml:space="preserve"> </w:t>
      </w:r>
      <w:r w:rsidR="005E4DC5" w:rsidRPr="005E4DC5">
        <w:rPr>
          <w:color w:val="000000" w:themeColor="text1"/>
        </w:rPr>
        <w:t>According to the volcano plot</w:t>
      </w:r>
      <w:r w:rsidR="005E4DC5">
        <w:rPr>
          <w:color w:val="000000" w:themeColor="text1"/>
        </w:rPr>
        <w:t xml:space="preserve"> (</w:t>
      </w:r>
      <w:r w:rsidR="005E4DC5" w:rsidRPr="005E4DC5">
        <w:rPr>
          <w:b/>
          <w:bCs/>
          <w:color w:val="000000" w:themeColor="text1"/>
        </w:rPr>
        <w:t>Figure 4</w:t>
      </w:r>
      <w:r w:rsidR="005E4DC5">
        <w:rPr>
          <w:color w:val="000000" w:themeColor="text1"/>
        </w:rPr>
        <w:t>)</w:t>
      </w:r>
      <w:r w:rsidR="005E4DC5" w:rsidRPr="005E4DC5">
        <w:rPr>
          <w:color w:val="000000" w:themeColor="text1"/>
        </w:rPr>
        <w:t xml:space="preserve">, </w:t>
      </w:r>
      <w:r w:rsidR="005E4DC5">
        <w:rPr>
          <w:color w:val="000000" w:themeColor="text1"/>
        </w:rPr>
        <w:t>p</w:t>
      </w:r>
      <w:r w:rsidR="005E4DC5" w:rsidRPr="005E4DC5">
        <w:rPr>
          <w:color w:val="000000" w:themeColor="text1"/>
        </w:rPr>
        <w:t>hosphoryl ethanolamine, thymidine, glutamate, methionine, cystathionin</w:t>
      </w:r>
      <w:r w:rsidR="005E4DC5">
        <w:rPr>
          <w:color w:val="000000" w:themeColor="text1"/>
        </w:rPr>
        <w:t>e</w:t>
      </w:r>
      <w:r w:rsidR="005E4DC5" w:rsidRPr="005E4DC5">
        <w:rPr>
          <w:color w:val="000000" w:themeColor="text1"/>
        </w:rPr>
        <w:t xml:space="preserve"> are upregulated in pellet when grown in EMJH (in house) at 28°C. Phosphoryl ethanolamine is integral to phosphate group of lipid A, a constituent of the outer membrane of lipopolysaccharides</w:t>
      </w:r>
      <w:r w:rsidR="005E4DC5" w:rsidRPr="005E4DC5">
        <w:rPr>
          <w:color w:val="000000" w:themeColor="text1"/>
        </w:rPr>
        <w:fldChar w:fldCharType="begin" w:fldLock="1"/>
      </w:r>
      <w:r w:rsidR="005E4DC5" w:rsidRPr="005E4DC5">
        <w:rPr>
          <w:color w:val="000000" w:themeColor="text1"/>
        </w:rPr>
        <w:instrText>ADDIN CSL_CITATION {"citationItems":[{"id":"ITEM-1","itemData":{"DOI":"https://doi.org/10.1016/j.pharmthera.2021.107970","ISSN":"0163-7258","abstract":"Lipopolysaccharides (LPS) are the main components of the external leaflet of the Gram-negative outer membrane and consist of three different moieties: lipid A, core oligosaccharide, and O-polysaccharide. The lipid A is a glucosamine disaccharide with different levels of acylation and phosphorylation, beside carrying, in certain cases, additional substituents on the sugar backbone. It is also the main immunostimulatory part of the LPS, as its recognition by the host immune system represents a fundamental event for detection of perilous microorganisms. Moreover, an uncontrolled immune response caused by a large amount of circulating LPS can lead to dramatic outcomes for human health, such as septic shock. The immunostimulant properties of an LPS incredibly vary depending on lipid A chemical structure, and for this reason, natural and synthetic variants of the lipid A are under study to develop new drugs that mimic or antagonise its natural effects. Here, we review past and recent findings on the lipid A as an antibiotic target and immune-therapeutic molecule, with a special attention on the crucial role of the chemical structure and its exploitation for conceiving novel strategies for treatment of several immune-related pathologies.","author":[{"dropping-particle":"","family":"Garcia-Vello","given":"Pilar","non-dropping-particle":"","parse-names":false,"suffix":""},{"dropping-particle":"","family":"Lorenzo","given":"Flaviana","non-dropping-particle":"Di","parse-names":false,"suffix":""},{"dropping-particle":"","family":"Zucchetta","given":"Daniele","non-dropping-particle":"","parse-names":false,"suffix":""},{"dropping-particle":"","family":"Zamyatina","given":"Alla","non-dropping-particle":"","parse-names":false,"suffix":""},{"dropping-particle":"","family":"Castro","given":"Cristina","non-dropping-particle":"De","parse-names":false,"suffix":""},{"dropping-particle":"","family":"Molinaro","given":"Antonio","non-dropping-particle":"","parse-names":false,"suffix":""}],"container-title":"Pharmacology &amp; Therapeutics","id":"ITEM-1","issued":{"date-parts":[["2022"]]},"page":"107970","title":"Lipopolysaccharide lipid A: A promising molecule for new immunity-based therapies and antibiotics","type":"article-journal","volume":"230"},"uris":["http://www.mendeley.com/documents/?uuid=573e421f-9679-4635-9544-da091a0875f6"]}],"mendeley":{"formattedCitation":"&lt;sup&gt;70&lt;/sup&gt;","plainTextFormattedCitation":"70","previouslyFormattedCitation":"&lt;sup&gt;69&lt;/sup&gt;"},"properties":{"noteIndex":0},"schema":"https://github.com/citation-style-language/schema/raw/master/csl-citation.json"}</w:instrText>
      </w:r>
      <w:r w:rsidR="005E4DC5" w:rsidRPr="005E4DC5">
        <w:rPr>
          <w:color w:val="000000" w:themeColor="text1"/>
        </w:rPr>
        <w:fldChar w:fldCharType="separate"/>
      </w:r>
      <w:r w:rsidR="005E4DC5" w:rsidRPr="005E4DC5">
        <w:rPr>
          <w:noProof/>
          <w:color w:val="000000" w:themeColor="text1"/>
          <w:vertAlign w:val="superscript"/>
        </w:rPr>
        <w:t>70</w:t>
      </w:r>
      <w:r w:rsidR="005E4DC5" w:rsidRPr="005E4DC5">
        <w:rPr>
          <w:color w:val="000000" w:themeColor="text1"/>
        </w:rPr>
        <w:fldChar w:fldCharType="end"/>
      </w:r>
      <w:r w:rsidR="005E4DC5" w:rsidRPr="005E4DC5">
        <w:rPr>
          <w:color w:val="000000" w:themeColor="text1"/>
          <w:vertAlign w:val="superscript"/>
        </w:rPr>
        <w:t>,</w:t>
      </w:r>
      <w:r w:rsidR="005E4DC5" w:rsidRPr="005E4DC5">
        <w:rPr>
          <w:color w:val="000000" w:themeColor="text1"/>
          <w:vertAlign w:val="superscript"/>
        </w:rPr>
        <w:fldChar w:fldCharType="begin" w:fldLock="1"/>
      </w:r>
      <w:r w:rsidR="005E4DC5" w:rsidRPr="005E4DC5">
        <w:rPr>
          <w:color w:val="000000" w:themeColor="text1"/>
          <w:vertAlign w:val="superscript"/>
        </w:rPr>
        <w:instrText>ADDIN CSL_CITATION {"citationItems":[{"id":"ITEM-1","itemData":{"ISSN":"2235-2988","abstract":"Lipopolysaccharide (LPS) is a component of the outer membrane of almost all Gram-negative bacteria, and consists of lipid A, core sugars, and O-antigen.  LPS is recognized by Toll-like receptor 4 (TLR4) and MD-2 on host innate immune cells and can signal to activate the transcription factor NF</w:instrText>
      </w:r>
      <w:r w:rsidR="005E4DC5" w:rsidRPr="005E4DC5">
        <w:rPr>
          <w:color w:val="000000" w:themeColor="text1"/>
          <w:vertAlign w:val="superscript"/>
        </w:rPr>
        <w:instrText>B, leading to the production of pro-inflammatory cytokines that initiate and shape the adaptive immune response.\n\nMost of what is known about how LPS is recognized by the TLR4-MD-2 receptor complex on animal cells has been studied using Escherichia coli lipid A, which is a strong agonist of TLR4 signaling.  Recent work from several groups, including our own, has shown that several important pathogenic bacteria can modify their LPS or lipid A molecules in ways that significantly alter TLR4 signaling to NF</w:instrText>
      </w:r>
      <w:r w:rsidR="005E4DC5" w:rsidRPr="005E4DC5">
        <w:rPr>
          <w:color w:val="000000" w:themeColor="text1"/>
          <w:vertAlign w:val="superscript"/>
        </w:rPr>
        <w:instrText>B.  Thus, it has been hypothesized that expression of lipid A variants is one mechanism by which pathogens modulate or evade the host immune response.  Additionally, several key differences in the amino acid sequences of human and mouse TLR4-MD-2 receptors have been shown to alter the ability to recognize these variations in lipid A, suggesting a host-specific effect on the immune response to these pathogens.\n\nIn this review, we provide an overview of lipid A variants from several human pathogens, how the basic structure of lipid A is recognized by mouse and human TLR4-MD-2 receptor complexes, as well as how alteration of this pattern affects its recognition by TLR4 and impacts the downstream immune response.\n","author":[{"dropping-particle":"","family":"Maeshima","given":"Nina","non-dropping-particle":"","parse-names":false,"suffix":""},{"dropping-particle":"","family":"Fernandez","given":"Rachel","non-dropping-particle":"","parse-names":false,"suffix":""}],"container-title":"Frontiers in Cellular and Infection Microbiology","id":"ITEM-1","issued":{"date-parts":[["2013"]]},"title":"Recognition of lipid A variants by the TLR4-MD-2 receptor complex","type":"article-journal","volume":"Volume 3 -"},"uris":["http://www.mendeley.com/documents/?uuid=034ae323-7d98-41ad-b8c4-8e7ad6f0e036"]}],"mendeley":{"formattedCitation":"&lt;sup&gt;71&lt;/sup&gt;","plainTextFormattedCitation":"71","previouslyFormattedCitation":"&lt;sup&gt;70&lt;/sup&gt;"},"properties":{"noteIndex":0},"schema":"https://github.com/citation-style-language/schema/raw/master/csl-citation.json"}</w:instrText>
      </w:r>
      <w:r w:rsidR="005E4DC5" w:rsidRPr="005E4DC5">
        <w:rPr>
          <w:color w:val="000000" w:themeColor="text1"/>
          <w:vertAlign w:val="superscript"/>
        </w:rPr>
        <w:fldChar w:fldCharType="separate"/>
      </w:r>
      <w:r w:rsidR="005E4DC5" w:rsidRPr="005E4DC5">
        <w:rPr>
          <w:noProof/>
          <w:color w:val="000000" w:themeColor="text1"/>
          <w:vertAlign w:val="superscript"/>
        </w:rPr>
        <w:t>71</w:t>
      </w:r>
      <w:r w:rsidR="005E4DC5" w:rsidRPr="005E4DC5">
        <w:rPr>
          <w:color w:val="000000" w:themeColor="text1"/>
          <w:vertAlign w:val="superscript"/>
        </w:rPr>
        <w:fldChar w:fldCharType="end"/>
      </w:r>
      <w:r w:rsidR="005E4DC5" w:rsidRPr="005E4DC5">
        <w:rPr>
          <w:color w:val="000000" w:themeColor="text1"/>
        </w:rPr>
        <w:t xml:space="preserve"> in gram negative-bacteria such as </w:t>
      </w:r>
      <w:proofErr w:type="spellStart"/>
      <w:r w:rsidR="005E4DC5" w:rsidRPr="005E4DC5">
        <w:rPr>
          <w:i/>
          <w:iCs/>
          <w:color w:val="000000" w:themeColor="text1"/>
        </w:rPr>
        <w:t>leptospira</w:t>
      </w:r>
      <w:proofErr w:type="spellEnd"/>
      <w:r w:rsidR="005E4DC5" w:rsidRPr="005E4DC5">
        <w:rPr>
          <w:color w:val="000000" w:themeColor="text1"/>
        </w:rPr>
        <w:t xml:space="preserve"> in order to maintain their structural and functional role.</w:t>
      </w:r>
      <w:r w:rsidR="005E4DC5" w:rsidRPr="005E4DC5">
        <w:rPr>
          <w:color w:val="000000" w:themeColor="text1"/>
        </w:rPr>
        <w:fldChar w:fldCharType="begin" w:fldLock="1"/>
      </w:r>
      <w:r w:rsidR="005E4DC5" w:rsidRPr="005E4DC5">
        <w:rPr>
          <w:color w:val="000000" w:themeColor="text1"/>
        </w:rPr>
        <w:instrText>ADDIN CSL_CITATION {"citationItems":[{"id":"ITEM-1","itemData":{"DOI":"10.1128/mmbr.00193-23","author":[{"dropping-particle":"","family":"Anna","given":"Schumann","non-dropping-particle":"","parse-names":false,"suffix":""},{"dropping-particle":"","family":"Ahmed","given":"Gaballa","non-dropping-particle":"","parse-names":false,"suffix":""},{"dropping-particle":"","family":"Martin","given":"Wiedmann","non-dropping-particle":"","parse-names":false,"suffix":""}],"container-title":"Microbiology and Molecular Biology Reviews","id":"ITEM-1","issue":"4","issued":{"date-parts":[["2024","10","9"]]},"note":"doi: 10.1128/mmbr.00193-23","page":"e00193-23","publisher":"American Society for Microbiology","title":"The multifaceted roles of phosphoethanolamine-modified lipopolysaccharides: from stress response and virulence to cationic antimicrobial resistance","type":"article-journal","volume":"88"},"uris":["http://www.mendeley.com/documents/?uuid=f8ca106a-cda6-482d-abd7-017a63703089"]}],"mendeley":{"formattedCitation":"&lt;sup&gt;72&lt;/sup&gt;","plainTextFormattedCitation":"72","previouslyFormattedCitation":"&lt;sup&gt;71&lt;/sup&gt;"},"properties":{"noteIndex":0},"schema":"https://github.com/citation-style-language/schema/raw/master/csl-citation.json"}</w:instrText>
      </w:r>
      <w:r w:rsidR="005E4DC5" w:rsidRPr="005E4DC5">
        <w:rPr>
          <w:color w:val="000000" w:themeColor="text1"/>
        </w:rPr>
        <w:fldChar w:fldCharType="separate"/>
      </w:r>
      <w:r w:rsidR="005E4DC5" w:rsidRPr="005E4DC5">
        <w:rPr>
          <w:noProof/>
          <w:color w:val="000000" w:themeColor="text1"/>
          <w:vertAlign w:val="superscript"/>
        </w:rPr>
        <w:t>72</w:t>
      </w:r>
      <w:r w:rsidR="005E4DC5" w:rsidRPr="005E4DC5">
        <w:rPr>
          <w:color w:val="000000" w:themeColor="text1"/>
        </w:rPr>
        <w:fldChar w:fldCharType="end"/>
      </w:r>
      <w:r w:rsidR="005E4DC5" w:rsidRPr="005E4DC5">
        <w:rPr>
          <w:color w:val="000000" w:themeColor="text1"/>
          <w:vertAlign w:val="superscript"/>
        </w:rPr>
        <w:t>,</w:t>
      </w:r>
      <w:r w:rsidR="005E4DC5" w:rsidRPr="005E4DC5">
        <w:rPr>
          <w:color w:val="000000" w:themeColor="text1"/>
        </w:rPr>
        <w:fldChar w:fldCharType="begin" w:fldLock="1"/>
      </w:r>
      <w:r w:rsidR="005E4DC5" w:rsidRPr="005E4DC5">
        <w:rPr>
          <w:color w:val="000000" w:themeColor="text1"/>
        </w:rPr>
        <w:instrText>ADDIN CSL_CITATION {"citationItems":[{"id":"ITEM-1","itemData":{"DOI":"https://doi.org/10.1016/j.cis.2022.102603","ISSN":"0001-8686","abstract":"Lipopolysaccharides (LPSs) are a constitutive element of the cell envelope of Gram-negative bacteria, representing the main lipid in the external leaflet of their outer membrane (OM) lipid bilayer. These unique surface-exposed glycolipids play a central role in the interactions of Gram-negative organisms with their surrounding environment and represent a key element for protection against antimicrobials and the development of antibiotic resistance. The biophysical investigation of a wide range of different types of in vitro model membranes containing reconstituted LPS has revealed functional and structural properties of these peculiar membrane lipids, providing molecular-level details of their interaction with antimicrobial compounds. LPS assemblies reconstituted at interfaces represent a versatile tool to study the properties of the Gram-negative OM by exploiting several surface-sensitive techniques, in particular X-ray and neutron scattering, which can probe the structure of thin films with sub-nanometer resolution. This review provides an overview of different approaches employed to investigate structural and biophysical properties of LPS, focusing on studies on Langmuir monolayers of LPS at the air/liquid interface and a range of supported LPS-containing model membranes reconstituted at solid/liquid interfaces.","author":[{"dropping-particle":"","family":"Paracini","given":"Nicoló","non-dropping-particle":"","parse-names":false,"suffix":""},{"dropping-particle":"","family":"Schneck","given":"Emanuel","non-dropping-particle":"","parse-names":false,"suffix":""},{"dropping-particle":"","family":"Imberty","given":"Anne","non-dropping-particle":"","parse-names":false,"suffix":""},{"dropping-particle":"","family":"Micciulla","given":"Samantha","non-dropping-particle":"","parse-names":false,"suffix":""}],"container-title":"Advances in Colloid and Interface Science","id":"ITEM-1","issued":{"date-parts":[["2022"]]},"page":"102603","title":"Lipopolysaccharides at Solid and Liquid Interfaces: Models for Biophysical Studies of the Gram-negative Bacterial Outer Membrane","type":"article-journal","volume":"301"},"uris":["http://www.mendeley.com/documents/?uuid=debedd3c-3410-4ed2-a118-777975678d38"]}],"mendeley":{"formattedCitation":"&lt;sup&gt;73&lt;/sup&gt;","plainTextFormattedCitation":"73","previouslyFormattedCitation":"&lt;sup&gt;72&lt;/sup&gt;"},"properties":{"noteIndex":0},"schema":"https://github.com/citation-style-language/schema/raw/master/csl-citation.json"}</w:instrText>
      </w:r>
      <w:r w:rsidR="005E4DC5" w:rsidRPr="005E4DC5">
        <w:rPr>
          <w:color w:val="000000" w:themeColor="text1"/>
        </w:rPr>
        <w:fldChar w:fldCharType="separate"/>
      </w:r>
      <w:r w:rsidR="005E4DC5" w:rsidRPr="005E4DC5">
        <w:rPr>
          <w:noProof/>
          <w:color w:val="000000" w:themeColor="text1"/>
          <w:vertAlign w:val="superscript"/>
        </w:rPr>
        <w:t>73</w:t>
      </w:r>
      <w:r w:rsidR="005E4DC5" w:rsidRPr="005E4DC5">
        <w:rPr>
          <w:color w:val="000000" w:themeColor="text1"/>
        </w:rPr>
        <w:fldChar w:fldCharType="end"/>
      </w:r>
      <w:r w:rsidR="005E4DC5" w:rsidRPr="005E4DC5">
        <w:rPr>
          <w:color w:val="000000" w:themeColor="text1"/>
        </w:rPr>
        <w:t xml:space="preserve"> </w:t>
      </w:r>
      <w:r w:rsidR="005E4DC5" w:rsidRPr="005E4DC5">
        <w:rPr>
          <w:rStyle w:val="identifier"/>
          <w:color w:val="000000" w:themeColor="text1"/>
        </w:rPr>
        <w:t>It is associated with maintaining structural membrane integrity, stress response and virulence.</w:t>
      </w:r>
      <w:r w:rsidR="005E4DC5" w:rsidRPr="005E4DC5">
        <w:rPr>
          <w:rStyle w:val="identifier"/>
          <w:color w:val="000000" w:themeColor="text1"/>
        </w:rPr>
        <w:fldChar w:fldCharType="begin" w:fldLock="1"/>
      </w:r>
      <w:r w:rsidR="005E4DC5" w:rsidRPr="005E4DC5">
        <w:rPr>
          <w:rStyle w:val="identifier"/>
          <w:color w:val="000000" w:themeColor="text1"/>
        </w:rPr>
        <w:instrText>ADDIN CSL_CITATION {"citationItems":[{"id":"ITEM-1","itemData":{"DOI":"10.1128/mmbr.00193-23","author":[{"dropping-particle":"","family":"Anna","given":"Schumann","non-dropping-particle":"","parse-names":false,"suffix":""},{"dropping-particle":"","family":"Ahmed","given":"Gaballa","non-dropping-particle":"","parse-names":false,"suffix":""},{"dropping-particle":"","family":"Martin","given":"Wiedmann","non-dropping-particle":"","parse-names":false,"suffix":""}],"container-title":"Microbiology and Molecular Biology Reviews","id":"ITEM-1","issue":"4","issued":{"date-parts":[["2024","10","9"]]},"note":"doi: 10.1128/mmbr.00193-23","page":"e00193-23","publisher":"American Society for Microbiology","title":"The multifaceted roles of phosphoethanolamine-modified lipopolysaccharides: from stress response and virulence to cationic antimicrobial resistance","type":"article-journal","volume":"88"},"uris":["http://www.mendeley.com/documents/?uuid=f8ca106a-cda6-482d-abd7-017a63703089"]}],"mendeley":{"formattedCitation":"&lt;sup&gt;72&lt;/sup&gt;","plainTextFormattedCitation":"72","previouslyFormattedCitation":"&lt;sup&gt;71&lt;/sup&gt;"},"properties":{"noteIndex":0},"schema":"https://github.com/citation-style-language/schema/raw/master/csl-citation.json"}</w:instrText>
      </w:r>
      <w:r w:rsidR="005E4DC5" w:rsidRPr="005E4DC5">
        <w:rPr>
          <w:rStyle w:val="identifier"/>
          <w:color w:val="000000" w:themeColor="text1"/>
        </w:rPr>
        <w:fldChar w:fldCharType="separate"/>
      </w:r>
      <w:r w:rsidR="005E4DC5" w:rsidRPr="005E4DC5">
        <w:rPr>
          <w:rStyle w:val="identifier"/>
          <w:noProof/>
          <w:color w:val="000000" w:themeColor="text1"/>
          <w:vertAlign w:val="superscript"/>
        </w:rPr>
        <w:t>72</w:t>
      </w:r>
      <w:r w:rsidR="005E4DC5" w:rsidRPr="005E4DC5">
        <w:rPr>
          <w:rStyle w:val="identifier"/>
          <w:color w:val="000000" w:themeColor="text1"/>
        </w:rPr>
        <w:fldChar w:fldCharType="end"/>
      </w:r>
      <w:r>
        <w:rPr>
          <w:rStyle w:val="identifier"/>
          <w:rFonts w:eastAsiaTheme="majorEastAsia"/>
          <w:color w:val="000000" w:themeColor="text1"/>
        </w:rPr>
        <w:t xml:space="preserve"> </w:t>
      </w:r>
      <w:r w:rsidR="005E4DC5" w:rsidRPr="005E4DC5">
        <w:rPr>
          <w:rStyle w:val="identifier"/>
          <w:color w:val="000000" w:themeColor="text1"/>
        </w:rPr>
        <w:t xml:space="preserve">Glutamate is linked to amino acid metabolism for some </w:t>
      </w:r>
      <w:proofErr w:type="spellStart"/>
      <w:r w:rsidR="005E4DC5" w:rsidRPr="005E4DC5">
        <w:rPr>
          <w:rStyle w:val="identifier"/>
          <w:i/>
          <w:iCs/>
          <w:color w:val="000000" w:themeColor="text1"/>
        </w:rPr>
        <w:t>leptospira</w:t>
      </w:r>
      <w:proofErr w:type="spellEnd"/>
      <w:r w:rsidR="005E4DC5" w:rsidRPr="005E4DC5">
        <w:rPr>
          <w:rStyle w:val="identifier"/>
          <w:color w:val="000000" w:themeColor="text1"/>
        </w:rPr>
        <w:t xml:space="preserve"> species but is not specifically noted as </w:t>
      </w:r>
      <w:proofErr w:type="spellStart"/>
      <w:r w:rsidR="005E4DC5" w:rsidRPr="005E4DC5">
        <w:rPr>
          <w:rStyle w:val="identifier"/>
          <w:i/>
          <w:iCs/>
          <w:color w:val="000000" w:themeColor="text1"/>
        </w:rPr>
        <w:t>leptospira</w:t>
      </w:r>
      <w:proofErr w:type="spellEnd"/>
      <w:r w:rsidR="005E4DC5" w:rsidRPr="005E4DC5">
        <w:rPr>
          <w:rStyle w:val="identifier"/>
          <w:color w:val="000000" w:themeColor="text1"/>
        </w:rPr>
        <w:t xml:space="preserve"> specific growth marker. However, lack of a  l-glutamate reducing enzyme predicts a lower growth in </w:t>
      </w:r>
      <w:r w:rsidR="005E4DC5" w:rsidRPr="005E4DC5">
        <w:rPr>
          <w:rStyle w:val="identifier"/>
          <w:i/>
          <w:iCs/>
          <w:color w:val="000000" w:themeColor="text1"/>
        </w:rPr>
        <w:t>L</w:t>
      </w:r>
      <w:r w:rsidR="005E4DC5" w:rsidRPr="005E4DC5">
        <w:rPr>
          <w:rStyle w:val="identifier"/>
          <w:color w:val="000000" w:themeColor="text1"/>
        </w:rPr>
        <w:t xml:space="preserve">. </w:t>
      </w:r>
      <w:r w:rsidR="005E4DC5" w:rsidRPr="005E4DC5">
        <w:rPr>
          <w:rStyle w:val="identifier"/>
          <w:i/>
          <w:iCs/>
          <w:color w:val="000000" w:themeColor="text1"/>
        </w:rPr>
        <w:t>interorgan</w:t>
      </w:r>
      <w:r w:rsidR="005E4DC5" w:rsidRPr="005E4DC5">
        <w:rPr>
          <w:rStyle w:val="identifier"/>
          <w:color w:val="000000" w:themeColor="text1"/>
        </w:rPr>
        <w:t>.</w:t>
      </w:r>
      <w:r w:rsidR="005E4DC5" w:rsidRPr="005E4DC5">
        <w:rPr>
          <w:rStyle w:val="identifier"/>
          <w:color w:val="000000" w:themeColor="text1"/>
        </w:rPr>
        <w:fldChar w:fldCharType="begin" w:fldLock="1"/>
      </w:r>
      <w:r w:rsidR="005E4DC5" w:rsidRPr="005E4DC5">
        <w:rPr>
          <w:rStyle w:val="identifier"/>
          <w:color w:val="000000" w:themeColor="text1"/>
        </w:rPr>
        <w:instrText>ADDIN CSL_CITATION {"citationItems":[{"id":"ITEM-1","itemData":{"DOI":"10.1371/JOURNAL.PNTD.0004403","ISSN":"19352735","PMID":"26890609","abstract":"Leptospirosis, caused by spirochetes of the genus Leptospira, is a globally widespread, neglected and emerging zoonotic disease. While whole genome analysis of individual pathogenic, intermediately pathogenic and saprophytic Leptospira species has been reported, comprehensive cross-species genomic comparison of all known species of infectious and non-infectious Leptospira, with the goal of identifying genes related to pathogenesis and mammalian host adaptation, remains a key gap in the field. Infectious Leptospira, comprised of pathogenic and intermediately pathogenic Leptospira, evolutionarily diverged from non-infectious, saprophytic Leptospira, as demonstrated by the following computational biology analyses: 1) the definitive taxonomy and evolutionary relatedness among all known Leptospira species; 2) genomically-predicted metabolic reconstructions that indicate novel adaptation of infectious Leptospira to mammals, including sialic acid biosynthesis, pathogen-specific porphyrin metabolism and the first-time demonstration of cobalamin (B12) autotrophy as a bacterial virulence factor; 3) CRISPR/Cas systems demonstrated only to be present in pathogenic Leptospira, suggesting a potential mechanism for this clade’s refractoriness to gene targeting; 4) finding Leptospira pathogen-specific specialized protein secretion systems; 5) novel virulence-related genes/gene families such as the Virulence Modifying (VM) (PF07598 paralogs) proteins and pathogen-specific adhesins; 6) discovery of novel, pathogen-specific protein modification and secretion mechanisms including unique lipoprotein signal peptide motifs, Sec-independent twin arginine protein secretion motifs, and the absence of certain canonical signal recognition particle proteins from all Leptospira; and 7) and demonstration of infectious Leptospira-specific signal-responsive gene expression, motility and chemotaxis systems. By identifying large scale changes in infectious (pathogenic and intermediately pathogenic) vs. non-infectious Leptospira, this work provides new insights into the evolution of a genus of bacterial pathogens. This work will be a comprehensive roadmap for understanding leptospirosis pathogenesis. More generally, it provides new insights into mechanisms by which bacterial pathogens adapt to mammalian hosts.","author":[{"dropping-particle":"","family":"Fouts","given":"Derrick E.","non-dropping-particle":"","parse-names":false,"suffix":""},{"dropping-particle":"","family":"Matthias","given":"Michael A.","non-dropping-particle":"","parse-names":false,"suffix":""},{"dropping-particle":"","family":"Adhikarla","given":"Haritha","non-dropping-particle":"","parse-names":false,"suffix":""},{"dropping-particle":"","family":"Adler","given":"Ben","non-dropping-particle":"","parse-names":false,"suffix":""},{"dropping-particle":"","family":"Amorim-Santos","given":"Luciane","non-dropping-particle":"","parse-names":false,"suffix":""},{"dropping-particle":"","family":"Berg","given":"Douglas E.","non-dropping-particle":"","parse-names":false,"suffix":""},{"dropping-particle":"","family":"Bulach","given":"Dieter","non-dropping-particle":"","parse-names":false,"suffix":""},{"dropping-particle":"","family":"Buschiazzo","given":"Alejandro","non-dropping-particle":"","parse-names":false,"suffix":""},{"dropping-particle":"","family":"Chang","given":"Yung Fu","non-dropping-particle":"","parse-names":false,"suffix":""},{"dropping-particle":"","family":"Galloway","given":"Renee L.","non-dropping-particle":"","parse-names":false,"suffix":""},{"dropping-particle":"","family":"Haake","given":"David A.","non-dropping-particle":"","parse-names":false,"suffix":""},{"dropping-particle":"","family":"Haft","given":"Daniel H.","non-dropping-particle":"","parse-names":false,"suffix":""},{"dropping-particle":"","family":"Hartskeerl","given":"Rudy","non-dropping-particle":"","parse-names":false,"suffix":""},{"dropping-particle":"","family":"Ko","given":"Albert I.","non-dropping-particle":"","parse-names":false,"suffix":""},{"dropping-particle":"","family":"Levett","given":"Paul N.","non-dropping-particle":"","parse-names":false,"suffix":""},{"dropping-particle":"","family":"Matsunaga","given":"James","non-dropping-particle":"","parse-names":false,"suffix":""},{"dropping-particle":"","family":"Mechaly","given":"Ariel E.","non-dropping-particle":"","parse-names":false,"suffix":""},{"dropping-particle":"","family":"Monk","given":"Jonathan M.","non-dropping-particle":"","parse-names":false,"suffix":""},{"dropping-particle":"","family":"Nascimento","given":"Ana L.T.","non-dropping-particle":"","parse-names":false,"suffix":""},{"dropping-particle":"","family":"Nelson","given":"Karen E.","non-dropping-particle":"","parse-names":false,"suffix":""},{"dropping-particle":"","family":"Palsson","given":"Bernhard","non-dropping-particle":"","parse-names":false,"suffix":""},{"dropping-particle":"","family":"Peacock","given":"Sharon J.","non-dropping-particle":"","parse-names":false,"suffix":""},{"dropping-particle":"","family":"Picardeau","given":"Mathieu","non-dropping-particle":"","parse-names":false,"suffix":""},{"dropping-particle":"","family":"Ricaldi","given":"Jessica N.","non-dropping-particle":"","parse-names":false,"suffix":""},{"dropping-particle":"","family":"Thaipandungpanit","given":"Janjira","non-dropping-particle":"","parse-names":false,"suffix":""},{"dropping-particle":"","family":"Wunder","given":"Elsio A.","non-dropping-particle":"","parse-names":false,"suffix":""},{"dropping-particle":"","family":"Yang","given":"X. Frank","non-dropping-particle":"","parse-names":false,"suffix":""},{"dropping-particle":"","family":"Zhang","given":"Jun Jie","non-dropping-particle":"","parse-names":false,"suffix":""},{"dropping-particle":"","family":"Vinetz","given":"Joseph M.","non-dropping-particle":"","parse-names":false,"suffix":""}],"container-title":"PLoS Neglected Tropical Diseases","id":"ITEM-1","issue":"2","issued":{"date-parts":[["2016","2","18"]]},"publisher":"Public Library of Science","title":"What Makes a Bacterial Species Pathogenic?:Comparative Genomic Analysis of the Genus Leptospira","type":"article-journal","volume":"10"},"uris":["http://www.mendeley.com/documents/?uuid=e73323fd-0577-3e06-81c9-16cfbb56175a"]}],"mendeley":{"formattedCitation":"&lt;sup&gt;48&lt;/sup&gt;","plainTextFormattedCitation":"48","previouslyFormattedCitation":"&lt;sup&gt;48&lt;/sup&gt;"},"properties":{"noteIndex":0},"schema":"https://github.com/citation-style-language/schema/raw/master/csl-citation.json"}</w:instrText>
      </w:r>
      <w:r w:rsidR="005E4DC5" w:rsidRPr="005E4DC5">
        <w:rPr>
          <w:rStyle w:val="identifier"/>
          <w:color w:val="000000" w:themeColor="text1"/>
        </w:rPr>
        <w:fldChar w:fldCharType="separate"/>
      </w:r>
      <w:r w:rsidR="005E4DC5" w:rsidRPr="005E4DC5">
        <w:rPr>
          <w:rStyle w:val="identifier"/>
          <w:noProof/>
          <w:color w:val="000000" w:themeColor="text1"/>
          <w:vertAlign w:val="superscript"/>
        </w:rPr>
        <w:t>48</w:t>
      </w:r>
      <w:r w:rsidR="005E4DC5" w:rsidRPr="005E4DC5">
        <w:rPr>
          <w:rStyle w:val="identifier"/>
          <w:color w:val="000000" w:themeColor="text1"/>
        </w:rPr>
        <w:fldChar w:fldCharType="end"/>
      </w:r>
      <w:r w:rsidR="005E4DC5" w:rsidRPr="005E4DC5">
        <w:rPr>
          <w:rStyle w:val="identifier"/>
          <w:color w:val="000000" w:themeColor="text1"/>
        </w:rPr>
        <w:t xml:space="preserve"> Evidence of glutamate being upregulated in cell pellets in EMJH(in house) media at 28°C builds upon the prediction of glutamate being a potential marker for growth factor of </w:t>
      </w:r>
      <w:r w:rsidR="005E4DC5" w:rsidRPr="005E4DC5">
        <w:rPr>
          <w:rStyle w:val="identifier"/>
          <w:i/>
          <w:iCs/>
          <w:color w:val="000000" w:themeColor="text1"/>
        </w:rPr>
        <w:t>l. interorgan.</w:t>
      </w:r>
      <w:r>
        <w:rPr>
          <w:rStyle w:val="identifier"/>
          <w:color w:val="000000" w:themeColor="text1"/>
        </w:rPr>
        <w:t xml:space="preserve"> </w:t>
      </w:r>
      <w:r w:rsidR="005E4DC5" w:rsidRPr="005E4DC5">
        <w:rPr>
          <w:color w:val="000000" w:themeColor="text1"/>
        </w:rPr>
        <w:t xml:space="preserve">Thymidine is involved in nucleoside metabolism and is associated with DNA replication. Thus far, it has not been strictly associated with a </w:t>
      </w:r>
      <w:proofErr w:type="spellStart"/>
      <w:r w:rsidR="005E4DC5" w:rsidRPr="005E4DC5">
        <w:rPr>
          <w:i/>
          <w:iCs/>
          <w:color w:val="000000" w:themeColor="text1"/>
        </w:rPr>
        <w:t>leptospira</w:t>
      </w:r>
      <w:proofErr w:type="spellEnd"/>
      <w:r w:rsidR="005E4DC5" w:rsidRPr="005E4DC5">
        <w:rPr>
          <w:color w:val="000000" w:themeColor="text1"/>
        </w:rPr>
        <w:t xml:space="preserve"> growth model. However, for pathogenic bacteria, thymidine has been linked to DNA replication velocity.</w:t>
      </w:r>
      <w:r w:rsidR="005E4DC5" w:rsidRPr="005E4DC5">
        <w:rPr>
          <w:color w:val="000000" w:themeColor="text1"/>
        </w:rPr>
        <w:fldChar w:fldCharType="begin" w:fldLock="1"/>
      </w:r>
      <w:r w:rsidR="005E4DC5" w:rsidRPr="005E4DC5">
        <w:rPr>
          <w:color w:val="000000" w:themeColor="text1"/>
        </w:rPr>
        <w:instrText>ADDIN CSL_CITATION {"citationItems":[{"id":"ITEM-1","itemData":{"DOI":"10.1007/978-1-4684-0844-7_17","ISBN":"978-1-4684-0844-7","abstract":"Radioactive labelling techniques are of major importance in the study of DNA synthesis in bacteria. In order to label DNA in Escherichia coli either radioactive thymine or thymidine is generally used because these compounds are specifically incorporated into DNA. The availability of mutants, unable to synthesize thymidylate (Thy-), makes possible the control of the specific activity of newly synthesized DNA by adjusting the specific activity of exogenously added thymine or thymidine. In experiments which measure the short-term incorporation of labelled precursors other factors must be considered. These include the intracellular precursor pool sizes of bases, nucleosides and nucleotides, the rates of uptake, as well as the points of entry of the particular exogenously labelled compounds. The transport of nucleosides and bases from the medium into the cells is of considerable importance since this may result in differences between strains in the incorporation of labelled precursors into DNA. This effect is evident only when extremely low exogenous concentrations of precursors are used and it can give the appearance of altered levels of DNA synthesis.","author":[{"dropping-particle":"","family":"O’Donovan","given":"Gerard A","non-dropping-particle":"","parse-names":false,"suffix":""}],"editor":[{"dropping-particle":"","family":"Molineux","given":"Ian","non-dropping-particle":"","parse-names":false,"suffix":""},{"dropping-particle":"","family":"Kohiyama","given":"Masamichi","non-dropping-particle":"","parse-names":false,"suffix":""}],"id":"ITEM-1","issued":{"date-parts":[["1978"]]},"page":"219-253","publisher":"Springer US","publisher-place":"Boston, MA","title":"Thymidine Metabolism in Bacteria (and “How, or How Not, to Label DNA”) BT  - DNA Synthesis: Present and Future","type":"chapter"},"uris":["http://www.mendeley.com/documents/?uuid=79565bf0-8961-4bf4-b362-ef5b269c48e3"]}],"mendeley":{"formattedCitation":"&lt;sup&gt;74&lt;/sup&gt;","plainTextFormattedCitation":"74","previouslyFormattedCitation":"&lt;sup&gt;73&lt;/sup&gt;"},"properties":{"noteIndex":0},"schema":"https://github.com/citation-style-language/schema/raw/master/csl-citation.json"}</w:instrText>
      </w:r>
      <w:r w:rsidR="005E4DC5" w:rsidRPr="005E4DC5">
        <w:rPr>
          <w:color w:val="000000" w:themeColor="text1"/>
        </w:rPr>
        <w:fldChar w:fldCharType="separate"/>
      </w:r>
      <w:r w:rsidR="005E4DC5" w:rsidRPr="005E4DC5">
        <w:rPr>
          <w:noProof/>
          <w:color w:val="000000" w:themeColor="text1"/>
          <w:vertAlign w:val="superscript"/>
        </w:rPr>
        <w:t>74</w:t>
      </w:r>
      <w:r w:rsidR="005E4DC5" w:rsidRPr="005E4DC5">
        <w:rPr>
          <w:color w:val="000000" w:themeColor="text1"/>
        </w:rPr>
        <w:fldChar w:fldCharType="end"/>
      </w:r>
      <w:r>
        <w:rPr>
          <w:color w:val="000000" w:themeColor="text1"/>
        </w:rPr>
        <w:t xml:space="preserve"> </w:t>
      </w:r>
      <w:r w:rsidR="005E4DC5" w:rsidRPr="005E4DC5">
        <w:rPr>
          <w:color w:val="000000" w:themeColor="text1"/>
        </w:rPr>
        <w:t xml:space="preserve">The primary reason </w:t>
      </w:r>
      <w:r w:rsidR="005E4DC5" w:rsidRPr="005E4DC5">
        <w:rPr>
          <w:i/>
          <w:iCs/>
          <w:color w:val="000000" w:themeColor="text1"/>
        </w:rPr>
        <w:t>Leptospira</w:t>
      </w:r>
      <w:r w:rsidR="005E4DC5" w:rsidRPr="005E4DC5">
        <w:rPr>
          <w:color w:val="000000" w:themeColor="text1"/>
        </w:rPr>
        <w:t xml:space="preserve"> typically do not grow in EMJH (Difco) medium at 37°C is because this condition does not provide the required environment for the </w:t>
      </w:r>
      <w:proofErr w:type="spellStart"/>
      <w:r w:rsidR="005E4DC5" w:rsidRPr="005E4DC5">
        <w:rPr>
          <w:i/>
          <w:iCs/>
          <w:color w:val="000000" w:themeColor="text1"/>
        </w:rPr>
        <w:t>leptospira</w:t>
      </w:r>
      <w:proofErr w:type="spellEnd"/>
      <w:r w:rsidR="005E4DC5" w:rsidRPr="005E4DC5">
        <w:rPr>
          <w:color w:val="000000" w:themeColor="text1"/>
        </w:rPr>
        <w:t xml:space="preserve"> survival and growth at that temperature. The ideal growth temperature for EMJH (Difco) medium, the only commercially available media for </w:t>
      </w:r>
      <w:proofErr w:type="spellStart"/>
      <w:r w:rsidR="005E4DC5" w:rsidRPr="005E4DC5">
        <w:rPr>
          <w:i/>
          <w:iCs/>
          <w:color w:val="000000" w:themeColor="text1"/>
        </w:rPr>
        <w:t>leptospira</w:t>
      </w:r>
      <w:proofErr w:type="spellEnd"/>
      <w:r w:rsidR="005E4DC5" w:rsidRPr="005E4DC5">
        <w:rPr>
          <w:color w:val="000000" w:themeColor="text1"/>
        </w:rPr>
        <w:t>, is between 28 and 30°C</w:t>
      </w:r>
      <w:r w:rsidR="005E4DC5" w:rsidRPr="005E4DC5">
        <w:rPr>
          <w:color w:val="000000" w:themeColor="text1"/>
        </w:rPr>
        <w:fldChar w:fldCharType="begin" w:fldLock="1"/>
      </w:r>
      <w:r w:rsidR="005E4DC5" w:rsidRPr="005E4DC5">
        <w:rPr>
          <w:color w:val="000000" w:themeColor="text1"/>
        </w:rPr>
        <w:instrText>ADDIN CSL_CITATION {"citationItems":[{"id":"ITEM-1","itemData":{"ISSN":"1664-302X","abstract":"Leptospirosis is a zooanthroponosis aetiologically caused by pathogenic bacteria belonging to the genus, Leptospira. Environmental signals such as increases in temperatures or oxidative stress can trigger response regulatory modes of virulence genes during infection. This study sought to determine the effect of temperature and oxidative stress on virulence associated genes in highly-passaged L. borgpeterseneii Jules and L. interrogans Portlandvere. \nBacteria were grown in EMJH at 30°C, 37°C or at 30°C before being transferred to 37°C. A total of 14 virulence-associated genes (fliY, invA, lenA, ligB, lipL32, lipL36, lipL41, lipL45, loa22, lsa21, mce, ompL1, sph2 and tlyC) were assessed using endpoint PCR. Transcriptional analyses of lenA, lipL32, lipL41, loa22, sph2 were assessed by quantitative real-time RT-PCR at the temperature conditions. To assess oxidative stress, bacteria were exposed to H2O2 for 30 and 60 min with or without the temperature stress.\nAll genes except ligB (for Portlandvere) and ligB and mce (for Jules) were detectable in the strains. Quantitatively, temperature stress resulted in significant changes in gene expression within species or between species. Temperature changes were more influential in gene expression for Jules, particularly at 30oC and upshift conditions; at 37oC, expression levels were higher for Portlandvere. However, compared to Jules, where temperature was influential in two of five genes, temperature was an essential element in four of five genes in Portlandvere exposed to oxidative stress. At both low and high oxidative stress levels, the interplay between genetic predisposition (larger genome size) and temperature was biased towards Portlandvere particularly at 30oC and upshift conditions.\nWhile it is clear that expression of many virulence genes in highly passaged strains of Leptospira are attenuated or lost, genetic predisposition, changes in growth temperature and/or oxidative intensity and/or duration were factors which acted in isolation or together with other regulatory cues to contribute to the variable gene expression observed in this study. Overall, differential gene expression in serovar Portlandvere was more responsive to temperature and oxidative stress.","author":[{"dropping-particle":"","family":"Fraser","given":"Tricia","non-dropping-particle":"","parse-names":false,"suffix":""},{"dropping-particle":"","family":"Brown","given":"Paul D","non-dropping-particle":"","parse-names":false,"suffix":""}],"container-title":"Frontiers in Microbiology","id":"ITEM-1","issued":{"date-parts":[["2017"]]},"title":"Temperature and Oxidative Stress as Triggers for Virulence Gene Expression in Pathogenic Leptospira spp.","type":"article-journal","volume":"Volume 8 -"},"uris":["http://www.mendeley.com/documents/?uuid=1e738e5e-8eee-4d28-9f6b-7c7ce53a7bf5"]}],"mendeley":{"formattedCitation":"&lt;sup&gt;75&lt;/sup&gt;","plainTextFormattedCitation":"75","previouslyFormattedCitation":"&lt;sup&gt;74&lt;/sup&gt;"},"properties":{"noteIndex":0},"schema":"https://github.com/citation-style-language/schema/raw/master/csl-citation.json"}</w:instrText>
      </w:r>
      <w:r w:rsidR="005E4DC5" w:rsidRPr="005E4DC5">
        <w:rPr>
          <w:color w:val="000000" w:themeColor="text1"/>
        </w:rPr>
        <w:fldChar w:fldCharType="separate"/>
      </w:r>
      <w:r w:rsidR="005E4DC5" w:rsidRPr="005E4DC5">
        <w:rPr>
          <w:noProof/>
          <w:color w:val="000000" w:themeColor="text1"/>
          <w:vertAlign w:val="superscript"/>
        </w:rPr>
        <w:t>75</w:t>
      </w:r>
      <w:r w:rsidR="005E4DC5" w:rsidRPr="005E4DC5">
        <w:rPr>
          <w:color w:val="000000" w:themeColor="text1"/>
        </w:rPr>
        <w:fldChar w:fldCharType="end"/>
      </w:r>
      <w:r w:rsidR="005E4DC5" w:rsidRPr="005E4DC5">
        <w:rPr>
          <w:color w:val="000000" w:themeColor="text1"/>
          <w:vertAlign w:val="superscript"/>
        </w:rPr>
        <w:t>,</w:t>
      </w:r>
      <w:r w:rsidR="005E4DC5" w:rsidRPr="005E4DC5">
        <w:rPr>
          <w:color w:val="000000" w:themeColor="text1"/>
          <w:vertAlign w:val="superscript"/>
        </w:rPr>
        <w:fldChar w:fldCharType="begin" w:fldLock="1"/>
      </w:r>
      <w:r w:rsidR="005E4DC5" w:rsidRPr="005E4DC5">
        <w:rPr>
          <w:color w:val="000000" w:themeColor="text1"/>
          <w:vertAlign w:val="superscript"/>
        </w:rPr>
        <w:instrText>ADDIN CSL_CITATION {"citationItems":[{"id":"ITEM-1","itemData":{"DOI":"10.1038/S41598-020-66526-4;SUBJMETA=1320,1647,2234,2537,326,41,631;KWRD=BACTERIAL+TECHNIQUES+AND+APPLICATIONS,BACTERIOLOGY,MICROBIOLOGY,MICROBIOLOGY+TECHNIQUES","ISSN":"20452322","PMID":"32541841","abstract":"The causative agent of leptospirosis includes multiple serovars and species of pathogenic leptospires that are excreted via urine from reservoir hosts of infection. Primary isolation takes weeks to months, and is limited to semi-solid media at 28-30 °C. Here we present an alternative media formulation, HAN, compared to commercially available EMJH and the more specialized T80/40/LH media formulations, in semi-solid and liquid compositions, for the primary isolation of two diverse species and serovars of pathogenic leptospires directly from host kidney tissue. All three media types supported the isolation and propagation of L. interrogans serovar Copenhageni strain IC:20:001 in semi-solid media at 29 °C. However, only HAN and T80/40/LH supported the growth of L. borgpetersenii serovar Hardjo strain HB15B203 at 29 °C. In addition, HAN supported primary isolation at 37 °C. Both T80/40/LH and HAN supported primary isolation of strain IC:20:001 in liquid media at 29 °C but only HAN supported growth of strain HB15B203 in liquid media, at both 29 and 37 °C. HAN media supports the primary isolation of fastidious pathogenic leptospires directly from infected host tissue at either 29 or 37 °C: this formulation represents a more defined media for the continued optimization of growth factors required to support the primary isolation of the large and diverse range of species and serovars within the genus Leptospira circulating within domestic and wild animal populations.","author":[{"dropping-particle":"","family":"Hornsby","given":"Richard L.","non-dropping-particle":"","parse-names":false,"suffix":""},{"dropping-particle":"","family":"Alt","given":"David P.","non-dropping-particle":"","parse-names":false,"suffix":""},{"dropping-particle":"","family":"Nally","given":"Jarlath E.","non-dropping-particle":"","parse-names":false,"suffix":""}],"container-title":"Scientific reports","id":"ITEM-1","issue":"1","issued":{"date-parts":[["2020","6","15"]]},"page":"9620","publisher":"NLM (Medline)","title":"Isolation and propagation of leptospires at 37 °C directly from the mammalian host","type":"article-journal","volume":"10"},"uris":["http://www.mendeley.com/documents/?uuid=34731c42-3cff-39a1-9cfd-10d25ff505a0"]}],"mendeley":{"formattedCitation":"&lt;sup&gt;66&lt;/sup&gt;","plainTextFormattedCitation":"66","previouslyFormattedCitation":"&lt;sup&gt;65&lt;/sup&gt;"},"properties":{"noteIndex":0},"schema":"https://github.com/citation-style-language/schema/raw/master/csl-citation.json"}</w:instrText>
      </w:r>
      <w:r w:rsidR="005E4DC5" w:rsidRPr="005E4DC5">
        <w:rPr>
          <w:color w:val="000000" w:themeColor="text1"/>
          <w:vertAlign w:val="superscript"/>
        </w:rPr>
        <w:fldChar w:fldCharType="separate"/>
      </w:r>
      <w:r w:rsidR="005E4DC5" w:rsidRPr="005E4DC5">
        <w:rPr>
          <w:noProof/>
          <w:color w:val="000000" w:themeColor="text1"/>
          <w:vertAlign w:val="superscript"/>
        </w:rPr>
        <w:t>66</w:t>
      </w:r>
      <w:r w:rsidR="005E4DC5" w:rsidRPr="005E4DC5">
        <w:rPr>
          <w:color w:val="000000" w:themeColor="text1"/>
          <w:vertAlign w:val="superscript"/>
        </w:rPr>
        <w:fldChar w:fldCharType="end"/>
      </w:r>
      <w:r w:rsidR="005E4DC5" w:rsidRPr="005E4DC5">
        <w:rPr>
          <w:color w:val="000000" w:themeColor="text1"/>
        </w:rPr>
        <w:t xml:space="preserve">, which roughly resembles the environments these bacteria experience outside of a host. </w:t>
      </w:r>
    </w:p>
    <w:p w14:paraId="468DA94A" w14:textId="77777777" w:rsidR="007E2377" w:rsidRPr="005E4DC5" w:rsidRDefault="007E2377" w:rsidP="007E2377">
      <w:pPr>
        <w:spacing w:line="360" w:lineRule="auto"/>
        <w:rPr>
          <w:color w:val="000000" w:themeColor="text1"/>
        </w:rPr>
      </w:pPr>
      <w:r w:rsidRPr="005E4DC5">
        <w:rPr>
          <w:color w:val="000000" w:themeColor="text1"/>
        </w:rPr>
        <w:t>When inoculated at 37°C, which mimics the mammalian host temperature, the nutrient constituents in EMJH may become less stable, less bioavailable lacking buffering mechanism against metabolic stress</w:t>
      </w:r>
      <w:r w:rsidRPr="005E4DC5">
        <w:rPr>
          <w:color w:val="000000" w:themeColor="text1"/>
        </w:rPr>
        <w:fldChar w:fldCharType="begin" w:fldLock="1"/>
      </w:r>
      <w:r w:rsidRPr="005E4DC5">
        <w:rPr>
          <w:color w:val="000000" w:themeColor="text1"/>
        </w:rPr>
        <w:instrText>ADDIN CSL_CITATION {"citationItems":[{"id":"ITEM-1","itemData":{"ISSN":"2296-861X","abstract":"Pathogens have the well-known advantage of rapid evolution due to short generation times and large populations. However, pathogens have the rarely noted disadvantage of the vulnerability to stress involved in proliferation as well as being localized. Presented here are numerous new paradigms in immunology, and especially immunometabolism, which are derived from examining how hosts capitalize on pathogen vulnerabilities to stress. Universally, proliferation requires both resources and synthesis, which are vulnerable to resource-limiting stress and damaging/noxious stress, respectively. Pathogens are particularly vulnerable to stress at the time when they are most threatening—when they are proliferating. Since immune cells actively controlling pathogens (effector cells) typically do not proliferate at infected sites, there is a “stress vulnerability gap” wherein proliferating pathogens are more vulnerable to any type of stress than are the attacking effector cells. Hosts actively stress vulnerable proliferating pathogens by restricting resources (resource-limiting stress) and generating noxious waste products (damaging/disruptive stress) in a fundamental defense here-in termed “immune-stressing.” While nutritional immunity emphasizes denying pathogens micronutrients, immune-stressing extends the concept to restricting all resources, especially glucose and oxygen, coupled with the generation of noxious metabolic products such as lactic acid, reactive oxygen species (ROS), and heat to further harm or stress the pathogens. At present much of the field of immunometabolism centers on how nutrition and metabolism regulate immune function, a central feature being the inefficient use of glucose via aerobic glycolysis (with much lactate/lactic acid production) by effector immune cells. In contrast, immune-stressing emphasizes how the immune system uses nutrition and metabolism to control infections. Immune-stressing addresses effector cell glycolysis at the infected site by noting that the high uptake of glucose linked with high output of lactic acid is an ideal double-pronged stressor targeting proliferating pathogens. Once the basic vulnerability of pathogen proliferation is recognized, numerous other paradigms of immunometabolism, and immunology as a whole, are challenged.","author":[{"dropping-particle":"","family":"LeGrand","given":"Edmund K","non-dropping-particle":"","parse-names":false,"suffix":""}],"container-title":"Frontiers in Nutrition","id":"ITEM-1","issued":{"date-parts":[["2025"]]},"title":"Beyond nutritional immunity: immune-stressing challenges basic paradigms of immunometabolism and immunology","type":"article-journal","volume":"Volume 12 "},"uris":["http://www.mendeley.com/documents/?uuid=ac68eb84-12b0-43b4-b952-c17dbde48d9b"]}],"mendeley":{"formattedCitation":"&lt;sup&gt;76&lt;/sup&gt;","plainTextFormattedCitation":"76","previouslyFormattedCitation":"&lt;sup&gt;75&lt;/sup&gt;"},"properties":{"noteIndex":0},"schema":"https://github.com/citation-style-language/schema/raw/master/csl-citation.json"}</w:instrText>
      </w:r>
      <w:r w:rsidRPr="005E4DC5">
        <w:rPr>
          <w:color w:val="000000" w:themeColor="text1"/>
        </w:rPr>
        <w:fldChar w:fldCharType="separate"/>
      </w:r>
      <w:r w:rsidRPr="005E4DC5">
        <w:rPr>
          <w:noProof/>
          <w:color w:val="000000" w:themeColor="text1"/>
          <w:vertAlign w:val="superscript"/>
        </w:rPr>
        <w:t>76</w:t>
      </w:r>
      <w:r w:rsidRPr="005E4DC5">
        <w:rPr>
          <w:color w:val="000000" w:themeColor="text1"/>
        </w:rPr>
        <w:fldChar w:fldCharType="end"/>
      </w:r>
      <w:r w:rsidRPr="005E4DC5">
        <w:rPr>
          <w:color w:val="000000" w:themeColor="text1"/>
        </w:rPr>
        <w:t xml:space="preserve"> that </w:t>
      </w:r>
      <w:proofErr w:type="spellStart"/>
      <w:r w:rsidRPr="005E4DC5">
        <w:rPr>
          <w:i/>
          <w:iCs/>
          <w:color w:val="000000" w:themeColor="text1"/>
        </w:rPr>
        <w:t>leptospira</w:t>
      </w:r>
      <w:proofErr w:type="spellEnd"/>
      <w:r w:rsidRPr="005E4DC5">
        <w:rPr>
          <w:color w:val="000000" w:themeColor="text1"/>
        </w:rPr>
        <w:t xml:space="preserve"> undergoes at the specified temperature.</w:t>
      </w:r>
      <w:r w:rsidRPr="005E4DC5">
        <w:rPr>
          <w:color w:val="000000" w:themeColor="text1"/>
        </w:rPr>
        <w:fldChar w:fldCharType="begin" w:fldLock="1"/>
      </w:r>
      <w:r w:rsidRPr="005E4DC5">
        <w:rPr>
          <w:color w:val="000000" w:themeColor="text1"/>
        </w:rPr>
        <w:instrText>ADDIN CSL_CITATION {"citationItems":[{"id":"ITEM-1","itemData":{"DOI":"10.1038/S41598-020-66526-4;SUBJMETA=1320,1647,2234,2537,326,41,631;KWRD=BACTERIAL+TECHNIQUES+AND+APPLICATIONS,BACTERIOLOGY,MICROBIOLOGY,MICROBIOLOGY+TECHNIQUES","ISSN":"20452322","PMID":"32541841","abstract":"The causative agent of leptospirosis includes multiple serovars and species of pathogenic leptospires that are excreted via urine from reservoir hosts of infection. Primary isolation takes weeks to months, and is limited to semi-solid media at 28-30 °C. Here we present an alternative media formulation, HAN, compared to commercially available EMJH and the more specialized T80/40/LH media formulations, in semi-solid and liquid compositions, for the primary isolation of two diverse species and serovars of pathogenic leptospires directly from host kidney tissue. All three media types supported the isolation and propagation of L. interrogans serovar Copenhageni strain IC:20:001 in semi-solid media at 29 °C. However, only HAN and T80/40/LH supported the growth of L. borgpetersenii serovar Hardjo strain HB15B203 at 29 °C. In addition, HAN supported primary isolation at 37 °C. Both T80/40/LH and HAN supported primary isolation of strain IC:20:001 in liquid media at 29 °C but only HAN supported growth of strain HB15B203 in liquid media, at both 29 and 37 °C. HAN media supports the primary isolation of fastidious pathogenic leptospires directly from infected host tissue at either 29 or 37 °C: this formulation represents a more defined media for the continued optimization of growth factors required to support the primary isolation of the large and diverse range of species and serovars within the genus Leptospira circulating within domestic and wild animal populations.","author":[{"dropping-particle":"","family":"Hornsby","given":"Richard L.","non-dropping-particle":"","parse-names":false,"suffix":""},{"dropping-particle":"","family":"Alt","given":"David P.","non-dropping-particle":"","parse-names":false,"suffix":""},{"dropping-particle":"","family":"Nally","given":"Jarlath E.","non-dropping-particle":"","parse-names":false,"suffix":""}],"container-title":"Scientific reports","id":"ITEM-1","issue":"1","issued":{"date-parts":[["2020","6","15"]]},"page":"9620","publisher":"NLM (Medline)","title":"Isolation and propagation of leptospires at 37 °C directly from the mammalian host","type":"article-journal","volume":"10"},"uris":["http://www.mendeley.com/documents/?uuid=34731c42-3cff-39a1-9cfd-10d25ff505a0"]}],"mendeley":{"formattedCitation":"&lt;sup&gt;66&lt;/sup&gt;","plainTextFormattedCitation":"66","previouslyFormattedCitation":"&lt;sup&gt;65&lt;/sup&gt;"},"properties":{"noteIndex":0},"schema":"https://github.com/citation-style-language/schema/raw/master/csl-citation.json"}</w:instrText>
      </w:r>
      <w:r w:rsidRPr="005E4DC5">
        <w:rPr>
          <w:color w:val="000000" w:themeColor="text1"/>
        </w:rPr>
        <w:fldChar w:fldCharType="separate"/>
      </w:r>
      <w:r w:rsidRPr="005E4DC5">
        <w:rPr>
          <w:noProof/>
          <w:color w:val="000000" w:themeColor="text1"/>
          <w:vertAlign w:val="superscript"/>
        </w:rPr>
        <w:t>66</w:t>
      </w:r>
      <w:r w:rsidRPr="005E4DC5">
        <w:rPr>
          <w:color w:val="000000" w:themeColor="text1"/>
        </w:rPr>
        <w:fldChar w:fldCharType="end"/>
      </w:r>
      <w:r w:rsidRPr="005E4DC5">
        <w:rPr>
          <w:color w:val="000000" w:themeColor="text1"/>
        </w:rPr>
        <w:t xml:space="preserve"> </w:t>
      </w:r>
    </w:p>
    <w:p w14:paraId="43ADA85A" w14:textId="17FCBEEB" w:rsidR="007E2377" w:rsidRPr="00806D23" w:rsidRDefault="007E2377" w:rsidP="00806D23">
      <w:pPr>
        <w:pStyle w:val="ListParagraph"/>
        <w:widowControl w:val="0"/>
        <w:numPr>
          <w:ilvl w:val="0"/>
          <w:numId w:val="39"/>
        </w:numPr>
        <w:spacing w:line="360" w:lineRule="auto"/>
        <w:jc w:val="both"/>
        <w:rPr>
          <w:b/>
          <w:bCs/>
          <w:color w:val="000000" w:themeColor="text1"/>
        </w:rPr>
      </w:pPr>
      <w:r w:rsidRPr="00806D23">
        <w:rPr>
          <w:b/>
          <w:bCs/>
          <w:color w:val="000000" w:themeColor="text1"/>
        </w:rPr>
        <w:t>Metabolomics investigation of the Media Effect on Growth of Leptospira</w:t>
      </w:r>
    </w:p>
    <w:p w14:paraId="1359A1CB" w14:textId="0D47B167" w:rsidR="007E2377" w:rsidRPr="007E2377" w:rsidRDefault="007E2377" w:rsidP="007E2377">
      <w:pPr>
        <w:pStyle w:val="ListParagraph"/>
        <w:widowControl w:val="0"/>
        <w:spacing w:line="360" w:lineRule="auto"/>
        <w:jc w:val="both"/>
        <w:rPr>
          <w:b/>
          <w:bCs/>
          <w:color w:val="000000" w:themeColor="text1"/>
        </w:rPr>
      </w:pPr>
      <w:r w:rsidRPr="007E2377">
        <w:rPr>
          <w:color w:val="000000" w:themeColor="text1"/>
        </w:rPr>
        <w:t xml:space="preserve">Media composition can affect the </w:t>
      </w:r>
      <w:proofErr w:type="spellStart"/>
      <w:r w:rsidRPr="007E2377">
        <w:rPr>
          <w:i/>
          <w:iCs/>
          <w:color w:val="000000" w:themeColor="text1"/>
        </w:rPr>
        <w:t>leptospira</w:t>
      </w:r>
      <w:proofErr w:type="spellEnd"/>
      <w:r w:rsidRPr="007E2377">
        <w:rPr>
          <w:color w:val="000000" w:themeColor="text1"/>
        </w:rPr>
        <w:t xml:space="preserve"> growth. Evaluating the differences in growth support, growth factor, nutrient availability, and viability, two media EMJH(Difco) and </w:t>
      </w:r>
    </w:p>
    <w:p w14:paraId="39D9C34C" w14:textId="018A7276" w:rsidR="00DF2A48" w:rsidRPr="00DF2A48" w:rsidRDefault="00DF2A48" w:rsidP="00B832F5">
      <w:pPr>
        <w:rPr>
          <w:color w:val="000000" w:themeColor="text1"/>
        </w:rPr>
      </w:pPr>
      <w:r w:rsidRPr="00DF2A48">
        <w:rPr>
          <w:noProof/>
          <w:color w:val="000000" w:themeColor="text1"/>
        </w:rPr>
        <w:lastRenderedPageBreak/>
        <w:drawing>
          <wp:inline distT="0" distB="0" distL="0" distR="0" wp14:anchorId="6973E8DA" wp14:editId="0CBF9F34">
            <wp:extent cx="5939651" cy="6124354"/>
            <wp:effectExtent l="0" t="0" r="4445" b="0"/>
            <wp:docPr id="1254745874" name="Picture 1"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45874" name="Picture 1" descr="A screen shot of a chart&#10;&#10;AI-generated content may be incorrect."/>
                    <pic:cNvPicPr/>
                  </pic:nvPicPr>
                  <pic:blipFill rotWithShape="1">
                    <a:blip r:embed="rId10">
                      <a:extLst>
                        <a:ext uri="{28A0092B-C50C-407E-A947-70E740481C1C}">
                          <a14:useLocalDpi xmlns:a14="http://schemas.microsoft.com/office/drawing/2010/main" val="0"/>
                        </a:ext>
                      </a:extLst>
                    </a:blip>
                    <a:srcRect b="14075"/>
                    <a:stretch>
                      <a:fillRect/>
                    </a:stretch>
                  </pic:blipFill>
                  <pic:spPr bwMode="auto">
                    <a:xfrm>
                      <a:off x="0" y="0"/>
                      <a:ext cx="6009688" cy="6196569"/>
                    </a:xfrm>
                    <a:prstGeom prst="rect">
                      <a:avLst/>
                    </a:prstGeom>
                    <a:ln>
                      <a:noFill/>
                    </a:ln>
                    <a:extLst>
                      <a:ext uri="{53640926-AAD7-44D8-BBD7-CCE9431645EC}">
                        <a14:shadowObscured xmlns:a14="http://schemas.microsoft.com/office/drawing/2010/main"/>
                      </a:ext>
                    </a:extLst>
                  </pic:spPr>
                </pic:pic>
              </a:graphicData>
            </a:graphic>
          </wp:inline>
        </w:drawing>
      </w:r>
    </w:p>
    <w:p w14:paraId="03329A91" w14:textId="4760561C" w:rsidR="00430C22" w:rsidRPr="00430C22" w:rsidRDefault="00DF2A48" w:rsidP="00430C22">
      <w:pPr>
        <w:pStyle w:val="Caption"/>
        <w:jc w:val="both"/>
        <w:rPr>
          <w:rFonts w:ascii="Times New Roman" w:hAnsi="Times New Roman" w:cs="Times New Roman"/>
          <w:i w:val="0"/>
          <w:iCs w:val="0"/>
          <w:color w:val="000000" w:themeColor="text1"/>
          <w:sz w:val="24"/>
          <w:szCs w:val="24"/>
        </w:rPr>
      </w:pPr>
      <w:r w:rsidRPr="00DF2A48">
        <w:rPr>
          <w:rFonts w:ascii="Times New Roman" w:hAnsi="Times New Roman" w:cs="Times New Roman"/>
          <w:b/>
          <w:bCs/>
          <w:i w:val="0"/>
          <w:iCs w:val="0"/>
          <w:color w:val="000000" w:themeColor="text1"/>
          <w:sz w:val="24"/>
          <w:szCs w:val="24"/>
        </w:rPr>
        <w:t xml:space="preserve">Figure </w:t>
      </w:r>
      <w:r w:rsidRPr="00DF2A48">
        <w:rPr>
          <w:rFonts w:ascii="Times New Roman" w:hAnsi="Times New Roman" w:cs="Times New Roman"/>
          <w:b/>
          <w:bCs/>
          <w:i w:val="0"/>
          <w:iCs w:val="0"/>
          <w:color w:val="000000" w:themeColor="text1"/>
          <w:sz w:val="24"/>
          <w:szCs w:val="24"/>
        </w:rPr>
        <w:fldChar w:fldCharType="begin"/>
      </w:r>
      <w:r w:rsidRPr="00DF2A48">
        <w:rPr>
          <w:rFonts w:ascii="Times New Roman" w:hAnsi="Times New Roman" w:cs="Times New Roman"/>
          <w:b/>
          <w:bCs/>
          <w:i w:val="0"/>
          <w:iCs w:val="0"/>
          <w:color w:val="000000" w:themeColor="text1"/>
          <w:sz w:val="24"/>
          <w:szCs w:val="24"/>
        </w:rPr>
        <w:instrText xml:space="preserve"> SEQ Figure \* ARABIC </w:instrText>
      </w:r>
      <w:r w:rsidRPr="00DF2A48">
        <w:rPr>
          <w:rFonts w:ascii="Times New Roman" w:hAnsi="Times New Roman" w:cs="Times New Roman"/>
          <w:b/>
          <w:bCs/>
          <w:i w:val="0"/>
          <w:iCs w:val="0"/>
          <w:color w:val="000000" w:themeColor="text1"/>
          <w:sz w:val="24"/>
          <w:szCs w:val="24"/>
        </w:rPr>
        <w:fldChar w:fldCharType="separate"/>
      </w:r>
      <w:r w:rsidR="00BD6D97">
        <w:rPr>
          <w:rFonts w:ascii="Times New Roman" w:hAnsi="Times New Roman" w:cs="Times New Roman"/>
          <w:b/>
          <w:bCs/>
          <w:i w:val="0"/>
          <w:iCs w:val="0"/>
          <w:noProof/>
          <w:color w:val="000000" w:themeColor="text1"/>
          <w:sz w:val="24"/>
          <w:szCs w:val="24"/>
        </w:rPr>
        <w:t>1</w:t>
      </w:r>
      <w:r w:rsidRPr="00DF2A48">
        <w:rPr>
          <w:rFonts w:ascii="Times New Roman" w:hAnsi="Times New Roman" w:cs="Times New Roman"/>
          <w:b/>
          <w:bCs/>
          <w:i w:val="0"/>
          <w:iCs w:val="0"/>
          <w:color w:val="000000" w:themeColor="text1"/>
          <w:sz w:val="24"/>
          <w:szCs w:val="24"/>
        </w:rPr>
        <w:fldChar w:fldCharType="end"/>
      </w:r>
      <w:r w:rsidRPr="00DF2A48">
        <w:rPr>
          <w:rFonts w:ascii="Times New Roman" w:hAnsi="Times New Roman" w:cs="Times New Roman"/>
          <w:b/>
          <w:bCs/>
          <w:i w:val="0"/>
          <w:iCs w:val="0"/>
          <w:color w:val="000000" w:themeColor="text1"/>
          <w:sz w:val="24"/>
          <w:szCs w:val="24"/>
        </w:rPr>
        <w:t xml:space="preserve">: </w:t>
      </w:r>
      <w:r w:rsidRPr="00DF2A48">
        <w:rPr>
          <w:rFonts w:ascii="Times New Roman" w:hAnsi="Times New Roman" w:cs="Times New Roman"/>
          <w:i w:val="0"/>
          <w:iCs w:val="0"/>
          <w:color w:val="000000" w:themeColor="text1"/>
          <w:sz w:val="24"/>
          <w:szCs w:val="24"/>
        </w:rPr>
        <w:t>Visualization of abundance of metabolites across the cell pellets in EMJH (in house) media at 28°C and 37°C. The media is represented as “A” in the figure. Data underwent log2 transformation and pareto scaling.</w:t>
      </w:r>
    </w:p>
    <w:p w14:paraId="356B0489" w14:textId="77777777" w:rsidR="00DF2A48" w:rsidRPr="00DF2A48" w:rsidRDefault="00DF2A48" w:rsidP="00DF2A48">
      <w:pPr>
        <w:keepNext/>
        <w:spacing w:line="360" w:lineRule="auto"/>
        <w:rPr>
          <w:color w:val="000000" w:themeColor="text1"/>
        </w:rPr>
      </w:pPr>
      <w:r w:rsidRPr="00DF2A48">
        <w:rPr>
          <w:noProof/>
          <w:color w:val="000000" w:themeColor="text1"/>
        </w:rPr>
        <w:lastRenderedPageBreak/>
        <w:drawing>
          <wp:inline distT="0" distB="0" distL="0" distR="0" wp14:anchorId="3675B7B6" wp14:editId="5D15A48C">
            <wp:extent cx="5943600" cy="5283200"/>
            <wp:effectExtent l="0" t="0" r="0" b="0"/>
            <wp:docPr id="1514851034" name="Picture 3" descr="A graph with green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51034" name="Picture 3" descr="A graph with green and red dot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6599D7C8" w14:textId="3B82CD8D" w:rsidR="00DF2A48" w:rsidRPr="00DF2A48" w:rsidRDefault="00DF2A48" w:rsidP="00AF2419">
      <w:pPr>
        <w:pStyle w:val="Caption"/>
        <w:rPr>
          <w:color w:val="000000" w:themeColor="text1"/>
        </w:rPr>
      </w:pPr>
      <w:r w:rsidRPr="00DF2A48">
        <w:rPr>
          <w:rFonts w:ascii="Times New Roman" w:hAnsi="Times New Roman" w:cs="Times New Roman"/>
          <w:b/>
          <w:bCs/>
          <w:i w:val="0"/>
          <w:iCs w:val="0"/>
          <w:color w:val="000000" w:themeColor="text1"/>
          <w:sz w:val="24"/>
          <w:szCs w:val="24"/>
        </w:rPr>
        <w:t xml:space="preserve">Figure </w:t>
      </w:r>
      <w:r w:rsidRPr="00DF2A48">
        <w:rPr>
          <w:rFonts w:ascii="Times New Roman" w:hAnsi="Times New Roman" w:cs="Times New Roman"/>
          <w:b/>
          <w:bCs/>
          <w:i w:val="0"/>
          <w:iCs w:val="0"/>
          <w:color w:val="000000" w:themeColor="text1"/>
          <w:sz w:val="24"/>
          <w:szCs w:val="24"/>
        </w:rPr>
        <w:fldChar w:fldCharType="begin"/>
      </w:r>
      <w:r w:rsidRPr="00DF2A48">
        <w:rPr>
          <w:rFonts w:ascii="Times New Roman" w:hAnsi="Times New Roman" w:cs="Times New Roman"/>
          <w:b/>
          <w:bCs/>
          <w:i w:val="0"/>
          <w:iCs w:val="0"/>
          <w:color w:val="000000" w:themeColor="text1"/>
          <w:sz w:val="24"/>
          <w:szCs w:val="24"/>
        </w:rPr>
        <w:instrText xml:space="preserve"> SEQ Figure \* ARABIC </w:instrText>
      </w:r>
      <w:r w:rsidRPr="00DF2A48">
        <w:rPr>
          <w:rFonts w:ascii="Times New Roman" w:hAnsi="Times New Roman" w:cs="Times New Roman"/>
          <w:b/>
          <w:bCs/>
          <w:i w:val="0"/>
          <w:iCs w:val="0"/>
          <w:color w:val="000000" w:themeColor="text1"/>
          <w:sz w:val="24"/>
          <w:szCs w:val="24"/>
        </w:rPr>
        <w:fldChar w:fldCharType="separate"/>
      </w:r>
      <w:r w:rsidR="00BD6D97">
        <w:rPr>
          <w:rFonts w:ascii="Times New Roman" w:hAnsi="Times New Roman" w:cs="Times New Roman"/>
          <w:b/>
          <w:bCs/>
          <w:i w:val="0"/>
          <w:iCs w:val="0"/>
          <w:noProof/>
          <w:color w:val="000000" w:themeColor="text1"/>
          <w:sz w:val="24"/>
          <w:szCs w:val="24"/>
        </w:rPr>
        <w:t>2</w:t>
      </w:r>
      <w:r w:rsidRPr="00DF2A48">
        <w:rPr>
          <w:rFonts w:ascii="Times New Roman" w:hAnsi="Times New Roman" w:cs="Times New Roman"/>
          <w:b/>
          <w:bCs/>
          <w:i w:val="0"/>
          <w:iCs w:val="0"/>
          <w:color w:val="000000" w:themeColor="text1"/>
          <w:sz w:val="24"/>
          <w:szCs w:val="24"/>
        </w:rPr>
        <w:fldChar w:fldCharType="end"/>
      </w:r>
      <w:r w:rsidRPr="00DF2A48">
        <w:rPr>
          <w:rFonts w:ascii="Times New Roman" w:hAnsi="Times New Roman" w:cs="Times New Roman"/>
          <w:b/>
          <w:bCs/>
          <w:i w:val="0"/>
          <w:iCs w:val="0"/>
          <w:color w:val="000000" w:themeColor="text1"/>
          <w:sz w:val="24"/>
          <w:szCs w:val="24"/>
        </w:rPr>
        <w:t>:</w:t>
      </w:r>
      <w:r w:rsidRPr="00DF2A48">
        <w:rPr>
          <w:rFonts w:ascii="Times New Roman" w:hAnsi="Times New Roman" w:cs="Times New Roman"/>
          <w:i w:val="0"/>
          <w:iCs w:val="0"/>
          <w:color w:val="000000" w:themeColor="text1"/>
          <w:sz w:val="24"/>
          <w:szCs w:val="24"/>
        </w:rPr>
        <w:t xml:space="preserve"> Partial Least Squares Discriminant Analysis PLS-DA plot shows 2 distinct groups between pellets grown in EMJH (in house) media at 28°C and 37°C. The multivariate analysis distinctive individual metabolic profile between pellets grown in different temperatures.</w:t>
      </w:r>
      <w:r w:rsidRPr="00DF2A48">
        <w:rPr>
          <w:color w:val="000000" w:themeColor="text1"/>
        </w:rPr>
        <w:br/>
      </w:r>
    </w:p>
    <w:p w14:paraId="59F7EF98" w14:textId="77777777" w:rsidR="00DF2A48" w:rsidRPr="00DF2A48" w:rsidRDefault="00DF2A48" w:rsidP="00DF2A48">
      <w:pPr>
        <w:spacing w:line="360" w:lineRule="auto"/>
        <w:rPr>
          <w:color w:val="000000" w:themeColor="text1"/>
        </w:rPr>
      </w:pPr>
      <w:r w:rsidRPr="00DF2A48">
        <w:rPr>
          <w:color w:val="000000" w:themeColor="text1"/>
        </w:rPr>
        <w:br w:type="page"/>
      </w:r>
    </w:p>
    <w:p w14:paraId="17AF6F31"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22566A20" wp14:editId="68320A3D">
            <wp:extent cx="5943600" cy="5242560"/>
            <wp:effectExtent l="0" t="0" r="0" b="2540"/>
            <wp:docPr id="780898982" name="Picture 2"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98982" name="Picture 2" descr="A graph with different colored lin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242560"/>
                    </a:xfrm>
                    <a:prstGeom prst="rect">
                      <a:avLst/>
                    </a:prstGeom>
                  </pic:spPr>
                </pic:pic>
              </a:graphicData>
            </a:graphic>
          </wp:inline>
        </w:drawing>
      </w:r>
    </w:p>
    <w:p w14:paraId="40495D87" w14:textId="77777777" w:rsidR="00DF2A48" w:rsidRPr="00DF2A48" w:rsidRDefault="00DF2A48" w:rsidP="00AF2419">
      <w:pPr>
        <w:rPr>
          <w:color w:val="000000" w:themeColor="text1"/>
        </w:rPr>
      </w:pPr>
      <w:r w:rsidRPr="00DF2A48">
        <w:rPr>
          <w:b/>
          <w:bCs/>
          <w:color w:val="000000" w:themeColor="text1"/>
        </w:rPr>
        <w:t>Figure 3:</w:t>
      </w:r>
      <w:r w:rsidRPr="00DF2A48">
        <w:rPr>
          <w:color w:val="000000" w:themeColor="text1"/>
        </w:rPr>
        <w:t xml:space="preserve"> Variable importance in projection (VIP) score plot demonstrates the importance of a variable in the PLS-DA model. Each metabolite is assigned a VIP score representing its contribution for separation in PLS-DA. A score </w:t>
      </w:r>
      <m:oMath>
        <m:r>
          <w:rPr>
            <w:rFonts w:ascii="Cambria Math" w:hAnsi="Cambria Math"/>
            <w:color w:val="000000" w:themeColor="text1"/>
          </w:rPr>
          <m:t>≥</m:t>
        </m:r>
      </m:oMath>
      <w:r w:rsidRPr="00DF2A48">
        <w:rPr>
          <w:color w:val="000000" w:themeColor="text1"/>
        </w:rPr>
        <w:t xml:space="preserve"> 1 indicates higher contribution to the variance between groups – pellets grown in EMJH (in-house) media (referred to as A in the figure) at 28°C and 37°C respectively.</w:t>
      </w:r>
    </w:p>
    <w:p w14:paraId="5995DCC2" w14:textId="77777777" w:rsidR="00DF2A48" w:rsidRPr="00DF2A48" w:rsidRDefault="00DF2A48" w:rsidP="00AF2419">
      <w:pPr>
        <w:spacing w:line="360" w:lineRule="auto"/>
        <w:rPr>
          <w:color w:val="000000" w:themeColor="text1"/>
        </w:rPr>
      </w:pPr>
    </w:p>
    <w:p w14:paraId="6542DAB6" w14:textId="77777777" w:rsidR="00DF2A48" w:rsidRPr="00DF2A48" w:rsidRDefault="00DF2A48" w:rsidP="00DF2A48">
      <w:pPr>
        <w:spacing w:line="360" w:lineRule="auto"/>
        <w:rPr>
          <w:color w:val="000000" w:themeColor="text1"/>
        </w:rPr>
      </w:pPr>
    </w:p>
    <w:p w14:paraId="50CD68F5" w14:textId="77777777" w:rsidR="00DF2A48" w:rsidRPr="00DF2A48" w:rsidRDefault="00DF2A48" w:rsidP="00DF2A48">
      <w:pPr>
        <w:pStyle w:val="p1"/>
        <w:spacing w:line="360" w:lineRule="auto"/>
        <w:rPr>
          <w:color w:val="000000" w:themeColor="text1"/>
          <w:sz w:val="24"/>
          <w:szCs w:val="24"/>
        </w:rPr>
      </w:pPr>
      <w:r w:rsidRPr="00DF2A48">
        <w:rPr>
          <w:noProof/>
          <w:color w:val="000000" w:themeColor="text1"/>
          <w:sz w:val="24"/>
          <w:szCs w:val="24"/>
        </w:rPr>
        <w:lastRenderedPageBreak/>
        <w:drawing>
          <wp:inline distT="0" distB="0" distL="0" distR="0" wp14:anchorId="62BFC456" wp14:editId="71DC12F2">
            <wp:extent cx="5943600" cy="3566160"/>
            <wp:effectExtent l="0" t="0" r="0" b="2540"/>
            <wp:docPr id="263292922" name="Picture 4"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92922" name="Picture 4" descr="A graph with red and blue dot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63D3117C" w14:textId="77777777" w:rsidR="00430C22" w:rsidRDefault="00DF2A48" w:rsidP="00AF2419">
      <w:pPr>
        <w:pStyle w:val="p1"/>
        <w:rPr>
          <w:color w:val="000000" w:themeColor="text1"/>
          <w:sz w:val="24"/>
          <w:szCs w:val="24"/>
        </w:rPr>
      </w:pPr>
      <w:r w:rsidRPr="00DF2A48">
        <w:rPr>
          <w:b/>
          <w:bCs/>
          <w:color w:val="000000" w:themeColor="text1"/>
          <w:sz w:val="24"/>
          <w:szCs w:val="24"/>
        </w:rPr>
        <w:t>Figure 4:</w:t>
      </w:r>
      <w:r w:rsidRPr="00DF2A48">
        <w:rPr>
          <w:color w:val="000000" w:themeColor="text1"/>
          <w:sz w:val="24"/>
          <w:szCs w:val="24"/>
        </w:rPr>
        <w:t xml:space="preserve"> Volcano plot representing upregulation and downregulation of metabolites while comparing growth of </w:t>
      </w:r>
      <w:proofErr w:type="spellStart"/>
      <w:r w:rsidRPr="00DF2A48">
        <w:rPr>
          <w:i/>
          <w:iCs/>
          <w:color w:val="000000" w:themeColor="text1"/>
          <w:sz w:val="24"/>
          <w:szCs w:val="24"/>
        </w:rPr>
        <w:t>leptospira</w:t>
      </w:r>
      <w:proofErr w:type="spellEnd"/>
      <w:r w:rsidRPr="00DF2A48">
        <w:rPr>
          <w:color w:val="000000" w:themeColor="text1"/>
          <w:sz w:val="24"/>
          <w:szCs w:val="24"/>
        </w:rPr>
        <w:t xml:space="preserve"> cells at EMJH (in-house) at 28°C. On the x-axis, the log2 fold change of cell pellets (P) against media control. The y axis displays the negative log of p-values. The orange dots represent the metabolites that are upregulated in pellets and the blue dots represents the metabolites that are upregulated in the media. The size of the dots is scaled according to the p-values presented in the legend.</w:t>
      </w:r>
    </w:p>
    <w:p w14:paraId="08B0C5E6" w14:textId="77777777" w:rsidR="00430C22" w:rsidRDefault="00430C22" w:rsidP="00AF2419">
      <w:pPr>
        <w:pStyle w:val="p1"/>
        <w:rPr>
          <w:color w:val="000000" w:themeColor="text1"/>
          <w:sz w:val="24"/>
          <w:szCs w:val="24"/>
        </w:rPr>
      </w:pPr>
    </w:p>
    <w:p w14:paraId="1D6F9930" w14:textId="77777777" w:rsidR="007E2377" w:rsidRDefault="007E2377" w:rsidP="00AF2419">
      <w:pPr>
        <w:pStyle w:val="p1"/>
        <w:rPr>
          <w:color w:val="000000" w:themeColor="text1"/>
          <w:sz w:val="24"/>
          <w:szCs w:val="24"/>
        </w:rPr>
      </w:pPr>
    </w:p>
    <w:p w14:paraId="0FC415EE" w14:textId="77777777" w:rsidR="007E2377" w:rsidRDefault="007E2377" w:rsidP="00AF2419">
      <w:pPr>
        <w:pStyle w:val="p1"/>
        <w:rPr>
          <w:color w:val="000000" w:themeColor="text1"/>
          <w:sz w:val="24"/>
          <w:szCs w:val="24"/>
        </w:rPr>
      </w:pPr>
    </w:p>
    <w:p w14:paraId="78BE3217" w14:textId="77777777" w:rsidR="007E2377" w:rsidRDefault="007E2377" w:rsidP="00AF2419">
      <w:pPr>
        <w:pStyle w:val="p1"/>
        <w:rPr>
          <w:color w:val="000000" w:themeColor="text1"/>
          <w:sz w:val="24"/>
          <w:szCs w:val="24"/>
        </w:rPr>
      </w:pPr>
    </w:p>
    <w:p w14:paraId="6569C12A" w14:textId="77777777" w:rsidR="007E2377" w:rsidRDefault="007E2377" w:rsidP="00AF2419">
      <w:pPr>
        <w:pStyle w:val="p1"/>
        <w:rPr>
          <w:color w:val="000000" w:themeColor="text1"/>
          <w:sz w:val="24"/>
          <w:szCs w:val="24"/>
        </w:rPr>
      </w:pPr>
    </w:p>
    <w:p w14:paraId="7B0B6A9F" w14:textId="77777777" w:rsidR="007E2377" w:rsidRDefault="007E2377" w:rsidP="00AF2419">
      <w:pPr>
        <w:pStyle w:val="p1"/>
        <w:rPr>
          <w:color w:val="000000" w:themeColor="text1"/>
          <w:sz w:val="24"/>
          <w:szCs w:val="24"/>
        </w:rPr>
      </w:pPr>
    </w:p>
    <w:p w14:paraId="0D6D5E72" w14:textId="77777777" w:rsidR="007E2377" w:rsidRDefault="007E2377" w:rsidP="00AF2419">
      <w:pPr>
        <w:pStyle w:val="p1"/>
        <w:rPr>
          <w:color w:val="000000" w:themeColor="text1"/>
          <w:sz w:val="24"/>
          <w:szCs w:val="24"/>
        </w:rPr>
      </w:pPr>
    </w:p>
    <w:p w14:paraId="4B68A67E" w14:textId="77777777" w:rsidR="007E2377" w:rsidRDefault="007E2377" w:rsidP="00AF2419">
      <w:pPr>
        <w:pStyle w:val="p1"/>
        <w:rPr>
          <w:color w:val="000000" w:themeColor="text1"/>
          <w:sz w:val="24"/>
          <w:szCs w:val="24"/>
        </w:rPr>
      </w:pPr>
    </w:p>
    <w:p w14:paraId="7DC0D6B8" w14:textId="77777777" w:rsidR="007E2377" w:rsidRDefault="007E2377" w:rsidP="00AF2419">
      <w:pPr>
        <w:pStyle w:val="p1"/>
        <w:rPr>
          <w:color w:val="000000" w:themeColor="text1"/>
          <w:sz w:val="24"/>
          <w:szCs w:val="24"/>
        </w:rPr>
      </w:pPr>
    </w:p>
    <w:p w14:paraId="4417FEB1" w14:textId="77777777" w:rsidR="007E2377" w:rsidRDefault="007E2377" w:rsidP="00AF2419">
      <w:pPr>
        <w:pStyle w:val="p1"/>
        <w:rPr>
          <w:color w:val="000000" w:themeColor="text1"/>
          <w:sz w:val="24"/>
          <w:szCs w:val="24"/>
        </w:rPr>
      </w:pPr>
    </w:p>
    <w:p w14:paraId="7F2AAE30" w14:textId="77777777" w:rsidR="007E2377" w:rsidRDefault="007E2377" w:rsidP="00AF2419">
      <w:pPr>
        <w:pStyle w:val="p1"/>
        <w:rPr>
          <w:color w:val="000000" w:themeColor="text1"/>
          <w:sz w:val="24"/>
          <w:szCs w:val="24"/>
        </w:rPr>
      </w:pPr>
    </w:p>
    <w:p w14:paraId="1CBFBB81" w14:textId="77777777" w:rsidR="007E2377" w:rsidRDefault="007E2377" w:rsidP="00AF2419">
      <w:pPr>
        <w:pStyle w:val="p1"/>
        <w:rPr>
          <w:color w:val="000000" w:themeColor="text1"/>
          <w:sz w:val="24"/>
          <w:szCs w:val="24"/>
        </w:rPr>
      </w:pPr>
    </w:p>
    <w:p w14:paraId="5D712029" w14:textId="77777777" w:rsidR="007E2377" w:rsidRDefault="007E2377" w:rsidP="00AF2419">
      <w:pPr>
        <w:pStyle w:val="p1"/>
        <w:rPr>
          <w:color w:val="000000" w:themeColor="text1"/>
          <w:sz w:val="24"/>
          <w:szCs w:val="24"/>
        </w:rPr>
      </w:pPr>
    </w:p>
    <w:p w14:paraId="08C4B1FB" w14:textId="77777777" w:rsidR="007E2377" w:rsidRDefault="007E2377" w:rsidP="00AF2419">
      <w:pPr>
        <w:pStyle w:val="p1"/>
        <w:rPr>
          <w:color w:val="000000" w:themeColor="text1"/>
          <w:sz w:val="24"/>
          <w:szCs w:val="24"/>
        </w:rPr>
      </w:pPr>
    </w:p>
    <w:p w14:paraId="1AAE81FC" w14:textId="77777777" w:rsidR="007E2377" w:rsidRDefault="007E2377" w:rsidP="00AF2419">
      <w:pPr>
        <w:pStyle w:val="p1"/>
        <w:rPr>
          <w:color w:val="000000" w:themeColor="text1"/>
          <w:sz w:val="24"/>
          <w:szCs w:val="24"/>
        </w:rPr>
      </w:pPr>
    </w:p>
    <w:p w14:paraId="045B18AE" w14:textId="77777777" w:rsidR="007E2377" w:rsidRDefault="007E2377" w:rsidP="00AF2419">
      <w:pPr>
        <w:pStyle w:val="p1"/>
        <w:rPr>
          <w:color w:val="000000" w:themeColor="text1"/>
          <w:sz w:val="24"/>
          <w:szCs w:val="24"/>
        </w:rPr>
      </w:pPr>
    </w:p>
    <w:p w14:paraId="4C8BC6DF" w14:textId="77777777" w:rsidR="007E2377" w:rsidRDefault="007E2377" w:rsidP="00AF2419">
      <w:pPr>
        <w:pStyle w:val="p1"/>
        <w:rPr>
          <w:color w:val="000000" w:themeColor="text1"/>
          <w:sz w:val="24"/>
          <w:szCs w:val="24"/>
        </w:rPr>
      </w:pPr>
    </w:p>
    <w:p w14:paraId="5C123D1C" w14:textId="77777777" w:rsidR="007E2377" w:rsidRDefault="007E2377" w:rsidP="00AF2419">
      <w:pPr>
        <w:pStyle w:val="p1"/>
        <w:rPr>
          <w:color w:val="000000" w:themeColor="text1"/>
          <w:sz w:val="24"/>
          <w:szCs w:val="24"/>
        </w:rPr>
      </w:pPr>
    </w:p>
    <w:p w14:paraId="3F0DA6FC" w14:textId="77777777" w:rsidR="007E2377" w:rsidRDefault="007E2377" w:rsidP="00AF2419">
      <w:pPr>
        <w:pStyle w:val="p1"/>
        <w:rPr>
          <w:color w:val="000000" w:themeColor="text1"/>
          <w:sz w:val="24"/>
          <w:szCs w:val="24"/>
        </w:rPr>
      </w:pPr>
    </w:p>
    <w:p w14:paraId="6BBF2CEA" w14:textId="77777777" w:rsidR="007E2377" w:rsidRDefault="007E2377" w:rsidP="00AF2419">
      <w:pPr>
        <w:pStyle w:val="p1"/>
        <w:rPr>
          <w:color w:val="000000" w:themeColor="text1"/>
          <w:sz w:val="24"/>
          <w:szCs w:val="24"/>
        </w:rPr>
      </w:pPr>
    </w:p>
    <w:p w14:paraId="2D6A7097" w14:textId="676E2A2B" w:rsidR="007E2377" w:rsidRPr="007E2377" w:rsidRDefault="007E2377" w:rsidP="007E2377">
      <w:pPr>
        <w:pStyle w:val="p1"/>
        <w:spacing w:line="360" w:lineRule="auto"/>
        <w:rPr>
          <w:color w:val="000000" w:themeColor="text1"/>
          <w:sz w:val="24"/>
          <w:szCs w:val="24"/>
        </w:rPr>
      </w:pPr>
      <w:r w:rsidRPr="007E2377">
        <w:rPr>
          <w:color w:val="000000" w:themeColor="text1"/>
          <w:sz w:val="24"/>
          <w:szCs w:val="24"/>
        </w:rPr>
        <w:lastRenderedPageBreak/>
        <w:t xml:space="preserve">EMJH (in house) were used to inoculate </w:t>
      </w:r>
      <w:proofErr w:type="spellStart"/>
      <w:r w:rsidRPr="007E2377">
        <w:rPr>
          <w:i/>
          <w:iCs/>
          <w:color w:val="000000" w:themeColor="text1"/>
          <w:sz w:val="24"/>
          <w:szCs w:val="24"/>
        </w:rPr>
        <w:t>leptospira</w:t>
      </w:r>
      <w:proofErr w:type="spellEnd"/>
      <w:r w:rsidRPr="007E2377">
        <w:rPr>
          <w:color w:val="000000" w:themeColor="text1"/>
          <w:sz w:val="24"/>
          <w:szCs w:val="24"/>
        </w:rPr>
        <w:t xml:space="preserve"> species at 28°C and 37°C.</w:t>
      </w:r>
    </w:p>
    <w:p w14:paraId="3788D7E0" w14:textId="77777777" w:rsidR="007E2377" w:rsidRDefault="00DF2A48" w:rsidP="007E2377">
      <w:pPr>
        <w:widowControl w:val="0"/>
        <w:spacing w:line="360" w:lineRule="auto"/>
        <w:ind w:firstLine="720"/>
        <w:rPr>
          <w:color w:val="000000" w:themeColor="text1"/>
        </w:rPr>
      </w:pPr>
      <w:r w:rsidRPr="007E2377">
        <w:rPr>
          <w:color w:val="000000" w:themeColor="text1"/>
        </w:rPr>
        <w:t xml:space="preserve">Media samples </w:t>
      </w:r>
      <w:r w:rsidR="007720A6" w:rsidRPr="007E2377">
        <w:rPr>
          <w:color w:val="000000" w:themeColor="text1"/>
        </w:rPr>
        <w:t xml:space="preserve">were the same </w:t>
      </w:r>
      <w:r w:rsidRPr="007E2377">
        <w:rPr>
          <w:color w:val="000000" w:themeColor="text1"/>
        </w:rPr>
        <w:t>at</w:t>
      </w:r>
      <w:r w:rsidR="007720A6" w:rsidRPr="007E2377">
        <w:rPr>
          <w:color w:val="000000" w:themeColor="text1"/>
        </w:rPr>
        <w:t xml:space="preserve"> 28°C &amp;</w:t>
      </w:r>
      <w:r w:rsidRPr="007E2377">
        <w:rPr>
          <w:color w:val="000000" w:themeColor="text1"/>
        </w:rPr>
        <w:t xml:space="preserve"> 37°C</w:t>
      </w:r>
      <w:r w:rsidR="007720A6" w:rsidRPr="007E2377">
        <w:rPr>
          <w:color w:val="000000" w:themeColor="text1"/>
        </w:rPr>
        <w:t xml:space="preserve"> for EMJH</w:t>
      </w:r>
      <w:r w:rsidR="007720A6" w:rsidRPr="001F530E">
        <w:rPr>
          <w:color w:val="000000" w:themeColor="text1"/>
        </w:rPr>
        <w:t xml:space="preserve"> (in house). </w:t>
      </w:r>
      <w:r w:rsidRPr="001F530E">
        <w:rPr>
          <w:color w:val="000000" w:themeColor="text1"/>
        </w:rPr>
        <w:t xml:space="preserve"> </w:t>
      </w:r>
      <w:r w:rsidR="007720A6" w:rsidRPr="001F530E">
        <w:rPr>
          <w:color w:val="000000" w:themeColor="text1"/>
        </w:rPr>
        <w:t>H</w:t>
      </w:r>
      <w:r w:rsidRPr="001F530E">
        <w:rPr>
          <w:color w:val="000000" w:themeColor="text1"/>
        </w:rPr>
        <w:t>ence the metabolic evaluation of growth</w:t>
      </w:r>
      <w:r w:rsidR="007720A6" w:rsidRPr="001F530E">
        <w:rPr>
          <w:color w:val="000000" w:themeColor="text1"/>
        </w:rPr>
        <w:t xml:space="preserve"> only</w:t>
      </w:r>
      <w:r w:rsidRPr="001F530E">
        <w:rPr>
          <w:color w:val="000000" w:themeColor="text1"/>
        </w:rPr>
        <w:t xml:space="preserve"> at </w:t>
      </w:r>
      <w:r w:rsidR="007720A6" w:rsidRPr="001F530E">
        <w:rPr>
          <w:color w:val="000000" w:themeColor="text1"/>
        </w:rPr>
        <w:t xml:space="preserve">28°C </w:t>
      </w:r>
      <w:r w:rsidRPr="001F530E">
        <w:rPr>
          <w:color w:val="000000" w:themeColor="text1"/>
        </w:rPr>
        <w:t xml:space="preserve">was performed. Inoculation of </w:t>
      </w:r>
      <w:proofErr w:type="spellStart"/>
      <w:r w:rsidRPr="001F530E">
        <w:rPr>
          <w:i/>
          <w:iCs/>
          <w:color w:val="000000" w:themeColor="text1"/>
        </w:rPr>
        <w:t>leptospira</w:t>
      </w:r>
      <w:proofErr w:type="spellEnd"/>
      <w:r w:rsidRPr="001F530E">
        <w:rPr>
          <w:color w:val="000000" w:themeColor="text1"/>
        </w:rPr>
        <w:t xml:space="preserve"> did not show any evidence of growth at EMJH (Difco) media at 37°C. Therefore, assessment of growth of </w:t>
      </w:r>
      <w:proofErr w:type="spellStart"/>
      <w:r w:rsidRPr="001F530E">
        <w:rPr>
          <w:i/>
          <w:iCs/>
          <w:color w:val="000000" w:themeColor="text1"/>
        </w:rPr>
        <w:t>leptospira</w:t>
      </w:r>
      <w:proofErr w:type="spellEnd"/>
      <w:r w:rsidRPr="00DF2A48">
        <w:rPr>
          <w:color w:val="000000" w:themeColor="text1"/>
        </w:rPr>
        <w:t xml:space="preserve"> in EMJH (</w:t>
      </w:r>
      <w:proofErr w:type="spellStart"/>
      <w:r w:rsidRPr="00DF2A48">
        <w:rPr>
          <w:color w:val="000000" w:themeColor="text1"/>
        </w:rPr>
        <w:t>Difco</w:t>
      </w:r>
      <w:proofErr w:type="spellEnd"/>
      <w:r w:rsidRPr="00DF2A48">
        <w:rPr>
          <w:color w:val="000000" w:themeColor="text1"/>
        </w:rPr>
        <w:t xml:space="preserve">) media at variable temperature could not be conducted. Growth </w:t>
      </w:r>
      <w:r w:rsidR="007720A6" w:rsidRPr="00DF2A48">
        <w:rPr>
          <w:color w:val="000000" w:themeColor="text1"/>
        </w:rPr>
        <w:t>comparisons</w:t>
      </w:r>
      <w:r w:rsidRPr="00DF2A48">
        <w:rPr>
          <w:color w:val="000000" w:themeColor="text1"/>
        </w:rPr>
        <w:t xml:space="preserve"> were carried out between the cell pellet collected from the inoculation in EMJH (in house) at 28°C and in EMJH (Difco) at 28°C.</w:t>
      </w:r>
      <w:r w:rsidR="00C15AE2">
        <w:rPr>
          <w:color w:val="000000" w:themeColor="text1"/>
        </w:rPr>
        <w:t xml:space="preserve"> </w:t>
      </w:r>
      <w:r w:rsidR="00C15AE2" w:rsidRPr="00C15AE2">
        <w:rPr>
          <w:b/>
          <w:bCs/>
          <w:color w:val="000000" w:themeColor="text1"/>
        </w:rPr>
        <w:t>Figure 5-8</w:t>
      </w:r>
      <w:r w:rsidR="00C15AE2">
        <w:rPr>
          <w:b/>
          <w:bCs/>
          <w:color w:val="000000" w:themeColor="text1"/>
        </w:rPr>
        <w:t xml:space="preserve"> </w:t>
      </w:r>
      <w:r w:rsidR="00C15AE2" w:rsidRPr="00AF2419">
        <w:rPr>
          <w:color w:val="000000" w:themeColor="text1"/>
        </w:rPr>
        <w:t>displays</w:t>
      </w:r>
      <w:r w:rsidR="00C15AE2">
        <w:rPr>
          <w:b/>
          <w:bCs/>
          <w:color w:val="000000" w:themeColor="text1"/>
        </w:rPr>
        <w:t xml:space="preserve"> </w:t>
      </w:r>
      <w:r w:rsidR="00C15AE2" w:rsidRPr="00B832F5">
        <w:rPr>
          <w:color w:val="000000" w:themeColor="text1"/>
        </w:rPr>
        <w:t xml:space="preserve">the heatmap, PLS-DA, VIP score plot, and the volcano plot for comparison between pellets </w:t>
      </w:r>
      <w:r w:rsidR="00C15AE2" w:rsidRPr="00B832F5">
        <w:rPr>
          <w:rStyle w:val="Heading1Char"/>
          <w:rFonts w:ascii="Times New Roman" w:hAnsi="Times New Roman" w:cs="Times New Roman"/>
          <w:color w:val="000000" w:themeColor="text1"/>
          <w:sz w:val="24"/>
          <w:szCs w:val="24"/>
        </w:rPr>
        <w:t>grown in in EMJH (in house) media</w:t>
      </w:r>
      <w:r w:rsidR="00C15AE2">
        <w:rPr>
          <w:rStyle w:val="Heading1Char"/>
          <w:rFonts w:ascii="Times New Roman" w:hAnsi="Times New Roman" w:cs="Times New Roman"/>
          <w:color w:val="000000" w:themeColor="text1"/>
          <w:sz w:val="24"/>
          <w:szCs w:val="24"/>
        </w:rPr>
        <w:t xml:space="preserve"> and EMJH (Difco) media </w:t>
      </w:r>
      <w:r w:rsidR="00C15AE2" w:rsidRPr="00B832F5">
        <w:rPr>
          <w:rStyle w:val="Heading1Char"/>
          <w:rFonts w:ascii="Times New Roman" w:hAnsi="Times New Roman" w:cs="Times New Roman"/>
          <w:color w:val="000000" w:themeColor="text1"/>
          <w:sz w:val="24"/>
          <w:szCs w:val="24"/>
        </w:rPr>
        <w:t xml:space="preserve"> at 28°C temperature</w:t>
      </w:r>
      <w:r w:rsidR="00C15AE2">
        <w:rPr>
          <w:rStyle w:val="Heading1Char"/>
          <w:rFonts w:ascii="Times New Roman" w:hAnsi="Times New Roman" w:cs="Times New Roman"/>
          <w:color w:val="000000" w:themeColor="text1"/>
          <w:sz w:val="24"/>
          <w:szCs w:val="24"/>
        </w:rPr>
        <w:t xml:space="preserve"> respectively. </w:t>
      </w:r>
      <w:r w:rsidR="00430C22" w:rsidRPr="00DF2A48">
        <w:rPr>
          <w:color w:val="000000" w:themeColor="text1"/>
        </w:rPr>
        <w:t xml:space="preserve">Homocarnosine, ADP-glucose, FAD, NAD+, phosphoryl ethanolamine, homocitrulline appears to be the major metabolites driving the separation between the pellet groups </w:t>
      </w:r>
      <w:r w:rsidR="00430C22" w:rsidRPr="00C15AE2">
        <w:rPr>
          <w:b/>
          <w:bCs/>
          <w:color w:val="000000" w:themeColor="text1"/>
        </w:rPr>
        <w:t>(Figure 7)</w:t>
      </w:r>
      <w:r w:rsidR="00430C22">
        <w:rPr>
          <w:color w:val="000000" w:themeColor="text1"/>
        </w:rPr>
        <w:t xml:space="preserve"> </w:t>
      </w:r>
      <w:r w:rsidR="00430C22" w:rsidRPr="00DF2A48">
        <w:rPr>
          <w:color w:val="000000" w:themeColor="text1"/>
        </w:rPr>
        <w:t xml:space="preserve">resulting in the unique metabolic profile of </w:t>
      </w:r>
      <w:proofErr w:type="spellStart"/>
      <w:r w:rsidR="00430C22" w:rsidRPr="00DF2A48">
        <w:rPr>
          <w:i/>
          <w:iCs/>
          <w:color w:val="000000" w:themeColor="text1"/>
        </w:rPr>
        <w:t>leptospira</w:t>
      </w:r>
      <w:proofErr w:type="spellEnd"/>
      <w:r w:rsidR="00430C22" w:rsidRPr="00DF2A48">
        <w:rPr>
          <w:color w:val="000000" w:themeColor="text1"/>
        </w:rPr>
        <w:t xml:space="preserve"> while grown in different media. While homocitrulline, ADP, and glucose were upregulated in EMJH (in Difco), homocarnosine, FAD, NAD+ were also in higher abundance in EMJH (in house) pellets.</w:t>
      </w:r>
    </w:p>
    <w:p w14:paraId="0EE51694" w14:textId="77777777" w:rsidR="007E2377" w:rsidRPr="00032B3B" w:rsidRDefault="007E2377" w:rsidP="00806D23">
      <w:pPr>
        <w:pStyle w:val="ListParagraph"/>
        <w:numPr>
          <w:ilvl w:val="0"/>
          <w:numId w:val="39"/>
        </w:numPr>
        <w:spacing w:line="360" w:lineRule="auto"/>
        <w:rPr>
          <w:b/>
          <w:bCs/>
          <w:color w:val="000000" w:themeColor="text1"/>
        </w:rPr>
      </w:pPr>
      <w:r w:rsidRPr="00032B3B">
        <w:rPr>
          <w:b/>
          <w:bCs/>
          <w:color w:val="000000" w:themeColor="text1"/>
        </w:rPr>
        <w:t>Cross comparison between sample fractions in each media and temperature component</w:t>
      </w:r>
    </w:p>
    <w:p w14:paraId="059FF7BF" w14:textId="77777777" w:rsidR="007E2377" w:rsidRPr="00DF2A48" w:rsidRDefault="007E2377" w:rsidP="007E2377">
      <w:pPr>
        <w:spacing w:line="360" w:lineRule="auto"/>
        <w:rPr>
          <w:color w:val="000000" w:themeColor="text1"/>
        </w:rPr>
      </w:pPr>
      <w:r w:rsidRPr="00DF2A48">
        <w:rPr>
          <w:color w:val="000000" w:themeColor="text1"/>
        </w:rPr>
        <w:tab/>
        <w:t xml:space="preserve">The distribution of intracellular contents and extracellular components and can provide significant insight in understanding the metabolic activity and signature as well as physiological adaptations.  The pellet, containing bacterial cells represents the internal metabolites, while the supernatant contains the secreted ones. The extracellular contents may be composed of degraded cell products as well. However, metabolic investigation from comparing metabolites from pellets and supernatants allows insight towards cellular metabolism and secretory process. Comparisons between individual sample fraction components reveals the up-regulations or down-regulations of metabolites specific to media-temperature combination. It also identifies intracellular metabolites separately from the </w:t>
      </w:r>
      <w:proofErr w:type="spellStart"/>
      <w:r w:rsidRPr="00DF2A48">
        <w:rPr>
          <w:color w:val="000000" w:themeColor="text1"/>
        </w:rPr>
        <w:t>exo</w:t>
      </w:r>
      <w:proofErr w:type="spellEnd"/>
      <w:r w:rsidRPr="00DF2A48">
        <w:rPr>
          <w:color w:val="000000" w:themeColor="text1"/>
        </w:rPr>
        <w:t xml:space="preserve">-metabolome. </w:t>
      </w:r>
    </w:p>
    <w:p w14:paraId="64F014E7" w14:textId="77777777" w:rsidR="007E2377" w:rsidRPr="00DF2A48" w:rsidRDefault="007E2377" w:rsidP="007E2377">
      <w:pPr>
        <w:spacing w:line="360" w:lineRule="auto"/>
        <w:rPr>
          <w:color w:val="000000" w:themeColor="text1"/>
        </w:rPr>
      </w:pPr>
      <w:r w:rsidRPr="00DF2A48">
        <w:rPr>
          <w:color w:val="000000" w:themeColor="text1"/>
        </w:rPr>
        <w:tab/>
      </w:r>
      <w:r w:rsidRPr="00DF2A48">
        <w:rPr>
          <w:b/>
          <w:bCs/>
          <w:color w:val="000000" w:themeColor="text1"/>
        </w:rPr>
        <w:t>Table 1</w:t>
      </w:r>
      <w:r w:rsidRPr="00DF2A48">
        <w:rPr>
          <w:color w:val="000000" w:themeColor="text1"/>
        </w:rPr>
        <w:t xml:space="preserve"> shows the list of comparisons that were carried out to analyze the metabolomics data to perform the cross comparisons among sample fractions. However, without the cell pellets from the EMJH (Difco) at 37°C and no media samples from EMJH (in-house), comparison 5,6, 10, 11 from </w:t>
      </w:r>
      <w:r w:rsidRPr="00DF2A48">
        <w:rPr>
          <w:b/>
          <w:bCs/>
          <w:color w:val="000000" w:themeColor="text1"/>
        </w:rPr>
        <w:t>Table 1</w:t>
      </w:r>
      <w:r w:rsidRPr="00DF2A48">
        <w:rPr>
          <w:color w:val="000000" w:themeColor="text1"/>
        </w:rPr>
        <w:t xml:space="preserve"> could not be conducted.  </w:t>
      </w:r>
    </w:p>
    <w:p w14:paraId="75357DDA" w14:textId="0EDFB754" w:rsidR="00DF2A48" w:rsidRPr="00DF2A48" w:rsidRDefault="00DF2A48" w:rsidP="007E2377">
      <w:pPr>
        <w:widowControl w:val="0"/>
        <w:spacing w:line="360" w:lineRule="auto"/>
        <w:ind w:firstLine="720"/>
        <w:rPr>
          <w:color w:val="000000" w:themeColor="text1"/>
        </w:rPr>
      </w:pPr>
      <w:r w:rsidRPr="00DF2A48">
        <w:rPr>
          <w:b/>
          <w:bCs/>
          <w:color w:val="000000" w:themeColor="text1"/>
        </w:rPr>
        <w:br/>
      </w:r>
      <w:r w:rsidR="00F33B3C">
        <w:rPr>
          <w:noProof/>
          <w:color w:val="000000" w:themeColor="text1"/>
          <w14:ligatures w14:val="standardContextual"/>
        </w:rPr>
        <w:lastRenderedPageBreak/>
        <w:drawing>
          <wp:inline distT="0" distB="0" distL="0" distR="0" wp14:anchorId="66BB2CBA" wp14:editId="0CD56BA2">
            <wp:extent cx="5943469" cy="5582652"/>
            <wp:effectExtent l="0" t="0" r="635" b="5715"/>
            <wp:docPr id="6085290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29059" name="Picture 608529059"/>
                    <pic:cNvPicPr/>
                  </pic:nvPicPr>
                  <pic:blipFill rotWithShape="1">
                    <a:blip r:embed="rId14">
                      <a:extLst>
                        <a:ext uri="{28A0092B-C50C-407E-A947-70E740481C1C}">
                          <a14:useLocalDpi xmlns:a14="http://schemas.microsoft.com/office/drawing/2010/main" val="0"/>
                        </a:ext>
                      </a:extLst>
                    </a:blip>
                    <a:srcRect b="15623"/>
                    <a:stretch>
                      <a:fillRect/>
                    </a:stretch>
                  </pic:blipFill>
                  <pic:spPr bwMode="auto">
                    <a:xfrm>
                      <a:off x="0" y="0"/>
                      <a:ext cx="5943469" cy="5582652"/>
                    </a:xfrm>
                    <a:prstGeom prst="rect">
                      <a:avLst/>
                    </a:prstGeom>
                    <a:ln>
                      <a:noFill/>
                    </a:ln>
                    <a:extLst>
                      <a:ext uri="{53640926-AAD7-44D8-BBD7-CCE9431645EC}">
                        <a14:shadowObscured xmlns:a14="http://schemas.microsoft.com/office/drawing/2010/main"/>
                      </a:ext>
                    </a:extLst>
                  </pic:spPr>
                </pic:pic>
              </a:graphicData>
            </a:graphic>
          </wp:inline>
        </w:drawing>
      </w:r>
    </w:p>
    <w:p w14:paraId="2029FB39" w14:textId="77777777" w:rsidR="00DF2A48" w:rsidRPr="00DF2A48" w:rsidRDefault="00DF2A48" w:rsidP="00C15AE2">
      <w:pPr>
        <w:rPr>
          <w:color w:val="000000" w:themeColor="text1"/>
        </w:rPr>
      </w:pPr>
      <w:r w:rsidRPr="00DF2A48">
        <w:rPr>
          <w:b/>
          <w:bCs/>
          <w:color w:val="000000" w:themeColor="text1"/>
        </w:rPr>
        <w:t>Figure 5:</w:t>
      </w:r>
      <w:r w:rsidRPr="00DF2A48">
        <w:rPr>
          <w:color w:val="000000" w:themeColor="text1"/>
        </w:rPr>
        <w:t xml:space="preserve"> Visualization of abundance of metabolites across the cell pellets in EMJH (in house) and EMJH (Difco) media at 28°C. The media EMJH (in house) is represented as “A” and EMJH (Difco) is represented as “B” in the figure. Data underwent log2 transformation and pareto scaling.</w:t>
      </w:r>
      <w:r w:rsidRPr="00DF2A48">
        <w:rPr>
          <w:color w:val="000000" w:themeColor="text1"/>
        </w:rPr>
        <w:br w:type="page"/>
      </w:r>
    </w:p>
    <w:p w14:paraId="05978A42" w14:textId="709E73F9" w:rsidR="00DF2A48" w:rsidRPr="00DF2A48" w:rsidRDefault="00F33B3C" w:rsidP="00DF2A48">
      <w:pPr>
        <w:spacing w:line="360" w:lineRule="auto"/>
        <w:rPr>
          <w:color w:val="000000" w:themeColor="text1"/>
        </w:rPr>
      </w:pPr>
      <w:r>
        <w:rPr>
          <w:noProof/>
          <w:color w:val="000000" w:themeColor="text1"/>
          <w14:ligatures w14:val="standardContextual"/>
        </w:rPr>
        <w:lastRenderedPageBreak/>
        <w:drawing>
          <wp:inline distT="0" distB="0" distL="0" distR="0" wp14:anchorId="09D404DB" wp14:editId="7B60989C">
            <wp:extent cx="5943600" cy="5283200"/>
            <wp:effectExtent l="0" t="0" r="0" b="0"/>
            <wp:docPr id="2116730759" name="Picture 1" descr="A graph with red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30759" name="Picture 1" descr="A graph with red and green dot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219FC392" w14:textId="77777777" w:rsidR="00DF2A48" w:rsidRPr="00DF2A48" w:rsidRDefault="00DF2A48" w:rsidP="00C15AE2">
      <w:pPr>
        <w:pStyle w:val="p1"/>
        <w:rPr>
          <w:color w:val="000000" w:themeColor="text1"/>
          <w:sz w:val="24"/>
          <w:szCs w:val="24"/>
        </w:rPr>
      </w:pPr>
      <w:r w:rsidRPr="00DF2A48">
        <w:rPr>
          <w:b/>
          <w:bCs/>
          <w:color w:val="000000" w:themeColor="text1"/>
          <w:sz w:val="24"/>
          <w:szCs w:val="24"/>
        </w:rPr>
        <w:t>Figure 6:</w:t>
      </w:r>
      <w:r w:rsidRPr="00DF2A48">
        <w:rPr>
          <w:color w:val="000000" w:themeColor="text1"/>
          <w:sz w:val="24"/>
          <w:szCs w:val="24"/>
        </w:rPr>
        <w:t xml:space="preserve"> Partial Least Squares Discriminant Analysis PLS-DA plot shows 2 distinct groups between pellets grown in EMJH (in house) (A) and in EMJH (Difco) (B) media at 28°C. The multivariate analysis shows distinctive individual metabolic profile between pellets grown in different media.</w:t>
      </w:r>
    </w:p>
    <w:p w14:paraId="6AD71703" w14:textId="77777777" w:rsidR="00C15AE2" w:rsidRDefault="00C15AE2" w:rsidP="00C15AE2">
      <w:pPr>
        <w:pStyle w:val="p1"/>
        <w:rPr>
          <w:color w:val="000000" w:themeColor="text1"/>
          <w:sz w:val="24"/>
          <w:szCs w:val="24"/>
        </w:rPr>
      </w:pPr>
    </w:p>
    <w:p w14:paraId="091E775B" w14:textId="7C5752B3" w:rsidR="00DF2A48" w:rsidRPr="00DF2A48" w:rsidRDefault="00DF2A48" w:rsidP="00C15AE2">
      <w:pPr>
        <w:spacing w:line="360" w:lineRule="auto"/>
        <w:ind w:firstLine="720"/>
        <w:rPr>
          <w:color w:val="000000" w:themeColor="text1"/>
        </w:rPr>
      </w:pPr>
      <w:r w:rsidRPr="00DF2A48">
        <w:rPr>
          <w:color w:val="000000" w:themeColor="text1"/>
        </w:rPr>
        <w:br/>
      </w:r>
    </w:p>
    <w:p w14:paraId="70D5A430" w14:textId="77777777" w:rsidR="00DF2A48" w:rsidRPr="00DF2A48" w:rsidRDefault="00DF2A48" w:rsidP="00DF2A48">
      <w:pPr>
        <w:spacing w:line="360" w:lineRule="auto"/>
        <w:rPr>
          <w:color w:val="000000" w:themeColor="text1"/>
        </w:rPr>
      </w:pPr>
    </w:p>
    <w:p w14:paraId="140CC43E" w14:textId="77777777" w:rsidR="00C15AE2" w:rsidRDefault="00F33B3C" w:rsidP="00C15AE2">
      <w:pPr>
        <w:rPr>
          <w:color w:val="000000" w:themeColor="text1"/>
        </w:rPr>
      </w:pPr>
      <w:r>
        <w:rPr>
          <w:b/>
          <w:bCs/>
          <w:noProof/>
          <w:color w:val="000000" w:themeColor="text1"/>
          <w14:ligatures w14:val="standardContextual"/>
        </w:rPr>
        <w:lastRenderedPageBreak/>
        <w:drawing>
          <wp:inline distT="0" distB="0" distL="0" distR="0" wp14:anchorId="7733E660" wp14:editId="36045A4B">
            <wp:extent cx="5943600" cy="5244465"/>
            <wp:effectExtent l="0" t="0" r="0" b="635"/>
            <wp:docPr id="57601571" name="Picture 2" descr="A graph with a number of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1571" name="Picture 2" descr="A graph with a number of lines and dot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244465"/>
                    </a:xfrm>
                    <a:prstGeom prst="rect">
                      <a:avLst/>
                    </a:prstGeom>
                  </pic:spPr>
                </pic:pic>
              </a:graphicData>
            </a:graphic>
          </wp:inline>
        </w:drawing>
      </w:r>
      <w:r w:rsidR="00DF2A48" w:rsidRPr="00DF2A48">
        <w:rPr>
          <w:b/>
          <w:bCs/>
          <w:color w:val="000000" w:themeColor="text1"/>
        </w:rPr>
        <w:t>Figure 7:</w:t>
      </w:r>
      <w:r w:rsidR="00DF2A48" w:rsidRPr="00DF2A48">
        <w:rPr>
          <w:color w:val="000000" w:themeColor="text1"/>
        </w:rPr>
        <w:t xml:space="preserve"> Variable importance in projection (VIP) score plot demonstrating the significance of metabolites in the PLS-DA model between two groups – pellets grown in EMJH (in-house) media (referred as A in the figure) and EMJH (Difco) media (referred as B in the figure) at 28°C.</w:t>
      </w:r>
    </w:p>
    <w:p w14:paraId="2FED233E" w14:textId="34FD9C4E" w:rsidR="00DF2A48" w:rsidRPr="00DF2A48" w:rsidRDefault="00F33B3C" w:rsidP="00DF2A48">
      <w:pPr>
        <w:rPr>
          <w:color w:val="000000" w:themeColor="text1"/>
        </w:rPr>
      </w:pPr>
      <w:r>
        <w:rPr>
          <w:noProof/>
          <w:color w:val="000000" w:themeColor="text1"/>
          <w14:ligatures w14:val="standardContextual"/>
        </w:rPr>
        <w:lastRenderedPageBreak/>
        <w:drawing>
          <wp:inline distT="0" distB="0" distL="0" distR="0" wp14:anchorId="14B95019" wp14:editId="15609A18">
            <wp:extent cx="5943600" cy="3566160"/>
            <wp:effectExtent l="0" t="0" r="0" b="2540"/>
            <wp:docPr id="1485784701" name="Picture 3" descr="A graph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84701" name="Picture 3" descr="A graph with different colored dot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r w:rsidR="00DF2A48" w:rsidRPr="00DF2A48">
        <w:rPr>
          <w:color w:val="000000" w:themeColor="text1"/>
        </w:rPr>
        <w:br/>
      </w:r>
      <w:r w:rsidR="00DF2A48" w:rsidRPr="00DF2A48">
        <w:rPr>
          <w:b/>
          <w:bCs/>
          <w:color w:val="000000" w:themeColor="text1"/>
        </w:rPr>
        <w:t>Figure</w:t>
      </w:r>
      <w:r w:rsidR="00DF2A48" w:rsidRPr="00DF2A48">
        <w:rPr>
          <w:color w:val="000000" w:themeColor="text1"/>
        </w:rPr>
        <w:t xml:space="preserve"> </w:t>
      </w:r>
      <w:r w:rsidR="00DF2A48" w:rsidRPr="00DF2A48">
        <w:rPr>
          <w:b/>
          <w:bCs/>
          <w:color w:val="000000" w:themeColor="text1"/>
        </w:rPr>
        <w:t>8</w:t>
      </w:r>
      <w:r w:rsidR="00DF2A48" w:rsidRPr="00DF2A48">
        <w:rPr>
          <w:color w:val="000000" w:themeColor="text1"/>
        </w:rPr>
        <w:t xml:space="preserve">: Volcano plot representing upregulation and downregulation of metabolites while comparing growth of </w:t>
      </w:r>
      <w:proofErr w:type="spellStart"/>
      <w:r w:rsidR="00DF2A48" w:rsidRPr="00DF2A48">
        <w:rPr>
          <w:i/>
          <w:iCs/>
          <w:color w:val="000000" w:themeColor="text1"/>
        </w:rPr>
        <w:t>leptospira</w:t>
      </w:r>
      <w:proofErr w:type="spellEnd"/>
      <w:r w:rsidR="00DF2A48" w:rsidRPr="00DF2A48">
        <w:rPr>
          <w:color w:val="000000" w:themeColor="text1"/>
        </w:rPr>
        <w:t xml:space="preserve"> cells in EMJH (in-house) and in EMJH (Difco) media at 28°C. On x-axis, the log2 fold change is displayed for the P-A28/P-B28 ratio where A and B represents EMJH (in-house) and in EMJH (Difco) media at 28°C respectively.</w:t>
      </w:r>
      <w:r w:rsidR="00DF2A48" w:rsidRPr="00DF2A48">
        <w:rPr>
          <w:color w:val="000000" w:themeColor="text1"/>
        </w:rPr>
        <w:br w:type="page"/>
      </w:r>
    </w:p>
    <w:p w14:paraId="376DC256" w14:textId="77777777" w:rsidR="00DF2A48" w:rsidRPr="00DF2A48" w:rsidRDefault="00DF2A48" w:rsidP="00DF2A48">
      <w:pPr>
        <w:rPr>
          <w:color w:val="000000" w:themeColor="text1"/>
        </w:rPr>
      </w:pPr>
      <w:r w:rsidRPr="00DF2A48">
        <w:rPr>
          <w:b/>
          <w:bCs/>
          <w:color w:val="000000" w:themeColor="text1"/>
        </w:rPr>
        <w:lastRenderedPageBreak/>
        <w:t>Table 1:</w:t>
      </w:r>
      <w:r w:rsidRPr="00DF2A48">
        <w:rPr>
          <w:color w:val="000000" w:themeColor="text1"/>
        </w:rPr>
        <w:t xml:space="preserve"> Overview of comparisons performed to carry out sample fraction comparison in two different media and temperature combinations.</w:t>
      </w:r>
    </w:p>
    <w:tbl>
      <w:tblPr>
        <w:tblW w:w="9360" w:type="dxa"/>
        <w:tblInd w:w="-10" w:type="dxa"/>
        <w:tblCellMar>
          <w:left w:w="0" w:type="dxa"/>
          <w:right w:w="0" w:type="dxa"/>
        </w:tblCellMar>
        <w:tblLook w:val="0420" w:firstRow="1" w:lastRow="0" w:firstColumn="0" w:lastColumn="0" w:noHBand="0" w:noVBand="1"/>
      </w:tblPr>
      <w:tblGrid>
        <w:gridCol w:w="4032"/>
        <w:gridCol w:w="2935"/>
        <w:gridCol w:w="2393"/>
      </w:tblGrid>
      <w:tr w:rsidR="00DF2A48" w:rsidRPr="00DF2A48" w14:paraId="408DD361" w14:textId="77777777" w:rsidTr="00C8715B">
        <w:trPr>
          <w:trHeight w:val="250"/>
        </w:trPr>
        <w:tc>
          <w:tcPr>
            <w:tcW w:w="4032" w:type="dxa"/>
            <w:tcBorders>
              <w:top w:val="single" w:sz="8" w:space="0" w:color="FFFFFF"/>
              <w:left w:val="single" w:sz="8" w:space="0" w:color="FFFFFF"/>
              <w:bottom w:val="single" w:sz="8" w:space="0" w:color="000000"/>
              <w:right w:val="single" w:sz="8" w:space="0" w:color="FFFFFF"/>
            </w:tcBorders>
            <w:shd w:val="clear" w:color="auto" w:fill="156082"/>
            <w:tcMar>
              <w:top w:w="72" w:type="dxa"/>
              <w:left w:w="144" w:type="dxa"/>
              <w:bottom w:w="72" w:type="dxa"/>
              <w:right w:w="144" w:type="dxa"/>
            </w:tcMar>
            <w:hideMark/>
          </w:tcPr>
          <w:p w14:paraId="08C53BA8" w14:textId="77777777" w:rsidR="00DF2A48" w:rsidRPr="00DF2A48" w:rsidRDefault="00DF2A48" w:rsidP="00446A18">
            <w:pPr>
              <w:spacing w:line="360" w:lineRule="auto"/>
              <w:rPr>
                <w:color w:val="000000" w:themeColor="text1"/>
              </w:rPr>
            </w:pPr>
            <w:r w:rsidRPr="00DF2A48">
              <w:rPr>
                <w:color w:val="000000" w:themeColor="text1"/>
              </w:rPr>
              <w:t>Sample Fraction Comparison</w:t>
            </w:r>
          </w:p>
        </w:tc>
        <w:tc>
          <w:tcPr>
            <w:tcW w:w="2935" w:type="dxa"/>
            <w:tcBorders>
              <w:top w:val="single" w:sz="8" w:space="0" w:color="FFFFFF"/>
              <w:left w:val="single" w:sz="8" w:space="0" w:color="FFFFFF"/>
              <w:bottom w:val="single" w:sz="8" w:space="0" w:color="000000"/>
              <w:right w:val="single" w:sz="8" w:space="0" w:color="FFFFFF"/>
            </w:tcBorders>
            <w:shd w:val="clear" w:color="auto" w:fill="156082"/>
            <w:tcMar>
              <w:top w:w="72" w:type="dxa"/>
              <w:left w:w="144" w:type="dxa"/>
              <w:bottom w:w="72" w:type="dxa"/>
              <w:right w:w="144" w:type="dxa"/>
            </w:tcMar>
            <w:hideMark/>
          </w:tcPr>
          <w:p w14:paraId="118E4A6A" w14:textId="77777777" w:rsidR="00DF2A48" w:rsidRPr="00DF2A48" w:rsidRDefault="00DF2A48" w:rsidP="00446A18">
            <w:pPr>
              <w:spacing w:line="360" w:lineRule="auto"/>
              <w:rPr>
                <w:color w:val="000000" w:themeColor="text1"/>
              </w:rPr>
            </w:pPr>
            <w:r w:rsidRPr="00DF2A48">
              <w:rPr>
                <w:color w:val="000000" w:themeColor="text1"/>
              </w:rPr>
              <w:t xml:space="preserve">Media type  </w:t>
            </w:r>
          </w:p>
        </w:tc>
        <w:tc>
          <w:tcPr>
            <w:tcW w:w="2393" w:type="dxa"/>
            <w:tcBorders>
              <w:top w:val="single" w:sz="8" w:space="0" w:color="FFFFFF"/>
              <w:left w:val="single" w:sz="8" w:space="0" w:color="FFFFFF"/>
              <w:bottom w:val="single" w:sz="8" w:space="0" w:color="000000"/>
              <w:right w:val="single" w:sz="8" w:space="0" w:color="FFFFFF"/>
            </w:tcBorders>
            <w:shd w:val="clear" w:color="auto" w:fill="156082"/>
            <w:tcMar>
              <w:top w:w="72" w:type="dxa"/>
              <w:left w:w="144" w:type="dxa"/>
              <w:bottom w:w="72" w:type="dxa"/>
              <w:right w:w="144" w:type="dxa"/>
            </w:tcMar>
            <w:hideMark/>
          </w:tcPr>
          <w:p w14:paraId="1AC988B2" w14:textId="77777777" w:rsidR="00DF2A48" w:rsidRPr="00DF2A48" w:rsidRDefault="00DF2A48" w:rsidP="00446A18">
            <w:pPr>
              <w:spacing w:line="360" w:lineRule="auto"/>
              <w:rPr>
                <w:color w:val="000000" w:themeColor="text1"/>
              </w:rPr>
            </w:pPr>
            <w:r w:rsidRPr="00DF2A48">
              <w:rPr>
                <w:color w:val="000000" w:themeColor="text1"/>
              </w:rPr>
              <w:t>Temperature</w:t>
            </w:r>
          </w:p>
        </w:tc>
      </w:tr>
      <w:tr w:rsidR="00DF2A48" w:rsidRPr="00DF2A48" w14:paraId="38596170" w14:textId="77777777" w:rsidTr="00C8715B">
        <w:trPr>
          <w:trHeight w:val="250"/>
        </w:trPr>
        <w:tc>
          <w:tcPr>
            <w:tcW w:w="4032" w:type="dxa"/>
            <w:tcBorders>
              <w:top w:val="single" w:sz="8" w:space="0" w:color="000000"/>
              <w:left w:val="single" w:sz="8" w:space="0" w:color="000000"/>
              <w:bottom w:val="single" w:sz="8" w:space="0" w:color="FFFFFF"/>
              <w:right w:val="single" w:sz="8" w:space="0" w:color="FFFFFF"/>
            </w:tcBorders>
            <w:shd w:val="clear" w:color="auto" w:fill="CCD2D8"/>
            <w:tcMar>
              <w:top w:w="72" w:type="dxa"/>
              <w:left w:w="144" w:type="dxa"/>
              <w:bottom w:w="72" w:type="dxa"/>
              <w:right w:w="144" w:type="dxa"/>
            </w:tcMar>
            <w:hideMark/>
          </w:tcPr>
          <w:p w14:paraId="1BF30B5B"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Pellet / Supernatant</w:t>
            </w:r>
          </w:p>
        </w:tc>
        <w:tc>
          <w:tcPr>
            <w:tcW w:w="2935" w:type="dxa"/>
            <w:tcBorders>
              <w:top w:val="single" w:sz="8" w:space="0" w:color="000000"/>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60750BD"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2393" w:type="dxa"/>
            <w:tcBorders>
              <w:top w:val="single" w:sz="8" w:space="0" w:color="000000"/>
              <w:left w:val="single" w:sz="8" w:space="0" w:color="FFFFFF"/>
              <w:bottom w:val="single" w:sz="8" w:space="0" w:color="FFFFFF"/>
              <w:right w:val="single" w:sz="8" w:space="0" w:color="000000"/>
            </w:tcBorders>
            <w:shd w:val="clear" w:color="auto" w:fill="CCD2D8"/>
            <w:tcMar>
              <w:top w:w="72" w:type="dxa"/>
              <w:left w:w="144" w:type="dxa"/>
              <w:bottom w:w="72" w:type="dxa"/>
              <w:right w:w="144" w:type="dxa"/>
            </w:tcMar>
            <w:hideMark/>
          </w:tcPr>
          <w:p w14:paraId="71B142B7"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6252F904" w14:textId="77777777" w:rsidTr="00C8715B">
        <w:trPr>
          <w:trHeight w:val="250"/>
        </w:trPr>
        <w:tc>
          <w:tcPr>
            <w:tcW w:w="4032" w:type="dxa"/>
            <w:tcBorders>
              <w:top w:val="single" w:sz="8" w:space="0" w:color="FFFFFF"/>
              <w:left w:val="single" w:sz="8" w:space="0" w:color="000000"/>
              <w:bottom w:val="single" w:sz="8" w:space="0" w:color="FFFFFF"/>
              <w:right w:val="single" w:sz="8" w:space="0" w:color="FFFFFF"/>
            </w:tcBorders>
            <w:shd w:val="clear" w:color="auto" w:fill="E7EAED"/>
            <w:tcMar>
              <w:top w:w="72" w:type="dxa"/>
              <w:left w:w="144" w:type="dxa"/>
              <w:bottom w:w="72" w:type="dxa"/>
              <w:right w:w="144" w:type="dxa"/>
            </w:tcMar>
            <w:hideMark/>
          </w:tcPr>
          <w:p w14:paraId="57FBE25F"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Pellet / Media</w:t>
            </w:r>
          </w:p>
        </w:tc>
        <w:tc>
          <w:tcPr>
            <w:tcW w:w="2935"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5284ACC"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2393" w:type="dxa"/>
            <w:tcBorders>
              <w:top w:val="single" w:sz="8" w:space="0" w:color="FFFFFF"/>
              <w:left w:val="single" w:sz="8" w:space="0" w:color="FFFFFF"/>
              <w:bottom w:val="single" w:sz="8" w:space="0" w:color="FFFFFF"/>
              <w:right w:val="single" w:sz="8" w:space="0" w:color="000000"/>
            </w:tcBorders>
            <w:shd w:val="clear" w:color="auto" w:fill="E7EAED"/>
            <w:tcMar>
              <w:top w:w="72" w:type="dxa"/>
              <w:left w:w="144" w:type="dxa"/>
              <w:bottom w:w="72" w:type="dxa"/>
              <w:right w:w="144" w:type="dxa"/>
            </w:tcMar>
            <w:hideMark/>
          </w:tcPr>
          <w:p w14:paraId="25CA70B8"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5908AEED" w14:textId="77777777" w:rsidTr="00C8715B">
        <w:trPr>
          <w:trHeight w:val="250"/>
        </w:trPr>
        <w:tc>
          <w:tcPr>
            <w:tcW w:w="4032" w:type="dxa"/>
            <w:tcBorders>
              <w:top w:val="single" w:sz="8" w:space="0" w:color="FFFFFF"/>
              <w:left w:val="single" w:sz="8" w:space="0" w:color="000000"/>
              <w:bottom w:val="single" w:sz="8" w:space="0" w:color="000000"/>
              <w:right w:val="single" w:sz="8" w:space="0" w:color="FFFFFF"/>
            </w:tcBorders>
            <w:shd w:val="clear" w:color="auto" w:fill="CCD2D8"/>
            <w:tcMar>
              <w:top w:w="72" w:type="dxa"/>
              <w:left w:w="144" w:type="dxa"/>
              <w:bottom w:w="72" w:type="dxa"/>
              <w:right w:w="144" w:type="dxa"/>
            </w:tcMar>
            <w:hideMark/>
          </w:tcPr>
          <w:p w14:paraId="2427F4CF"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Supernatant /Media</w:t>
            </w:r>
          </w:p>
        </w:tc>
        <w:tc>
          <w:tcPr>
            <w:tcW w:w="2935" w:type="dxa"/>
            <w:tcBorders>
              <w:top w:val="single" w:sz="8" w:space="0" w:color="FFFFFF"/>
              <w:left w:val="single" w:sz="8" w:space="0" w:color="FFFFFF"/>
              <w:bottom w:val="single" w:sz="8" w:space="0" w:color="000000"/>
              <w:right w:val="single" w:sz="8" w:space="0" w:color="FFFFFF"/>
            </w:tcBorders>
            <w:shd w:val="clear" w:color="auto" w:fill="CCD2D8"/>
            <w:tcMar>
              <w:top w:w="72" w:type="dxa"/>
              <w:left w:w="144" w:type="dxa"/>
              <w:bottom w:w="72" w:type="dxa"/>
              <w:right w:w="144" w:type="dxa"/>
            </w:tcMar>
            <w:hideMark/>
          </w:tcPr>
          <w:p w14:paraId="2BE76152"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2393" w:type="dxa"/>
            <w:tcBorders>
              <w:top w:val="single" w:sz="8" w:space="0" w:color="FFFFFF"/>
              <w:left w:val="single" w:sz="8" w:space="0" w:color="FFFFFF"/>
              <w:bottom w:val="single" w:sz="8" w:space="0" w:color="000000"/>
              <w:right w:val="single" w:sz="8" w:space="0" w:color="000000"/>
            </w:tcBorders>
            <w:shd w:val="clear" w:color="auto" w:fill="CCD2D8"/>
            <w:tcMar>
              <w:top w:w="72" w:type="dxa"/>
              <w:left w:w="144" w:type="dxa"/>
              <w:bottom w:w="72" w:type="dxa"/>
              <w:right w:w="144" w:type="dxa"/>
            </w:tcMar>
            <w:hideMark/>
          </w:tcPr>
          <w:p w14:paraId="668D6280"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419F2EB7" w14:textId="77777777" w:rsidTr="00C8715B">
        <w:trPr>
          <w:trHeight w:val="250"/>
        </w:trPr>
        <w:tc>
          <w:tcPr>
            <w:tcW w:w="4032" w:type="dxa"/>
            <w:tcBorders>
              <w:top w:val="single" w:sz="8" w:space="0" w:color="000000"/>
              <w:left w:val="single" w:sz="8" w:space="0" w:color="000000"/>
              <w:bottom w:val="single" w:sz="8" w:space="0" w:color="FFFFFF"/>
              <w:right w:val="single" w:sz="8" w:space="0" w:color="FFFFFF"/>
            </w:tcBorders>
            <w:shd w:val="clear" w:color="auto" w:fill="E7EAED"/>
            <w:tcMar>
              <w:top w:w="72" w:type="dxa"/>
              <w:left w:w="144" w:type="dxa"/>
              <w:bottom w:w="72" w:type="dxa"/>
              <w:right w:w="144" w:type="dxa"/>
            </w:tcMar>
            <w:hideMark/>
          </w:tcPr>
          <w:p w14:paraId="3D2B9F8D"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Pellet / Supernatant</w:t>
            </w:r>
          </w:p>
        </w:tc>
        <w:tc>
          <w:tcPr>
            <w:tcW w:w="2935" w:type="dxa"/>
            <w:tcBorders>
              <w:top w:val="single" w:sz="8" w:space="0" w:color="000000"/>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4D94BBD0"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2393" w:type="dxa"/>
            <w:tcBorders>
              <w:top w:val="single" w:sz="8" w:space="0" w:color="000000"/>
              <w:left w:val="single" w:sz="8" w:space="0" w:color="FFFFFF"/>
              <w:bottom w:val="single" w:sz="8" w:space="0" w:color="FFFFFF"/>
              <w:right w:val="single" w:sz="8" w:space="0" w:color="000000"/>
            </w:tcBorders>
            <w:shd w:val="clear" w:color="auto" w:fill="E7EAED"/>
            <w:tcMar>
              <w:top w:w="72" w:type="dxa"/>
              <w:left w:w="144" w:type="dxa"/>
              <w:bottom w:w="72" w:type="dxa"/>
              <w:right w:w="144" w:type="dxa"/>
            </w:tcMar>
            <w:hideMark/>
          </w:tcPr>
          <w:p w14:paraId="5DF6015D" w14:textId="77777777" w:rsidR="00DF2A48" w:rsidRPr="00DF2A48" w:rsidRDefault="00DF2A48" w:rsidP="00446A18">
            <w:pPr>
              <w:spacing w:line="360" w:lineRule="auto"/>
              <w:rPr>
                <w:color w:val="000000" w:themeColor="text1"/>
              </w:rPr>
            </w:pPr>
            <w:r w:rsidRPr="00DF2A48">
              <w:rPr>
                <w:color w:val="000000" w:themeColor="text1"/>
              </w:rPr>
              <w:t>37°C</w:t>
            </w:r>
          </w:p>
        </w:tc>
      </w:tr>
      <w:tr w:rsidR="00DF2A48" w:rsidRPr="00DF2A48" w14:paraId="2BA8132D" w14:textId="77777777" w:rsidTr="00C8715B">
        <w:trPr>
          <w:trHeight w:val="250"/>
        </w:trPr>
        <w:tc>
          <w:tcPr>
            <w:tcW w:w="4032" w:type="dxa"/>
            <w:tcBorders>
              <w:top w:val="single" w:sz="8" w:space="0" w:color="FFFFFF"/>
              <w:left w:val="single" w:sz="8" w:space="0" w:color="000000"/>
              <w:bottom w:val="single" w:sz="8" w:space="0" w:color="FFFFFF"/>
              <w:right w:val="single" w:sz="8" w:space="0" w:color="FFFFFF"/>
            </w:tcBorders>
            <w:shd w:val="clear" w:color="auto" w:fill="CCD2D8"/>
            <w:tcMar>
              <w:top w:w="72" w:type="dxa"/>
              <w:left w:w="144" w:type="dxa"/>
              <w:bottom w:w="72" w:type="dxa"/>
              <w:right w:w="144" w:type="dxa"/>
            </w:tcMar>
            <w:hideMark/>
          </w:tcPr>
          <w:p w14:paraId="12D00BD5"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Pellet / Media</w:t>
            </w:r>
          </w:p>
        </w:tc>
        <w:tc>
          <w:tcPr>
            <w:tcW w:w="2935"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262ACB1"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2393" w:type="dxa"/>
            <w:tcBorders>
              <w:top w:val="single" w:sz="8" w:space="0" w:color="FFFFFF"/>
              <w:left w:val="single" w:sz="8" w:space="0" w:color="FFFFFF"/>
              <w:bottom w:val="single" w:sz="8" w:space="0" w:color="FFFFFF"/>
              <w:right w:val="single" w:sz="8" w:space="0" w:color="000000"/>
            </w:tcBorders>
            <w:shd w:val="clear" w:color="auto" w:fill="CCD2D8"/>
            <w:tcMar>
              <w:top w:w="72" w:type="dxa"/>
              <w:left w:w="144" w:type="dxa"/>
              <w:bottom w:w="72" w:type="dxa"/>
              <w:right w:w="144" w:type="dxa"/>
            </w:tcMar>
            <w:hideMark/>
          </w:tcPr>
          <w:p w14:paraId="2E87D2A0" w14:textId="77777777" w:rsidR="00DF2A48" w:rsidRPr="00DF2A48" w:rsidRDefault="00DF2A48" w:rsidP="00446A18">
            <w:pPr>
              <w:spacing w:line="360" w:lineRule="auto"/>
              <w:rPr>
                <w:color w:val="000000" w:themeColor="text1"/>
              </w:rPr>
            </w:pPr>
            <w:r w:rsidRPr="00DF2A48">
              <w:rPr>
                <w:color w:val="000000" w:themeColor="text1"/>
              </w:rPr>
              <w:t>37°C</w:t>
            </w:r>
          </w:p>
        </w:tc>
      </w:tr>
      <w:tr w:rsidR="00DF2A48" w:rsidRPr="00DF2A48" w14:paraId="108A0138" w14:textId="77777777" w:rsidTr="00C8715B">
        <w:trPr>
          <w:trHeight w:val="250"/>
        </w:trPr>
        <w:tc>
          <w:tcPr>
            <w:tcW w:w="4032" w:type="dxa"/>
            <w:tcBorders>
              <w:top w:val="single" w:sz="8" w:space="0" w:color="FFFFFF"/>
              <w:left w:val="single" w:sz="8" w:space="0" w:color="000000"/>
              <w:bottom w:val="single" w:sz="8" w:space="0" w:color="000000"/>
              <w:right w:val="single" w:sz="8" w:space="0" w:color="FFFFFF"/>
            </w:tcBorders>
            <w:shd w:val="clear" w:color="auto" w:fill="E7EAED"/>
            <w:tcMar>
              <w:top w:w="72" w:type="dxa"/>
              <w:left w:w="144" w:type="dxa"/>
              <w:bottom w:w="72" w:type="dxa"/>
              <w:right w:w="144" w:type="dxa"/>
            </w:tcMar>
            <w:hideMark/>
          </w:tcPr>
          <w:p w14:paraId="69F47106"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Supernatant /Media</w:t>
            </w:r>
          </w:p>
        </w:tc>
        <w:tc>
          <w:tcPr>
            <w:tcW w:w="2935" w:type="dxa"/>
            <w:tcBorders>
              <w:top w:val="single" w:sz="8" w:space="0" w:color="FFFFFF"/>
              <w:left w:val="single" w:sz="8" w:space="0" w:color="FFFFFF"/>
              <w:bottom w:val="single" w:sz="8" w:space="0" w:color="000000"/>
              <w:right w:val="single" w:sz="8" w:space="0" w:color="FFFFFF"/>
            </w:tcBorders>
            <w:shd w:val="clear" w:color="auto" w:fill="E7EAED"/>
            <w:tcMar>
              <w:top w:w="72" w:type="dxa"/>
              <w:left w:w="144" w:type="dxa"/>
              <w:bottom w:w="72" w:type="dxa"/>
              <w:right w:w="144" w:type="dxa"/>
            </w:tcMar>
            <w:hideMark/>
          </w:tcPr>
          <w:p w14:paraId="61A0DE8D"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2393" w:type="dxa"/>
            <w:tcBorders>
              <w:top w:val="single" w:sz="8" w:space="0" w:color="FFFFFF"/>
              <w:left w:val="single" w:sz="8" w:space="0" w:color="FFFFFF"/>
              <w:bottom w:val="single" w:sz="8" w:space="0" w:color="000000"/>
              <w:right w:val="single" w:sz="8" w:space="0" w:color="000000"/>
            </w:tcBorders>
            <w:shd w:val="clear" w:color="auto" w:fill="E7EAED"/>
            <w:tcMar>
              <w:top w:w="72" w:type="dxa"/>
              <w:left w:w="144" w:type="dxa"/>
              <w:bottom w:w="72" w:type="dxa"/>
              <w:right w:w="144" w:type="dxa"/>
            </w:tcMar>
            <w:hideMark/>
          </w:tcPr>
          <w:p w14:paraId="7386AC39" w14:textId="77777777" w:rsidR="00DF2A48" w:rsidRPr="00DF2A48" w:rsidRDefault="00DF2A48" w:rsidP="00446A18">
            <w:pPr>
              <w:spacing w:line="360" w:lineRule="auto"/>
              <w:rPr>
                <w:color w:val="000000" w:themeColor="text1"/>
              </w:rPr>
            </w:pPr>
            <w:r w:rsidRPr="00DF2A48">
              <w:rPr>
                <w:color w:val="000000" w:themeColor="text1"/>
              </w:rPr>
              <w:t>37°C</w:t>
            </w:r>
          </w:p>
        </w:tc>
      </w:tr>
      <w:tr w:rsidR="00DF2A48" w:rsidRPr="00DF2A48" w14:paraId="5EF81214" w14:textId="77777777" w:rsidTr="00C8715B">
        <w:trPr>
          <w:trHeight w:val="250"/>
        </w:trPr>
        <w:tc>
          <w:tcPr>
            <w:tcW w:w="4032" w:type="dxa"/>
            <w:tcBorders>
              <w:top w:val="single" w:sz="8" w:space="0" w:color="000000"/>
              <w:left w:val="single" w:sz="8" w:space="0" w:color="000000"/>
              <w:bottom w:val="single" w:sz="8" w:space="0" w:color="FFFFFF"/>
              <w:right w:val="single" w:sz="8" w:space="0" w:color="FFFFFF"/>
            </w:tcBorders>
            <w:shd w:val="clear" w:color="auto" w:fill="CCD2D8"/>
            <w:tcMar>
              <w:top w:w="72" w:type="dxa"/>
              <w:left w:w="144" w:type="dxa"/>
              <w:bottom w:w="72" w:type="dxa"/>
              <w:right w:w="144" w:type="dxa"/>
            </w:tcMar>
            <w:hideMark/>
          </w:tcPr>
          <w:p w14:paraId="195D7439"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Pellet / Supernatant</w:t>
            </w:r>
          </w:p>
        </w:tc>
        <w:tc>
          <w:tcPr>
            <w:tcW w:w="2935" w:type="dxa"/>
            <w:tcBorders>
              <w:top w:val="single" w:sz="8" w:space="0" w:color="000000"/>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1406EFF"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2393" w:type="dxa"/>
            <w:tcBorders>
              <w:top w:val="single" w:sz="8" w:space="0" w:color="000000"/>
              <w:left w:val="single" w:sz="8" w:space="0" w:color="FFFFFF"/>
              <w:bottom w:val="single" w:sz="8" w:space="0" w:color="FFFFFF"/>
              <w:right w:val="single" w:sz="8" w:space="0" w:color="000000"/>
            </w:tcBorders>
            <w:shd w:val="clear" w:color="auto" w:fill="CCD2D8"/>
            <w:tcMar>
              <w:top w:w="72" w:type="dxa"/>
              <w:left w:w="144" w:type="dxa"/>
              <w:bottom w:w="72" w:type="dxa"/>
              <w:right w:w="144" w:type="dxa"/>
            </w:tcMar>
            <w:hideMark/>
          </w:tcPr>
          <w:p w14:paraId="0FEF00A2"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782A2952" w14:textId="77777777" w:rsidTr="00C8715B">
        <w:trPr>
          <w:trHeight w:val="250"/>
        </w:trPr>
        <w:tc>
          <w:tcPr>
            <w:tcW w:w="4032" w:type="dxa"/>
            <w:tcBorders>
              <w:top w:val="single" w:sz="8" w:space="0" w:color="FFFFFF"/>
              <w:left w:val="single" w:sz="8" w:space="0" w:color="000000"/>
              <w:bottom w:val="single" w:sz="8" w:space="0" w:color="FFFFFF"/>
              <w:right w:val="single" w:sz="8" w:space="0" w:color="FFFFFF"/>
            </w:tcBorders>
            <w:shd w:val="clear" w:color="auto" w:fill="E7EAED"/>
            <w:tcMar>
              <w:top w:w="72" w:type="dxa"/>
              <w:left w:w="144" w:type="dxa"/>
              <w:bottom w:w="72" w:type="dxa"/>
              <w:right w:w="144" w:type="dxa"/>
            </w:tcMar>
            <w:hideMark/>
          </w:tcPr>
          <w:p w14:paraId="6DDA7130"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Pellet / Media</w:t>
            </w:r>
          </w:p>
        </w:tc>
        <w:tc>
          <w:tcPr>
            <w:tcW w:w="2935"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0353C2A"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2393" w:type="dxa"/>
            <w:tcBorders>
              <w:top w:val="single" w:sz="8" w:space="0" w:color="FFFFFF"/>
              <w:left w:val="single" w:sz="8" w:space="0" w:color="FFFFFF"/>
              <w:bottom w:val="single" w:sz="8" w:space="0" w:color="FFFFFF"/>
              <w:right w:val="single" w:sz="8" w:space="0" w:color="000000"/>
            </w:tcBorders>
            <w:shd w:val="clear" w:color="auto" w:fill="E7EAED"/>
            <w:tcMar>
              <w:top w:w="72" w:type="dxa"/>
              <w:left w:w="144" w:type="dxa"/>
              <w:bottom w:w="72" w:type="dxa"/>
              <w:right w:w="144" w:type="dxa"/>
            </w:tcMar>
            <w:hideMark/>
          </w:tcPr>
          <w:p w14:paraId="45520F85"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48137888" w14:textId="77777777" w:rsidTr="00C8715B">
        <w:trPr>
          <w:trHeight w:val="250"/>
        </w:trPr>
        <w:tc>
          <w:tcPr>
            <w:tcW w:w="4032" w:type="dxa"/>
            <w:tcBorders>
              <w:top w:val="single" w:sz="8" w:space="0" w:color="FFFFFF"/>
              <w:left w:val="single" w:sz="8" w:space="0" w:color="000000"/>
              <w:bottom w:val="single" w:sz="8" w:space="0" w:color="000000"/>
              <w:right w:val="single" w:sz="8" w:space="0" w:color="FFFFFF"/>
            </w:tcBorders>
            <w:shd w:val="clear" w:color="auto" w:fill="CCD2D8"/>
            <w:tcMar>
              <w:top w:w="72" w:type="dxa"/>
              <w:left w:w="144" w:type="dxa"/>
              <w:bottom w:w="72" w:type="dxa"/>
              <w:right w:w="144" w:type="dxa"/>
            </w:tcMar>
            <w:hideMark/>
          </w:tcPr>
          <w:p w14:paraId="04801DFD"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Supernatant / Media</w:t>
            </w:r>
          </w:p>
        </w:tc>
        <w:tc>
          <w:tcPr>
            <w:tcW w:w="2935" w:type="dxa"/>
            <w:tcBorders>
              <w:top w:val="single" w:sz="8" w:space="0" w:color="FFFFFF"/>
              <w:left w:val="single" w:sz="8" w:space="0" w:color="FFFFFF"/>
              <w:bottom w:val="single" w:sz="8" w:space="0" w:color="000000"/>
              <w:right w:val="single" w:sz="8" w:space="0" w:color="FFFFFF"/>
            </w:tcBorders>
            <w:shd w:val="clear" w:color="auto" w:fill="CCD2D8"/>
            <w:tcMar>
              <w:top w:w="72" w:type="dxa"/>
              <w:left w:w="144" w:type="dxa"/>
              <w:bottom w:w="72" w:type="dxa"/>
              <w:right w:w="144" w:type="dxa"/>
            </w:tcMar>
            <w:hideMark/>
          </w:tcPr>
          <w:p w14:paraId="420B154D"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2393" w:type="dxa"/>
            <w:tcBorders>
              <w:top w:val="single" w:sz="8" w:space="0" w:color="FFFFFF"/>
              <w:left w:val="single" w:sz="8" w:space="0" w:color="FFFFFF"/>
              <w:bottom w:val="single" w:sz="8" w:space="0" w:color="000000"/>
              <w:right w:val="single" w:sz="8" w:space="0" w:color="000000"/>
            </w:tcBorders>
            <w:shd w:val="clear" w:color="auto" w:fill="CCD2D8"/>
            <w:tcMar>
              <w:top w:w="72" w:type="dxa"/>
              <w:left w:w="144" w:type="dxa"/>
              <w:bottom w:w="72" w:type="dxa"/>
              <w:right w:w="144" w:type="dxa"/>
            </w:tcMar>
            <w:hideMark/>
          </w:tcPr>
          <w:p w14:paraId="3E3D1320"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650E14B2" w14:textId="77777777" w:rsidTr="00C8715B">
        <w:trPr>
          <w:trHeight w:val="250"/>
        </w:trPr>
        <w:tc>
          <w:tcPr>
            <w:tcW w:w="4032" w:type="dxa"/>
            <w:tcBorders>
              <w:top w:val="single" w:sz="8" w:space="0" w:color="000000"/>
              <w:left w:val="single" w:sz="8" w:space="0" w:color="000000"/>
              <w:bottom w:val="single" w:sz="8" w:space="0" w:color="FFFFFF"/>
              <w:right w:val="single" w:sz="8" w:space="0" w:color="FFFFFF"/>
            </w:tcBorders>
            <w:shd w:val="clear" w:color="auto" w:fill="E7EAED"/>
            <w:tcMar>
              <w:top w:w="72" w:type="dxa"/>
              <w:left w:w="144" w:type="dxa"/>
              <w:bottom w:w="72" w:type="dxa"/>
              <w:right w:w="144" w:type="dxa"/>
            </w:tcMar>
            <w:hideMark/>
          </w:tcPr>
          <w:p w14:paraId="2E03E54E"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Pellet / Supernatant</w:t>
            </w:r>
          </w:p>
        </w:tc>
        <w:tc>
          <w:tcPr>
            <w:tcW w:w="2935" w:type="dxa"/>
            <w:tcBorders>
              <w:top w:val="single" w:sz="8" w:space="0" w:color="000000"/>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680AA64"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2393" w:type="dxa"/>
            <w:tcBorders>
              <w:top w:val="single" w:sz="8" w:space="0" w:color="000000"/>
              <w:left w:val="single" w:sz="8" w:space="0" w:color="FFFFFF"/>
              <w:bottom w:val="single" w:sz="8" w:space="0" w:color="FFFFFF"/>
              <w:right w:val="single" w:sz="8" w:space="0" w:color="000000"/>
            </w:tcBorders>
            <w:shd w:val="clear" w:color="auto" w:fill="E7EAED"/>
            <w:tcMar>
              <w:top w:w="72" w:type="dxa"/>
              <w:left w:w="144" w:type="dxa"/>
              <w:bottom w:w="72" w:type="dxa"/>
              <w:right w:w="144" w:type="dxa"/>
            </w:tcMar>
            <w:hideMark/>
          </w:tcPr>
          <w:p w14:paraId="71159BFC" w14:textId="77777777" w:rsidR="00DF2A48" w:rsidRPr="00DF2A48" w:rsidRDefault="00DF2A48" w:rsidP="00446A18">
            <w:pPr>
              <w:spacing w:line="360" w:lineRule="auto"/>
              <w:rPr>
                <w:color w:val="000000" w:themeColor="text1"/>
              </w:rPr>
            </w:pPr>
            <w:r w:rsidRPr="00DF2A48">
              <w:rPr>
                <w:color w:val="000000" w:themeColor="text1"/>
              </w:rPr>
              <w:t>37°C</w:t>
            </w:r>
          </w:p>
        </w:tc>
      </w:tr>
      <w:tr w:rsidR="00DF2A48" w:rsidRPr="00DF2A48" w14:paraId="31FF0D3F" w14:textId="77777777" w:rsidTr="00C8715B">
        <w:trPr>
          <w:trHeight w:val="250"/>
        </w:trPr>
        <w:tc>
          <w:tcPr>
            <w:tcW w:w="4032" w:type="dxa"/>
            <w:tcBorders>
              <w:top w:val="single" w:sz="8" w:space="0" w:color="FFFFFF"/>
              <w:left w:val="single" w:sz="8" w:space="0" w:color="000000"/>
              <w:bottom w:val="single" w:sz="8" w:space="0" w:color="FFFFFF"/>
              <w:right w:val="single" w:sz="8" w:space="0" w:color="FFFFFF"/>
            </w:tcBorders>
            <w:shd w:val="clear" w:color="auto" w:fill="CCD2D8"/>
            <w:tcMar>
              <w:top w:w="72" w:type="dxa"/>
              <w:left w:w="144" w:type="dxa"/>
              <w:bottom w:w="72" w:type="dxa"/>
              <w:right w:w="144" w:type="dxa"/>
            </w:tcMar>
            <w:hideMark/>
          </w:tcPr>
          <w:p w14:paraId="683CDE22"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Pellet / Media</w:t>
            </w:r>
          </w:p>
        </w:tc>
        <w:tc>
          <w:tcPr>
            <w:tcW w:w="2935"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222A6A8"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2393" w:type="dxa"/>
            <w:tcBorders>
              <w:top w:val="single" w:sz="8" w:space="0" w:color="FFFFFF"/>
              <w:left w:val="single" w:sz="8" w:space="0" w:color="FFFFFF"/>
              <w:bottom w:val="single" w:sz="8" w:space="0" w:color="FFFFFF"/>
              <w:right w:val="single" w:sz="8" w:space="0" w:color="000000"/>
            </w:tcBorders>
            <w:shd w:val="clear" w:color="auto" w:fill="CCD2D8"/>
            <w:tcMar>
              <w:top w:w="72" w:type="dxa"/>
              <w:left w:w="144" w:type="dxa"/>
              <w:bottom w:w="72" w:type="dxa"/>
              <w:right w:w="144" w:type="dxa"/>
            </w:tcMar>
            <w:hideMark/>
          </w:tcPr>
          <w:p w14:paraId="06602884" w14:textId="77777777" w:rsidR="00DF2A48" w:rsidRPr="00DF2A48" w:rsidRDefault="00DF2A48" w:rsidP="00446A18">
            <w:pPr>
              <w:spacing w:line="360" w:lineRule="auto"/>
              <w:rPr>
                <w:color w:val="000000" w:themeColor="text1"/>
              </w:rPr>
            </w:pPr>
            <w:r w:rsidRPr="00DF2A48">
              <w:rPr>
                <w:color w:val="000000" w:themeColor="text1"/>
              </w:rPr>
              <w:t>37°C</w:t>
            </w:r>
          </w:p>
        </w:tc>
      </w:tr>
      <w:tr w:rsidR="00DF2A48" w:rsidRPr="00DF2A48" w14:paraId="5C97C839" w14:textId="77777777" w:rsidTr="00C8715B">
        <w:trPr>
          <w:trHeight w:val="17"/>
        </w:trPr>
        <w:tc>
          <w:tcPr>
            <w:tcW w:w="4032" w:type="dxa"/>
            <w:tcBorders>
              <w:top w:val="single" w:sz="8" w:space="0" w:color="FFFFFF"/>
              <w:left w:val="single" w:sz="8" w:space="0" w:color="000000"/>
              <w:bottom w:val="single" w:sz="8" w:space="0" w:color="000000"/>
              <w:right w:val="single" w:sz="8" w:space="0" w:color="FFFFFF"/>
            </w:tcBorders>
            <w:shd w:val="clear" w:color="auto" w:fill="E7EAED"/>
            <w:tcMar>
              <w:top w:w="72" w:type="dxa"/>
              <w:left w:w="144" w:type="dxa"/>
              <w:bottom w:w="72" w:type="dxa"/>
              <w:right w:w="144" w:type="dxa"/>
            </w:tcMar>
            <w:hideMark/>
          </w:tcPr>
          <w:p w14:paraId="20AC0AB1" w14:textId="77777777" w:rsidR="00DF2A48" w:rsidRPr="00DF2A48" w:rsidRDefault="00DF2A48" w:rsidP="00446A18">
            <w:pPr>
              <w:pStyle w:val="ListParagraph"/>
              <w:numPr>
                <w:ilvl w:val="0"/>
                <w:numId w:val="28"/>
              </w:numPr>
              <w:spacing w:line="360" w:lineRule="auto"/>
              <w:rPr>
                <w:color w:val="000000" w:themeColor="text1"/>
              </w:rPr>
            </w:pPr>
            <w:r w:rsidRPr="00DF2A48">
              <w:rPr>
                <w:color w:val="000000" w:themeColor="text1"/>
              </w:rPr>
              <w:t>Supernatant / Media</w:t>
            </w:r>
          </w:p>
        </w:tc>
        <w:tc>
          <w:tcPr>
            <w:tcW w:w="2935" w:type="dxa"/>
            <w:tcBorders>
              <w:top w:val="single" w:sz="8" w:space="0" w:color="FFFFFF"/>
              <w:left w:val="single" w:sz="8" w:space="0" w:color="FFFFFF"/>
              <w:bottom w:val="single" w:sz="8" w:space="0" w:color="000000"/>
              <w:right w:val="single" w:sz="8" w:space="0" w:color="FFFFFF"/>
            </w:tcBorders>
            <w:shd w:val="clear" w:color="auto" w:fill="E7EAED"/>
            <w:tcMar>
              <w:top w:w="72" w:type="dxa"/>
              <w:left w:w="144" w:type="dxa"/>
              <w:bottom w:w="72" w:type="dxa"/>
              <w:right w:w="144" w:type="dxa"/>
            </w:tcMar>
            <w:hideMark/>
          </w:tcPr>
          <w:p w14:paraId="0322EE37"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2393" w:type="dxa"/>
            <w:tcBorders>
              <w:top w:val="single" w:sz="8" w:space="0" w:color="FFFFFF"/>
              <w:left w:val="single" w:sz="8" w:space="0" w:color="FFFFFF"/>
              <w:bottom w:val="single" w:sz="8" w:space="0" w:color="000000"/>
              <w:right w:val="single" w:sz="8" w:space="0" w:color="000000"/>
            </w:tcBorders>
            <w:shd w:val="clear" w:color="auto" w:fill="E7EAED"/>
            <w:tcMar>
              <w:top w:w="72" w:type="dxa"/>
              <w:left w:w="144" w:type="dxa"/>
              <w:bottom w:w="72" w:type="dxa"/>
              <w:right w:w="144" w:type="dxa"/>
            </w:tcMar>
            <w:hideMark/>
          </w:tcPr>
          <w:p w14:paraId="6E195326" w14:textId="77777777" w:rsidR="00DF2A48" w:rsidRPr="00DF2A48" w:rsidRDefault="00DF2A48" w:rsidP="00446A18">
            <w:pPr>
              <w:spacing w:line="360" w:lineRule="auto"/>
              <w:rPr>
                <w:color w:val="000000" w:themeColor="text1"/>
              </w:rPr>
            </w:pPr>
            <w:r w:rsidRPr="00DF2A48">
              <w:rPr>
                <w:color w:val="000000" w:themeColor="text1"/>
              </w:rPr>
              <w:t>37°C</w:t>
            </w:r>
          </w:p>
        </w:tc>
      </w:tr>
    </w:tbl>
    <w:p w14:paraId="45E9275F" w14:textId="77777777" w:rsidR="00DF2A48" w:rsidRPr="00DF2A48" w:rsidRDefault="00DF2A48" w:rsidP="00DF2A48">
      <w:pPr>
        <w:spacing w:line="360" w:lineRule="auto"/>
        <w:rPr>
          <w:color w:val="000000" w:themeColor="text1"/>
        </w:rPr>
      </w:pPr>
    </w:p>
    <w:p w14:paraId="1C983A3C" w14:textId="77777777" w:rsidR="00DF2A48" w:rsidRPr="00DF2A48" w:rsidRDefault="00DF2A48" w:rsidP="00DF2A48">
      <w:pPr>
        <w:spacing w:line="360" w:lineRule="auto"/>
        <w:rPr>
          <w:color w:val="000000" w:themeColor="text1"/>
        </w:rPr>
      </w:pPr>
      <w:r w:rsidRPr="00DF2A48">
        <w:rPr>
          <w:color w:val="000000" w:themeColor="text1"/>
        </w:rPr>
        <w:br w:type="page"/>
      </w:r>
    </w:p>
    <w:p w14:paraId="3A49F1AC" w14:textId="77777777" w:rsidR="009571E7" w:rsidRDefault="00DF2A48" w:rsidP="00DF2A48">
      <w:pPr>
        <w:spacing w:line="360" w:lineRule="auto"/>
        <w:rPr>
          <w:b/>
          <w:bCs/>
          <w:color w:val="000000" w:themeColor="text1"/>
        </w:rPr>
      </w:pPr>
      <w:r w:rsidRPr="00DF2A48">
        <w:rPr>
          <w:b/>
          <w:bCs/>
          <w:color w:val="000000" w:themeColor="text1"/>
        </w:rPr>
        <w:lastRenderedPageBreak/>
        <w:t>Comparison between Pellet and Supernatant in EMJH (in house) at 28°C</w:t>
      </w:r>
    </w:p>
    <w:p w14:paraId="41C913B3" w14:textId="77777777" w:rsidR="009571E7" w:rsidRDefault="009571E7" w:rsidP="00C8715B">
      <w:pPr>
        <w:spacing w:line="360" w:lineRule="auto"/>
        <w:ind w:firstLine="720"/>
        <w:rPr>
          <w:color w:val="000000" w:themeColor="text1"/>
        </w:rPr>
      </w:pPr>
      <w:r>
        <w:rPr>
          <w:color w:val="000000" w:themeColor="text1"/>
        </w:rPr>
        <w:t>First, the c</w:t>
      </w:r>
      <w:r w:rsidRPr="00430C22">
        <w:rPr>
          <w:color w:val="000000" w:themeColor="text1"/>
        </w:rPr>
        <w:t>omparison</w:t>
      </w:r>
      <w:r>
        <w:rPr>
          <w:color w:val="000000" w:themeColor="text1"/>
        </w:rPr>
        <w:t xml:space="preserve"> between the pellet and the supernatant collected from the inoculation of </w:t>
      </w:r>
      <w:proofErr w:type="spellStart"/>
      <w:r w:rsidRPr="00430C22">
        <w:rPr>
          <w:i/>
          <w:iCs/>
          <w:color w:val="000000" w:themeColor="text1"/>
        </w:rPr>
        <w:t>leptospira</w:t>
      </w:r>
      <w:proofErr w:type="spellEnd"/>
      <w:r>
        <w:rPr>
          <w:color w:val="000000" w:themeColor="text1"/>
        </w:rPr>
        <w:t xml:space="preserve"> in EMJH (in house) media at 28</w:t>
      </w:r>
      <w:r w:rsidRPr="00DF2A48">
        <w:rPr>
          <w:color w:val="000000" w:themeColor="text1"/>
        </w:rPr>
        <w:t>°C</w:t>
      </w:r>
      <w:r>
        <w:rPr>
          <w:color w:val="000000" w:themeColor="text1"/>
        </w:rPr>
        <w:t xml:space="preserve"> was carried out. The visualization of this comparison</w:t>
      </w:r>
      <w:r>
        <w:rPr>
          <w:b/>
          <w:bCs/>
          <w:color w:val="000000" w:themeColor="text1"/>
        </w:rPr>
        <w:t xml:space="preserve"> </w:t>
      </w:r>
      <w:r>
        <w:rPr>
          <w:color w:val="000000" w:themeColor="text1"/>
        </w:rPr>
        <w:t xml:space="preserve">is displayed via the heatmap, PLS-DA, VIP score plot, and volcano plot in </w:t>
      </w:r>
      <w:r w:rsidRPr="00430C22">
        <w:rPr>
          <w:b/>
          <w:bCs/>
          <w:color w:val="000000" w:themeColor="text1"/>
        </w:rPr>
        <w:t>Figure 9-12</w:t>
      </w:r>
      <w:r>
        <w:rPr>
          <w:b/>
          <w:bCs/>
          <w:color w:val="000000" w:themeColor="text1"/>
        </w:rPr>
        <w:t>.</w:t>
      </w:r>
      <w:r>
        <w:rPr>
          <w:color w:val="000000" w:themeColor="text1"/>
        </w:rPr>
        <w:t xml:space="preserve"> From the volcano plot (</w:t>
      </w:r>
      <w:r>
        <w:rPr>
          <w:b/>
          <w:bCs/>
          <w:color w:val="000000" w:themeColor="text1"/>
        </w:rPr>
        <w:t xml:space="preserve">Figure </w:t>
      </w:r>
      <w:r w:rsidRPr="00430C22">
        <w:rPr>
          <w:b/>
          <w:bCs/>
          <w:color w:val="000000" w:themeColor="text1"/>
        </w:rPr>
        <w:t>12</w:t>
      </w:r>
      <w:r>
        <w:rPr>
          <w:b/>
          <w:bCs/>
          <w:color w:val="000000" w:themeColor="text1"/>
        </w:rPr>
        <w:t>)</w:t>
      </w:r>
      <w:r>
        <w:rPr>
          <w:color w:val="000000" w:themeColor="text1"/>
        </w:rPr>
        <w:t xml:space="preserve"> it is observed that </w:t>
      </w:r>
      <w:r w:rsidRPr="00430C22">
        <w:rPr>
          <w:color w:val="000000" w:themeColor="text1"/>
        </w:rPr>
        <w:t>NAD</w:t>
      </w:r>
      <w:r w:rsidRPr="00DF2A48">
        <w:rPr>
          <w:color w:val="000000" w:themeColor="text1"/>
        </w:rPr>
        <w:t xml:space="preserve">, IMP, CMP are </w:t>
      </w:r>
      <w:r>
        <w:rPr>
          <w:color w:val="000000" w:themeColor="text1"/>
        </w:rPr>
        <w:t>upregulated</w:t>
      </w:r>
      <w:r w:rsidRPr="00DF2A48">
        <w:rPr>
          <w:color w:val="000000" w:themeColor="text1"/>
        </w:rPr>
        <w:t xml:space="preserve"> in pellet when compared to extracellular contents. These are essential metabolites correlated to growth, redox balance, cell replication and nucleotide biosynthesis. Upregulation of these metabolites in pellets can be attributed to </w:t>
      </w:r>
      <w:proofErr w:type="spellStart"/>
      <w:r w:rsidRPr="00DF2A48">
        <w:rPr>
          <w:i/>
          <w:iCs/>
          <w:color w:val="000000" w:themeColor="text1"/>
        </w:rPr>
        <w:t>leptospira</w:t>
      </w:r>
      <w:proofErr w:type="spellEnd"/>
      <w:r w:rsidRPr="00DF2A48">
        <w:rPr>
          <w:color w:val="000000" w:themeColor="text1"/>
        </w:rPr>
        <w:t xml:space="preserve"> positive growth.</w:t>
      </w:r>
      <w:r w:rsidRPr="00DF2A48">
        <w:rPr>
          <w:color w:val="000000" w:themeColor="text1"/>
        </w:rPr>
        <w:fldChar w:fldCharType="begin" w:fldLock="1"/>
      </w:r>
      <w:r>
        <w:rPr>
          <w:color w:val="000000" w:themeColor="text1"/>
        </w:rPr>
        <w:instrText>ADDIN CSL_CITATION {"citationItems":[{"id":"ITEM-1","itemData":{"DOI":"10.1016/J.FEMSLE.2005.02.004;","ISSN":"03781097","PMID":"15766783","abstract":"Leptospirosis is an important global human and veterinary health problem. Humans can be infected by exposure to chronically infected animals and their environment. An important focus of the current leptospiral research is the identification of outer membrane proteins (OMPs). Due to their location, leptospiral OMPs are likely to be relevant in host-pathogen interactions, hence their potential ability to stimulate heterologous immunity. The existing whole-genome sequence of Leptospira interrogans serovar Copenhageni offers a unique opportunity to search for cell surface proteins. Predicted genes encoding potential surface proteins were amplified from genomic DNA by PCR methodology and cloned into an Escherichia coli expression system. The partially purified recombinant proteins were probed by Western blotting with sera from human patients diagnosed with leptospirosis. Sixteen proteins, out of a hundred tested, were recognized by antibodies present in human sera. Four of these proteins were conserved among eight serovars of L. interrogans and absent in the non-pathogenic Leptospira biflexa. These proteins might be useful for the diagnosis of the disease as well as potential vaccine candidates. © 2005 Federation of European Microbiological Societies. Published by Elsevier B.V. All rights reserved.","author":[{"dropping-particle":"","family":"Gamberini","given":"Marcia","non-dropping-particle":"","parse-names":false,"suffix":""},{"dropping-particle":"","family":"Gómez","given":"Ricardo M.","non-dropping-particle":"","parse-names":false,"suffix":""},{"dropping-particle":"V.","family":"Atzingen","given":"Marina","non-dropping-particle":"","parse-names":false,"suffix":""},{"dropping-particle":"","family":"Martins","given":"Elizabeth A.L.","non-dropping-particle":"","parse-names":false,"suffix":""},{"dropping-particle":"","family":"Vasconcellos","given":"Silvio A.","non-dropping-particle":"","parse-names":false,"suffix":""},{"dropping-particle":"","family":"Romero","given":"Eliete C.","non-dropping-particle":"","parse-names":false,"suffix":""},{"dropping-particle":"","family":"Leite","given":"Luciana C.C.","non-dropping-particle":"","parse-names":false,"suffix":""},{"dropping-particle":"","family":"Ho","given":"Paulo L.","non-dropping-particle":"","parse-names":false,"suffix":""},{"dropping-particle":"","family":"Nascimento","given":"Ana L.T.O.","non-dropping-particle":"","parse-names":false,"suffix":""}],"container-title":"FEMS Microbiology Letters","id":"ITEM-1","issue":"2","issued":{"date-parts":[["2005","3","15"]]},"page":"305-313","publisher":"Elsevier","title":"Whole-genome analysis of Leptospira interrogans to identify potential vaccine candidates against leptospirosis","type":"article-journal","volume":"244"},"uris":["http://www.mendeley.com/documents/?uuid=2d8b3c37-f9ef-3902-91d4-f319a41ac47a"]}],"mendeley":{"formattedCitation":"&lt;sup&gt;77&lt;/sup&gt;","plainTextFormattedCitation":"77","previouslyFormattedCitation":"&lt;sup&gt;76&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77</w:t>
      </w:r>
      <w:r w:rsidRPr="00DF2A48">
        <w:rPr>
          <w:color w:val="000000" w:themeColor="text1"/>
        </w:rPr>
        <w:fldChar w:fldCharType="end"/>
      </w:r>
      <w:r w:rsidRPr="00DF2A48">
        <w:rPr>
          <w:color w:val="000000" w:themeColor="text1"/>
        </w:rPr>
        <w:t xml:space="preserve"> </w:t>
      </w:r>
    </w:p>
    <w:p w14:paraId="33A77BFD" w14:textId="77777777" w:rsidR="007E2377" w:rsidRDefault="007E2377" w:rsidP="007E2377">
      <w:pPr>
        <w:spacing w:line="360" w:lineRule="auto"/>
        <w:rPr>
          <w:b/>
          <w:bCs/>
          <w:color w:val="000000" w:themeColor="text1"/>
        </w:rPr>
      </w:pPr>
      <w:r w:rsidRPr="00DF2A48">
        <w:rPr>
          <w:b/>
          <w:bCs/>
          <w:color w:val="000000" w:themeColor="text1"/>
        </w:rPr>
        <w:t>Comparison between Pellet and Media in EMJH (in house) at 28°C</w:t>
      </w:r>
    </w:p>
    <w:p w14:paraId="0B075729" w14:textId="21DE382E" w:rsidR="007E2377" w:rsidRDefault="007E2377" w:rsidP="007E2377">
      <w:pPr>
        <w:spacing w:line="360" w:lineRule="auto"/>
        <w:ind w:firstLine="720"/>
        <w:rPr>
          <w:color w:val="000000" w:themeColor="text1"/>
        </w:rPr>
      </w:pPr>
      <w:r>
        <w:rPr>
          <w:color w:val="000000" w:themeColor="text1"/>
        </w:rPr>
        <w:t>The next c</w:t>
      </w:r>
      <w:r w:rsidRPr="00430C22">
        <w:rPr>
          <w:color w:val="000000" w:themeColor="text1"/>
        </w:rPr>
        <w:t>omparison</w:t>
      </w:r>
      <w:r>
        <w:rPr>
          <w:color w:val="000000" w:themeColor="text1"/>
        </w:rPr>
        <w:t xml:space="preserve"> that was carried out was between the pellet grown in EMJH (in house) media at 28</w:t>
      </w:r>
      <w:r w:rsidRPr="00DF2A48">
        <w:rPr>
          <w:color w:val="000000" w:themeColor="text1"/>
        </w:rPr>
        <w:t>°C</w:t>
      </w:r>
      <w:r>
        <w:rPr>
          <w:color w:val="000000" w:themeColor="text1"/>
        </w:rPr>
        <w:t xml:space="preserve"> and the control media. The visualization of this comparison</w:t>
      </w:r>
      <w:r>
        <w:rPr>
          <w:b/>
          <w:bCs/>
          <w:color w:val="000000" w:themeColor="text1"/>
        </w:rPr>
        <w:t xml:space="preserve"> </w:t>
      </w:r>
      <w:r>
        <w:rPr>
          <w:color w:val="000000" w:themeColor="text1"/>
        </w:rPr>
        <w:t xml:space="preserve">is displayed via the heatmap, PLS-DA, VIP score plot, and volcano plot in </w:t>
      </w:r>
      <w:r w:rsidRPr="00430C22">
        <w:rPr>
          <w:b/>
          <w:bCs/>
          <w:color w:val="000000" w:themeColor="text1"/>
        </w:rPr>
        <w:t xml:space="preserve">Figure </w:t>
      </w:r>
      <w:r>
        <w:rPr>
          <w:b/>
          <w:bCs/>
          <w:color w:val="000000" w:themeColor="text1"/>
        </w:rPr>
        <w:t>13</w:t>
      </w:r>
      <w:r w:rsidRPr="00430C22">
        <w:rPr>
          <w:b/>
          <w:bCs/>
          <w:color w:val="000000" w:themeColor="text1"/>
        </w:rPr>
        <w:t>-1</w:t>
      </w:r>
      <w:r>
        <w:rPr>
          <w:b/>
          <w:bCs/>
          <w:color w:val="000000" w:themeColor="text1"/>
        </w:rPr>
        <w:t>6.</w:t>
      </w:r>
      <w:r>
        <w:rPr>
          <w:color w:val="000000" w:themeColor="text1"/>
        </w:rPr>
        <w:t xml:space="preserve"> From the PLS-DA (</w:t>
      </w:r>
      <w:r>
        <w:rPr>
          <w:b/>
          <w:bCs/>
          <w:color w:val="000000" w:themeColor="text1"/>
        </w:rPr>
        <w:t xml:space="preserve">Figure </w:t>
      </w:r>
      <w:r w:rsidRPr="00430C22">
        <w:rPr>
          <w:b/>
          <w:bCs/>
          <w:color w:val="000000" w:themeColor="text1"/>
        </w:rPr>
        <w:t>1</w:t>
      </w:r>
      <w:r>
        <w:rPr>
          <w:b/>
          <w:bCs/>
          <w:color w:val="000000" w:themeColor="text1"/>
        </w:rPr>
        <w:t>5)</w:t>
      </w:r>
      <w:r>
        <w:rPr>
          <w:color w:val="000000" w:themeColor="text1"/>
        </w:rPr>
        <w:t xml:space="preserve">, it is noted that </w:t>
      </w:r>
      <w:r w:rsidRPr="00DF2A48">
        <w:rPr>
          <w:color w:val="000000" w:themeColor="text1"/>
        </w:rPr>
        <w:t xml:space="preserve">CMP and IMP were one of the major metabolites driving the separation between the pellet and media group. This finding is congruent with the finding from the sample fraction comparison between pellet and </w:t>
      </w:r>
      <w:r>
        <w:rPr>
          <w:color w:val="000000" w:themeColor="text1"/>
        </w:rPr>
        <w:t>supernatant</w:t>
      </w:r>
      <w:r w:rsidRPr="00DF2A48">
        <w:rPr>
          <w:color w:val="000000" w:themeColor="text1"/>
        </w:rPr>
        <w:t xml:space="preserve"> in EMJH (in-house) at 28°C.</w:t>
      </w:r>
      <w:r>
        <w:rPr>
          <w:color w:val="000000" w:themeColor="text1"/>
        </w:rPr>
        <w:t xml:space="preserve"> The volcano plot (</w:t>
      </w:r>
      <w:r w:rsidRPr="009571E7">
        <w:rPr>
          <w:b/>
          <w:bCs/>
          <w:color w:val="000000" w:themeColor="text1"/>
        </w:rPr>
        <w:t>Figure 16</w:t>
      </w:r>
      <w:r>
        <w:rPr>
          <w:color w:val="000000" w:themeColor="text1"/>
        </w:rPr>
        <w:t>) shows that</w:t>
      </w:r>
      <w:r w:rsidRPr="00DF2A48">
        <w:rPr>
          <w:color w:val="000000" w:themeColor="text1"/>
        </w:rPr>
        <w:t xml:space="preserve"> FAD and NAD+ are upregulated in the cell pellets; while homocitrulline, xanthosine and homocysteine were upregulated in the media. Creatine is one of the metabolites in media highly contributing to the separation between the media and pellet. Leptospirosis can affect the renal function causing acute kidney injury (AKI) resulting into kidney damage. Creatine, the by-product of creatinine confirms the detrimental function of</w:t>
      </w:r>
      <w:r w:rsidRPr="007E2377">
        <w:rPr>
          <w:color w:val="000000" w:themeColor="text1"/>
        </w:rPr>
        <w:t xml:space="preserve"> </w:t>
      </w:r>
      <w:r w:rsidRPr="00DF2A48">
        <w:rPr>
          <w:color w:val="000000" w:themeColor="text1"/>
        </w:rPr>
        <w:t>creatinine on renal function.</w:t>
      </w:r>
      <w:r w:rsidRPr="00DF2A48">
        <w:rPr>
          <w:color w:val="000000" w:themeColor="text1"/>
        </w:rPr>
        <w:fldChar w:fldCharType="begin" w:fldLock="1"/>
      </w:r>
      <w:r>
        <w:rPr>
          <w:color w:val="000000" w:themeColor="text1"/>
        </w:rPr>
        <w:instrText>ADDIN CSL_CITATION {"citationItems":[{"id":"ITEM-1","itemData":{"DOI":"10.1080/0886022X.2024.2364762","ISSN":"0886-022X","author":[{"dropping-particle":"","family":"Zhou","given":"Bing","non-dropping-particle":"","parse-names":false,"suffix":""},{"dropping-particle":"","family":"Hong","given":"Minping","non-dropping-particle":"","parse-names":false,"suffix":""},{"dropping-particle":"","family":"Jin","given":"Liqin","non-dropping-particle":"","parse-names":false,"suffix":""},{"dropping-particle":"","family":"Ling","given":"Keng","non-dropping-particle":"","parse-names":false,"suffix":""}],"container-title":"Renal Failure","id":"ITEM-1","issue":"2","issued":{"date-parts":[["2024","12","31"]]},"note":"doi: 10.1080/0886022X.2024.2364762","page":"2364762","publisher":"Taylor &amp; Francis","title":"Exploring the relationship between creatine supplementation and renal function: insights from Mendelian randomization analysis","type":"article-journal","volume":"46"},"uris":["http://www.mendeley.com/documents/?uuid=671c7b30-f66f-4305-90f7-7cc94d043691"]}],"mendeley":{"formattedCitation":"&lt;sup&gt;78&lt;/sup&gt;","plainTextFormattedCitation":"78","previouslyFormattedCitation":"&lt;sup&gt;77&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78</w:t>
      </w:r>
      <w:r w:rsidRPr="00DF2A48">
        <w:rPr>
          <w:color w:val="000000" w:themeColor="text1"/>
        </w:rPr>
        <w:fldChar w:fldCharType="end"/>
      </w:r>
    </w:p>
    <w:p w14:paraId="0A7C43E4" w14:textId="77777777" w:rsidR="007E2377" w:rsidRDefault="007E2377" w:rsidP="007E2377">
      <w:pPr>
        <w:spacing w:line="360" w:lineRule="auto"/>
        <w:rPr>
          <w:noProof/>
          <w:color w:val="000000" w:themeColor="text1"/>
        </w:rPr>
      </w:pPr>
      <w:r w:rsidRPr="00DF2A48">
        <w:rPr>
          <w:b/>
          <w:bCs/>
          <w:color w:val="000000" w:themeColor="text1"/>
        </w:rPr>
        <w:t>Comparison between Supernatant and Media in EMJH (in house) at 28°C</w:t>
      </w:r>
      <w:r w:rsidRPr="00DF2A48">
        <w:rPr>
          <w:noProof/>
          <w:color w:val="000000" w:themeColor="text1"/>
        </w:rPr>
        <w:t xml:space="preserve"> </w:t>
      </w:r>
    </w:p>
    <w:p w14:paraId="5C452DE2" w14:textId="77777777" w:rsidR="007E2377" w:rsidRPr="00F65B41" w:rsidRDefault="007E2377" w:rsidP="007E2377">
      <w:pPr>
        <w:spacing w:line="360" w:lineRule="auto"/>
        <w:ind w:firstLine="720"/>
        <w:rPr>
          <w:b/>
          <w:bCs/>
          <w:color w:val="000000" w:themeColor="text1"/>
        </w:rPr>
      </w:pPr>
      <w:r>
        <w:rPr>
          <w:color w:val="000000" w:themeColor="text1"/>
        </w:rPr>
        <w:t>The visualization for the comparison</w:t>
      </w:r>
      <w:r>
        <w:rPr>
          <w:b/>
          <w:bCs/>
          <w:color w:val="000000" w:themeColor="text1"/>
        </w:rPr>
        <w:t xml:space="preserve"> </w:t>
      </w:r>
      <w:r>
        <w:rPr>
          <w:color w:val="000000" w:themeColor="text1"/>
        </w:rPr>
        <w:t xml:space="preserve">between supernatant from </w:t>
      </w:r>
      <w:r w:rsidRPr="00F65B41">
        <w:rPr>
          <w:i/>
          <w:iCs/>
          <w:color w:val="000000" w:themeColor="text1"/>
        </w:rPr>
        <w:t>Leptospira</w:t>
      </w:r>
      <w:r>
        <w:rPr>
          <w:color w:val="000000" w:themeColor="text1"/>
        </w:rPr>
        <w:t xml:space="preserve"> inoculation in EMJH (in house) </w:t>
      </w:r>
      <w:r w:rsidRPr="00F65B41">
        <w:rPr>
          <w:color w:val="000000" w:themeColor="text1"/>
        </w:rPr>
        <w:t>at 28°C</w:t>
      </w:r>
      <w:r w:rsidRPr="00DF2A48">
        <w:rPr>
          <w:noProof/>
          <w:color w:val="000000" w:themeColor="text1"/>
        </w:rPr>
        <w:t xml:space="preserve"> </w:t>
      </w:r>
      <w:r>
        <w:rPr>
          <w:color w:val="000000" w:themeColor="text1"/>
        </w:rPr>
        <w:t xml:space="preserve">is displayed via the heatmap, PLS-DA, VIP score plot, and volcano plot in </w:t>
      </w:r>
      <w:r w:rsidRPr="00430C22">
        <w:rPr>
          <w:b/>
          <w:bCs/>
          <w:color w:val="000000" w:themeColor="text1"/>
        </w:rPr>
        <w:t xml:space="preserve">Figure </w:t>
      </w:r>
      <w:r>
        <w:rPr>
          <w:b/>
          <w:bCs/>
          <w:color w:val="000000" w:themeColor="text1"/>
        </w:rPr>
        <w:t>17</w:t>
      </w:r>
      <w:r w:rsidRPr="00430C22">
        <w:rPr>
          <w:b/>
          <w:bCs/>
          <w:color w:val="000000" w:themeColor="text1"/>
        </w:rPr>
        <w:t>-</w:t>
      </w:r>
      <w:r>
        <w:rPr>
          <w:b/>
          <w:bCs/>
          <w:color w:val="000000" w:themeColor="text1"/>
        </w:rPr>
        <w:t xml:space="preserve">20. </w:t>
      </w:r>
      <w:r w:rsidRPr="00DF2A48">
        <w:rPr>
          <w:color w:val="000000" w:themeColor="text1"/>
        </w:rPr>
        <w:t>Comparison between the supernatants and the control media sample provides insights on the extracellular metabolites. It is to be noted that the supernatants do not consist only of the secreted bacterial metabolite, it could also contain dead cell integrated, and degradation products of such content.</w:t>
      </w:r>
    </w:p>
    <w:p w14:paraId="64FE2FCF" w14:textId="05F3320E" w:rsidR="007E2377" w:rsidRPr="00F65B41" w:rsidRDefault="007E2377" w:rsidP="007E2377">
      <w:pPr>
        <w:spacing w:line="360" w:lineRule="auto"/>
        <w:ind w:firstLine="720"/>
        <w:rPr>
          <w:b/>
          <w:bCs/>
          <w:color w:val="000000" w:themeColor="text1"/>
        </w:rPr>
      </w:pPr>
      <w:r w:rsidRPr="00DF2A48">
        <w:rPr>
          <w:color w:val="000000" w:themeColor="text1"/>
        </w:rPr>
        <w:t>Homocitrulline, creatine, and cystathionine from the media fraction is driving the separation (</w:t>
      </w:r>
      <w:r>
        <w:rPr>
          <w:b/>
          <w:bCs/>
          <w:color w:val="000000" w:themeColor="text1"/>
        </w:rPr>
        <w:t>F</w:t>
      </w:r>
      <w:r w:rsidRPr="0080098D">
        <w:rPr>
          <w:b/>
          <w:bCs/>
          <w:color w:val="000000" w:themeColor="text1"/>
        </w:rPr>
        <w:t>igure 18 &amp; 19</w:t>
      </w:r>
      <w:r w:rsidRPr="00DF2A48">
        <w:rPr>
          <w:color w:val="000000" w:themeColor="text1"/>
        </w:rPr>
        <w:t xml:space="preserve">) between these two groups is highly consistent with the finding from the pellet to media control comparison. </w:t>
      </w:r>
      <w:r>
        <w:rPr>
          <w:color w:val="000000" w:themeColor="text1"/>
        </w:rPr>
        <w:t>In the volcano plot (</w:t>
      </w:r>
      <w:r w:rsidRPr="00F65B41">
        <w:rPr>
          <w:b/>
          <w:bCs/>
          <w:color w:val="000000" w:themeColor="text1"/>
        </w:rPr>
        <w:t>Figure 20</w:t>
      </w:r>
      <w:r>
        <w:rPr>
          <w:color w:val="000000" w:themeColor="text1"/>
        </w:rPr>
        <w:t xml:space="preserve">), it is observed that </w:t>
      </w:r>
    </w:p>
    <w:p w14:paraId="16FED7A8" w14:textId="23136658"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06638AE5" wp14:editId="0AC6A8E9">
            <wp:extent cx="5029200" cy="5485925"/>
            <wp:effectExtent l="0" t="0" r="0" b="635"/>
            <wp:docPr id="1093977565" name="Picture 9"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977565" name="Picture 9" descr="A screen shot of a chart&#10;&#10;AI-generated content may be incorrect."/>
                    <pic:cNvPicPr/>
                  </pic:nvPicPr>
                  <pic:blipFill rotWithShape="1">
                    <a:blip r:embed="rId18">
                      <a:extLst>
                        <a:ext uri="{28A0092B-C50C-407E-A947-70E740481C1C}">
                          <a14:useLocalDpi xmlns:a14="http://schemas.microsoft.com/office/drawing/2010/main" val="0"/>
                        </a:ext>
                      </a:extLst>
                    </a:blip>
                    <a:srcRect r="320" b="11484"/>
                    <a:stretch>
                      <a:fillRect/>
                    </a:stretch>
                  </pic:blipFill>
                  <pic:spPr bwMode="auto">
                    <a:xfrm>
                      <a:off x="0" y="0"/>
                      <a:ext cx="5083233" cy="5544865"/>
                    </a:xfrm>
                    <a:prstGeom prst="rect">
                      <a:avLst/>
                    </a:prstGeom>
                    <a:ln>
                      <a:noFill/>
                    </a:ln>
                    <a:extLst>
                      <a:ext uri="{53640926-AAD7-44D8-BBD7-CCE9431645EC}">
                        <a14:shadowObscured xmlns:a14="http://schemas.microsoft.com/office/drawing/2010/main"/>
                      </a:ext>
                    </a:extLst>
                  </pic:spPr>
                </pic:pic>
              </a:graphicData>
            </a:graphic>
          </wp:inline>
        </w:drawing>
      </w:r>
    </w:p>
    <w:p w14:paraId="49A402ED" w14:textId="77777777" w:rsidR="00DF2A48" w:rsidRPr="00DF2A48" w:rsidRDefault="00DF2A48" w:rsidP="00C8715B">
      <w:pPr>
        <w:rPr>
          <w:color w:val="000000" w:themeColor="text1"/>
        </w:rPr>
      </w:pPr>
      <w:r w:rsidRPr="00DF2A48">
        <w:rPr>
          <w:b/>
          <w:bCs/>
          <w:color w:val="000000" w:themeColor="text1"/>
        </w:rPr>
        <w:t>Figure 9:</w:t>
      </w:r>
      <w:r w:rsidRPr="00DF2A48">
        <w:rPr>
          <w:color w:val="000000" w:themeColor="text1"/>
        </w:rPr>
        <w:t xml:space="preserve"> Visualization of metabolites abundance across the cell pellets and the supernatant in EMJH (in house) at 28°C. The media EMJH (in house) is represented as “A” Data underwent log2 transformation and pareto scaling.</w:t>
      </w:r>
      <w:r w:rsidRPr="00DF2A48">
        <w:rPr>
          <w:color w:val="000000" w:themeColor="text1"/>
        </w:rPr>
        <w:br w:type="page"/>
      </w:r>
    </w:p>
    <w:p w14:paraId="34110F19"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6C2FC78D" wp14:editId="000756B3">
            <wp:extent cx="5943600" cy="5283200"/>
            <wp:effectExtent l="0" t="0" r="0" b="0"/>
            <wp:docPr id="487191787" name="Picture 11" descr="A graph with green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49736" name="Picture 11" descr="A graph with green and red dot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0D7CF320" w14:textId="77777777" w:rsidR="00DF2A48" w:rsidRPr="00DF2A48" w:rsidRDefault="00DF2A48" w:rsidP="00C8715B">
      <w:pPr>
        <w:rPr>
          <w:color w:val="000000" w:themeColor="text1"/>
        </w:rPr>
      </w:pPr>
      <w:r w:rsidRPr="00DF2A48">
        <w:rPr>
          <w:b/>
          <w:bCs/>
          <w:color w:val="000000" w:themeColor="text1"/>
        </w:rPr>
        <w:t>Figure 10:</w:t>
      </w:r>
      <w:r w:rsidRPr="00DF2A48">
        <w:rPr>
          <w:color w:val="000000" w:themeColor="text1"/>
        </w:rPr>
        <w:t xml:space="preserve"> Partial Least Squares Discriminant Analysis PLS-DA plot shows 2 distinct groups between pellets grown in EMJH (in house) media and its supernatant. The multivariate analysis shows distinctive individual metabolic profile between the pellets and supernatant grown in the EMJH (in-house) media at 28°C.</w:t>
      </w:r>
    </w:p>
    <w:p w14:paraId="0D87B937" w14:textId="77777777" w:rsidR="00DF2A48" w:rsidRPr="00DF2A48" w:rsidRDefault="00DF2A48" w:rsidP="00DF2A48">
      <w:pPr>
        <w:spacing w:line="360" w:lineRule="auto"/>
        <w:rPr>
          <w:color w:val="000000" w:themeColor="text1"/>
        </w:rPr>
      </w:pPr>
      <w:r w:rsidRPr="00DF2A48">
        <w:rPr>
          <w:color w:val="000000" w:themeColor="text1"/>
        </w:rPr>
        <w:br w:type="page"/>
      </w:r>
    </w:p>
    <w:p w14:paraId="2AD93B5D" w14:textId="77777777" w:rsidR="00DF2A48" w:rsidRPr="00DF2A48" w:rsidRDefault="00DF2A48" w:rsidP="00C8715B">
      <w:pPr>
        <w:rPr>
          <w:color w:val="000000" w:themeColor="text1"/>
        </w:rPr>
      </w:pPr>
      <w:r w:rsidRPr="00DF2A48">
        <w:rPr>
          <w:noProof/>
          <w:color w:val="000000" w:themeColor="text1"/>
        </w:rPr>
        <w:lastRenderedPageBreak/>
        <w:drawing>
          <wp:inline distT="0" distB="0" distL="0" distR="0" wp14:anchorId="3495C8DA" wp14:editId="71471308">
            <wp:extent cx="5943600" cy="5242560"/>
            <wp:effectExtent l="0" t="0" r="0" b="2540"/>
            <wp:docPr id="567619055" name="Picture 10" descr="A graph with a number of n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19055" name="Picture 10" descr="A graph with a number of name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5242560"/>
                    </a:xfrm>
                    <a:prstGeom prst="rect">
                      <a:avLst/>
                    </a:prstGeom>
                  </pic:spPr>
                </pic:pic>
              </a:graphicData>
            </a:graphic>
          </wp:inline>
        </w:drawing>
      </w:r>
      <w:r w:rsidRPr="00DF2A48">
        <w:rPr>
          <w:color w:val="000000" w:themeColor="text1"/>
        </w:rPr>
        <w:br/>
      </w:r>
      <w:r w:rsidRPr="00DF2A48">
        <w:rPr>
          <w:color w:val="000000" w:themeColor="text1"/>
        </w:rPr>
        <w:br/>
      </w:r>
      <w:r w:rsidRPr="00DF2A48">
        <w:rPr>
          <w:b/>
          <w:bCs/>
          <w:color w:val="000000" w:themeColor="text1"/>
        </w:rPr>
        <w:t>Figure 11:</w:t>
      </w:r>
      <w:r w:rsidRPr="00DF2A48">
        <w:rPr>
          <w:color w:val="000000" w:themeColor="text1"/>
        </w:rPr>
        <w:t xml:space="preserve"> Variable importance in projection (VIP) score plot demonstrating the significance of metabolites in the PLS-DA model between two groups – pellets grown in EMJH (in-house) media and the supernatants at 28°C.</w:t>
      </w:r>
    </w:p>
    <w:p w14:paraId="6AC72417" w14:textId="77777777" w:rsidR="00DF2A48" w:rsidRPr="00DF2A48" w:rsidRDefault="00DF2A48" w:rsidP="00C8715B">
      <w:pPr>
        <w:spacing w:line="360" w:lineRule="auto"/>
        <w:rPr>
          <w:color w:val="000000" w:themeColor="text1"/>
        </w:rPr>
      </w:pPr>
    </w:p>
    <w:p w14:paraId="74C0873B" w14:textId="77777777" w:rsidR="00DF2A48" w:rsidRPr="00DF2A48" w:rsidRDefault="00DF2A48" w:rsidP="0001226A">
      <w:pPr>
        <w:spacing w:line="360" w:lineRule="auto"/>
        <w:jc w:val="both"/>
        <w:rPr>
          <w:color w:val="000000" w:themeColor="text1"/>
        </w:rPr>
      </w:pPr>
      <w:r w:rsidRPr="00DF2A48">
        <w:rPr>
          <w:color w:val="000000" w:themeColor="text1"/>
        </w:rPr>
        <w:br w:type="page"/>
      </w:r>
    </w:p>
    <w:p w14:paraId="1910CC76"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4EB21E74" wp14:editId="22472E6B">
            <wp:extent cx="5943600" cy="3566160"/>
            <wp:effectExtent l="0" t="0" r="0" b="2540"/>
            <wp:docPr id="1558204558" name="Picture 12" descr="A graph with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04558" name="Picture 12" descr="A graph with dots and number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34807F3E" w14:textId="77777777" w:rsidR="00DF2A48" w:rsidRPr="00DF2A48" w:rsidRDefault="00DF2A48" w:rsidP="00C8715B">
      <w:pPr>
        <w:rPr>
          <w:color w:val="000000" w:themeColor="text1"/>
        </w:rPr>
      </w:pPr>
      <w:r w:rsidRPr="00DF2A48">
        <w:rPr>
          <w:b/>
          <w:bCs/>
          <w:color w:val="000000" w:themeColor="text1"/>
        </w:rPr>
        <w:t>Figure 12:</w:t>
      </w:r>
      <w:r w:rsidRPr="00DF2A48">
        <w:rPr>
          <w:color w:val="000000" w:themeColor="text1"/>
        </w:rPr>
        <w:t xml:space="preserve"> Volcano plot representing upregulation and downregulation of metabolites while comparing growth of </w:t>
      </w:r>
      <w:proofErr w:type="spellStart"/>
      <w:r w:rsidRPr="00DF2A48">
        <w:rPr>
          <w:i/>
          <w:iCs/>
          <w:color w:val="000000" w:themeColor="text1"/>
        </w:rPr>
        <w:t>leptospira</w:t>
      </w:r>
      <w:proofErr w:type="spellEnd"/>
      <w:r w:rsidRPr="00DF2A48">
        <w:rPr>
          <w:color w:val="000000" w:themeColor="text1"/>
        </w:rPr>
        <w:t xml:space="preserve"> cell pellets in EMJH (in-house) and its supernatant at 28°C. On x-axis, the log2 fold change of the ratio of pellets to supernatant is displayed. </w:t>
      </w:r>
    </w:p>
    <w:p w14:paraId="1BC4D065" w14:textId="77777777" w:rsidR="00430C22" w:rsidRPr="00DF2A48" w:rsidRDefault="00430C22" w:rsidP="0001226A">
      <w:pPr>
        <w:spacing w:line="360" w:lineRule="auto"/>
        <w:jc w:val="both"/>
        <w:rPr>
          <w:color w:val="000000" w:themeColor="text1"/>
        </w:rPr>
      </w:pPr>
    </w:p>
    <w:p w14:paraId="298035C1" w14:textId="291577C4" w:rsidR="00DF2A48" w:rsidRPr="00DF2A48" w:rsidRDefault="00DF2A48" w:rsidP="00C8715B">
      <w:pPr>
        <w:spacing w:line="360" w:lineRule="auto"/>
        <w:ind w:firstLine="720"/>
        <w:rPr>
          <w:color w:val="000000" w:themeColor="text1"/>
        </w:rPr>
      </w:pPr>
      <w:r w:rsidRPr="00DF2A48">
        <w:rPr>
          <w:noProof/>
          <w:color w:val="000000" w:themeColor="text1"/>
        </w:rPr>
        <w:lastRenderedPageBreak/>
        <w:drawing>
          <wp:inline distT="0" distB="0" distL="0" distR="0" wp14:anchorId="1FCC9664" wp14:editId="6D92D05F">
            <wp:extent cx="5998210" cy="7074568"/>
            <wp:effectExtent l="0" t="0" r="0" b="0"/>
            <wp:docPr id="308403139" name="Picture 13"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03139" name="Picture 13" descr="A screen shot of a graph&#10;&#10;AI-generated content may be incorrect."/>
                    <pic:cNvPicPr/>
                  </pic:nvPicPr>
                  <pic:blipFill rotWithShape="1">
                    <a:blip r:embed="rId22">
                      <a:extLst>
                        <a:ext uri="{28A0092B-C50C-407E-A947-70E740481C1C}">
                          <a14:useLocalDpi xmlns:a14="http://schemas.microsoft.com/office/drawing/2010/main" val="0"/>
                        </a:ext>
                      </a:extLst>
                    </a:blip>
                    <a:srcRect b="14757"/>
                    <a:stretch>
                      <a:fillRect/>
                    </a:stretch>
                  </pic:blipFill>
                  <pic:spPr bwMode="auto">
                    <a:xfrm>
                      <a:off x="0" y="0"/>
                      <a:ext cx="6105316" cy="7200894"/>
                    </a:xfrm>
                    <a:prstGeom prst="rect">
                      <a:avLst/>
                    </a:prstGeom>
                    <a:ln>
                      <a:noFill/>
                    </a:ln>
                    <a:extLst>
                      <a:ext uri="{53640926-AAD7-44D8-BBD7-CCE9431645EC}">
                        <a14:shadowObscured xmlns:a14="http://schemas.microsoft.com/office/drawing/2010/main"/>
                      </a:ext>
                    </a:extLst>
                  </pic:spPr>
                </pic:pic>
              </a:graphicData>
            </a:graphic>
          </wp:inline>
        </w:drawing>
      </w:r>
    </w:p>
    <w:p w14:paraId="369AF4F8" w14:textId="77777777" w:rsidR="00DF2A48" w:rsidRPr="00DF2A48" w:rsidRDefault="00DF2A48" w:rsidP="00C8715B">
      <w:pPr>
        <w:rPr>
          <w:color w:val="000000" w:themeColor="text1"/>
        </w:rPr>
      </w:pPr>
      <w:r w:rsidRPr="00DF2A48">
        <w:rPr>
          <w:b/>
          <w:bCs/>
          <w:color w:val="000000" w:themeColor="text1"/>
        </w:rPr>
        <w:t>Figure 13:</w:t>
      </w:r>
      <w:r w:rsidRPr="00DF2A48">
        <w:rPr>
          <w:color w:val="000000" w:themeColor="text1"/>
        </w:rPr>
        <w:t xml:space="preserve"> Visualization of metabolites abundance across the cell pellets in EMJH (in house) media and the control media EMJH (in house) at 28°C. The media EMJH (in house) is represented as “A”. Data underwent log2 transformation and pareto scaling.</w:t>
      </w:r>
      <w:r w:rsidRPr="00DF2A48">
        <w:rPr>
          <w:color w:val="000000" w:themeColor="text1"/>
        </w:rPr>
        <w:br w:type="page"/>
      </w:r>
    </w:p>
    <w:p w14:paraId="71B4AF59" w14:textId="77777777" w:rsidR="00DF2A48" w:rsidRPr="00DF2A48" w:rsidRDefault="00DF2A48" w:rsidP="00C8715B">
      <w:pPr>
        <w:rPr>
          <w:color w:val="000000" w:themeColor="text1"/>
        </w:rPr>
      </w:pPr>
      <w:r w:rsidRPr="00DF2A48">
        <w:rPr>
          <w:noProof/>
          <w:color w:val="000000" w:themeColor="text1"/>
        </w:rPr>
        <w:lastRenderedPageBreak/>
        <w:drawing>
          <wp:inline distT="0" distB="0" distL="0" distR="0" wp14:anchorId="7D79FF29" wp14:editId="4C3EB0DE">
            <wp:extent cx="5943600" cy="5283200"/>
            <wp:effectExtent l="0" t="0" r="0" b="0"/>
            <wp:docPr id="184651340" name="Picture 15" descr="A graph with red and gree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9260" name="Picture 15" descr="A graph with red and green circle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r w:rsidRPr="00DF2A48">
        <w:rPr>
          <w:color w:val="000000" w:themeColor="text1"/>
        </w:rPr>
        <w:br/>
      </w:r>
      <w:r w:rsidRPr="00DF2A48">
        <w:rPr>
          <w:b/>
          <w:bCs/>
          <w:color w:val="000000" w:themeColor="text1"/>
        </w:rPr>
        <w:t>Figure 14:</w:t>
      </w:r>
      <w:r w:rsidRPr="00DF2A48">
        <w:rPr>
          <w:color w:val="000000" w:themeColor="text1"/>
        </w:rPr>
        <w:t xml:space="preserve"> Partial Least Squares Discriminant Analysis PLS-DA plot shows 2 distinct groups between pellets grown in EMJH (in house) media and the media control. The multivariate analysis shows distinctive individual metabolic profile between the pellets and media grown in the EMJH (in house) media at 28°C.</w:t>
      </w:r>
    </w:p>
    <w:p w14:paraId="3BB7E0B2" w14:textId="77777777" w:rsidR="00DF2A48" w:rsidRPr="00DF2A48" w:rsidRDefault="00DF2A48" w:rsidP="00C8715B">
      <w:pPr>
        <w:rPr>
          <w:color w:val="000000" w:themeColor="text1"/>
        </w:rPr>
      </w:pPr>
      <w:r w:rsidRPr="00DF2A48">
        <w:rPr>
          <w:noProof/>
          <w:color w:val="000000" w:themeColor="text1"/>
        </w:rPr>
        <w:lastRenderedPageBreak/>
        <w:drawing>
          <wp:inline distT="0" distB="0" distL="0" distR="0" wp14:anchorId="1C1420EC" wp14:editId="4B3FC344">
            <wp:extent cx="5943600" cy="5242560"/>
            <wp:effectExtent l="0" t="0" r="0" b="2540"/>
            <wp:docPr id="1220764750" name="Picture 14" descr="A graph with a number of sco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64750" name="Picture 14" descr="A graph with a number of score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5242560"/>
                    </a:xfrm>
                    <a:prstGeom prst="rect">
                      <a:avLst/>
                    </a:prstGeom>
                  </pic:spPr>
                </pic:pic>
              </a:graphicData>
            </a:graphic>
          </wp:inline>
        </w:drawing>
      </w:r>
      <w:r w:rsidRPr="00DF2A48">
        <w:rPr>
          <w:color w:val="000000" w:themeColor="text1"/>
        </w:rPr>
        <w:br/>
      </w:r>
      <w:r w:rsidRPr="00DF2A48">
        <w:rPr>
          <w:b/>
          <w:bCs/>
          <w:color w:val="000000" w:themeColor="text1"/>
        </w:rPr>
        <w:t>Figure 15:</w:t>
      </w:r>
      <w:r w:rsidRPr="00DF2A48">
        <w:rPr>
          <w:color w:val="000000" w:themeColor="text1"/>
        </w:rPr>
        <w:t xml:space="preserve"> Variable importance in projection (VIP) score plot demonstrating the metabolites of significance in the PLS-DA model between two groups – pellets grown in EMJH (in-house) media and the media control at 28°C.</w:t>
      </w:r>
    </w:p>
    <w:p w14:paraId="1833CDC8" w14:textId="77777777" w:rsidR="00DF2A48" w:rsidRPr="00DF2A48" w:rsidRDefault="00DF2A48" w:rsidP="00DF2A48">
      <w:pPr>
        <w:spacing w:line="360" w:lineRule="auto"/>
        <w:rPr>
          <w:color w:val="000000" w:themeColor="text1"/>
        </w:rPr>
      </w:pPr>
    </w:p>
    <w:p w14:paraId="166A1F37" w14:textId="77777777" w:rsidR="00DF2A48" w:rsidRPr="00DF2A48" w:rsidRDefault="00DF2A48" w:rsidP="00DF2A48">
      <w:pPr>
        <w:spacing w:line="360" w:lineRule="auto"/>
        <w:rPr>
          <w:color w:val="000000" w:themeColor="text1"/>
        </w:rPr>
      </w:pPr>
      <w:r w:rsidRPr="00DF2A48">
        <w:rPr>
          <w:color w:val="000000" w:themeColor="text1"/>
        </w:rPr>
        <w:lastRenderedPageBreak/>
        <w:fldChar w:fldCharType="begin"/>
      </w:r>
      <w:r w:rsidRPr="00DF2A48">
        <w:rPr>
          <w:color w:val="000000" w:themeColor="text1"/>
        </w:rPr>
        <w:instrText xml:space="preserve"> INCLUDEPICTURE "https://www.metaboanalyst.ca/MetaboAnalyst/resources/users/guest10094804448485708345tmp/volcano_2_dpi300.png" \* MERGEFORMATINET </w:instrText>
      </w:r>
      <w:r w:rsidRPr="00DF2A48">
        <w:rPr>
          <w:color w:val="000000" w:themeColor="text1"/>
        </w:rPr>
        <w:fldChar w:fldCharType="separate"/>
      </w:r>
      <w:r w:rsidRPr="00DF2A48">
        <w:rPr>
          <w:noProof/>
          <w:color w:val="000000" w:themeColor="text1"/>
        </w:rPr>
        <w:drawing>
          <wp:inline distT="0" distB="0" distL="0" distR="0" wp14:anchorId="6832F71F" wp14:editId="063F3DED">
            <wp:extent cx="5943600" cy="3566160"/>
            <wp:effectExtent l="0" t="0" r="0" b="2540"/>
            <wp:docPr id="2026646369" name="Picture 1" descr="A graph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46369" name="Picture 1" descr="A graph with different colored dots&#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r w:rsidRPr="00DF2A48">
        <w:rPr>
          <w:color w:val="000000" w:themeColor="text1"/>
        </w:rPr>
        <w:fldChar w:fldCharType="end"/>
      </w:r>
    </w:p>
    <w:p w14:paraId="003C453F" w14:textId="77777777" w:rsidR="00DF2A48" w:rsidRPr="00DF2A48" w:rsidRDefault="00DF2A48" w:rsidP="00DF2A48">
      <w:pPr>
        <w:spacing w:line="360" w:lineRule="auto"/>
        <w:jc w:val="both"/>
        <w:rPr>
          <w:color w:val="000000" w:themeColor="text1"/>
        </w:rPr>
      </w:pPr>
    </w:p>
    <w:p w14:paraId="23392135" w14:textId="77777777" w:rsidR="00DF2A48" w:rsidRPr="00DF2A48" w:rsidRDefault="00DF2A48" w:rsidP="00C8715B">
      <w:pPr>
        <w:rPr>
          <w:color w:val="000000" w:themeColor="text1"/>
        </w:rPr>
      </w:pPr>
      <w:r w:rsidRPr="00DF2A48">
        <w:rPr>
          <w:b/>
          <w:bCs/>
          <w:color w:val="000000" w:themeColor="text1"/>
        </w:rPr>
        <w:t>Figure 16:</w:t>
      </w:r>
      <w:r w:rsidRPr="00DF2A48">
        <w:rPr>
          <w:color w:val="000000" w:themeColor="text1"/>
        </w:rPr>
        <w:t xml:space="preserve"> Volcano plot representing upregulation and downregulation of metabolites while comparing growth of </w:t>
      </w:r>
      <w:proofErr w:type="spellStart"/>
      <w:r w:rsidRPr="00DF2A48">
        <w:rPr>
          <w:i/>
          <w:iCs/>
          <w:color w:val="000000" w:themeColor="text1"/>
        </w:rPr>
        <w:t>leptospira</w:t>
      </w:r>
      <w:proofErr w:type="spellEnd"/>
      <w:r w:rsidRPr="00DF2A48">
        <w:rPr>
          <w:color w:val="000000" w:themeColor="text1"/>
        </w:rPr>
        <w:t xml:space="preserve"> cell pellets in EMJH (in-house) 28°C. On x-axis, the log2 fold change of the ratio of pellets to media control is displayed. </w:t>
      </w:r>
    </w:p>
    <w:p w14:paraId="7B8AE5B0" w14:textId="16FC19D7" w:rsidR="00DF2A48" w:rsidRPr="00DF2A48" w:rsidRDefault="00DF2A48" w:rsidP="00C8715B">
      <w:pPr>
        <w:spacing w:line="360" w:lineRule="auto"/>
        <w:rPr>
          <w:color w:val="000000" w:themeColor="text1"/>
        </w:rPr>
      </w:pPr>
      <w:r w:rsidRPr="00DF2A48">
        <w:rPr>
          <w:color w:val="000000" w:themeColor="text1"/>
        </w:rPr>
        <w:br w:type="page"/>
      </w:r>
    </w:p>
    <w:p w14:paraId="1A9A8F0B" w14:textId="27D81D13"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43376286" wp14:editId="3ECB75B6">
            <wp:extent cx="5943600" cy="6099242"/>
            <wp:effectExtent l="0" t="0" r="0" b="0"/>
            <wp:docPr id="44553773" name="Picture 17"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3773" name="Picture 17" descr="A screen shot of a chart&#10;&#10;AI-generated content may be incorrect."/>
                    <pic:cNvPicPr/>
                  </pic:nvPicPr>
                  <pic:blipFill rotWithShape="1">
                    <a:blip r:embed="rId26">
                      <a:extLst>
                        <a:ext uri="{28A0092B-C50C-407E-A947-70E740481C1C}">
                          <a14:useLocalDpi xmlns:a14="http://schemas.microsoft.com/office/drawing/2010/main" val="0"/>
                        </a:ext>
                      </a:extLst>
                    </a:blip>
                    <a:srcRect b="14485"/>
                    <a:stretch>
                      <a:fillRect/>
                    </a:stretch>
                  </pic:blipFill>
                  <pic:spPr bwMode="auto">
                    <a:xfrm>
                      <a:off x="0" y="0"/>
                      <a:ext cx="5943600" cy="6099242"/>
                    </a:xfrm>
                    <a:prstGeom prst="rect">
                      <a:avLst/>
                    </a:prstGeom>
                    <a:ln>
                      <a:noFill/>
                    </a:ln>
                    <a:extLst>
                      <a:ext uri="{53640926-AAD7-44D8-BBD7-CCE9431645EC}">
                        <a14:shadowObscured xmlns:a14="http://schemas.microsoft.com/office/drawing/2010/main"/>
                      </a:ext>
                    </a:extLst>
                  </pic:spPr>
                </pic:pic>
              </a:graphicData>
            </a:graphic>
          </wp:inline>
        </w:drawing>
      </w:r>
    </w:p>
    <w:p w14:paraId="366E6772" w14:textId="77777777" w:rsidR="00DF2A48" w:rsidRPr="00DF2A48" w:rsidRDefault="00DF2A48" w:rsidP="00C8715B">
      <w:pPr>
        <w:rPr>
          <w:color w:val="000000" w:themeColor="text1"/>
        </w:rPr>
      </w:pPr>
      <w:r w:rsidRPr="00DF2A48">
        <w:rPr>
          <w:b/>
          <w:bCs/>
          <w:color w:val="000000" w:themeColor="text1"/>
        </w:rPr>
        <w:t>Figure 17:</w:t>
      </w:r>
      <w:r w:rsidRPr="00DF2A48">
        <w:rPr>
          <w:color w:val="000000" w:themeColor="text1"/>
        </w:rPr>
        <w:t xml:space="preserve"> Visualization of metabolites abundance across the supernatant in EMJH (in house) media and the control media EMJH (in house) at 28°C. The media EMJH (in house) is represented as “A”. Data underwent log2 transformation and pareto scaling.</w:t>
      </w:r>
    </w:p>
    <w:p w14:paraId="44836112" w14:textId="77777777" w:rsidR="00DF2A48" w:rsidRPr="00DF2A48" w:rsidRDefault="00DF2A48" w:rsidP="00DF2A48">
      <w:pPr>
        <w:rPr>
          <w:color w:val="000000" w:themeColor="text1"/>
        </w:rPr>
      </w:pPr>
      <w:r w:rsidRPr="00DF2A48">
        <w:rPr>
          <w:color w:val="000000" w:themeColor="text1"/>
        </w:rPr>
        <w:br w:type="page"/>
      </w:r>
      <w:r w:rsidRPr="00DF2A48">
        <w:rPr>
          <w:noProof/>
          <w:color w:val="000000" w:themeColor="text1"/>
        </w:rPr>
        <w:lastRenderedPageBreak/>
        <w:drawing>
          <wp:inline distT="0" distB="0" distL="0" distR="0" wp14:anchorId="1E6FA874" wp14:editId="3C9E1BBE">
            <wp:extent cx="5943600" cy="5283200"/>
            <wp:effectExtent l="0" t="0" r="0" b="0"/>
            <wp:docPr id="2075346669" name="Picture 19" descr="A graph with red and gree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76003" name="Picture 19" descr="A graph with red and green circles&#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7F2FD583" w14:textId="77777777" w:rsidR="00DF2A48" w:rsidRPr="00DF2A48" w:rsidRDefault="00DF2A48" w:rsidP="00C8715B">
      <w:pPr>
        <w:rPr>
          <w:color w:val="000000" w:themeColor="text1"/>
        </w:rPr>
      </w:pPr>
      <w:r w:rsidRPr="00DF2A48">
        <w:rPr>
          <w:b/>
          <w:bCs/>
          <w:color w:val="000000" w:themeColor="text1"/>
        </w:rPr>
        <w:t>Figure 18:</w:t>
      </w:r>
      <w:r w:rsidRPr="00DF2A48">
        <w:rPr>
          <w:color w:val="000000" w:themeColor="text1"/>
        </w:rPr>
        <w:t xml:space="preserve"> Partial Least Squares Discriminant Analysis PLS-DA plot shows 2 distinct groups between supernatant from cell culture in EMJH (in house) media, and the media control. The multivariate analysis shows distinctive individual metabolic profile between the supernatant and media grown in the EMJH (in house) media at 28°C</w:t>
      </w:r>
    </w:p>
    <w:p w14:paraId="691F0AF5" w14:textId="77777777" w:rsidR="00DF2A48" w:rsidRPr="00DF2A48" w:rsidRDefault="00DF2A48" w:rsidP="00C8715B">
      <w:pPr>
        <w:rPr>
          <w:color w:val="000000" w:themeColor="text1"/>
        </w:rPr>
      </w:pPr>
      <w:r w:rsidRPr="00DF2A48">
        <w:rPr>
          <w:color w:val="000000" w:themeColor="text1"/>
        </w:rPr>
        <w:br w:type="page"/>
      </w:r>
    </w:p>
    <w:p w14:paraId="66F44952" w14:textId="77777777" w:rsidR="00DF2A48" w:rsidRPr="00DF2A48" w:rsidRDefault="00DF2A48" w:rsidP="00DF2A48">
      <w:pPr>
        <w:rPr>
          <w:color w:val="000000" w:themeColor="text1"/>
        </w:rPr>
      </w:pPr>
      <w:r w:rsidRPr="00DF2A48">
        <w:rPr>
          <w:noProof/>
          <w:color w:val="000000" w:themeColor="text1"/>
        </w:rPr>
        <w:lastRenderedPageBreak/>
        <w:drawing>
          <wp:inline distT="0" distB="0" distL="0" distR="0" wp14:anchorId="189B2B4E" wp14:editId="13D91CAA">
            <wp:extent cx="5943600" cy="5242560"/>
            <wp:effectExtent l="0" t="0" r="0" b="2540"/>
            <wp:docPr id="1604150138" name="Picture 18"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50138" name="Picture 18" descr="A graph with different colored squares&#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5242560"/>
                    </a:xfrm>
                    <a:prstGeom prst="rect">
                      <a:avLst/>
                    </a:prstGeom>
                  </pic:spPr>
                </pic:pic>
              </a:graphicData>
            </a:graphic>
          </wp:inline>
        </w:drawing>
      </w:r>
    </w:p>
    <w:p w14:paraId="44ADB358" w14:textId="77777777" w:rsidR="00DF2A48" w:rsidRPr="00DF2A48" w:rsidRDefault="00DF2A48" w:rsidP="00C8715B">
      <w:pPr>
        <w:rPr>
          <w:color w:val="000000" w:themeColor="text1"/>
        </w:rPr>
      </w:pPr>
      <w:r w:rsidRPr="00DF2A48">
        <w:rPr>
          <w:b/>
          <w:bCs/>
          <w:color w:val="000000" w:themeColor="text1"/>
        </w:rPr>
        <w:t xml:space="preserve">Figure 19: </w:t>
      </w:r>
      <w:r w:rsidRPr="00DF2A48">
        <w:rPr>
          <w:color w:val="000000" w:themeColor="text1"/>
        </w:rPr>
        <w:t>Variable importance in projection (VIP) score plot demonstrating the metabolites of significance in the PLS-DA model between two groups – supernatant from cells grown in EMJH (in-house) media and the media control at 28°C.</w:t>
      </w:r>
    </w:p>
    <w:p w14:paraId="56C607AA" w14:textId="77777777" w:rsidR="00DF2A48" w:rsidRPr="00DF2A48" w:rsidRDefault="00DF2A48" w:rsidP="00C8715B">
      <w:pPr>
        <w:rPr>
          <w:b/>
          <w:bCs/>
          <w:color w:val="000000" w:themeColor="text1"/>
        </w:rPr>
      </w:pPr>
      <w:r w:rsidRPr="00DF2A48">
        <w:rPr>
          <w:b/>
          <w:bCs/>
          <w:color w:val="000000" w:themeColor="text1"/>
        </w:rPr>
        <w:br w:type="page"/>
      </w:r>
    </w:p>
    <w:p w14:paraId="0620F6A7" w14:textId="77777777" w:rsidR="00DF2A48" w:rsidRPr="00DF2A48" w:rsidRDefault="00DF2A48" w:rsidP="00DF2A48">
      <w:pPr>
        <w:rPr>
          <w:color w:val="000000" w:themeColor="text1"/>
        </w:rPr>
      </w:pPr>
      <w:r w:rsidRPr="00DF2A48">
        <w:rPr>
          <w:noProof/>
          <w:color w:val="000000" w:themeColor="text1"/>
        </w:rPr>
        <w:lastRenderedPageBreak/>
        <w:drawing>
          <wp:inline distT="0" distB="0" distL="0" distR="0" wp14:anchorId="0B2D6A9F" wp14:editId="68600677">
            <wp:extent cx="5943600" cy="3566160"/>
            <wp:effectExtent l="0" t="0" r="0" b="2540"/>
            <wp:docPr id="684654372" name="Picture 20" descr="A graph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54372" name="Picture 20" descr="A graph with different colored dots&#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39A31BBE" w14:textId="77777777" w:rsidR="00DF2A48" w:rsidRDefault="00DF2A48" w:rsidP="00C8715B">
      <w:pPr>
        <w:pStyle w:val="NormalWeb"/>
        <w:rPr>
          <w:color w:val="000000" w:themeColor="text1"/>
        </w:rPr>
      </w:pPr>
      <w:r w:rsidRPr="00DF2A48">
        <w:rPr>
          <w:b/>
          <w:bCs/>
          <w:color w:val="000000" w:themeColor="text1"/>
        </w:rPr>
        <w:t xml:space="preserve">Figure 20: </w:t>
      </w:r>
      <w:r w:rsidRPr="00DF2A48">
        <w:rPr>
          <w:color w:val="000000" w:themeColor="text1"/>
        </w:rPr>
        <w:t xml:space="preserve">Volcano plot representing upregulation and downregulation of metabolites while comparing </w:t>
      </w:r>
      <w:proofErr w:type="spellStart"/>
      <w:r w:rsidRPr="00DF2A48">
        <w:rPr>
          <w:i/>
          <w:iCs/>
          <w:color w:val="000000" w:themeColor="text1"/>
        </w:rPr>
        <w:t>leptospira</w:t>
      </w:r>
      <w:proofErr w:type="spellEnd"/>
      <w:r w:rsidRPr="00DF2A48">
        <w:rPr>
          <w:color w:val="000000" w:themeColor="text1"/>
        </w:rPr>
        <w:t xml:space="preserve"> supernatants in EMJH (in-house) 28°C after the inoculated cells are separated. On x-axis, the log2 fold change for the ratio of supernatant to media control is displayed.</w:t>
      </w:r>
    </w:p>
    <w:p w14:paraId="260BB67B" w14:textId="77777777" w:rsidR="007E2377" w:rsidRDefault="007E2377" w:rsidP="00C8715B">
      <w:pPr>
        <w:pStyle w:val="NormalWeb"/>
        <w:rPr>
          <w:color w:val="000000" w:themeColor="text1"/>
        </w:rPr>
      </w:pPr>
    </w:p>
    <w:p w14:paraId="6500BF6A" w14:textId="77777777" w:rsidR="007E2377" w:rsidRDefault="007E2377" w:rsidP="00C8715B">
      <w:pPr>
        <w:pStyle w:val="NormalWeb"/>
        <w:rPr>
          <w:color w:val="000000" w:themeColor="text1"/>
        </w:rPr>
      </w:pPr>
    </w:p>
    <w:p w14:paraId="186998B3" w14:textId="77777777" w:rsidR="007E2377" w:rsidRDefault="007E2377" w:rsidP="00C8715B">
      <w:pPr>
        <w:pStyle w:val="NormalWeb"/>
        <w:rPr>
          <w:color w:val="000000" w:themeColor="text1"/>
        </w:rPr>
      </w:pPr>
    </w:p>
    <w:p w14:paraId="5FA83F37" w14:textId="77777777" w:rsidR="007E2377" w:rsidRDefault="007E2377" w:rsidP="00C8715B">
      <w:pPr>
        <w:pStyle w:val="NormalWeb"/>
        <w:rPr>
          <w:color w:val="000000" w:themeColor="text1"/>
        </w:rPr>
      </w:pPr>
    </w:p>
    <w:p w14:paraId="656C0101" w14:textId="77777777" w:rsidR="007E2377" w:rsidRDefault="007E2377" w:rsidP="00C8715B">
      <w:pPr>
        <w:pStyle w:val="NormalWeb"/>
        <w:rPr>
          <w:color w:val="000000" w:themeColor="text1"/>
        </w:rPr>
      </w:pPr>
    </w:p>
    <w:p w14:paraId="7B5CF9CA" w14:textId="77777777" w:rsidR="007E2377" w:rsidRDefault="007E2377" w:rsidP="00C8715B">
      <w:pPr>
        <w:pStyle w:val="NormalWeb"/>
        <w:rPr>
          <w:color w:val="000000" w:themeColor="text1"/>
        </w:rPr>
      </w:pPr>
    </w:p>
    <w:p w14:paraId="2E2A1004" w14:textId="77777777" w:rsidR="007E2377" w:rsidRDefault="007E2377" w:rsidP="00C8715B">
      <w:pPr>
        <w:pStyle w:val="NormalWeb"/>
        <w:rPr>
          <w:color w:val="000000" w:themeColor="text1"/>
        </w:rPr>
      </w:pPr>
    </w:p>
    <w:p w14:paraId="272BF0BA" w14:textId="77777777" w:rsidR="007E2377" w:rsidRDefault="007E2377" w:rsidP="00C8715B">
      <w:pPr>
        <w:pStyle w:val="NormalWeb"/>
        <w:rPr>
          <w:color w:val="000000" w:themeColor="text1"/>
        </w:rPr>
      </w:pPr>
    </w:p>
    <w:p w14:paraId="436F70F3" w14:textId="77777777" w:rsidR="007E2377" w:rsidRDefault="007E2377" w:rsidP="00C8715B">
      <w:pPr>
        <w:pStyle w:val="NormalWeb"/>
        <w:rPr>
          <w:color w:val="000000" w:themeColor="text1"/>
        </w:rPr>
      </w:pPr>
    </w:p>
    <w:p w14:paraId="1457D369" w14:textId="77777777" w:rsidR="007E2377" w:rsidRDefault="007E2377" w:rsidP="00C8715B">
      <w:pPr>
        <w:pStyle w:val="NormalWeb"/>
        <w:rPr>
          <w:color w:val="000000" w:themeColor="text1"/>
        </w:rPr>
      </w:pPr>
    </w:p>
    <w:p w14:paraId="69CE4202" w14:textId="5BB4F21E" w:rsidR="007E2377" w:rsidRPr="00DF2A48" w:rsidRDefault="00806D23" w:rsidP="007E2377">
      <w:pPr>
        <w:pStyle w:val="NormalWeb"/>
        <w:spacing w:before="0" w:beforeAutospacing="0" w:after="0" w:afterAutospacing="0" w:line="360" w:lineRule="auto"/>
        <w:rPr>
          <w:color w:val="000000" w:themeColor="text1"/>
        </w:rPr>
      </w:pPr>
      <w:r>
        <w:rPr>
          <w:color w:val="000000" w:themeColor="text1"/>
        </w:rPr>
        <w:lastRenderedPageBreak/>
        <w:t>O</w:t>
      </w:r>
      <w:r w:rsidR="007E2377" w:rsidRPr="00DF2A48">
        <w:rPr>
          <w:color w:val="000000" w:themeColor="text1"/>
        </w:rPr>
        <w:t>rotate was upregulated in the supernatant. It is a key component in pyrimidine biosynthesis which is a precursor to RNA and DNA neucleotides.</w:t>
      </w:r>
      <w:r w:rsidR="007E2377" w:rsidRPr="00DF2A48">
        <w:rPr>
          <w:color w:val="000000" w:themeColor="text1"/>
        </w:rPr>
        <w:fldChar w:fldCharType="begin" w:fldLock="1"/>
      </w:r>
      <w:r w:rsidR="007E2377">
        <w:rPr>
          <w:color w:val="000000" w:themeColor="text1"/>
        </w:rPr>
        <w:instrText>ADDIN CSL_CITATION {"citationItems":[{"id":"ITEM-1","itemData":{"DOI":"10.1016/J.JGG.2015.04.004","ISSN":"1673-8527","PMID":"26059768","abstract":"The importance of pyrimidines lies in the fact that they are structural components of a broad spectrum of key molecules that participate in diverse cellular functions, such as synthesis of DNA, RNA, lipids, and carbohydrates. Pyrimidine metabolism encompasses all enzymes involved in the synthesis, degradation, salvage, interconversion and transport of these molecules. In this review, we summarize recent publications that document how pyrimidine metabolism changes under a variety of conditions, including, when possible, those studies based on techniques of genomics, transcriptomics, proteomics, and metabolomics. First, we briefly look at the dynamics of pyrimidine metabolism during nonpathogenic cellular events. We then focus on changes that pathogen infections cause in the pyrimidine metabolism of their host. Next, we discuss the effects of antimetabolites and inhibitors, and finally we consider the consequences of genetic manipulations, such as knock-downs, knock-outs, and knock-ins, of pyrimidine enzymes on pyrimidine metabolism in the cell.","author":[{"dropping-particle":"","family":"Garavito","given":"Manuel F.","non-dropping-particle":"","parse-names":false,"suffix":""},{"dropping-particle":"","family":"Narváez-Ortiz","given":"Heidy Y.","non-dropping-particle":"","parse-names":false,"suffix":""},{"dropping-particle":"","family":"Zimmermann","given":"Barbara H.","non-dropping-particle":"","parse-names":false,"suffix":""}],"container-title":"Journal of Genetics and Genomics","id":"ITEM-1","issue":"5","issued":{"date-parts":[["2015","5","20"]]},"page":"195-205","publisher":"Elsevier","title":"Pyrimidine Metabolism: Dynamic and Versatile Pathways in Pathogens and Cellular Development","type":"article-journal","volume":"42"},"uris":["http://www.mendeley.com/documents/?uuid=60ac3036-6963-353a-b36c-dac9338602c2"]}],"mendeley":{"formattedCitation":"&lt;sup&gt;79&lt;/sup&gt;","plainTextFormattedCitation":"79","previouslyFormattedCitation":"&lt;sup&gt;78&lt;/sup&gt;"},"properties":{"noteIndex":0},"schema":"https://github.com/citation-style-language/schema/raw/master/csl-citation.json"}</w:instrText>
      </w:r>
      <w:r w:rsidR="007E2377" w:rsidRPr="00DF2A48">
        <w:rPr>
          <w:color w:val="000000" w:themeColor="text1"/>
        </w:rPr>
        <w:fldChar w:fldCharType="separate"/>
      </w:r>
      <w:r w:rsidR="007E2377" w:rsidRPr="001F04D6">
        <w:rPr>
          <w:noProof/>
          <w:color w:val="000000" w:themeColor="text1"/>
          <w:vertAlign w:val="superscript"/>
        </w:rPr>
        <w:t>79</w:t>
      </w:r>
      <w:r w:rsidR="007E2377" w:rsidRPr="00DF2A48">
        <w:rPr>
          <w:color w:val="000000" w:themeColor="text1"/>
        </w:rPr>
        <w:fldChar w:fldCharType="end"/>
      </w:r>
      <w:r w:rsidR="007E2377" w:rsidRPr="00DF2A48">
        <w:rPr>
          <w:color w:val="000000" w:themeColor="text1"/>
          <w:vertAlign w:val="superscript"/>
        </w:rPr>
        <w:t>,</w:t>
      </w:r>
      <w:r w:rsidR="007E2377" w:rsidRPr="00DF2A48">
        <w:rPr>
          <w:color w:val="000000" w:themeColor="text1"/>
        </w:rPr>
        <w:fldChar w:fldCharType="begin" w:fldLock="1"/>
      </w:r>
      <w:r w:rsidR="007E2377">
        <w:rPr>
          <w:color w:val="000000" w:themeColor="text1"/>
        </w:rPr>
        <w:instrText>ADDIN CSL_CITATION {"citationItems":[{"id":"ITEM-1","itemData":{"DOI":"https://doi.org/10.1016/j.jgg.2015.04.001","ISSN":"1673-8527","abstract":"It is timely to consider the many facets of the small molecule orotic acid (OA), which is well-known as an essential intermediate of pyrimidine de novo synthesis. In addition, it can be taken up by erythrocytes and hepatocytes for conversion into uridine and for use in the pyrimidine recycling pathway. We discuss the link between dietary orotate and fatty liver in rats, and the potential for the alleviation of neonatal hyperbilirubinaemia. We address the development of orotate derivatives for application as anti-pyrimidine drugs, and of complexes with metal ions and organic cations to assist therapies of metabolic syndromes. Recent genetic data link human Miller syndrome to defects in the dihydroorotate dehydrogenase (DHODH) gene, hence to depleted orotate production. Another defect in pyrimidine biosynthesis, the orotic aciduria arising in humans and cattle with a deficiency of UMP synthase (UMPS), has different symptoms. More recent work leads us to conclude that OA may have a role in regulating gene transcription.","author":[{"dropping-particle":"","family":"Löffler","given":"Monika","non-dropping-particle":"","parse-names":false,"suffix":""},{"dropping-particle":"","family":"Carrey","given":"Elizabeth A","non-dropping-particle":"","parse-names":false,"suffix":""},{"dropping-particle":"","family":"Zameitat","given":"Elke","non-dropping-particle":"","parse-names":false,"suffix":""}],"container-title":"Journal of Genetics and Genomics","id":"ITEM-1","issue":"5","issued":{"date-parts":[["2015"]]},"page":"207-219","title":"Orotic Acid, More Than Just an Intermediate of Pyrimidine de novo Synthesis","type":"article-journal","volume":"42"},"uris":["http://www.mendeley.com/documents/?uuid=0f50c79d-cd7d-4879-9732-791060e6befe"]}],"mendeley":{"formattedCitation":"&lt;sup&gt;80&lt;/sup&gt;","plainTextFormattedCitation":"80","previouslyFormattedCitation":"&lt;sup&gt;79&lt;/sup&gt;"},"properties":{"noteIndex":0},"schema":"https://github.com/citation-style-language/schema/raw/master/csl-citation.json"}</w:instrText>
      </w:r>
      <w:r w:rsidR="007E2377" w:rsidRPr="00DF2A48">
        <w:rPr>
          <w:color w:val="000000" w:themeColor="text1"/>
        </w:rPr>
        <w:fldChar w:fldCharType="separate"/>
      </w:r>
      <w:r w:rsidR="007E2377" w:rsidRPr="001F04D6">
        <w:rPr>
          <w:noProof/>
          <w:color w:val="000000" w:themeColor="text1"/>
          <w:vertAlign w:val="superscript"/>
        </w:rPr>
        <w:t>80</w:t>
      </w:r>
      <w:r w:rsidR="007E2377" w:rsidRPr="00DF2A48">
        <w:rPr>
          <w:color w:val="000000" w:themeColor="text1"/>
        </w:rPr>
        <w:fldChar w:fldCharType="end"/>
      </w:r>
      <w:r w:rsidR="007E2377" w:rsidRPr="00DF2A48">
        <w:rPr>
          <w:color w:val="000000" w:themeColor="text1"/>
        </w:rPr>
        <w:t xml:space="preserve"> Higher abundance of orotate in supernatant can be attributed to the bioavailability of nucleotide that could be utilized for pyrimidine biosynthesis.</w:t>
      </w:r>
      <w:r w:rsidR="007E2377" w:rsidRPr="00DF2A48">
        <w:rPr>
          <w:color w:val="000000" w:themeColor="text1"/>
        </w:rPr>
        <w:fldChar w:fldCharType="begin" w:fldLock="1"/>
      </w:r>
      <w:r w:rsidR="007E2377">
        <w:rPr>
          <w:color w:val="000000" w:themeColor="text1"/>
        </w:rPr>
        <w:instrText>ADDIN CSL_CITATION {"citationItems":[{"id":"ITEM-1","itemData":{"DOI":"10.1038/s41564-022-01072-5","ISSN":"2058-5276","abstract":"Microbial communities are composed of cells of varying metabolic capacity, and regularly include auxotrophs that lack essential metabolic pathways. Through analysis of auxotrophs for amino acid biosynthesis pathways in microbiome data derived from &gt;12,000 natural microbial communities obtained as part of the Earth Microbiome Project (EMP), and study of auxotrophic–prototrophic interactions in self-establishing metabolically cooperating yeast communities (SeMeCos), we reveal a metabolically imprinted mechanism that links the presence of auxotrophs to an increase in metabolic interactions and gains in antimicrobial drug tolerance. As a consequence of the metabolic adaptations necessary to uptake specific metabolites, auxotrophs obtain altered metabolic flux distributions, export more metabolites and, in this way, enrich community environments in metabolites. Moreover, increased efflux activities reduce intracellular drug concentrations, allowing cells to grow in the presence of drug levels above minimal inhibitory concentrations. For example, we show that the antifungal action of azoles is greatly diminished in yeast cells that uptake metabolites from a metabolically enriched environment. Our results hence provide a mechanism that explains why cells are more robust to drug exposure when they interact metabolically.","author":[{"dropping-particle":"","family":"Yu","given":"Jason S L","non-dropping-particle":"","parse-names":false,"suffix":""},{"dropping-particle":"","family":"Correia-Melo","given":"Clara","non-dropping-particle":"","parse-names":false,"suffix":""},{"dropping-particle":"","family":"Zorrilla","given":"Francisco","non-dropping-particle":"","parse-names":false,"suffix":""},{"dropping-particle":"","family":"Herrera-Dominguez","given":"Lucia","non-dropping-particle":"","parse-names":false,"suffix":""},{"dropping-particle":"","family":"Wu","given":"Mary Y","non-dropping-particle":"","parse-names":false,"suffix":""},{"dropping-particle":"","family":"Hartl","given":"Johannes","non-dropping-particle":"","parse-names":false,"suffix":""},{"dropping-particle":"","family":"Campbell","given":"Kate","non-dropping-particle":"","parse-names":false,"suffix":""},{"dropping-particle":"","family":"Blasche","given":"Sonja","non-dropping-particle":"","parse-names":false,"suffix":""},{"dropping-particle":"","family":"Kreidl","given":"Marco","non-dropping-particle":"","parse-names":false,"suffix":""},{"dropping-particle":"","family":"Egger","given":"Anna-Sophia","non-dropping-particle":"","parse-names":false,"suffix":""},{"dropping-particle":"","family":"Messner","given":"Christoph B","non-dropping-particle":"","parse-names":false,"suffix":""},{"dropping-particle":"","family":"Demichev","given":"Vadim","non-dropping-particle":"","parse-names":false,"suffix":""},{"dropping-particle":"","family":"Freiwald","given":"Anja","non-dropping-particle":"","parse-names":false,"suffix":""},{"dropping-particle":"","family":"Mülleder","given":"Michael","non-dropping-particle":"","parse-names":false,"suffix":""},{"dropping-particle":"","family":"Howell","given":"Michael","non-dropping-particle":"","parse-names":false,"suffix":""},{"dropping-particle":"","family":"Berman","given":"Judith","non-dropping-particle":"","parse-names":false,"suffix":""},{"dropping-particle":"","family":"Patil","given":"Kiran R","non-dropping-particle":"","parse-names":false,"suffix":""},{"dropping-particle":"","family":"Alam","given":"Mohammad Tauqeer","non-dropping-particle":"","parse-names":false,"suffix":""},{"dropping-particle":"","family":"Ralser","given":"Markus","non-dropping-particle":"","parse-names":false,"suffix":""}],"container-title":"Nature Microbiology","id":"ITEM-1","issue":"4","issued":{"date-parts":[["2022"]]},"page":"542-555","title":"Microbial communities form rich extracellular metabolomes that foster metabolic interactions and promote drug tolerance","type":"article-journal","volume":"7"},"uris":["http://www.mendeley.com/documents/?uuid=c79e1f10-d59d-4b43-8147-8dda0788ffa1"]}],"mendeley":{"formattedCitation":"&lt;sup&gt;81&lt;/sup&gt;","plainTextFormattedCitation":"81","previouslyFormattedCitation":"&lt;sup&gt;80&lt;/sup&gt;"},"properties":{"noteIndex":0},"schema":"https://github.com/citation-style-language/schema/raw/master/csl-citation.json"}</w:instrText>
      </w:r>
      <w:r w:rsidR="007E2377" w:rsidRPr="00DF2A48">
        <w:rPr>
          <w:color w:val="000000" w:themeColor="text1"/>
        </w:rPr>
        <w:fldChar w:fldCharType="separate"/>
      </w:r>
      <w:r w:rsidR="007E2377" w:rsidRPr="001F04D6">
        <w:rPr>
          <w:noProof/>
          <w:color w:val="000000" w:themeColor="text1"/>
          <w:vertAlign w:val="superscript"/>
        </w:rPr>
        <w:t>81</w:t>
      </w:r>
      <w:r w:rsidR="007E2377" w:rsidRPr="00DF2A48">
        <w:rPr>
          <w:color w:val="000000" w:themeColor="text1"/>
        </w:rPr>
        <w:fldChar w:fldCharType="end"/>
      </w:r>
      <w:r w:rsidR="007E2377" w:rsidRPr="00DF2A48">
        <w:rPr>
          <w:color w:val="000000" w:themeColor="text1"/>
        </w:rPr>
        <w:t xml:space="preserve"> Detection and upregulation of indole-3-carboxylate in supernatant</w:t>
      </w:r>
      <w:r w:rsidR="007E2377">
        <w:rPr>
          <w:color w:val="000000" w:themeColor="text1"/>
        </w:rPr>
        <w:t xml:space="preserve"> (</w:t>
      </w:r>
      <w:r w:rsidR="007E2377" w:rsidRPr="00F65B41">
        <w:rPr>
          <w:b/>
          <w:bCs/>
          <w:color w:val="000000" w:themeColor="text1"/>
        </w:rPr>
        <w:t>Figure 20</w:t>
      </w:r>
      <w:r w:rsidR="007E2377">
        <w:rPr>
          <w:b/>
          <w:bCs/>
          <w:color w:val="000000" w:themeColor="text1"/>
        </w:rPr>
        <w:t>)</w:t>
      </w:r>
      <w:r w:rsidR="007E2377" w:rsidRPr="00DF2A48">
        <w:rPr>
          <w:color w:val="000000" w:themeColor="text1"/>
        </w:rPr>
        <w:t xml:space="preserve"> could suggest the utilization of amino acid degradation pathways that was used to secrete this metabolite. It is often associated with bacterial stress response.</w:t>
      </w:r>
      <w:r w:rsidR="007E2377" w:rsidRPr="00DF2A48">
        <w:rPr>
          <w:color w:val="000000" w:themeColor="text1"/>
        </w:rPr>
        <w:fldChar w:fldCharType="begin" w:fldLock="1"/>
      </w:r>
      <w:r w:rsidR="007E2377">
        <w:rPr>
          <w:color w:val="000000" w:themeColor="text1"/>
        </w:rPr>
        <w:instrText>ADDIN CSL_CITATION {"citationItems":[{"id":"ITEM-1","itemData":{"DOI":"10.3390/plants13243533","ISBN":"2223-7747","abstract":"Plant growth-promoting bacteria (PGPB) play a role in stimulating plant growth through mechanisms such as the synthesis of the phytohormone indole-3-acetic acid (IAA). The aims of this study were the characterization of IAA synthesis and degradation by the model aromatic-degrading bacterium Paraburkholderia xenovorans LB400, and its growth promotion of the Nicotiana tabacum plant. Strain LB400 was able to synthesize IAA (measured by HPLC) during growth in the presence of tryptophan and at least one additional carbon source; synthesis of anthranilic acid was also observed. RT-PCR analysis indicates that under these conditions, strain LB400 expressed the ipdC gene, which encodes indole-3-pyruvate decarboxylase, suggesting that IAA biosynthesis proceeds through the indole-3-pyruvate pathway. In addition, strain LB400 degraded IAA and grew on IAA as a sole carbon and energy source. Strain LB400 expressed the iacC and catA genes, which encode the α subunit of the aromatic-ring-hydroxylating dioxygenase in the IAA catabolic pathway and the catechol 1,2-dioxygenase, respectively, which may suggest a peripheral IAA pathway leading to the central catechol pathway. Notably, P. xenovorans LB400 promoted the growth of tobacco seedlings, increasing the number and the length of the roots. In conclusion, this study indicates that the versatile bacterium P. xenovorans LB400 is a PGPB.","author":[{"dropping-particle":"","family":"Vega-Celedón","given":"Paulina","non-dropping-particle":"","parse-names":false,"suffix":""},{"dropping-particle":"","family":"Castillo-Novales","given":"Diyanira","non-dropping-particle":"","parse-names":false,"suffix":""},{"dropping-particle":"","family":"Bravo","given":"Guillermo","non-dropping-particle":"","parse-names":false,"suffix":""},{"dropping-particle":"","family":"Cárdenas","given":"Franco","non-dropping-particle":"","parse-names":false,"suffix":""},{"dropping-particle":"","family":"Romero-Silva","given":"María J","non-dropping-particle":"","parse-names":false,"suffix":""},{"dropping-particle":"","family":"Seeger","given":"Michael","non-dropping-particle":"","parse-names":false,"suffix":""}],"container-title":"Plants","id":"ITEM-1","issue":"24","issued":{"date-parts":[["2024"]]},"title":"Synthesis and Degradation of the Phytohormone Indole-3-Acetic Acid by the Versatile Bacterium Paraburkholderia xenovorans LB400 and Its Growth Promotion of Nicotiana tabacum Plant","type":"article","volume":"13"},"uris":["http://www.mendeley.com/documents/?uuid=5292a554-e8a1-4844-b349-5d89b6c87c44"]}],"mendeley":{"formattedCitation":"&lt;sup&gt;82&lt;/sup&gt;","plainTextFormattedCitation":"82","previouslyFormattedCitation":"&lt;sup&gt;81&lt;/sup&gt;"},"properties":{"noteIndex":0},"schema":"https://github.com/citation-style-language/schema/raw/master/csl-citation.json"}</w:instrText>
      </w:r>
      <w:r w:rsidR="007E2377" w:rsidRPr="00DF2A48">
        <w:rPr>
          <w:color w:val="000000" w:themeColor="text1"/>
        </w:rPr>
        <w:fldChar w:fldCharType="separate"/>
      </w:r>
      <w:r w:rsidR="007E2377" w:rsidRPr="001F04D6">
        <w:rPr>
          <w:noProof/>
          <w:color w:val="000000" w:themeColor="text1"/>
          <w:vertAlign w:val="superscript"/>
        </w:rPr>
        <w:t>82</w:t>
      </w:r>
      <w:r w:rsidR="007E2377" w:rsidRPr="00DF2A48">
        <w:rPr>
          <w:color w:val="000000" w:themeColor="text1"/>
        </w:rPr>
        <w:fldChar w:fldCharType="end"/>
      </w:r>
    </w:p>
    <w:p w14:paraId="615C6A50" w14:textId="77777777" w:rsidR="00F65B41" w:rsidRDefault="00DF2A48" w:rsidP="007E2377">
      <w:pPr>
        <w:spacing w:line="360" w:lineRule="auto"/>
        <w:rPr>
          <w:color w:val="000000" w:themeColor="text1"/>
        </w:rPr>
      </w:pPr>
      <w:r w:rsidRPr="00DF2A48">
        <w:rPr>
          <w:b/>
          <w:bCs/>
          <w:color w:val="000000" w:themeColor="text1"/>
        </w:rPr>
        <w:t>Comparison between Pellet and Supernatant in EMJH (in house) at 37°C</w:t>
      </w:r>
      <w:r w:rsidRPr="00DF2A48">
        <w:rPr>
          <w:color w:val="000000" w:themeColor="text1"/>
        </w:rPr>
        <w:t xml:space="preserve"> </w:t>
      </w:r>
    </w:p>
    <w:p w14:paraId="0E95769B" w14:textId="4E8C5A00" w:rsidR="00F65B41" w:rsidRDefault="00F65B41" w:rsidP="007E2377">
      <w:pPr>
        <w:spacing w:line="360" w:lineRule="auto"/>
        <w:ind w:firstLine="720"/>
        <w:rPr>
          <w:b/>
          <w:bCs/>
          <w:color w:val="000000" w:themeColor="text1"/>
        </w:rPr>
      </w:pPr>
      <w:r>
        <w:rPr>
          <w:color w:val="000000" w:themeColor="text1"/>
        </w:rPr>
        <w:t>The visualization for the comparison</w:t>
      </w:r>
      <w:r>
        <w:rPr>
          <w:b/>
          <w:bCs/>
          <w:color w:val="000000" w:themeColor="text1"/>
        </w:rPr>
        <w:t xml:space="preserve"> </w:t>
      </w:r>
      <w:r>
        <w:rPr>
          <w:color w:val="000000" w:themeColor="text1"/>
        </w:rPr>
        <w:t xml:space="preserve">between pellet and supernatant from </w:t>
      </w:r>
      <w:r w:rsidRPr="00F65B41">
        <w:rPr>
          <w:i/>
          <w:iCs/>
          <w:color w:val="000000" w:themeColor="text1"/>
        </w:rPr>
        <w:t>Leptospira</w:t>
      </w:r>
      <w:r>
        <w:rPr>
          <w:color w:val="000000" w:themeColor="text1"/>
        </w:rPr>
        <w:t xml:space="preserve"> inoculation in EMJH (in house) </w:t>
      </w:r>
      <w:r w:rsidRPr="00F65B41">
        <w:rPr>
          <w:color w:val="000000" w:themeColor="text1"/>
        </w:rPr>
        <w:t xml:space="preserve">at </w:t>
      </w:r>
      <w:r>
        <w:rPr>
          <w:color w:val="000000" w:themeColor="text1"/>
        </w:rPr>
        <w:t>37</w:t>
      </w:r>
      <w:r w:rsidRPr="00F65B41">
        <w:rPr>
          <w:color w:val="000000" w:themeColor="text1"/>
        </w:rPr>
        <w:t>°C</w:t>
      </w:r>
      <w:r w:rsidRPr="00DF2A48">
        <w:rPr>
          <w:noProof/>
          <w:color w:val="000000" w:themeColor="text1"/>
        </w:rPr>
        <w:t xml:space="preserve"> </w:t>
      </w:r>
      <w:r>
        <w:rPr>
          <w:color w:val="000000" w:themeColor="text1"/>
        </w:rPr>
        <w:t xml:space="preserve">is displayed via the heatmap, PLS-DA, VIP score plot, and volcano plot in </w:t>
      </w:r>
      <w:r w:rsidRPr="00430C22">
        <w:rPr>
          <w:b/>
          <w:bCs/>
          <w:color w:val="000000" w:themeColor="text1"/>
        </w:rPr>
        <w:t xml:space="preserve">Figure </w:t>
      </w:r>
      <w:r>
        <w:rPr>
          <w:b/>
          <w:bCs/>
          <w:color w:val="000000" w:themeColor="text1"/>
        </w:rPr>
        <w:t>21</w:t>
      </w:r>
      <w:r w:rsidRPr="00430C22">
        <w:rPr>
          <w:b/>
          <w:bCs/>
          <w:color w:val="000000" w:themeColor="text1"/>
        </w:rPr>
        <w:t>-</w:t>
      </w:r>
      <w:r>
        <w:rPr>
          <w:b/>
          <w:bCs/>
          <w:color w:val="000000" w:themeColor="text1"/>
        </w:rPr>
        <w:t xml:space="preserve">24. </w:t>
      </w:r>
    </w:p>
    <w:p w14:paraId="7922A891" w14:textId="2482A3DA" w:rsidR="00F65B41" w:rsidRPr="00DF2A48" w:rsidRDefault="00F65B41" w:rsidP="007E2377">
      <w:pPr>
        <w:spacing w:line="360" w:lineRule="auto"/>
        <w:ind w:firstLine="720"/>
        <w:rPr>
          <w:color w:val="000000" w:themeColor="text1"/>
        </w:rPr>
      </w:pPr>
      <w:r>
        <w:rPr>
          <w:color w:val="000000" w:themeColor="text1"/>
        </w:rPr>
        <w:t xml:space="preserve">In the volcano plot </w:t>
      </w:r>
      <w:r w:rsidRPr="00F65B41">
        <w:rPr>
          <w:b/>
          <w:bCs/>
          <w:color w:val="000000" w:themeColor="text1"/>
        </w:rPr>
        <w:t>(Figure 24</w:t>
      </w:r>
      <w:r>
        <w:rPr>
          <w:color w:val="000000" w:themeColor="text1"/>
        </w:rPr>
        <w:t>), u</w:t>
      </w:r>
      <w:r w:rsidRPr="00DF2A48">
        <w:rPr>
          <w:color w:val="000000" w:themeColor="text1"/>
        </w:rPr>
        <w:t xml:space="preserve">pregulation of IMP, phosphoryl ethanolamine, CMP in </w:t>
      </w:r>
      <w:r w:rsidR="00A66B15" w:rsidRPr="00DF2A48">
        <w:rPr>
          <w:color w:val="000000" w:themeColor="text1"/>
        </w:rPr>
        <w:t xml:space="preserve">pellet </w:t>
      </w:r>
      <w:r w:rsidR="00A66B15">
        <w:rPr>
          <w:color w:val="000000" w:themeColor="text1"/>
        </w:rPr>
        <w:t xml:space="preserve">is observed </w:t>
      </w:r>
      <w:r w:rsidRPr="00DF2A48">
        <w:rPr>
          <w:color w:val="000000" w:themeColor="text1"/>
        </w:rPr>
        <w:t>while cells are grown in EMJH (in house) at 37°C</w:t>
      </w:r>
      <w:r w:rsidR="00A66B15">
        <w:rPr>
          <w:color w:val="000000" w:themeColor="text1"/>
        </w:rPr>
        <w:t>. This</w:t>
      </w:r>
      <w:r w:rsidRPr="00DF2A48">
        <w:rPr>
          <w:color w:val="000000" w:themeColor="text1"/>
        </w:rPr>
        <w:t xml:space="preserve"> is consistent with the </w:t>
      </w:r>
      <w:r w:rsidR="00A66B15">
        <w:rPr>
          <w:color w:val="000000" w:themeColor="text1"/>
        </w:rPr>
        <w:t xml:space="preserve">notion of </w:t>
      </w:r>
      <w:r w:rsidRPr="00DF2A48">
        <w:rPr>
          <w:color w:val="000000" w:themeColor="text1"/>
        </w:rPr>
        <w:t>bioenergetic driven metabolite utilization for growth. However, the VIP score plots (</w:t>
      </w:r>
      <w:r>
        <w:rPr>
          <w:b/>
          <w:bCs/>
          <w:color w:val="000000" w:themeColor="text1"/>
        </w:rPr>
        <w:t>F</w:t>
      </w:r>
      <w:r w:rsidRPr="0080098D">
        <w:rPr>
          <w:b/>
          <w:bCs/>
          <w:color w:val="000000" w:themeColor="text1"/>
        </w:rPr>
        <w:t>igure 23</w:t>
      </w:r>
      <w:r w:rsidRPr="00DF2A48">
        <w:rPr>
          <w:color w:val="000000" w:themeColor="text1"/>
        </w:rPr>
        <w:t>) shows that the major drivers for separation between these pellet and media at 37°C are different from the ones at 28°C (</w:t>
      </w:r>
      <w:r>
        <w:rPr>
          <w:b/>
          <w:bCs/>
          <w:color w:val="000000" w:themeColor="text1"/>
        </w:rPr>
        <w:t>F</w:t>
      </w:r>
      <w:r w:rsidRPr="0080098D">
        <w:rPr>
          <w:b/>
          <w:bCs/>
          <w:color w:val="000000" w:themeColor="text1"/>
        </w:rPr>
        <w:t>igure 15</w:t>
      </w:r>
      <w:r w:rsidRPr="00DF2A48">
        <w:rPr>
          <w:color w:val="000000" w:themeColor="text1"/>
        </w:rPr>
        <w:t>) which leads to the proposal of different nutrient availability at different temperatures.</w:t>
      </w:r>
    </w:p>
    <w:p w14:paraId="5C3FDC0C" w14:textId="77777777" w:rsidR="007E2377" w:rsidRDefault="007E2377" w:rsidP="007E2377">
      <w:pPr>
        <w:spacing w:line="360" w:lineRule="auto"/>
        <w:rPr>
          <w:color w:val="000000" w:themeColor="text1"/>
        </w:rPr>
      </w:pPr>
      <w:r w:rsidRPr="00FD4BDB">
        <w:rPr>
          <w:b/>
          <w:bCs/>
          <w:color w:val="000000" w:themeColor="text1"/>
        </w:rPr>
        <w:t>Comparison between Pellet and Media in EMJH (Difco) at 28°C</w:t>
      </w:r>
      <w:r w:rsidRPr="00DF2A48">
        <w:rPr>
          <w:color w:val="000000" w:themeColor="text1"/>
        </w:rPr>
        <w:t xml:space="preserve"> </w:t>
      </w:r>
    </w:p>
    <w:p w14:paraId="18E99C51" w14:textId="77777777" w:rsidR="007E2377" w:rsidRDefault="007E2377" w:rsidP="007E2377">
      <w:pPr>
        <w:spacing w:line="360" w:lineRule="auto"/>
        <w:ind w:firstLine="720"/>
        <w:rPr>
          <w:color w:val="000000" w:themeColor="text1"/>
        </w:rPr>
      </w:pPr>
      <w:r>
        <w:rPr>
          <w:color w:val="000000" w:themeColor="text1"/>
        </w:rPr>
        <w:t>The next c</w:t>
      </w:r>
      <w:r w:rsidRPr="00430C22">
        <w:rPr>
          <w:color w:val="000000" w:themeColor="text1"/>
        </w:rPr>
        <w:t>omparison</w:t>
      </w:r>
      <w:r>
        <w:rPr>
          <w:color w:val="000000" w:themeColor="text1"/>
        </w:rPr>
        <w:t xml:space="preserve"> that was carried out was between the pellet grown in commercial media EMJH (Difco) at 28</w:t>
      </w:r>
      <w:r w:rsidRPr="00DF2A48">
        <w:rPr>
          <w:color w:val="000000" w:themeColor="text1"/>
        </w:rPr>
        <w:t>°C</w:t>
      </w:r>
      <w:r>
        <w:rPr>
          <w:color w:val="000000" w:themeColor="text1"/>
        </w:rPr>
        <w:t xml:space="preserve"> and the control media. The visualization of this comparison</w:t>
      </w:r>
      <w:r>
        <w:rPr>
          <w:b/>
          <w:bCs/>
          <w:color w:val="000000" w:themeColor="text1"/>
        </w:rPr>
        <w:t xml:space="preserve"> </w:t>
      </w:r>
      <w:r>
        <w:rPr>
          <w:color w:val="000000" w:themeColor="text1"/>
        </w:rPr>
        <w:t xml:space="preserve">is displayed via the heatmap, PLS-DA, VIP score plot, and volcano plot in </w:t>
      </w:r>
      <w:r w:rsidRPr="00430C22">
        <w:rPr>
          <w:b/>
          <w:bCs/>
          <w:color w:val="000000" w:themeColor="text1"/>
        </w:rPr>
        <w:t xml:space="preserve">Figure </w:t>
      </w:r>
      <w:r>
        <w:rPr>
          <w:b/>
          <w:bCs/>
          <w:color w:val="000000" w:themeColor="text1"/>
        </w:rPr>
        <w:t>25-28.</w:t>
      </w:r>
      <w:r>
        <w:rPr>
          <w:color w:val="000000" w:themeColor="text1"/>
        </w:rPr>
        <w:t xml:space="preserve"> </w:t>
      </w:r>
    </w:p>
    <w:p w14:paraId="1788C227" w14:textId="61E1D3D1" w:rsidR="007E2377" w:rsidRDefault="007E2377" w:rsidP="007E2377">
      <w:pPr>
        <w:spacing w:line="360" w:lineRule="auto"/>
        <w:ind w:firstLine="720"/>
        <w:rPr>
          <w:color w:val="000000" w:themeColor="text1"/>
        </w:rPr>
      </w:pPr>
      <w:r w:rsidRPr="00DF2A48">
        <w:rPr>
          <w:color w:val="000000" w:themeColor="text1"/>
        </w:rPr>
        <w:t>Comparison between the pellets grown in EMJH (Difco) at 28°C and the media shows that CMP, ADP-glucose, UDP-glucose, and phosphoryl</w:t>
      </w:r>
      <w:r>
        <w:rPr>
          <w:color w:val="000000" w:themeColor="text1"/>
        </w:rPr>
        <w:t xml:space="preserve"> </w:t>
      </w:r>
      <w:r w:rsidRPr="00DF2A48">
        <w:rPr>
          <w:color w:val="000000" w:themeColor="text1"/>
        </w:rPr>
        <w:t>et</w:t>
      </w:r>
      <w:r>
        <w:rPr>
          <w:color w:val="000000" w:themeColor="text1"/>
        </w:rPr>
        <w:t>h</w:t>
      </w:r>
      <w:r w:rsidRPr="00DF2A48">
        <w:rPr>
          <w:color w:val="000000" w:themeColor="text1"/>
        </w:rPr>
        <w:t xml:space="preserve">anolamine have both a higher abundance and are significant according to the p-values in volcano plot in </w:t>
      </w:r>
      <w:r>
        <w:rPr>
          <w:color w:val="000000" w:themeColor="text1"/>
        </w:rPr>
        <w:t>(</w:t>
      </w:r>
      <w:r>
        <w:rPr>
          <w:b/>
          <w:bCs/>
          <w:color w:val="000000" w:themeColor="text1"/>
        </w:rPr>
        <w:t>F</w:t>
      </w:r>
      <w:r w:rsidRPr="00DF2A48">
        <w:rPr>
          <w:b/>
          <w:bCs/>
          <w:color w:val="000000" w:themeColor="text1"/>
        </w:rPr>
        <w:t>igure 28</w:t>
      </w:r>
      <w:r w:rsidRPr="00DF2A48">
        <w:rPr>
          <w:color w:val="000000" w:themeColor="text1"/>
        </w:rPr>
        <w:t>) in pellets. Detection and upregulation of ADP-Glucose and UDP-glucose shows evidence of starch metabolism when cells are grown in EMJH (Difco media) at 28°C. Both ADP-glucose, and UDP-glucose serves intermediary in glycogen synthesis pathway in order to preserve energy in unfavorable environment.</w:t>
      </w:r>
      <w:r w:rsidRPr="00DF2A48">
        <w:rPr>
          <w:color w:val="000000" w:themeColor="text1"/>
        </w:rPr>
        <w:fldChar w:fldCharType="begin" w:fldLock="1"/>
      </w:r>
      <w:r>
        <w:rPr>
          <w:color w:val="000000" w:themeColor="text1"/>
        </w:rPr>
        <w:instrText>ADDIN CSL_CITATION {"citationItems":[{"id":"ITEM-1","itemData":{"DOI":"10.1038/220606a0","ISSN":"1476-4687","abstract":"IN certain conditions, bacteria accumulate relatively large amounts of polyglucose compounds with properties similar to those of animal glycogen1. An interpretation of bacterial “glycogen” production is that it provides a food and/or energy reserve for the organisms in unfavourable environments; in other words, bacteria rich in glycogen should survive longer than bacteria without such reserves. Experimental results apparently supporting this teleological interpretation were obtained with Aerobacter aerogenes2 and Escherichia coli3 but not with Sarcina lutea4; glycogen-rich S. lutea died at a faster rate than cells without glycogen during starvation in aerated phosphate buffer at 37° C. A feature of glycogen reserves in bacteria is their rapid depletion during starvation which suggests that any contribution glycogen makes towards maintenance and survival is of short duration5. It is possible that growth conditions which stimulate the accumulation of glycogen give rise to bacteria better able to resist stress for reasons not concerned with their glycogen content. The effect of glycogen reserves on bacterial survival was examined with E. coli; cells containing different amounts of glycogen were grown in a chemostat and their survival properties were determined in aerated saline phosphate buffer with and without magnesium at 37° and 48° C.","author":[{"dropping-particle":"","family":"STRANGE","given":"R E","non-dropping-particle":"","parse-names":false,"suffix":""}],"container-title":"Nature","id":"ITEM-1","issue":"5167","issued":{"date-parts":[["1968"]]},"page":"606-607","title":"Bacterial “Glycogen” and Survival","type":"article-journal","volume":"220"},"uris":["http://www.mendeley.com/documents/?uuid=791220b7-85cd-443c-8bce-1e09dea9474a"]}],"mendeley":{"formattedCitation":"&lt;sup&gt;83&lt;/sup&gt;","plainTextFormattedCitation":"83","previouslyFormattedCitation":"&lt;sup&gt;82&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83</w:t>
      </w:r>
      <w:r w:rsidRPr="00DF2A48">
        <w:rPr>
          <w:color w:val="000000" w:themeColor="text1"/>
        </w:rPr>
        <w:fldChar w:fldCharType="end"/>
      </w:r>
      <w:r w:rsidRPr="00DF2A48">
        <w:rPr>
          <w:color w:val="000000" w:themeColor="text1"/>
        </w:rPr>
        <w:t xml:space="preserve"> Detection of phosphoryl ethanolamine  and upregulation of it is congruent with the pellet metabolic upregulation in EMJH (in-house) media at 28°C. </w:t>
      </w:r>
      <w:r w:rsidRPr="00DF2A48">
        <w:rPr>
          <w:i/>
          <w:iCs/>
          <w:color w:val="000000" w:themeColor="text1"/>
        </w:rPr>
        <w:t>Leptospira</w:t>
      </w:r>
      <w:r w:rsidRPr="00DF2A48">
        <w:rPr>
          <w:color w:val="000000" w:themeColor="text1"/>
        </w:rPr>
        <w:t xml:space="preserve"> grown at 28°C in both EMJH (in house) and EMJH (Difco) media shows evidence of</w:t>
      </w:r>
      <w:r w:rsidRPr="007E2377">
        <w:rPr>
          <w:color w:val="000000" w:themeColor="text1"/>
        </w:rPr>
        <w:t xml:space="preserve"> </w:t>
      </w:r>
      <w:r w:rsidRPr="00DF2A48">
        <w:rPr>
          <w:color w:val="000000" w:themeColor="text1"/>
        </w:rPr>
        <w:t xml:space="preserve">upregulation of phosphoryl ethanolamine suggest that it is integral for their structural maintenance. </w:t>
      </w:r>
    </w:p>
    <w:p w14:paraId="2207A60F" w14:textId="0D506C6E"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46E4DF9E" wp14:editId="556388D0">
            <wp:extent cx="5943600" cy="6079787"/>
            <wp:effectExtent l="0" t="0" r="0" b="3810"/>
            <wp:docPr id="633853530" name="Picture 21" descr="A screenshot of a data analys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53530" name="Picture 21" descr="A screenshot of a data analysis&#10;&#10;AI-generated content may be incorrect."/>
                    <pic:cNvPicPr/>
                  </pic:nvPicPr>
                  <pic:blipFill rotWithShape="1">
                    <a:blip r:embed="rId30">
                      <a:extLst>
                        <a:ext uri="{28A0092B-C50C-407E-A947-70E740481C1C}">
                          <a14:useLocalDpi xmlns:a14="http://schemas.microsoft.com/office/drawing/2010/main" val="0"/>
                        </a:ext>
                      </a:extLst>
                    </a:blip>
                    <a:srcRect b="14757"/>
                    <a:stretch>
                      <a:fillRect/>
                    </a:stretch>
                  </pic:blipFill>
                  <pic:spPr bwMode="auto">
                    <a:xfrm>
                      <a:off x="0" y="0"/>
                      <a:ext cx="5943600" cy="6079787"/>
                    </a:xfrm>
                    <a:prstGeom prst="rect">
                      <a:avLst/>
                    </a:prstGeom>
                    <a:ln>
                      <a:noFill/>
                    </a:ln>
                    <a:extLst>
                      <a:ext uri="{53640926-AAD7-44D8-BBD7-CCE9431645EC}">
                        <a14:shadowObscured xmlns:a14="http://schemas.microsoft.com/office/drawing/2010/main"/>
                      </a:ext>
                    </a:extLst>
                  </pic:spPr>
                </pic:pic>
              </a:graphicData>
            </a:graphic>
          </wp:inline>
        </w:drawing>
      </w:r>
    </w:p>
    <w:p w14:paraId="1A7A499F" w14:textId="77777777" w:rsidR="00DF2A48" w:rsidRPr="00DF2A48" w:rsidRDefault="00DF2A48" w:rsidP="00C8715B">
      <w:pPr>
        <w:rPr>
          <w:color w:val="000000" w:themeColor="text1"/>
        </w:rPr>
      </w:pPr>
      <w:r w:rsidRPr="00DF2A48">
        <w:rPr>
          <w:b/>
          <w:bCs/>
          <w:color w:val="000000" w:themeColor="text1"/>
        </w:rPr>
        <w:t>Figure 21:</w:t>
      </w:r>
      <w:r w:rsidRPr="00DF2A48">
        <w:rPr>
          <w:color w:val="000000" w:themeColor="text1"/>
        </w:rPr>
        <w:t xml:space="preserve"> Visualization of metabolites abundance across the pellets grown in EMJH (in house) media and its supernatant 37°C. The media EMJH (in house) is represented as “A”. Data underwent log2 transformation and pareto scaling.</w:t>
      </w:r>
    </w:p>
    <w:p w14:paraId="606706C4" w14:textId="77777777" w:rsidR="00DF2A48" w:rsidRPr="00DF2A48" w:rsidRDefault="00DF2A48" w:rsidP="00C8715B">
      <w:pPr>
        <w:rPr>
          <w:color w:val="000000" w:themeColor="text1"/>
        </w:rPr>
      </w:pPr>
      <w:r w:rsidRPr="00DF2A48">
        <w:rPr>
          <w:color w:val="000000" w:themeColor="text1"/>
        </w:rPr>
        <w:br w:type="page"/>
      </w:r>
    </w:p>
    <w:p w14:paraId="6B7B7B45" w14:textId="77777777" w:rsidR="00DF2A48" w:rsidRPr="00DF2A48" w:rsidRDefault="00DF2A48" w:rsidP="00DF2A48">
      <w:pPr>
        <w:rPr>
          <w:color w:val="000000" w:themeColor="text1"/>
        </w:rPr>
      </w:pPr>
      <w:r w:rsidRPr="00DF2A48">
        <w:rPr>
          <w:noProof/>
          <w:color w:val="000000" w:themeColor="text1"/>
        </w:rPr>
        <w:lastRenderedPageBreak/>
        <w:drawing>
          <wp:inline distT="0" distB="0" distL="0" distR="0" wp14:anchorId="66847A4A" wp14:editId="035443DA">
            <wp:extent cx="5943600" cy="5283200"/>
            <wp:effectExtent l="0" t="0" r="0" b="0"/>
            <wp:docPr id="1140016730" name="Picture 23" descr="A graph with red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62942" name="Picture 23" descr="A graph with red and green dots&#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7B34FFBF" w14:textId="77777777" w:rsidR="00DF2A48" w:rsidRPr="00DF2A48" w:rsidRDefault="00DF2A48" w:rsidP="00C8715B">
      <w:pPr>
        <w:rPr>
          <w:color w:val="000000" w:themeColor="text1"/>
        </w:rPr>
      </w:pPr>
      <w:r w:rsidRPr="00DF2A48">
        <w:rPr>
          <w:b/>
          <w:bCs/>
          <w:color w:val="000000" w:themeColor="text1"/>
        </w:rPr>
        <w:t>Figure 22:</w:t>
      </w:r>
      <w:r w:rsidRPr="00DF2A48">
        <w:rPr>
          <w:color w:val="000000" w:themeColor="text1"/>
        </w:rPr>
        <w:t xml:space="preserve"> Partial Least Squares Discriminant Analysis PLS-DA plot shows 2 distinct groups between pellets from cell culture in EMJH (in house) media, and its supernatant. The multivariate analysis shows distinctive individual metabolic profile between the supernatant and media grown in the EMJH (in house) media at 37°C</w:t>
      </w:r>
    </w:p>
    <w:p w14:paraId="3B4441FD" w14:textId="77777777" w:rsidR="00DF2A48" w:rsidRPr="00DF2A48" w:rsidRDefault="00DF2A48" w:rsidP="00C8715B">
      <w:pPr>
        <w:rPr>
          <w:color w:val="000000" w:themeColor="text1"/>
        </w:rPr>
      </w:pPr>
      <w:r w:rsidRPr="00DF2A48">
        <w:rPr>
          <w:color w:val="000000" w:themeColor="text1"/>
        </w:rPr>
        <w:br w:type="page"/>
      </w:r>
    </w:p>
    <w:p w14:paraId="44A46DA3" w14:textId="77777777" w:rsidR="00DF2A48" w:rsidRPr="00DF2A48" w:rsidRDefault="00DF2A48" w:rsidP="00DF2A48">
      <w:pPr>
        <w:rPr>
          <w:color w:val="000000" w:themeColor="text1"/>
        </w:rPr>
      </w:pPr>
      <w:r w:rsidRPr="00DF2A48">
        <w:rPr>
          <w:noProof/>
          <w:color w:val="000000" w:themeColor="text1"/>
        </w:rPr>
        <w:lastRenderedPageBreak/>
        <w:drawing>
          <wp:inline distT="0" distB="0" distL="0" distR="0" wp14:anchorId="52BBA2F0" wp14:editId="0366B97E">
            <wp:extent cx="5943600" cy="5242560"/>
            <wp:effectExtent l="0" t="0" r="0" b="2540"/>
            <wp:docPr id="134481882" name="Picture 22" descr="A graph with red and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1882" name="Picture 22" descr="A graph with red and blue squares&#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5242560"/>
                    </a:xfrm>
                    <a:prstGeom prst="rect">
                      <a:avLst/>
                    </a:prstGeom>
                  </pic:spPr>
                </pic:pic>
              </a:graphicData>
            </a:graphic>
          </wp:inline>
        </w:drawing>
      </w:r>
    </w:p>
    <w:p w14:paraId="730EE12D" w14:textId="77777777" w:rsidR="00DF2A48" w:rsidRPr="00DF2A48" w:rsidRDefault="00DF2A48" w:rsidP="00C8715B">
      <w:pPr>
        <w:rPr>
          <w:color w:val="000000" w:themeColor="text1"/>
        </w:rPr>
      </w:pPr>
      <w:r w:rsidRPr="00DF2A48">
        <w:rPr>
          <w:b/>
          <w:bCs/>
          <w:color w:val="000000" w:themeColor="text1"/>
        </w:rPr>
        <w:t>Figure 23:</w:t>
      </w:r>
      <w:r w:rsidRPr="00DF2A48">
        <w:rPr>
          <w:color w:val="000000" w:themeColor="text1"/>
        </w:rPr>
        <w:t xml:space="preserve"> Variable importance in projection (VIP) score plot demonstrating the metabolites of significance in the PLS-DA model between two groups –cells pellets grown in EMJH (in-house) media and the supernatant at 37°C.</w:t>
      </w:r>
    </w:p>
    <w:p w14:paraId="1CE168D2" w14:textId="77777777" w:rsidR="00DF2A48" w:rsidRPr="00DF2A48" w:rsidRDefault="00DF2A48" w:rsidP="00C8715B">
      <w:pPr>
        <w:rPr>
          <w:color w:val="000000" w:themeColor="text1"/>
        </w:rPr>
      </w:pPr>
      <w:r w:rsidRPr="00DF2A48">
        <w:rPr>
          <w:color w:val="000000" w:themeColor="text1"/>
        </w:rPr>
        <w:br w:type="page"/>
      </w:r>
    </w:p>
    <w:p w14:paraId="0E7F024E" w14:textId="77777777" w:rsidR="00DF2A48" w:rsidRPr="00DF2A48" w:rsidRDefault="00DF2A48" w:rsidP="00DF2A48">
      <w:pPr>
        <w:rPr>
          <w:color w:val="000000" w:themeColor="text1"/>
        </w:rPr>
      </w:pPr>
      <w:r w:rsidRPr="00DF2A48">
        <w:rPr>
          <w:noProof/>
          <w:color w:val="000000" w:themeColor="text1"/>
        </w:rPr>
        <w:lastRenderedPageBreak/>
        <w:drawing>
          <wp:inline distT="0" distB="0" distL="0" distR="0" wp14:anchorId="16E6DB43" wp14:editId="31764D91">
            <wp:extent cx="5943600" cy="3566160"/>
            <wp:effectExtent l="0" t="0" r="0" b="2540"/>
            <wp:docPr id="693869771" name="Picture 24" descr="A graph with many dot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69771" name="Picture 24" descr="A graph with many dots and words&#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39881EC9" w14:textId="77777777" w:rsidR="00DF2A48" w:rsidRPr="00DF2A48" w:rsidRDefault="00DF2A48" w:rsidP="00C8715B">
      <w:pPr>
        <w:pStyle w:val="NormalWeb"/>
        <w:rPr>
          <w:color w:val="000000" w:themeColor="text1"/>
        </w:rPr>
      </w:pPr>
      <w:r w:rsidRPr="00DF2A48">
        <w:rPr>
          <w:b/>
          <w:bCs/>
          <w:color w:val="000000" w:themeColor="text1"/>
        </w:rPr>
        <w:t>Figure 24:</w:t>
      </w:r>
      <w:r w:rsidRPr="00DF2A48">
        <w:rPr>
          <w:color w:val="000000" w:themeColor="text1"/>
        </w:rPr>
        <w:t xml:space="preserve"> Volcano plot representing upregulation and downregulation of metabolites while comparing </w:t>
      </w:r>
      <w:proofErr w:type="spellStart"/>
      <w:r w:rsidRPr="00DF2A48">
        <w:rPr>
          <w:i/>
          <w:iCs/>
          <w:color w:val="000000" w:themeColor="text1"/>
        </w:rPr>
        <w:t>leptospira</w:t>
      </w:r>
      <w:proofErr w:type="spellEnd"/>
      <w:r w:rsidRPr="00DF2A48">
        <w:rPr>
          <w:color w:val="000000" w:themeColor="text1"/>
        </w:rPr>
        <w:t xml:space="preserve"> pellets in EMJH (in-house) 37°C.  and its supernatant after the inoculated cells are separated. On x-axis, the log2 fold change for the ratio of pellets to supernatants is displayed.</w:t>
      </w:r>
    </w:p>
    <w:p w14:paraId="6779E5C3" w14:textId="42D499DE"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228A7E4E" wp14:editId="361C4CE1">
            <wp:extent cx="5943600" cy="6040876"/>
            <wp:effectExtent l="0" t="0" r="0" b="4445"/>
            <wp:docPr id="1089325657" name="Picture 25" descr="A screenshot of a data analys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25657" name="Picture 25" descr="A screenshot of a data analysis&#10;&#10;AI-generated content may be incorrect."/>
                    <pic:cNvPicPr/>
                  </pic:nvPicPr>
                  <pic:blipFill rotWithShape="1">
                    <a:blip r:embed="rId34">
                      <a:extLst>
                        <a:ext uri="{28A0092B-C50C-407E-A947-70E740481C1C}">
                          <a14:useLocalDpi xmlns:a14="http://schemas.microsoft.com/office/drawing/2010/main" val="0"/>
                        </a:ext>
                      </a:extLst>
                    </a:blip>
                    <a:srcRect b="15303"/>
                    <a:stretch>
                      <a:fillRect/>
                    </a:stretch>
                  </pic:blipFill>
                  <pic:spPr bwMode="auto">
                    <a:xfrm>
                      <a:off x="0" y="0"/>
                      <a:ext cx="5943600" cy="6040876"/>
                    </a:xfrm>
                    <a:prstGeom prst="rect">
                      <a:avLst/>
                    </a:prstGeom>
                    <a:ln>
                      <a:noFill/>
                    </a:ln>
                    <a:extLst>
                      <a:ext uri="{53640926-AAD7-44D8-BBD7-CCE9431645EC}">
                        <a14:shadowObscured xmlns:a14="http://schemas.microsoft.com/office/drawing/2010/main"/>
                      </a:ext>
                    </a:extLst>
                  </pic:spPr>
                </pic:pic>
              </a:graphicData>
            </a:graphic>
          </wp:inline>
        </w:drawing>
      </w:r>
    </w:p>
    <w:p w14:paraId="4A70634C" w14:textId="77777777" w:rsidR="00DF2A48" w:rsidRPr="00DF2A48" w:rsidRDefault="00DF2A48" w:rsidP="00C8715B">
      <w:pPr>
        <w:rPr>
          <w:color w:val="000000" w:themeColor="text1"/>
        </w:rPr>
      </w:pPr>
      <w:r w:rsidRPr="00DF2A48">
        <w:rPr>
          <w:b/>
          <w:bCs/>
          <w:color w:val="000000" w:themeColor="text1"/>
        </w:rPr>
        <w:t>Figure 25:</w:t>
      </w:r>
      <w:r w:rsidRPr="00DF2A48">
        <w:rPr>
          <w:color w:val="000000" w:themeColor="text1"/>
        </w:rPr>
        <w:t xml:space="preserve"> Visualization of metabolites abundance across the pellets grown in EMJH (Difco) media and the media at 28°C. The media EMJH (Difco) is represented as “B”. Data underwent log2 transformation and pareto scaling.</w:t>
      </w:r>
    </w:p>
    <w:p w14:paraId="549E454E" w14:textId="77777777" w:rsidR="00DF2A48" w:rsidRPr="00DF2A48" w:rsidRDefault="00DF2A48" w:rsidP="00C8715B">
      <w:pPr>
        <w:rPr>
          <w:color w:val="000000" w:themeColor="text1"/>
        </w:rPr>
      </w:pPr>
      <w:r w:rsidRPr="00DF2A48">
        <w:rPr>
          <w:noProof/>
          <w:color w:val="000000" w:themeColor="text1"/>
        </w:rPr>
        <w:lastRenderedPageBreak/>
        <w:drawing>
          <wp:inline distT="0" distB="0" distL="0" distR="0" wp14:anchorId="76BE25B5" wp14:editId="77B98603">
            <wp:extent cx="5943600" cy="5283200"/>
            <wp:effectExtent l="0" t="0" r="0" b="0"/>
            <wp:docPr id="1161316861" name="Picture 27" descr="A graph with red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47451" name="Picture 27" descr="A graph with red and green dots&#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r w:rsidRPr="00DF2A48">
        <w:rPr>
          <w:b/>
          <w:bCs/>
          <w:color w:val="000000" w:themeColor="text1"/>
        </w:rPr>
        <w:t>Figure 26:</w:t>
      </w:r>
      <w:r w:rsidRPr="00DF2A48">
        <w:rPr>
          <w:color w:val="000000" w:themeColor="text1"/>
        </w:rPr>
        <w:t xml:space="preserve"> Partial Least Squares Discriminant Analysis PLS-DA plot shows 2 distinct groups between pellets from cell culture in EMJH (Difco) media, and the media control. The multivariate analysis shows distinctive individual metabolic profile between the supernatant and media grown in the EMJH (in house) media at 28°C.</w:t>
      </w:r>
      <w:r w:rsidRPr="00DF2A48">
        <w:rPr>
          <w:color w:val="000000" w:themeColor="text1"/>
        </w:rPr>
        <w:br w:type="page"/>
      </w:r>
    </w:p>
    <w:p w14:paraId="56D5B45A" w14:textId="77777777" w:rsidR="00DF2A48" w:rsidRPr="00DF2A48" w:rsidRDefault="00DF2A48" w:rsidP="00DF2A48">
      <w:pPr>
        <w:rPr>
          <w:color w:val="000000" w:themeColor="text1"/>
        </w:rPr>
      </w:pPr>
    </w:p>
    <w:p w14:paraId="5F74B390" w14:textId="77777777" w:rsidR="00DF2A48" w:rsidRPr="00DF2A48" w:rsidRDefault="00DF2A48" w:rsidP="00DF2A48">
      <w:pPr>
        <w:jc w:val="both"/>
        <w:rPr>
          <w:color w:val="000000" w:themeColor="text1"/>
        </w:rPr>
      </w:pPr>
      <w:r w:rsidRPr="00DF2A48">
        <w:rPr>
          <w:noProof/>
          <w:color w:val="000000" w:themeColor="text1"/>
        </w:rPr>
        <w:drawing>
          <wp:inline distT="0" distB="0" distL="0" distR="0" wp14:anchorId="23572BA2" wp14:editId="6231BA25">
            <wp:extent cx="5943600" cy="5242560"/>
            <wp:effectExtent l="0" t="0" r="0" b="2540"/>
            <wp:docPr id="1693492071" name="Picture 26"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92071" name="Picture 26" descr="A graph with different colored squares&#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5242560"/>
                    </a:xfrm>
                    <a:prstGeom prst="rect">
                      <a:avLst/>
                    </a:prstGeom>
                  </pic:spPr>
                </pic:pic>
              </a:graphicData>
            </a:graphic>
          </wp:inline>
        </w:drawing>
      </w:r>
      <w:r w:rsidRPr="00DF2A48">
        <w:rPr>
          <w:b/>
          <w:bCs/>
          <w:color w:val="000000" w:themeColor="text1"/>
        </w:rPr>
        <w:t>Figure 27:</w:t>
      </w:r>
      <w:r w:rsidRPr="00DF2A48">
        <w:rPr>
          <w:color w:val="000000" w:themeColor="text1"/>
        </w:rPr>
        <w:t xml:space="preserve"> Variable importance in projection (VIP) score plot demonstrating the metabolites of significance in the PLS-DA model between two groups – pellets from cells grown in EMJH (Difco) media and the media control at 28°C.</w:t>
      </w:r>
    </w:p>
    <w:p w14:paraId="1B199779" w14:textId="77777777" w:rsidR="00DF2A48" w:rsidRPr="00DF2A48" w:rsidRDefault="00DF2A48" w:rsidP="00DF2A48">
      <w:pPr>
        <w:spacing w:line="360" w:lineRule="auto"/>
        <w:rPr>
          <w:color w:val="000000" w:themeColor="text1"/>
        </w:rPr>
      </w:pPr>
    </w:p>
    <w:p w14:paraId="3FD4AF9C" w14:textId="77777777" w:rsidR="00DF2A48" w:rsidRPr="00DF2A48" w:rsidRDefault="00DF2A48" w:rsidP="00DF2A48">
      <w:pPr>
        <w:rPr>
          <w:color w:val="000000" w:themeColor="text1"/>
        </w:rPr>
      </w:pPr>
      <w:r w:rsidRPr="00DF2A48">
        <w:rPr>
          <w:color w:val="000000" w:themeColor="text1"/>
        </w:rPr>
        <w:br w:type="page"/>
      </w:r>
    </w:p>
    <w:p w14:paraId="5D61C56B"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28BF048B" wp14:editId="431E1FF0">
            <wp:extent cx="5943600" cy="3566160"/>
            <wp:effectExtent l="0" t="0" r="0" b="2540"/>
            <wp:docPr id="174023849" name="Picture 28" descr="A graph of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3849" name="Picture 28" descr="A graph of different colored dots&#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0ADF7A3C" w14:textId="77777777" w:rsidR="00DF2A48" w:rsidRPr="00DF2A48" w:rsidRDefault="00DF2A48" w:rsidP="00C8715B">
      <w:pPr>
        <w:pStyle w:val="NormalWeb"/>
        <w:rPr>
          <w:color w:val="000000" w:themeColor="text1"/>
        </w:rPr>
      </w:pPr>
      <w:r w:rsidRPr="00DF2A48">
        <w:rPr>
          <w:b/>
          <w:bCs/>
          <w:color w:val="000000" w:themeColor="text1"/>
        </w:rPr>
        <w:t>Figure 28:</w:t>
      </w:r>
      <w:r w:rsidRPr="00DF2A48">
        <w:rPr>
          <w:color w:val="000000" w:themeColor="text1"/>
        </w:rPr>
        <w:t xml:space="preserve"> Volcano plot representing upregulation and downregulation of metabolites while comparing </w:t>
      </w:r>
      <w:proofErr w:type="spellStart"/>
      <w:r w:rsidRPr="00DF2A48">
        <w:rPr>
          <w:i/>
          <w:iCs/>
          <w:color w:val="000000" w:themeColor="text1"/>
        </w:rPr>
        <w:t>leptospira</w:t>
      </w:r>
      <w:proofErr w:type="spellEnd"/>
      <w:r w:rsidRPr="00DF2A48">
        <w:rPr>
          <w:color w:val="000000" w:themeColor="text1"/>
        </w:rPr>
        <w:t xml:space="preserve"> cell pellets in EMJH (Difco) 28°C and the media respectively. On x-axis, the log2 fold change of the ratio of pellet to media control is displayed.</w:t>
      </w:r>
    </w:p>
    <w:p w14:paraId="231C7A57" w14:textId="21A8AA95" w:rsidR="00FD4BDB" w:rsidRDefault="00DF2A48" w:rsidP="00DF2A48">
      <w:pPr>
        <w:pStyle w:val="NormalWeb"/>
        <w:rPr>
          <w:color w:val="000000" w:themeColor="text1"/>
        </w:rPr>
      </w:pPr>
      <w:r w:rsidRPr="00DF2A48">
        <w:rPr>
          <w:b/>
          <w:bCs/>
          <w:color w:val="000000" w:themeColor="text1"/>
        </w:rPr>
        <w:t>Comparison between Pellet and Supernatant in EMJH (Difco) at 28°C</w:t>
      </w:r>
      <w:r w:rsidRPr="00DF2A48">
        <w:rPr>
          <w:color w:val="000000" w:themeColor="text1"/>
        </w:rPr>
        <w:t xml:space="preserve"> </w:t>
      </w:r>
    </w:p>
    <w:p w14:paraId="1C4CCD60" w14:textId="73AA75D7" w:rsidR="00FD4BDB" w:rsidRDefault="00FD4BDB" w:rsidP="00CA1108">
      <w:pPr>
        <w:spacing w:line="360" w:lineRule="auto"/>
        <w:ind w:firstLine="720"/>
        <w:rPr>
          <w:color w:val="000000" w:themeColor="text1"/>
        </w:rPr>
      </w:pPr>
      <w:r>
        <w:rPr>
          <w:color w:val="000000" w:themeColor="text1"/>
        </w:rPr>
        <w:t xml:space="preserve">Comparison between the contents of pellet and the supernatant collected from the inoculation of </w:t>
      </w:r>
      <w:proofErr w:type="spellStart"/>
      <w:r>
        <w:rPr>
          <w:i/>
          <w:iCs/>
          <w:color w:val="000000" w:themeColor="text1"/>
        </w:rPr>
        <w:t>leptospira</w:t>
      </w:r>
      <w:proofErr w:type="spellEnd"/>
      <w:r>
        <w:rPr>
          <w:color w:val="000000" w:themeColor="text1"/>
        </w:rPr>
        <w:t xml:space="preserve"> in EMJH (</w:t>
      </w:r>
      <w:proofErr w:type="spellStart"/>
      <w:r>
        <w:rPr>
          <w:color w:val="000000" w:themeColor="text1"/>
        </w:rPr>
        <w:t>Difco</w:t>
      </w:r>
      <w:proofErr w:type="spellEnd"/>
      <w:r>
        <w:rPr>
          <w:color w:val="000000" w:themeColor="text1"/>
        </w:rPr>
        <w:t xml:space="preserve">) media at </w:t>
      </w:r>
      <w:r w:rsidRPr="00FD4BDB">
        <w:rPr>
          <w:color w:val="000000" w:themeColor="text1"/>
        </w:rPr>
        <w:t>28°C</w:t>
      </w:r>
      <w:r>
        <w:rPr>
          <w:color w:val="000000" w:themeColor="text1"/>
        </w:rPr>
        <w:t xml:space="preserve"> illustrates the intracellular and extracellular metabolic alterations. The visualization of this comparison</w:t>
      </w:r>
      <w:r>
        <w:rPr>
          <w:b/>
          <w:bCs/>
          <w:color w:val="000000" w:themeColor="text1"/>
        </w:rPr>
        <w:t xml:space="preserve"> </w:t>
      </w:r>
      <w:r>
        <w:rPr>
          <w:color w:val="000000" w:themeColor="text1"/>
        </w:rPr>
        <w:t xml:space="preserve">is displayed via the heatmap, PLS-DA, VIP score plot, and volcano plot in </w:t>
      </w:r>
      <w:r w:rsidRPr="00430C22">
        <w:rPr>
          <w:b/>
          <w:bCs/>
          <w:color w:val="000000" w:themeColor="text1"/>
        </w:rPr>
        <w:t xml:space="preserve">Figure </w:t>
      </w:r>
      <w:r>
        <w:rPr>
          <w:b/>
          <w:bCs/>
          <w:color w:val="000000" w:themeColor="text1"/>
        </w:rPr>
        <w:t>29-32.</w:t>
      </w:r>
      <w:r>
        <w:rPr>
          <w:color w:val="000000" w:themeColor="text1"/>
        </w:rPr>
        <w:t xml:space="preserve"> The volcano plot </w:t>
      </w:r>
      <w:r w:rsidRPr="00FD4BDB">
        <w:rPr>
          <w:b/>
          <w:bCs/>
          <w:color w:val="000000" w:themeColor="text1"/>
        </w:rPr>
        <w:t>(Figure 32)</w:t>
      </w:r>
      <w:r>
        <w:rPr>
          <w:color w:val="000000" w:themeColor="text1"/>
        </w:rPr>
        <w:t xml:space="preserve"> shows the upregulation of glutathione</w:t>
      </w:r>
      <w:r w:rsidRPr="00DF2A48">
        <w:rPr>
          <w:color w:val="000000" w:themeColor="text1"/>
        </w:rPr>
        <w:t xml:space="preserve"> disulfide</w:t>
      </w:r>
      <w:r>
        <w:rPr>
          <w:color w:val="000000" w:themeColor="text1"/>
        </w:rPr>
        <w:t xml:space="preserve"> and FMN in the pellets. </w:t>
      </w:r>
      <w:r w:rsidRPr="00DF2A48">
        <w:rPr>
          <w:color w:val="000000" w:themeColor="text1"/>
        </w:rPr>
        <w:t>Glutathione disulfide plays a key role in regulating cellular redox balance under oxidative stress.</w:t>
      </w:r>
      <w:r w:rsidRPr="00DF2A48">
        <w:rPr>
          <w:color w:val="000000" w:themeColor="text1"/>
        </w:rPr>
        <w:fldChar w:fldCharType="begin" w:fldLock="1"/>
      </w:r>
      <w:r>
        <w:rPr>
          <w:color w:val="000000" w:themeColor="text1"/>
        </w:rPr>
        <w:instrText>ADDIN CSL_CITATION {"citationItems":[{"id":"ITEM-1","itemData":{"DOI":"10.15386/MPR-2821","ISSN":"26680572","PMID":"39949919","abstract":"Background and aims. This study evaluates the potential of oxidative stress biomarkers, specifically glutathione disulfide (GSSG) and reduced glutathione (GSH), for differentiating bacterial and viral infections. Oxidative stress plays a crucial role in the immune response, and glutathione is a key regulator of cellular redox balance. The aim was to assess whether differences in GSH and GSSG levels could be used as diagnostic markers for infection type. Methods. A chemiluminescence-based method evaluated GSH and GSSG as potential biomarkers for distinguishing between bacterial and viral infections. The GSH and GSSG concentrations were analyzed across bacterial, viral, and control groups. Results. Our data revealed significant differences in the GSH/GSSG ratio between the analyzed groups, with bacterial infections showing higher oxidative stress markers compared to viral infections. A combined analysis of GSH and GSSG concentrations, visualized through heatmaps and ROC curves, improved diagnostic accuracy, with clustering patterns distinguishing infection types. Conclusions. These findings suggest that the GSH/GSSG ratio could be used as a biomarker in distinguishing between bacterial and viral infections, offering potential clinical applications for more accurate diagnosis. Further research is required to validate these results in larger cohorts and to explore the underlying mechanisms of oxidative stress in pathogen-specific immune responses.","author":[{"dropping-particle":"","family":"Milhelm","given":"Zaki","non-dropping-particle":"","parse-names":false,"suffix":""},{"dropping-particle":"","family":"Zanoaga","given":"Oana","non-dropping-particle":"","parse-names":false,"suffix":""},{"dropping-particle":"","family":"Pop","given":"Laura","non-dropping-particle":"","parse-names":false,"suffix":""},{"dropping-particle":"","family":"Iovita","given":"Andrada","non-dropping-particle":"","parse-names":false,"suffix":""},{"dropping-particle":"","family":"Chiroi","given":"Paul","non-dropping-particle":"","parse-names":false,"suffix":""},{"dropping-particle":"","family":"Harangus","given":"Antonia","non-dropping-particle":"","parse-names":false,"suffix":""},{"dropping-particle":"","family":"Cismaru","given":"Cristina","non-dropping-particle":"","parse-names":false,"suffix":""},{"dropping-particle":"","family":"Braicu","given":"Cornelia","non-dropping-particle":"","parse-names":false,"suffix":""},{"dropping-particle":"","family":"Berindan-Neagoe","given":"Ioana","non-dropping-particle":"","parse-names":false,"suffix":""}],"container-title":"Medicine and Pharmacy Reports","id":"ITEM-1","issue":"1","issued":{"date-parts":[["2025"]]},"page":"46","publisher":"Universitatea de Medicina si Farmacie Iuliu Hatieganu","title":"Evaluation of oxidative stress biomarkers for differentiating bacterial and viral infections: a comparative study of glutathione disulfide (GSSG) and reduced glutathione (GSH)","type":"article-journal","volume":"98"},"uris":["http://www.mendeley.com/documents/?uuid=ff2da006-f923-3b82-921e-27930e3a2842"]}],"mendeley":{"formattedCitation":"&lt;sup&gt;84&lt;/sup&gt;","plainTextFormattedCitation":"84","previouslyFormattedCitation":"&lt;sup&gt;83&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84</w:t>
      </w:r>
      <w:r w:rsidRPr="00DF2A48">
        <w:rPr>
          <w:color w:val="000000" w:themeColor="text1"/>
        </w:rPr>
        <w:fldChar w:fldCharType="end"/>
      </w:r>
      <w:r w:rsidRPr="00DF2A48">
        <w:rPr>
          <w:color w:val="000000" w:themeColor="text1"/>
        </w:rPr>
        <w:t xml:space="preserve"> Glutathione disulfide can potentially be a biomarker of oxidative stress in this case. Moreover, The other upregulated metabolite FMN (flavin mononucleotide) is an essential riboflavin derived cofactor that is involved in redox reaction when Vitamin B-12 is not readily available to the specimen.</w:t>
      </w:r>
      <w:r w:rsidRPr="00DF2A48">
        <w:rPr>
          <w:color w:val="000000" w:themeColor="text1"/>
        </w:rPr>
        <w:fldChar w:fldCharType="begin" w:fldLock="1"/>
      </w:r>
      <w:r>
        <w:rPr>
          <w:color w:val="000000" w:themeColor="text1"/>
        </w:rPr>
        <w:instrText>ADDIN CSL_CITATION {"citationItems":[{"id":"ITEM-1","itemData":{"DOI":"10.1073/pnas.2122173119","abstract":"Riboflavin (vitamin B2) is converted into flavin mononucleotide (FMN) and flavin adenine dinucleotide (FAD), which are essential cofactors for many redox reactions across all domains of life. Listeria monocytogenes is a facultative intracellular pathogen that cannot synthesize riboflavin and must therefore obtain flavins from the host. In this study, we show that a previously identified riboflavin transporter (RibU) is essential for virulence and intracellular growth, but rather than transporting riboflavin, RibU transports FMN and FAD directly from the host cell cytosol. Mutants unable to convert riboflavin to FMN and FAD retained their capacity to grow intracellularly and were virulent, but they were unable to grow extracellularly and were thus converted from facultative to obligate intracellular pathogens. Flavin mononucleotide (FMN) and flavin adenine dinucleotide (FAD) are essential riboflavin-derived cofactors involved in a myriad of redox reactions across all forms of life. Nevertheless, the basis of flavin acquisition strategies by riboflavin auxotrophic pathogens remains poorly defined. In this study, we examined how the facultative intracellular pathogen Listeria monocytogenes, a riboflavin auxotroph, acquires flavins during infection. A L. monocytogenes mutant lacking the putative riboflavin transporter (RibU) was completely avirulent in mice but had no detectable growth defect in nutrient-rich media. However, unlike wild type, the RibU mutant was unable to grow in defined media supplemented with FMN or FAD or to replicate in macrophages starved for riboflavin. Consistent with RibU functioning to scavenge FMN and FAD inside host cells, a mutant unable to convert riboflavin to FMN or FAD retained virulence and grew in cultured macrophages and in spleens and livers of infected mice. However, this FMN- and FAD-requiring strain was unable to grow in the gallbladder or intestines, where L. monocytogenes normally grows extracellularly, suggesting that these sites do not contain sufficient flavin cofactors to promote replication. Thus, by deleting genes required to synthesize FMN and FAD, we converted L. monocytogenes from a facultative to an obligate intracellular pathogen. Collectively, these data indicate that L. monocytogenes requires riboflavin to grow extracellularly in vivo but scavenges FMN and FAD to grow in host cells.","author":[{"dropping-particle":"","family":"Rivera-Lugo","given":"Rafael","non-dropping-particle":"","parse-names":false,"suffix":""},{"dropping-particle":"","family":"Light","given":"Samuel H","non-dropping-particle":"","parse-names":false,"suffix":""},{"dropping-particle":"","family":"Garelis","given":"Nicholas E","non-dropping-particle":"","parse-names":false,"suffix":""},{"dropping-particle":"","family":"Portnoy","given":"Daniel A","non-dropping-particle":"","parse-names":false,"suffix":""}],"container-title":"Proceedings of the National Academy of Sciences","id":"ITEM-1","issue":"13","issued":{"date-parts":[["2022","3","29"]]},"note":"doi: 10.1073/pnas.2122173119","page":"e2122173119","publisher":"Proceedings of the National Academy of Sciences","title":"RibU is an essential determinant of Listeria pathogenesis that mediates acquisition of FMN and FAD during intracellular growth","type":"article-journal","volume":"119"},"uris":["http://www.mendeley.com/documents/?uuid=6a341ea2-cfdf-480a-bee2-c5e976785f03"]}],"mendeley":{"formattedCitation":"&lt;sup&gt;85&lt;/sup&gt;","plainTextFormattedCitation":"85","previouslyFormattedCitation":"&lt;sup&gt;84&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85</w:t>
      </w:r>
      <w:r w:rsidRPr="00DF2A48">
        <w:rPr>
          <w:color w:val="000000" w:themeColor="text1"/>
        </w:rPr>
        <w:fldChar w:fldCharType="end"/>
      </w:r>
      <w:r w:rsidRPr="00DF2A48">
        <w:rPr>
          <w:color w:val="000000" w:themeColor="text1"/>
        </w:rPr>
        <w:t xml:space="preserve"> The long list of metabolites upregulated in the supernatant could suggest that the nutrients available to the strain were not utilized sufficiently for the growth hence under an unfavorable yet growth compatible environment, the pellets displayed a stress response.</w:t>
      </w:r>
    </w:p>
    <w:p w14:paraId="346BC143" w14:textId="657B02E3" w:rsidR="00DF2A48" w:rsidRPr="00DF2A48" w:rsidRDefault="00DF2A48" w:rsidP="00DF2A48">
      <w:pPr>
        <w:pStyle w:val="NormalWeb"/>
        <w:rPr>
          <w:color w:val="000000" w:themeColor="text1"/>
        </w:rPr>
      </w:pPr>
      <w:r w:rsidRPr="00DF2A48">
        <w:rPr>
          <w:noProof/>
          <w:color w:val="000000" w:themeColor="text1"/>
        </w:rPr>
        <w:lastRenderedPageBreak/>
        <w:drawing>
          <wp:inline distT="0" distB="0" distL="0" distR="0" wp14:anchorId="75BC130D" wp14:editId="4B33C3E5">
            <wp:extent cx="5486400" cy="5594153"/>
            <wp:effectExtent l="0" t="0" r="0" b="0"/>
            <wp:docPr id="451778168" name="Picture 29" descr="A screenshot of a data analys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78168" name="Picture 29" descr="A screenshot of a data analysis&#10;&#10;AI-generated content may be incorrect."/>
                    <pic:cNvPicPr/>
                  </pic:nvPicPr>
                  <pic:blipFill rotWithShape="1">
                    <a:blip r:embed="rId38">
                      <a:extLst>
                        <a:ext uri="{28A0092B-C50C-407E-A947-70E740481C1C}">
                          <a14:useLocalDpi xmlns:a14="http://schemas.microsoft.com/office/drawing/2010/main" val="0"/>
                        </a:ext>
                      </a:extLst>
                    </a:blip>
                    <a:srcRect b="15030"/>
                    <a:stretch>
                      <a:fillRect/>
                    </a:stretch>
                  </pic:blipFill>
                  <pic:spPr bwMode="auto">
                    <a:xfrm>
                      <a:off x="0" y="0"/>
                      <a:ext cx="5517503" cy="5625866"/>
                    </a:xfrm>
                    <a:prstGeom prst="rect">
                      <a:avLst/>
                    </a:prstGeom>
                    <a:ln>
                      <a:noFill/>
                    </a:ln>
                    <a:extLst>
                      <a:ext uri="{53640926-AAD7-44D8-BBD7-CCE9431645EC}">
                        <a14:shadowObscured xmlns:a14="http://schemas.microsoft.com/office/drawing/2010/main"/>
                      </a:ext>
                    </a:extLst>
                  </pic:spPr>
                </pic:pic>
              </a:graphicData>
            </a:graphic>
          </wp:inline>
        </w:drawing>
      </w:r>
      <w:r w:rsidRPr="00DF2A48">
        <w:rPr>
          <w:color w:val="000000" w:themeColor="text1"/>
        </w:rPr>
        <w:br/>
      </w:r>
      <w:r w:rsidRPr="00DF2A48">
        <w:rPr>
          <w:color w:val="000000" w:themeColor="text1"/>
        </w:rPr>
        <w:br/>
      </w:r>
      <w:r w:rsidRPr="00DF2A48">
        <w:rPr>
          <w:b/>
          <w:bCs/>
          <w:color w:val="000000" w:themeColor="text1"/>
        </w:rPr>
        <w:t>Figure 29:</w:t>
      </w:r>
      <w:r w:rsidRPr="00DF2A48">
        <w:rPr>
          <w:color w:val="000000" w:themeColor="text1"/>
        </w:rPr>
        <w:t xml:space="preserve"> Visualization of metabolites abundance across the pellets grown in EMJH (Difco) media and supernatants at 28°C. The media EMJH (Difco) is represented as “B”. Data underwent log2 transformation and pareto scaling.</w:t>
      </w:r>
    </w:p>
    <w:p w14:paraId="24E1EFCC" w14:textId="77777777" w:rsidR="00DF2A48" w:rsidRPr="00DF2A48" w:rsidRDefault="00DF2A48" w:rsidP="00DF2A48">
      <w:pPr>
        <w:pStyle w:val="NormalWeb"/>
        <w:spacing w:line="360" w:lineRule="auto"/>
        <w:rPr>
          <w:color w:val="000000" w:themeColor="text1"/>
        </w:rPr>
      </w:pPr>
      <w:r w:rsidRPr="00DF2A48">
        <w:rPr>
          <w:color w:val="000000" w:themeColor="text1"/>
        </w:rPr>
        <w:lastRenderedPageBreak/>
        <w:br/>
      </w:r>
      <w:r w:rsidRPr="00DF2A48">
        <w:rPr>
          <w:noProof/>
          <w:color w:val="000000" w:themeColor="text1"/>
        </w:rPr>
        <w:drawing>
          <wp:inline distT="0" distB="0" distL="0" distR="0" wp14:anchorId="1BEF10DE" wp14:editId="3D66E4F9">
            <wp:extent cx="5943600" cy="5283200"/>
            <wp:effectExtent l="0" t="0" r="0" b="0"/>
            <wp:docPr id="1566049415" name="Picture 31" descr="A graph with red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807218" name="Picture 31" descr="A graph with red and green dots&#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0AB93164" w14:textId="77777777" w:rsidR="00DF2A48" w:rsidRPr="00DF2A48" w:rsidRDefault="00DF2A48" w:rsidP="00CA1108">
      <w:pPr>
        <w:rPr>
          <w:color w:val="000000" w:themeColor="text1"/>
        </w:rPr>
      </w:pPr>
      <w:r w:rsidRPr="00DF2A48">
        <w:rPr>
          <w:b/>
          <w:bCs/>
          <w:color w:val="000000" w:themeColor="text1"/>
        </w:rPr>
        <w:t>Figure 30:</w:t>
      </w:r>
      <w:r w:rsidRPr="00DF2A48">
        <w:rPr>
          <w:color w:val="000000" w:themeColor="text1"/>
        </w:rPr>
        <w:t xml:space="preserve"> Partial Least Squares Discriminant Analysis PLS-DA plot shows 2 distinct groups between supernatant from cell culture in EMJH (Difco) media, and the cell pellets of inoculated </w:t>
      </w:r>
      <w:proofErr w:type="spellStart"/>
      <w:r w:rsidRPr="00DF2A48">
        <w:rPr>
          <w:i/>
          <w:iCs/>
          <w:color w:val="000000" w:themeColor="text1"/>
        </w:rPr>
        <w:t>leptospira</w:t>
      </w:r>
      <w:proofErr w:type="spellEnd"/>
      <w:r w:rsidRPr="00DF2A48">
        <w:rPr>
          <w:color w:val="000000" w:themeColor="text1"/>
        </w:rPr>
        <w:t>. The multivariate analysis shows distinctive individual metabolic profile between the supernatant and pellets grown in the EMJH (Difco) media at 28°C</w:t>
      </w:r>
      <w:r w:rsidRPr="00DF2A48">
        <w:rPr>
          <w:color w:val="000000" w:themeColor="text1"/>
        </w:rPr>
        <w:br w:type="page"/>
      </w:r>
    </w:p>
    <w:p w14:paraId="7DA8795B"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2F6AF382" wp14:editId="350C8DE8">
            <wp:extent cx="5943600" cy="5242560"/>
            <wp:effectExtent l="0" t="0" r="0" b="2540"/>
            <wp:docPr id="1160700849" name="Picture 30" descr="A graph with a number of sco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00849" name="Picture 30" descr="A graph with a number of scores&#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5242560"/>
                    </a:xfrm>
                    <a:prstGeom prst="rect">
                      <a:avLst/>
                    </a:prstGeom>
                  </pic:spPr>
                </pic:pic>
              </a:graphicData>
            </a:graphic>
          </wp:inline>
        </w:drawing>
      </w:r>
    </w:p>
    <w:p w14:paraId="43448275" w14:textId="77777777" w:rsidR="00DF2A48" w:rsidRPr="00DF2A48" w:rsidRDefault="00DF2A48" w:rsidP="00DF2A48">
      <w:pPr>
        <w:spacing w:line="360" w:lineRule="auto"/>
        <w:rPr>
          <w:color w:val="000000" w:themeColor="text1"/>
        </w:rPr>
      </w:pPr>
    </w:p>
    <w:p w14:paraId="5A0C324C" w14:textId="35EA4965" w:rsidR="00DF2A48" w:rsidRPr="00DF2A48" w:rsidRDefault="00DF2A48" w:rsidP="00CA1108">
      <w:pPr>
        <w:rPr>
          <w:color w:val="000000" w:themeColor="text1"/>
        </w:rPr>
      </w:pPr>
      <w:r w:rsidRPr="00DF2A48">
        <w:rPr>
          <w:b/>
          <w:bCs/>
          <w:color w:val="000000" w:themeColor="text1"/>
        </w:rPr>
        <w:t>Figure 31:</w:t>
      </w:r>
      <w:r w:rsidRPr="00DF2A48">
        <w:rPr>
          <w:color w:val="000000" w:themeColor="text1"/>
        </w:rPr>
        <w:t xml:space="preserve"> Variable importance in projection (VIP) score plot demonstrating the metabolites of significance in the PLS-DA model between two groups – pellets and supernatant from cells grown in EMJH (Difco) media at 28°C.</w:t>
      </w:r>
    </w:p>
    <w:p w14:paraId="20F261E8"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3DACC24A" wp14:editId="27A675E3">
            <wp:extent cx="5943600" cy="3566160"/>
            <wp:effectExtent l="0" t="0" r="0" b="2540"/>
            <wp:docPr id="1789180182" name="Picture 32" descr="A graph showing different types of substan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80182" name="Picture 32" descr="A graph showing different types of substances&#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133BC748" w14:textId="0521D865" w:rsidR="00DF2A48" w:rsidRPr="00DF2A48" w:rsidRDefault="00DF2A48" w:rsidP="00CA1108">
      <w:pPr>
        <w:pStyle w:val="NormalWeb"/>
        <w:rPr>
          <w:color w:val="000000" w:themeColor="text1"/>
        </w:rPr>
      </w:pPr>
      <w:r w:rsidRPr="00DF2A48">
        <w:rPr>
          <w:b/>
          <w:bCs/>
          <w:color w:val="000000" w:themeColor="text1"/>
        </w:rPr>
        <w:t>Figure 32:</w:t>
      </w:r>
      <w:r w:rsidRPr="00DF2A48">
        <w:rPr>
          <w:color w:val="000000" w:themeColor="text1"/>
        </w:rPr>
        <w:t xml:space="preserve"> Volcano plot representing upregulation and downregulation of metabolites while comparing </w:t>
      </w:r>
      <w:proofErr w:type="spellStart"/>
      <w:r w:rsidRPr="00DF2A48">
        <w:rPr>
          <w:i/>
          <w:iCs/>
          <w:color w:val="000000" w:themeColor="text1"/>
        </w:rPr>
        <w:t>leptospira</w:t>
      </w:r>
      <w:proofErr w:type="spellEnd"/>
      <w:r w:rsidRPr="00DF2A48">
        <w:rPr>
          <w:color w:val="000000" w:themeColor="text1"/>
        </w:rPr>
        <w:t xml:space="preserve"> pellets and supernatants in EMJH (Difco) 28°C On x-axis, the log2 fold of the ratio of pellet to supernatant is given.</w:t>
      </w:r>
    </w:p>
    <w:p w14:paraId="26041253" w14:textId="77777777" w:rsidR="00FD4BDB" w:rsidRDefault="00DF2A48" w:rsidP="00DF2A48">
      <w:pPr>
        <w:spacing w:line="360" w:lineRule="auto"/>
        <w:rPr>
          <w:color w:val="000000" w:themeColor="text1"/>
        </w:rPr>
      </w:pPr>
      <w:r w:rsidRPr="0029251E">
        <w:rPr>
          <w:b/>
          <w:bCs/>
          <w:color w:val="000000" w:themeColor="text1"/>
        </w:rPr>
        <w:t>Comparison between Supernatant and Media in EMJH (Difco) at 28°C</w:t>
      </w:r>
      <w:r w:rsidRPr="00DF2A48">
        <w:rPr>
          <w:color w:val="000000" w:themeColor="text1"/>
        </w:rPr>
        <w:t xml:space="preserve"> </w:t>
      </w:r>
    </w:p>
    <w:p w14:paraId="5C2820BE" w14:textId="432EFA9A" w:rsidR="0029251E" w:rsidRDefault="0029251E" w:rsidP="00CA1108">
      <w:pPr>
        <w:spacing w:line="360" w:lineRule="auto"/>
        <w:ind w:firstLine="720"/>
        <w:rPr>
          <w:b/>
          <w:bCs/>
          <w:color w:val="000000" w:themeColor="text1"/>
        </w:rPr>
      </w:pPr>
      <w:r>
        <w:rPr>
          <w:color w:val="000000" w:themeColor="text1"/>
        </w:rPr>
        <w:t>The visualization for the comparison</w:t>
      </w:r>
      <w:r>
        <w:rPr>
          <w:b/>
          <w:bCs/>
          <w:color w:val="000000" w:themeColor="text1"/>
        </w:rPr>
        <w:t xml:space="preserve"> </w:t>
      </w:r>
      <w:r>
        <w:rPr>
          <w:color w:val="000000" w:themeColor="text1"/>
        </w:rPr>
        <w:t xml:space="preserve">between supernatant from </w:t>
      </w:r>
      <w:r w:rsidRPr="00F65B41">
        <w:rPr>
          <w:i/>
          <w:iCs/>
          <w:color w:val="000000" w:themeColor="text1"/>
        </w:rPr>
        <w:t>Leptospira</w:t>
      </w:r>
      <w:r>
        <w:rPr>
          <w:color w:val="000000" w:themeColor="text1"/>
        </w:rPr>
        <w:t xml:space="preserve"> inoculation in EMJH (Difco) </w:t>
      </w:r>
      <w:r w:rsidRPr="00F65B41">
        <w:rPr>
          <w:color w:val="000000" w:themeColor="text1"/>
        </w:rPr>
        <w:t>at 28°C</w:t>
      </w:r>
      <w:r w:rsidRPr="00DF2A48">
        <w:rPr>
          <w:noProof/>
          <w:color w:val="000000" w:themeColor="text1"/>
        </w:rPr>
        <w:t xml:space="preserve"> </w:t>
      </w:r>
      <w:r>
        <w:rPr>
          <w:color w:val="000000" w:themeColor="text1"/>
        </w:rPr>
        <w:t xml:space="preserve">is displayed via the heatmap, PLS-DA, VIP score plot, and volcano plot in </w:t>
      </w:r>
      <w:r w:rsidRPr="00430C22">
        <w:rPr>
          <w:b/>
          <w:bCs/>
          <w:color w:val="000000" w:themeColor="text1"/>
        </w:rPr>
        <w:t xml:space="preserve">Figure </w:t>
      </w:r>
      <w:r>
        <w:rPr>
          <w:b/>
          <w:bCs/>
          <w:color w:val="000000" w:themeColor="text1"/>
        </w:rPr>
        <w:t>33-36.</w:t>
      </w:r>
    </w:p>
    <w:p w14:paraId="463959BC" w14:textId="2804E023" w:rsidR="0029251E" w:rsidRPr="00DF2A48" w:rsidRDefault="0029251E" w:rsidP="00CA1108">
      <w:pPr>
        <w:spacing w:line="360" w:lineRule="auto"/>
        <w:ind w:firstLine="720"/>
        <w:rPr>
          <w:color w:val="000000" w:themeColor="text1"/>
        </w:rPr>
      </w:pPr>
      <w:r>
        <w:rPr>
          <w:color w:val="000000" w:themeColor="text1"/>
        </w:rPr>
        <w:t>The volcano plot (</w:t>
      </w:r>
      <w:r w:rsidRPr="0029251E">
        <w:rPr>
          <w:b/>
          <w:bCs/>
          <w:color w:val="000000" w:themeColor="text1"/>
        </w:rPr>
        <w:t>Figure 36</w:t>
      </w:r>
      <w:r>
        <w:rPr>
          <w:color w:val="000000" w:themeColor="text1"/>
        </w:rPr>
        <w:t xml:space="preserve">) shows several metabolites upregulated in the supernatant. </w:t>
      </w:r>
      <w:r w:rsidRPr="00DF2A48">
        <w:rPr>
          <w:color w:val="000000" w:themeColor="text1"/>
        </w:rPr>
        <w:t xml:space="preserve">Most of the metabolites upregulated in the supernatant can be attributed to the </w:t>
      </w:r>
      <w:r>
        <w:rPr>
          <w:color w:val="000000" w:themeColor="text1"/>
        </w:rPr>
        <w:t>a</w:t>
      </w:r>
      <w:r w:rsidRPr="00DF2A48">
        <w:rPr>
          <w:color w:val="000000" w:themeColor="text1"/>
        </w:rPr>
        <w:t xml:space="preserve">rginine and pyrimidine biosynthesis pathway. Chiefly citrulline, </w:t>
      </w:r>
      <w:r w:rsidRPr="00DF2A48">
        <w:rPr>
          <w:i/>
          <w:iCs/>
          <w:color w:val="000000" w:themeColor="text1"/>
        </w:rPr>
        <w:t>N</w:t>
      </w:r>
      <w:r w:rsidRPr="00DF2A48">
        <w:rPr>
          <w:color w:val="000000" w:themeColor="text1"/>
        </w:rPr>
        <w:t>-carbamoyl</w:t>
      </w:r>
      <w:r>
        <w:rPr>
          <w:color w:val="000000" w:themeColor="text1"/>
        </w:rPr>
        <w:t>-</w:t>
      </w:r>
      <w:r w:rsidRPr="00DE18F5">
        <w:rPr>
          <w:smallCaps/>
          <w:color w:val="000000" w:themeColor="text1"/>
        </w:rPr>
        <w:t>l</w:t>
      </w:r>
      <w:r w:rsidRPr="00DF2A48">
        <w:rPr>
          <w:color w:val="000000" w:themeColor="text1"/>
        </w:rPr>
        <w:t>-aspartate are essential to the arginine biosynthesis pathway. The catabolism of arginine pathway utilization is a major source of nitrogen for pathogen in order to obtain nitrogen containing compounds when there is a lower availability of glutamate and glutamine.</w:t>
      </w:r>
      <w:r w:rsidRPr="00DF2A48">
        <w:rPr>
          <w:color w:val="000000" w:themeColor="text1"/>
        </w:rPr>
        <w:fldChar w:fldCharType="begin" w:fldLock="1"/>
      </w:r>
      <w:r>
        <w:rPr>
          <w:color w:val="000000" w:themeColor="text1"/>
        </w:rPr>
        <w:instrText>ADDIN CSL_CITATION {"citationItems":[{"id":"ITEM-1","itemData":{"DOI":"10.1128/JB.180.16.4278-4286.1998","ISSN":"00219193","PMID":"9696779","abstract":"Arginine catabolism produces ammonia without transferring nitrogen to another compound, yet the only known pathway of arginine catabolism in Escherichia coli (through arginine decarboxylase) does not produce ammonia. Our aims were to find the ammonia-producing pathway of arginine catabolism in E. coli and to examine its function. We showed that the only previously described pathway of arginine catabolism, which does not produce ammonia, accounted for only 3% of the arginine consumed. A search for another arginine catabolic pathway led to discovery of the ammonia-producing arginine succinyltransferase (AST) pathway in E. coli. Nitrogen limitation induced this pathway in both E. coli and Klebsiella aerogenes, but the mechanisms of activation clearly differed in these two organisms. We identified the E. coli gene for succinylornithine aminotransferase, the third enzyme of the AST pathway, which appears to be the first of an astCADBE operon. Its disruption prevented arginine catabolism, impaired ornithine utilization, and affected the synthesis of all the enzymes of the AST pathway. Disruption of astB eliminated succinylarginine dihydrolase activity and prevented arginine utilization but did not impair ornithine catabolism. Overproduction of AST enzymes resulted in faster growth with arginine and aspartate. We conclude that the AST pathway is necessary for aerobic arginine catabolism in E. coli and that at least one enzyme of this pathway contributes to ornithine catabolism.","author":[{"dropping-particle":"","family":"Schneider","given":"Barbara L.","non-dropping-particle":"","parse-names":false,"suffix":""},{"dropping-particle":"","family":"Kiupakis","given":"Alexandros K.","non-dropping-particle":"","parse-names":false,"suffix":""},{"dropping-particle":"","family":"Reitzer","given":"Lawrence J.","non-dropping-particle":"","parse-names":false,"suffix":""}],"container-title":"Journal of Bacteriology","id":"ITEM-1","issue":"16","issued":{"date-parts":[["1998"]]},"page":"4278","publisher":"American Society for Microbiology","title":"Arginine Catabolism and the Arginine Succinyltransferase Pathway in Escherichia coli","type":"article-journal","volume":"180"},"uris":["http://www.mendeley.com/documents/?uuid=c11029b2-52f2-312a-933b-f7dae9a85e06"]}],"mendeley":{"formattedCitation":"&lt;sup&gt;86&lt;/sup&gt;","plainTextFormattedCitation":"86","previouslyFormattedCitation":"&lt;sup&gt;85&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86</w:t>
      </w:r>
      <w:r w:rsidRPr="00DF2A48">
        <w:rPr>
          <w:color w:val="000000" w:themeColor="text1"/>
        </w:rPr>
        <w:fldChar w:fldCharType="end"/>
      </w:r>
    </w:p>
    <w:p w14:paraId="305EF713" w14:textId="2134663A" w:rsidR="0029251E" w:rsidRPr="00F65B41" w:rsidRDefault="0029251E" w:rsidP="00CA1108">
      <w:pPr>
        <w:spacing w:line="360" w:lineRule="auto"/>
        <w:rPr>
          <w:b/>
          <w:bCs/>
          <w:color w:val="000000" w:themeColor="text1"/>
        </w:rPr>
      </w:pPr>
      <w:r w:rsidRPr="00DF2A48">
        <w:rPr>
          <w:color w:val="000000" w:themeColor="text1"/>
        </w:rPr>
        <w:tab/>
        <w:t>Downstream product of arginine catabolism could also lead to pyrimidine metabolism pathway. Pyrimidine pathway products and involved enzymes are a quintessential for cell activity in pathogen, majorly in cell division.</w:t>
      </w:r>
      <w:r w:rsidRPr="00DF2A48">
        <w:rPr>
          <w:color w:val="000000" w:themeColor="text1"/>
        </w:rPr>
        <w:fldChar w:fldCharType="begin" w:fldLock="1"/>
      </w:r>
      <w:r>
        <w:rPr>
          <w:color w:val="000000" w:themeColor="text1"/>
        </w:rPr>
        <w:instrText>ADDIN CSL_CITATION {"citationItems":[{"id":"ITEM-1","itemData":{"DOI":"10.1016/J.JGG.2015.04.004","ISSN":"1673-8527","PMID":"26059768","abstract":"The importance of pyrimidines lies in the fact that they are structural components of a broad spectrum of key molecules that participate in diverse cellular functions, such as synthesis of DNA, RNA, lipids, and carbohydrates. Pyrimidine metabolism encompasses all enzymes involved in the synthesis, degradation, salvage, interconversion and transport of these molecules. In this review, we summarize recent publications that document how pyrimidine metabolism changes under a variety of conditions, including, when possible, those studies based on techniques of genomics, transcriptomics, proteomics, and metabolomics. First, we briefly look at the dynamics of pyrimidine metabolism during nonpathogenic cellular events. We then focus on changes that pathogen infections cause in the pyrimidine metabolism of their host. Next, we discuss the effects of antimetabolites and inhibitors, and finally we consider the consequences of genetic manipulations, such as knock-downs, knock-outs, and knock-ins, of pyrimidine enzymes on pyrimidine metabolism in the cell.","author":[{"dropping-particle":"","family":"Garavito","given":"Manuel F.","non-dropping-particle":"","parse-names":false,"suffix":""},{"dropping-particle":"","family":"Narváez-Ortiz","given":"Heidy Y.","non-dropping-particle":"","parse-names":false,"suffix":""},{"dropping-particle":"","family":"Zimmermann","given":"Barbara H.","non-dropping-particle":"","parse-names":false,"suffix":""}],"container-title":"Journal of Genetics and Genomics","id":"ITEM-1","issue":"5","issued":{"date-parts":[["2015","5","20"]]},"page":"195-205","publisher":"Elsevier","title":"Pyrimidine Metabolism: Dynamic and Versatile Pathways in Pathogens and Cellular Development","type":"article-journal","volume":"42"},"uris":["http://www.mendeley.com/documents/?uuid=60ac3036-6963-353a-b36c-dac9338602c2"]}],"mendeley":{"formattedCitation":"&lt;sup&gt;79&lt;/sup&gt;","plainTextFormattedCitation":"79","previouslyFormattedCitation":"&lt;sup&gt;78&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79</w:t>
      </w:r>
      <w:r w:rsidRPr="00DF2A48">
        <w:rPr>
          <w:color w:val="000000" w:themeColor="text1"/>
        </w:rPr>
        <w:fldChar w:fldCharType="end"/>
      </w:r>
    </w:p>
    <w:p w14:paraId="0E5B35B5" w14:textId="77777777" w:rsidR="0029251E" w:rsidRDefault="0029251E" w:rsidP="00DF2A48">
      <w:pPr>
        <w:spacing w:line="360" w:lineRule="auto"/>
        <w:rPr>
          <w:color w:val="000000" w:themeColor="text1"/>
        </w:rPr>
      </w:pPr>
    </w:p>
    <w:p w14:paraId="7758D764" w14:textId="61E8918B"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3805599C" wp14:editId="404B8ED6">
            <wp:extent cx="5943600" cy="6040876"/>
            <wp:effectExtent l="0" t="0" r="0" b="4445"/>
            <wp:docPr id="1319872182" name="Picture 3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872182" name="Picture 33" descr="A screenshot of a computer screen&#10;&#10;AI-generated content may be incorrect."/>
                    <pic:cNvPicPr/>
                  </pic:nvPicPr>
                  <pic:blipFill rotWithShape="1">
                    <a:blip r:embed="rId42">
                      <a:extLst>
                        <a:ext uri="{28A0092B-C50C-407E-A947-70E740481C1C}">
                          <a14:useLocalDpi xmlns:a14="http://schemas.microsoft.com/office/drawing/2010/main" val="0"/>
                        </a:ext>
                      </a:extLst>
                    </a:blip>
                    <a:srcRect b="15303"/>
                    <a:stretch>
                      <a:fillRect/>
                    </a:stretch>
                  </pic:blipFill>
                  <pic:spPr bwMode="auto">
                    <a:xfrm>
                      <a:off x="0" y="0"/>
                      <a:ext cx="5943600" cy="6040876"/>
                    </a:xfrm>
                    <a:prstGeom prst="rect">
                      <a:avLst/>
                    </a:prstGeom>
                    <a:ln>
                      <a:noFill/>
                    </a:ln>
                    <a:extLst>
                      <a:ext uri="{53640926-AAD7-44D8-BBD7-CCE9431645EC}">
                        <a14:shadowObscured xmlns:a14="http://schemas.microsoft.com/office/drawing/2010/main"/>
                      </a:ext>
                    </a:extLst>
                  </pic:spPr>
                </pic:pic>
              </a:graphicData>
            </a:graphic>
          </wp:inline>
        </w:drawing>
      </w:r>
    </w:p>
    <w:p w14:paraId="264C070C" w14:textId="77777777" w:rsidR="00DF2A48" w:rsidRPr="00DF2A48" w:rsidRDefault="00DF2A48" w:rsidP="00DF2A48">
      <w:pPr>
        <w:spacing w:line="360" w:lineRule="auto"/>
        <w:rPr>
          <w:color w:val="000000" w:themeColor="text1"/>
        </w:rPr>
      </w:pPr>
    </w:p>
    <w:p w14:paraId="4DB72A9B" w14:textId="77777777" w:rsidR="00DF2A48" w:rsidRPr="00DF2A48" w:rsidRDefault="00DF2A48" w:rsidP="00CA1108">
      <w:pPr>
        <w:rPr>
          <w:color w:val="000000" w:themeColor="text1"/>
        </w:rPr>
      </w:pPr>
      <w:r w:rsidRPr="00DF2A48">
        <w:rPr>
          <w:b/>
          <w:bCs/>
          <w:color w:val="000000" w:themeColor="text1"/>
        </w:rPr>
        <w:t>Figure 33:</w:t>
      </w:r>
      <w:r w:rsidRPr="00DF2A48">
        <w:rPr>
          <w:color w:val="000000" w:themeColor="text1"/>
        </w:rPr>
        <w:t xml:space="preserve"> Visualization of metabolites abundance across the pellets grown in EMJH (Difco) media and media control at 28°C. The media EMJH (Difco) is represented as “B”. Data underwent log2 transformation and pareto scaling.</w:t>
      </w:r>
    </w:p>
    <w:p w14:paraId="06EA4E95"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2DB3876D" wp14:editId="5B5F38B6">
            <wp:extent cx="5943600" cy="5283200"/>
            <wp:effectExtent l="0" t="0" r="0" b="0"/>
            <wp:docPr id="22654725" name="Picture 35" descr="A graph with red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52664" name="Picture 35" descr="A graph with red and green dots&#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65D56E89" w14:textId="77777777" w:rsidR="00DF2A48" w:rsidRPr="00DF2A48" w:rsidRDefault="00DF2A48" w:rsidP="00CA1108">
      <w:pPr>
        <w:rPr>
          <w:color w:val="000000" w:themeColor="text1"/>
        </w:rPr>
      </w:pPr>
      <w:r w:rsidRPr="00DF2A48">
        <w:rPr>
          <w:b/>
          <w:bCs/>
          <w:color w:val="000000" w:themeColor="text1"/>
        </w:rPr>
        <w:t>Figure 34:</w:t>
      </w:r>
      <w:r w:rsidRPr="00DF2A48">
        <w:rPr>
          <w:color w:val="000000" w:themeColor="text1"/>
        </w:rPr>
        <w:t xml:space="preserve"> Partial Least Squares Discriminant Analysis PLS-DA plot shows 2 distinct groups between supernatant from cell culture in EMJH (in house) media, and the media control. The multivariate analysis shows distinctive individual metabolic profile between the supernatant and media grown in the EMJH (in house) media at 28°C.</w:t>
      </w:r>
      <w:r w:rsidRPr="00DF2A48">
        <w:rPr>
          <w:color w:val="000000" w:themeColor="text1"/>
        </w:rPr>
        <w:br w:type="page"/>
      </w:r>
    </w:p>
    <w:p w14:paraId="47FE77C1"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6F0F8F55" wp14:editId="42FA9B54">
            <wp:extent cx="5943600" cy="5242560"/>
            <wp:effectExtent l="0" t="0" r="0" b="2540"/>
            <wp:docPr id="1351141728" name="Picture 34" descr="A graph with a number of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41728" name="Picture 34" descr="A graph with a number of points&#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5242560"/>
                    </a:xfrm>
                    <a:prstGeom prst="rect">
                      <a:avLst/>
                    </a:prstGeom>
                  </pic:spPr>
                </pic:pic>
              </a:graphicData>
            </a:graphic>
          </wp:inline>
        </w:drawing>
      </w:r>
    </w:p>
    <w:p w14:paraId="0844F5DE" w14:textId="77777777" w:rsidR="00DF2A48" w:rsidRPr="00DF2A48" w:rsidRDefault="00DF2A48" w:rsidP="00CA1108">
      <w:pPr>
        <w:rPr>
          <w:color w:val="000000" w:themeColor="text1"/>
        </w:rPr>
      </w:pPr>
      <w:r w:rsidRPr="00DF2A48">
        <w:rPr>
          <w:b/>
          <w:bCs/>
          <w:color w:val="000000" w:themeColor="text1"/>
        </w:rPr>
        <w:t>Figure 35:</w:t>
      </w:r>
      <w:r w:rsidRPr="00DF2A48">
        <w:rPr>
          <w:color w:val="000000" w:themeColor="text1"/>
        </w:rPr>
        <w:t xml:space="preserve"> Variable importance in projection (VIP) score plot demonstrating the metabolites of significance in the PLS-DA model between two groups – media control and supernatant from cells grown in EMJH (Difco) media at 28°C.</w:t>
      </w:r>
    </w:p>
    <w:p w14:paraId="5898F574" w14:textId="77777777" w:rsidR="00DF2A48" w:rsidRPr="00DF2A48" w:rsidRDefault="00DF2A48" w:rsidP="00CA1108">
      <w:pPr>
        <w:rPr>
          <w:color w:val="000000" w:themeColor="text1"/>
        </w:rPr>
      </w:pPr>
      <w:r w:rsidRPr="00DF2A48">
        <w:rPr>
          <w:color w:val="000000" w:themeColor="text1"/>
        </w:rPr>
        <w:br w:type="page"/>
      </w:r>
    </w:p>
    <w:p w14:paraId="7F0D38A1"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2325AB20" wp14:editId="7722BAA5">
            <wp:extent cx="5943600" cy="3566160"/>
            <wp:effectExtent l="0" t="0" r="0" b="2540"/>
            <wp:docPr id="562413790" name="Picture 36" descr="A graph of different types of substan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13790" name="Picture 36" descr="A graph of different types of substances&#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521B4937" w14:textId="50E0C462" w:rsidR="00DF2A48" w:rsidRPr="00DF2A48" w:rsidRDefault="00DF2A48" w:rsidP="00CA1108">
      <w:pPr>
        <w:pStyle w:val="NormalWeb"/>
        <w:rPr>
          <w:color w:val="000000" w:themeColor="text1"/>
        </w:rPr>
      </w:pPr>
      <w:r w:rsidRPr="00DF2A48">
        <w:rPr>
          <w:b/>
          <w:bCs/>
          <w:color w:val="000000" w:themeColor="text1"/>
        </w:rPr>
        <w:t>Figure 36:</w:t>
      </w:r>
      <w:r w:rsidRPr="00DF2A48">
        <w:rPr>
          <w:color w:val="000000" w:themeColor="text1"/>
        </w:rPr>
        <w:t xml:space="preserve"> Volcano plot representing upregulation and downregulation of metabolites while comparing </w:t>
      </w:r>
      <w:proofErr w:type="spellStart"/>
      <w:r w:rsidRPr="00DF2A48">
        <w:rPr>
          <w:i/>
          <w:iCs/>
          <w:color w:val="000000" w:themeColor="text1"/>
        </w:rPr>
        <w:t>leptospira</w:t>
      </w:r>
      <w:proofErr w:type="spellEnd"/>
      <w:r w:rsidRPr="00DF2A48">
        <w:rPr>
          <w:color w:val="000000" w:themeColor="text1"/>
        </w:rPr>
        <w:t xml:space="preserve"> supernatants in EMJH (Difco) 28°C after the inoculated cells are separated. On x-axis, the log2 fold change of the ratio of supernatant to media control is plotted.</w:t>
      </w:r>
    </w:p>
    <w:p w14:paraId="11027776" w14:textId="77777777" w:rsidR="00C66B05" w:rsidRDefault="00DF2A48" w:rsidP="00DF2A48">
      <w:pPr>
        <w:spacing w:line="360" w:lineRule="auto"/>
        <w:rPr>
          <w:b/>
          <w:bCs/>
          <w:color w:val="000000" w:themeColor="text1"/>
        </w:rPr>
      </w:pPr>
      <w:r w:rsidRPr="00DF2A48">
        <w:rPr>
          <w:b/>
          <w:bCs/>
          <w:color w:val="000000" w:themeColor="text1"/>
        </w:rPr>
        <w:t>Comparison between Supernatant and Media in EMJH (Difco) at 37°C</w:t>
      </w:r>
    </w:p>
    <w:p w14:paraId="78B9B5E5" w14:textId="0DC3900A" w:rsidR="00C66B05" w:rsidRDefault="00C66B05" w:rsidP="00DF2A48">
      <w:pPr>
        <w:spacing w:line="360" w:lineRule="auto"/>
        <w:rPr>
          <w:color w:val="000000" w:themeColor="text1"/>
        </w:rPr>
      </w:pPr>
      <w:r w:rsidRPr="00C66B05">
        <w:rPr>
          <w:color w:val="000000" w:themeColor="text1"/>
        </w:rPr>
        <w:t>The</w:t>
      </w:r>
      <w:r>
        <w:rPr>
          <w:b/>
          <w:bCs/>
          <w:color w:val="000000" w:themeColor="text1"/>
        </w:rPr>
        <w:t xml:space="preserve"> </w:t>
      </w:r>
      <w:r w:rsidRPr="00C66B05">
        <w:rPr>
          <w:color w:val="000000" w:themeColor="text1"/>
        </w:rPr>
        <w:t>visualization for the comparison between the extracellular contents and the con</w:t>
      </w:r>
      <w:r>
        <w:rPr>
          <w:color w:val="000000" w:themeColor="text1"/>
        </w:rPr>
        <w:t xml:space="preserve">trol media at </w:t>
      </w:r>
      <w:r w:rsidRPr="00C66B05">
        <w:rPr>
          <w:color w:val="000000" w:themeColor="text1"/>
        </w:rPr>
        <w:t>37°C</w:t>
      </w:r>
      <w:r w:rsidRPr="00C66B05">
        <w:rPr>
          <w:b/>
          <w:bCs/>
          <w:color w:val="000000" w:themeColor="text1"/>
        </w:rPr>
        <w:t xml:space="preserve"> </w:t>
      </w:r>
      <w:r w:rsidRPr="00DB4E98">
        <w:rPr>
          <w:color w:val="000000" w:themeColor="text1"/>
        </w:rPr>
        <w:t>is displayed</w:t>
      </w:r>
      <w:r w:rsidR="00DB4E98">
        <w:rPr>
          <w:color w:val="000000" w:themeColor="text1"/>
        </w:rPr>
        <w:t xml:space="preserve"> in</w:t>
      </w:r>
      <w:r>
        <w:rPr>
          <w:b/>
          <w:bCs/>
          <w:color w:val="000000" w:themeColor="text1"/>
        </w:rPr>
        <w:t xml:space="preserve"> </w:t>
      </w:r>
      <w:r w:rsidRPr="00C66B05">
        <w:rPr>
          <w:b/>
          <w:bCs/>
          <w:color w:val="000000" w:themeColor="text1"/>
        </w:rPr>
        <w:t>Figure</w:t>
      </w:r>
      <w:r>
        <w:rPr>
          <w:b/>
          <w:bCs/>
          <w:color w:val="000000" w:themeColor="text1"/>
        </w:rPr>
        <w:t xml:space="preserve"> 37-41</w:t>
      </w:r>
      <w:r w:rsidR="00DB4E98">
        <w:rPr>
          <w:b/>
          <w:bCs/>
          <w:color w:val="000000" w:themeColor="text1"/>
        </w:rPr>
        <w:t xml:space="preserve"> </w:t>
      </w:r>
      <w:r w:rsidR="00DB4E98" w:rsidRPr="00DB4E98">
        <w:rPr>
          <w:color w:val="000000" w:themeColor="text1"/>
        </w:rPr>
        <w:t>via</w:t>
      </w:r>
      <w:r w:rsidR="00DB4E98">
        <w:rPr>
          <w:color w:val="000000" w:themeColor="text1"/>
        </w:rPr>
        <w:t xml:space="preserve"> heatmap, PLS-DA (2D &amp; 3D), VIP score plot, and volcano plot. The volcano plot (</w:t>
      </w:r>
      <w:r w:rsidR="00DB4E98" w:rsidRPr="00DB4E98">
        <w:rPr>
          <w:b/>
          <w:bCs/>
          <w:color w:val="000000" w:themeColor="text1"/>
        </w:rPr>
        <w:t>Figure 41</w:t>
      </w:r>
      <w:r w:rsidR="00DB4E98">
        <w:rPr>
          <w:color w:val="000000" w:themeColor="text1"/>
        </w:rPr>
        <w:t xml:space="preserve">) shows a </w:t>
      </w:r>
      <w:r w:rsidRPr="00DF2A48">
        <w:rPr>
          <w:color w:val="000000" w:themeColor="text1"/>
        </w:rPr>
        <w:t xml:space="preserve">higher abundance of </w:t>
      </w:r>
      <w:r w:rsidR="00DB4E98">
        <w:rPr>
          <w:color w:val="000000" w:themeColor="text1"/>
        </w:rPr>
        <w:t>several</w:t>
      </w:r>
      <w:r w:rsidRPr="00DF2A48">
        <w:rPr>
          <w:color w:val="000000" w:themeColor="text1"/>
        </w:rPr>
        <w:t xml:space="preserve"> metabolites in the media</w:t>
      </w:r>
      <w:r w:rsidR="00DB4E98">
        <w:rPr>
          <w:color w:val="000000" w:themeColor="text1"/>
        </w:rPr>
        <w:t>. This</w:t>
      </w:r>
      <w:r w:rsidRPr="00DF2A48">
        <w:rPr>
          <w:color w:val="000000" w:themeColor="text1"/>
        </w:rPr>
        <w:t xml:space="preserve"> could be ascribed to unutilized nutrients from the media. Most of these are associated with the cysteine, pyruvate, pyrimidine, or purine metabolic pathways. No evidence of growth was observed in this media – temperature combination of EMJH (Difco) – 37°C. This confirms the statement that at 37°C the nutrient unavailability is a major factor that becomes insufficient to facilitate growth of </w:t>
      </w:r>
      <w:proofErr w:type="spellStart"/>
      <w:r w:rsidRPr="00DF2A48">
        <w:rPr>
          <w:i/>
          <w:iCs/>
          <w:color w:val="000000" w:themeColor="text1"/>
        </w:rPr>
        <w:t>leptospira</w:t>
      </w:r>
      <w:proofErr w:type="spellEnd"/>
      <w:r w:rsidRPr="00DF2A48">
        <w:rPr>
          <w:color w:val="000000" w:themeColor="text1"/>
        </w:rPr>
        <w:t>.</w:t>
      </w:r>
    </w:p>
    <w:p w14:paraId="6045033F" w14:textId="79B2D2E6" w:rsidR="007E2377" w:rsidRPr="007E2377" w:rsidRDefault="007E2377" w:rsidP="007E2377">
      <w:pPr>
        <w:spacing w:line="360" w:lineRule="auto"/>
        <w:rPr>
          <w:b/>
          <w:bCs/>
          <w:color w:val="000000" w:themeColor="text1"/>
        </w:rPr>
      </w:pPr>
      <w:r w:rsidRPr="007E2377">
        <w:rPr>
          <w:b/>
          <w:bCs/>
          <w:color w:val="000000" w:themeColor="text1"/>
        </w:rPr>
        <w:t>5.</w:t>
      </w:r>
      <w:r w:rsidRPr="007E2377">
        <w:rPr>
          <w:b/>
          <w:bCs/>
          <w:color w:val="000000" w:themeColor="text1"/>
        </w:rPr>
        <w:tab/>
        <w:t xml:space="preserve">Inter-condition comparison for each sample fraction </w:t>
      </w:r>
    </w:p>
    <w:p w14:paraId="29B065F8" w14:textId="529A6AA4" w:rsidR="007E2377" w:rsidRPr="007E2377" w:rsidRDefault="007E2377" w:rsidP="007E2377">
      <w:pPr>
        <w:spacing w:line="360" w:lineRule="auto"/>
        <w:rPr>
          <w:color w:val="000000" w:themeColor="text1"/>
        </w:rPr>
      </w:pPr>
      <w:r w:rsidRPr="007E2377">
        <w:rPr>
          <w:color w:val="000000" w:themeColor="text1"/>
        </w:rPr>
        <w:tab/>
        <w:t xml:space="preserve">In this section, each type of sample fractions (pellets, supernatants, control media fractions) are put together against their growth condition. </w:t>
      </w:r>
      <w:r w:rsidRPr="007512C7">
        <w:rPr>
          <w:b/>
          <w:bCs/>
          <w:color w:val="000000" w:themeColor="text1"/>
        </w:rPr>
        <w:t>Table 2</w:t>
      </w:r>
      <w:r w:rsidRPr="007E2377">
        <w:rPr>
          <w:color w:val="000000" w:themeColor="text1"/>
        </w:rPr>
        <w:t xml:space="preserve"> enlists the comparisons were carried out to achieve this analysis.</w:t>
      </w:r>
    </w:p>
    <w:p w14:paraId="7BD494E0" w14:textId="5D8CAC45"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0A5F4BD9" wp14:editId="04ED79B6">
            <wp:extent cx="5943600" cy="6108970"/>
            <wp:effectExtent l="0" t="0" r="0" b="0"/>
            <wp:docPr id="2008829905" name="Picture 37"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29905" name="Picture 37" descr="A screenshot of a computer screen&#10;&#10;AI-generated content may be incorrect."/>
                    <pic:cNvPicPr/>
                  </pic:nvPicPr>
                  <pic:blipFill rotWithShape="1">
                    <a:blip r:embed="rId46">
                      <a:extLst>
                        <a:ext uri="{28A0092B-C50C-407E-A947-70E740481C1C}">
                          <a14:useLocalDpi xmlns:a14="http://schemas.microsoft.com/office/drawing/2010/main" val="0"/>
                        </a:ext>
                      </a:extLst>
                    </a:blip>
                    <a:srcRect b="14348"/>
                    <a:stretch>
                      <a:fillRect/>
                    </a:stretch>
                  </pic:blipFill>
                  <pic:spPr bwMode="auto">
                    <a:xfrm>
                      <a:off x="0" y="0"/>
                      <a:ext cx="5943600" cy="6108970"/>
                    </a:xfrm>
                    <a:prstGeom prst="rect">
                      <a:avLst/>
                    </a:prstGeom>
                    <a:ln>
                      <a:noFill/>
                    </a:ln>
                    <a:extLst>
                      <a:ext uri="{53640926-AAD7-44D8-BBD7-CCE9431645EC}">
                        <a14:shadowObscured xmlns:a14="http://schemas.microsoft.com/office/drawing/2010/main"/>
                      </a:ext>
                    </a:extLst>
                  </pic:spPr>
                </pic:pic>
              </a:graphicData>
            </a:graphic>
          </wp:inline>
        </w:drawing>
      </w:r>
    </w:p>
    <w:p w14:paraId="256043AC" w14:textId="77777777" w:rsidR="00DF2A48" w:rsidRPr="00DF2A48" w:rsidRDefault="00DF2A48" w:rsidP="00CA1108">
      <w:pPr>
        <w:rPr>
          <w:color w:val="000000" w:themeColor="text1"/>
        </w:rPr>
      </w:pPr>
      <w:r w:rsidRPr="00DF2A48">
        <w:rPr>
          <w:b/>
          <w:bCs/>
          <w:color w:val="000000" w:themeColor="text1"/>
        </w:rPr>
        <w:t>Figure 37:</w:t>
      </w:r>
      <w:r w:rsidRPr="00DF2A48">
        <w:rPr>
          <w:color w:val="000000" w:themeColor="text1"/>
        </w:rPr>
        <w:t xml:space="preserve"> Visualization of metabolites abundance across the supernatants separated from the cell pellets grown in EMJH (Difco) media and media control at 37°C. The media EMJH (Difco) is represented as “B”. Data underwent log2 transformation and pareto scaling.</w:t>
      </w:r>
      <w:r w:rsidRPr="00DF2A48">
        <w:rPr>
          <w:color w:val="000000" w:themeColor="text1"/>
        </w:rPr>
        <w:br w:type="page"/>
      </w:r>
    </w:p>
    <w:p w14:paraId="7910DF58" w14:textId="77777777" w:rsidR="00DF2A48" w:rsidRPr="00DF2A48" w:rsidRDefault="00DF2A48" w:rsidP="00DF2A48">
      <w:pPr>
        <w:rPr>
          <w:color w:val="000000" w:themeColor="text1"/>
        </w:rPr>
      </w:pPr>
      <w:r w:rsidRPr="00DF2A48">
        <w:rPr>
          <w:noProof/>
          <w:color w:val="000000" w:themeColor="text1"/>
        </w:rPr>
        <w:lastRenderedPageBreak/>
        <w:drawing>
          <wp:inline distT="0" distB="0" distL="0" distR="0" wp14:anchorId="2562DF3C" wp14:editId="5D1AC967">
            <wp:extent cx="5943600" cy="5283200"/>
            <wp:effectExtent l="0" t="0" r="0" b="0"/>
            <wp:docPr id="1345166943" name="Picture 39" descr="A graph with red and gree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08971" name="Picture 39" descr="A graph with red and green circles&#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17552636" w14:textId="77777777" w:rsidR="00DF2A48" w:rsidRPr="00DF2A48" w:rsidRDefault="00DF2A48" w:rsidP="00CA1108">
      <w:pPr>
        <w:rPr>
          <w:color w:val="000000" w:themeColor="text1"/>
        </w:rPr>
      </w:pPr>
      <w:r w:rsidRPr="00DF2A48">
        <w:rPr>
          <w:b/>
          <w:bCs/>
          <w:color w:val="000000" w:themeColor="text1"/>
        </w:rPr>
        <w:t>Figure 38:</w:t>
      </w:r>
      <w:r w:rsidRPr="00DF2A48">
        <w:rPr>
          <w:color w:val="000000" w:themeColor="text1"/>
        </w:rPr>
        <w:t xml:space="preserve"> Partial Least Squares Discriminant Analysis PLS-DA plot shows 2 distinct groups between supernatant from cell culture in EMJH (in house) media, and the media control. The multivariate analysis shows distinctive individual metabolic profile between the supernatant and media grown in the EMJH (in house) media at 28°C.</w:t>
      </w:r>
      <w:r w:rsidRPr="00DF2A48">
        <w:rPr>
          <w:color w:val="000000" w:themeColor="text1"/>
        </w:rPr>
        <w:br w:type="page"/>
      </w:r>
    </w:p>
    <w:p w14:paraId="38A7A708"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67AD4EA1" wp14:editId="7EAE6B00">
            <wp:extent cx="5748655" cy="5057236"/>
            <wp:effectExtent l="0" t="0" r="4445" b="0"/>
            <wp:docPr id="2012107753" name="Picture 40" descr="A graph with colored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20888" name="Picture 40" descr="A graph with colored dots and numbers&#10;&#10;AI-generated content may be incorrect."/>
                    <pic:cNvPicPr/>
                  </pic:nvPicPr>
                  <pic:blipFill rotWithShape="1">
                    <a:blip r:embed="rId48">
                      <a:extLst>
                        <a:ext uri="{28A0092B-C50C-407E-A947-70E740481C1C}">
                          <a14:useLocalDpi xmlns:a14="http://schemas.microsoft.com/office/drawing/2010/main" val="0"/>
                        </a:ext>
                      </a:extLst>
                    </a:blip>
                    <a:srcRect l="13094" t="36654" r="31915"/>
                    <a:stretch>
                      <a:fillRect/>
                    </a:stretch>
                  </pic:blipFill>
                  <pic:spPr bwMode="auto">
                    <a:xfrm>
                      <a:off x="0" y="0"/>
                      <a:ext cx="5777413" cy="5082535"/>
                    </a:xfrm>
                    <a:prstGeom prst="rect">
                      <a:avLst/>
                    </a:prstGeom>
                    <a:ln>
                      <a:noFill/>
                    </a:ln>
                    <a:extLst>
                      <a:ext uri="{53640926-AAD7-44D8-BBD7-CCE9431645EC}">
                        <a14:shadowObscured xmlns:a14="http://schemas.microsoft.com/office/drawing/2010/main"/>
                      </a:ext>
                    </a:extLst>
                  </pic:spPr>
                </pic:pic>
              </a:graphicData>
            </a:graphic>
          </wp:inline>
        </w:drawing>
      </w:r>
    </w:p>
    <w:p w14:paraId="12BFA757" w14:textId="77777777" w:rsidR="00DF2A48" w:rsidRPr="00DF2A48" w:rsidRDefault="00DF2A48" w:rsidP="00DF2A48">
      <w:pPr>
        <w:jc w:val="both"/>
        <w:rPr>
          <w:color w:val="000000" w:themeColor="text1"/>
        </w:rPr>
      </w:pPr>
      <w:r w:rsidRPr="00DF2A48">
        <w:rPr>
          <w:b/>
          <w:bCs/>
          <w:color w:val="000000" w:themeColor="text1"/>
        </w:rPr>
        <w:t>Figure 39:</w:t>
      </w:r>
      <w:r w:rsidRPr="00DF2A48">
        <w:rPr>
          <w:color w:val="000000" w:themeColor="text1"/>
        </w:rPr>
        <w:t xml:space="preserve"> Three-dimensional representation of the PLS-DA for improved visualization of the separation between two groups – supernatant and media EMJH (Difco) at 37°C.</w:t>
      </w:r>
    </w:p>
    <w:p w14:paraId="5D836861" w14:textId="77777777" w:rsidR="00DF2A48" w:rsidRPr="00DF2A48" w:rsidRDefault="00DF2A48" w:rsidP="00DF2A48">
      <w:pPr>
        <w:jc w:val="both"/>
        <w:rPr>
          <w:color w:val="000000" w:themeColor="text1"/>
        </w:rPr>
      </w:pPr>
      <w:r w:rsidRPr="00DF2A48">
        <w:rPr>
          <w:color w:val="000000" w:themeColor="text1"/>
        </w:rPr>
        <w:br w:type="page"/>
      </w:r>
    </w:p>
    <w:p w14:paraId="15483EC9"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044BCA27" wp14:editId="6A96E3E7">
            <wp:extent cx="5943600" cy="5242560"/>
            <wp:effectExtent l="0" t="0" r="0" b="2540"/>
            <wp:docPr id="554093189" name="Picture 38" descr="A graph with red and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93189" name="Picture 38" descr="A graph with red and blue squares&#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5242560"/>
                    </a:xfrm>
                    <a:prstGeom prst="rect">
                      <a:avLst/>
                    </a:prstGeom>
                  </pic:spPr>
                </pic:pic>
              </a:graphicData>
            </a:graphic>
          </wp:inline>
        </w:drawing>
      </w:r>
    </w:p>
    <w:p w14:paraId="0F9D6DEE" w14:textId="77777777" w:rsidR="00DF2A48" w:rsidRPr="00DF2A48" w:rsidRDefault="00DF2A48" w:rsidP="00DF2A48">
      <w:pPr>
        <w:jc w:val="both"/>
        <w:rPr>
          <w:color w:val="000000" w:themeColor="text1"/>
        </w:rPr>
      </w:pPr>
      <w:r w:rsidRPr="00DF2A48">
        <w:rPr>
          <w:b/>
          <w:bCs/>
          <w:color w:val="000000" w:themeColor="text1"/>
        </w:rPr>
        <w:t>Figure 40:</w:t>
      </w:r>
      <w:r w:rsidRPr="00DF2A48">
        <w:rPr>
          <w:color w:val="000000" w:themeColor="text1"/>
        </w:rPr>
        <w:t xml:space="preserve"> Variable importance in projection (VIP) score plot demonstrating the metabolites of significance in the PLS-DA model between two groups – media control and supernatant at 37°C.</w:t>
      </w:r>
    </w:p>
    <w:p w14:paraId="258EECD3" w14:textId="77777777" w:rsidR="00DF2A48" w:rsidRPr="00DF2A48" w:rsidRDefault="00DF2A48" w:rsidP="00DF2A48">
      <w:pPr>
        <w:spacing w:line="360" w:lineRule="auto"/>
        <w:rPr>
          <w:color w:val="000000" w:themeColor="text1"/>
        </w:rPr>
      </w:pPr>
    </w:p>
    <w:p w14:paraId="77201851"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39B1F56D" wp14:editId="7B212EA3">
            <wp:extent cx="5943600" cy="3566160"/>
            <wp:effectExtent l="0" t="0" r="0" b="2540"/>
            <wp:docPr id="507606121" name="Picture 41" descr="A graph with many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06121" name="Picture 41" descr="A graph with many dots&#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4D7542EA" w14:textId="653C2B15" w:rsidR="00DF2A48" w:rsidRPr="00DF2A48" w:rsidRDefault="00DF2A48" w:rsidP="00A031A4">
      <w:pPr>
        <w:pStyle w:val="NormalWeb"/>
        <w:jc w:val="both"/>
        <w:rPr>
          <w:color w:val="000000" w:themeColor="text1"/>
        </w:rPr>
      </w:pPr>
      <w:r w:rsidRPr="00DF2A48">
        <w:rPr>
          <w:b/>
          <w:bCs/>
          <w:color w:val="000000" w:themeColor="text1"/>
        </w:rPr>
        <w:t>Figure 41</w:t>
      </w:r>
      <w:r w:rsidRPr="00DF2A48">
        <w:rPr>
          <w:color w:val="000000" w:themeColor="text1"/>
        </w:rPr>
        <w:t xml:space="preserve">: Volcano plot representing upregulation and downregulation of metabolites while comparing </w:t>
      </w:r>
      <w:proofErr w:type="spellStart"/>
      <w:r w:rsidRPr="00DF2A48">
        <w:rPr>
          <w:i/>
          <w:iCs/>
          <w:color w:val="000000" w:themeColor="text1"/>
        </w:rPr>
        <w:t>leptospira</w:t>
      </w:r>
      <w:proofErr w:type="spellEnd"/>
      <w:r w:rsidRPr="00DF2A48">
        <w:rPr>
          <w:color w:val="000000" w:themeColor="text1"/>
        </w:rPr>
        <w:t xml:space="preserve"> supernatants in EMJH (Difco) 28°C. On x-axis, the log2 fold change of the ratio of supernatant to media control is graphed.</w:t>
      </w:r>
    </w:p>
    <w:p w14:paraId="222AD0D5" w14:textId="599C1C88" w:rsidR="00DF2A48" w:rsidRPr="007E2377" w:rsidRDefault="00DF2A48" w:rsidP="007E2377">
      <w:pPr>
        <w:spacing w:line="360" w:lineRule="auto"/>
        <w:rPr>
          <w:b/>
          <w:bCs/>
          <w:color w:val="000000" w:themeColor="text1"/>
        </w:rPr>
      </w:pPr>
      <w:r w:rsidRPr="007E2377">
        <w:rPr>
          <w:color w:val="000000" w:themeColor="text1"/>
        </w:rPr>
        <w:br w:type="page"/>
      </w:r>
      <w:r w:rsidRPr="007E2377">
        <w:rPr>
          <w:b/>
          <w:bCs/>
          <w:color w:val="000000" w:themeColor="text1"/>
        </w:rPr>
        <w:lastRenderedPageBreak/>
        <w:t xml:space="preserve">Table 2: Overview of cross comparisons of sample fractions in variable growth parameters. </w:t>
      </w:r>
    </w:p>
    <w:tbl>
      <w:tblPr>
        <w:tblW w:w="9891" w:type="dxa"/>
        <w:tblInd w:w="-10" w:type="dxa"/>
        <w:tblCellMar>
          <w:left w:w="0" w:type="dxa"/>
          <w:right w:w="0" w:type="dxa"/>
        </w:tblCellMar>
        <w:tblLook w:val="0420" w:firstRow="1" w:lastRow="0" w:firstColumn="0" w:lastColumn="0" w:noHBand="0" w:noVBand="1"/>
      </w:tblPr>
      <w:tblGrid>
        <w:gridCol w:w="3297"/>
        <w:gridCol w:w="3297"/>
        <w:gridCol w:w="3297"/>
      </w:tblGrid>
      <w:tr w:rsidR="00DF2A48" w:rsidRPr="00DF2A48" w14:paraId="7B187371" w14:textId="77777777" w:rsidTr="00446A18">
        <w:trPr>
          <w:trHeight w:val="535"/>
        </w:trPr>
        <w:tc>
          <w:tcPr>
            <w:tcW w:w="3297"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5F9A4E79" w14:textId="77777777" w:rsidR="00DF2A48" w:rsidRPr="00DF2A48" w:rsidRDefault="00DF2A48" w:rsidP="00446A18">
            <w:pPr>
              <w:spacing w:line="360" w:lineRule="auto"/>
              <w:ind w:left="-228" w:firstLine="228"/>
              <w:rPr>
                <w:color w:val="000000" w:themeColor="text1"/>
              </w:rPr>
            </w:pPr>
            <w:r w:rsidRPr="00DF2A48">
              <w:rPr>
                <w:color w:val="000000" w:themeColor="text1"/>
              </w:rPr>
              <w:t xml:space="preserve">Sample </w:t>
            </w:r>
          </w:p>
        </w:tc>
        <w:tc>
          <w:tcPr>
            <w:tcW w:w="3297"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3DC162A8" w14:textId="77777777" w:rsidR="00DF2A48" w:rsidRPr="00DF2A48" w:rsidRDefault="00DF2A48" w:rsidP="00446A18">
            <w:pPr>
              <w:spacing w:line="360" w:lineRule="auto"/>
              <w:rPr>
                <w:color w:val="000000" w:themeColor="text1"/>
              </w:rPr>
            </w:pPr>
            <w:r w:rsidRPr="00DF2A48">
              <w:rPr>
                <w:color w:val="000000" w:themeColor="text1"/>
              </w:rPr>
              <w:t>Media</w:t>
            </w:r>
          </w:p>
        </w:tc>
        <w:tc>
          <w:tcPr>
            <w:tcW w:w="3297"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3EF293AF" w14:textId="77777777" w:rsidR="00DF2A48" w:rsidRPr="00DF2A48" w:rsidRDefault="00DF2A48" w:rsidP="00446A18">
            <w:pPr>
              <w:spacing w:line="360" w:lineRule="auto"/>
              <w:rPr>
                <w:color w:val="000000" w:themeColor="text1"/>
              </w:rPr>
            </w:pPr>
            <w:r w:rsidRPr="00DF2A48">
              <w:rPr>
                <w:color w:val="000000" w:themeColor="text1"/>
              </w:rPr>
              <w:t>Temperature</w:t>
            </w:r>
          </w:p>
        </w:tc>
      </w:tr>
      <w:tr w:rsidR="00DF2A48" w:rsidRPr="00DF2A48" w14:paraId="70ABF1AE" w14:textId="77777777" w:rsidTr="00446A18">
        <w:trPr>
          <w:trHeight w:val="383"/>
        </w:trPr>
        <w:tc>
          <w:tcPr>
            <w:tcW w:w="3297" w:type="dxa"/>
            <w:vMerge w:val="restart"/>
            <w:tcBorders>
              <w:top w:val="single" w:sz="24" w:space="0" w:color="FFFFFF"/>
              <w:left w:val="single" w:sz="8" w:space="0" w:color="FFFFFF"/>
              <w:right w:val="single" w:sz="8" w:space="0" w:color="FFFFFF"/>
            </w:tcBorders>
            <w:shd w:val="clear" w:color="auto" w:fill="CCD2D8"/>
            <w:tcMar>
              <w:top w:w="72" w:type="dxa"/>
              <w:left w:w="144" w:type="dxa"/>
              <w:bottom w:w="72" w:type="dxa"/>
              <w:right w:w="144" w:type="dxa"/>
            </w:tcMar>
            <w:hideMark/>
          </w:tcPr>
          <w:p w14:paraId="7411B234" w14:textId="77777777" w:rsidR="00DF2A48" w:rsidRPr="00DF2A48" w:rsidRDefault="00DF2A48" w:rsidP="00446A18">
            <w:pPr>
              <w:spacing w:line="360" w:lineRule="auto"/>
              <w:rPr>
                <w:color w:val="000000" w:themeColor="text1"/>
              </w:rPr>
            </w:pPr>
            <w:r w:rsidRPr="00DF2A48">
              <w:rPr>
                <w:color w:val="000000" w:themeColor="text1"/>
              </w:rPr>
              <w:t xml:space="preserve">All pellet </w:t>
            </w:r>
          </w:p>
        </w:tc>
        <w:tc>
          <w:tcPr>
            <w:tcW w:w="3297" w:type="dxa"/>
            <w:tcBorders>
              <w:top w:val="single" w:sz="24" w:space="0" w:color="FFFFFF"/>
              <w:left w:val="single" w:sz="8" w:space="0" w:color="FFFFFF"/>
              <w:bottom w:val="single" w:sz="4" w:space="0" w:color="auto"/>
              <w:right w:val="single" w:sz="8" w:space="0" w:color="FFFFFF"/>
            </w:tcBorders>
            <w:shd w:val="clear" w:color="auto" w:fill="CCD2D8"/>
            <w:tcMar>
              <w:top w:w="72" w:type="dxa"/>
              <w:left w:w="144" w:type="dxa"/>
              <w:bottom w:w="72" w:type="dxa"/>
              <w:right w:w="144" w:type="dxa"/>
            </w:tcMar>
            <w:hideMark/>
          </w:tcPr>
          <w:p w14:paraId="65EE7457" w14:textId="77777777" w:rsidR="00DF2A48" w:rsidRPr="00DF2A48" w:rsidRDefault="00DF2A48" w:rsidP="00446A18">
            <w:pPr>
              <w:spacing w:line="360" w:lineRule="auto"/>
              <w:rPr>
                <w:color w:val="000000" w:themeColor="text1"/>
              </w:rPr>
            </w:pPr>
            <w:r w:rsidRPr="00DF2A48">
              <w:rPr>
                <w:color w:val="000000" w:themeColor="text1"/>
              </w:rPr>
              <w:t xml:space="preserve">EMJH (in house) </w:t>
            </w:r>
          </w:p>
        </w:tc>
        <w:tc>
          <w:tcPr>
            <w:tcW w:w="3297" w:type="dxa"/>
            <w:tcBorders>
              <w:top w:val="single" w:sz="24" w:space="0" w:color="FFFFFF"/>
              <w:left w:val="single" w:sz="8" w:space="0" w:color="FFFFFF"/>
              <w:bottom w:val="single" w:sz="4" w:space="0" w:color="auto"/>
              <w:right w:val="single" w:sz="8" w:space="0" w:color="FFFFFF"/>
            </w:tcBorders>
            <w:shd w:val="clear" w:color="auto" w:fill="CCD2D8"/>
            <w:tcMar>
              <w:top w:w="72" w:type="dxa"/>
              <w:left w:w="144" w:type="dxa"/>
              <w:bottom w:w="72" w:type="dxa"/>
              <w:right w:w="144" w:type="dxa"/>
            </w:tcMar>
            <w:hideMark/>
          </w:tcPr>
          <w:p w14:paraId="07F22CC3"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3C9522D8" w14:textId="77777777" w:rsidTr="00446A18">
        <w:trPr>
          <w:trHeight w:val="353"/>
        </w:trPr>
        <w:tc>
          <w:tcPr>
            <w:tcW w:w="3297" w:type="dxa"/>
            <w:vMerge/>
            <w:tcBorders>
              <w:left w:val="single" w:sz="8" w:space="0" w:color="FFFFFF"/>
              <w:right w:val="single" w:sz="8" w:space="0" w:color="FFFFFF"/>
            </w:tcBorders>
            <w:shd w:val="clear" w:color="auto" w:fill="CCD2D8"/>
            <w:tcMar>
              <w:top w:w="72" w:type="dxa"/>
              <w:left w:w="144" w:type="dxa"/>
              <w:bottom w:w="72" w:type="dxa"/>
              <w:right w:w="144" w:type="dxa"/>
            </w:tcMar>
          </w:tcPr>
          <w:p w14:paraId="0F638CEF" w14:textId="77777777" w:rsidR="00DF2A48" w:rsidRPr="00DF2A48" w:rsidRDefault="00DF2A48" w:rsidP="00446A18">
            <w:pPr>
              <w:spacing w:line="360" w:lineRule="auto"/>
              <w:rPr>
                <w:color w:val="000000" w:themeColor="text1"/>
              </w:rPr>
            </w:pPr>
          </w:p>
        </w:tc>
        <w:tc>
          <w:tcPr>
            <w:tcW w:w="3297" w:type="dxa"/>
            <w:tcBorders>
              <w:top w:val="single" w:sz="4" w:space="0" w:color="auto"/>
              <w:left w:val="single" w:sz="8" w:space="0" w:color="FFFFFF"/>
              <w:bottom w:val="single" w:sz="4" w:space="0" w:color="auto"/>
              <w:right w:val="single" w:sz="8" w:space="0" w:color="FFFFFF"/>
            </w:tcBorders>
            <w:shd w:val="clear" w:color="auto" w:fill="CCD2D8"/>
            <w:tcMar>
              <w:top w:w="72" w:type="dxa"/>
              <w:left w:w="144" w:type="dxa"/>
              <w:bottom w:w="72" w:type="dxa"/>
              <w:right w:w="144" w:type="dxa"/>
            </w:tcMar>
          </w:tcPr>
          <w:p w14:paraId="792275E0"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3297" w:type="dxa"/>
            <w:tcBorders>
              <w:top w:val="single" w:sz="4" w:space="0" w:color="auto"/>
              <w:left w:val="single" w:sz="8" w:space="0" w:color="FFFFFF"/>
              <w:bottom w:val="single" w:sz="4" w:space="0" w:color="auto"/>
              <w:right w:val="single" w:sz="8" w:space="0" w:color="FFFFFF"/>
            </w:tcBorders>
            <w:shd w:val="clear" w:color="auto" w:fill="CCD2D8"/>
            <w:tcMar>
              <w:top w:w="72" w:type="dxa"/>
              <w:left w:w="144" w:type="dxa"/>
              <w:bottom w:w="72" w:type="dxa"/>
              <w:right w:w="144" w:type="dxa"/>
            </w:tcMar>
          </w:tcPr>
          <w:p w14:paraId="3A111666" w14:textId="77777777" w:rsidR="00DF2A48" w:rsidRPr="00DF2A48" w:rsidRDefault="00DF2A48" w:rsidP="00446A18">
            <w:pPr>
              <w:spacing w:line="360" w:lineRule="auto"/>
              <w:rPr>
                <w:color w:val="000000" w:themeColor="text1"/>
              </w:rPr>
            </w:pPr>
            <w:r w:rsidRPr="00DF2A48">
              <w:rPr>
                <w:color w:val="000000" w:themeColor="text1"/>
              </w:rPr>
              <w:t>37°C</w:t>
            </w:r>
          </w:p>
        </w:tc>
      </w:tr>
      <w:tr w:rsidR="00DF2A48" w:rsidRPr="00DF2A48" w14:paraId="49C62C40" w14:textId="77777777" w:rsidTr="00446A18">
        <w:trPr>
          <w:trHeight w:val="261"/>
        </w:trPr>
        <w:tc>
          <w:tcPr>
            <w:tcW w:w="3297" w:type="dxa"/>
            <w:vMerge/>
            <w:tcBorders>
              <w:left w:val="single" w:sz="8" w:space="0" w:color="FFFFFF"/>
              <w:right w:val="single" w:sz="8" w:space="0" w:color="FFFFFF"/>
            </w:tcBorders>
            <w:shd w:val="clear" w:color="auto" w:fill="CCD2D8"/>
            <w:tcMar>
              <w:top w:w="72" w:type="dxa"/>
              <w:left w:w="144" w:type="dxa"/>
              <w:bottom w:w="72" w:type="dxa"/>
              <w:right w:w="144" w:type="dxa"/>
            </w:tcMar>
          </w:tcPr>
          <w:p w14:paraId="40667F80" w14:textId="77777777" w:rsidR="00DF2A48" w:rsidRPr="00DF2A48" w:rsidRDefault="00DF2A48" w:rsidP="00446A18">
            <w:pPr>
              <w:spacing w:line="360" w:lineRule="auto"/>
              <w:rPr>
                <w:color w:val="000000" w:themeColor="text1"/>
              </w:rPr>
            </w:pPr>
          </w:p>
        </w:tc>
        <w:tc>
          <w:tcPr>
            <w:tcW w:w="3297" w:type="dxa"/>
            <w:tcBorders>
              <w:top w:val="single" w:sz="4" w:space="0" w:color="auto"/>
              <w:left w:val="single" w:sz="8" w:space="0" w:color="FFFFFF"/>
              <w:bottom w:val="single" w:sz="4" w:space="0" w:color="auto"/>
              <w:right w:val="single" w:sz="8" w:space="0" w:color="FFFFFF"/>
            </w:tcBorders>
            <w:shd w:val="clear" w:color="auto" w:fill="CCD2D8"/>
            <w:tcMar>
              <w:top w:w="72" w:type="dxa"/>
              <w:left w:w="144" w:type="dxa"/>
              <w:bottom w:w="72" w:type="dxa"/>
              <w:right w:w="144" w:type="dxa"/>
            </w:tcMar>
          </w:tcPr>
          <w:p w14:paraId="373632D5"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3297" w:type="dxa"/>
            <w:tcBorders>
              <w:top w:val="single" w:sz="4" w:space="0" w:color="auto"/>
              <w:left w:val="single" w:sz="8" w:space="0" w:color="FFFFFF"/>
              <w:bottom w:val="single" w:sz="4" w:space="0" w:color="auto"/>
              <w:right w:val="single" w:sz="8" w:space="0" w:color="FFFFFF"/>
            </w:tcBorders>
            <w:shd w:val="clear" w:color="auto" w:fill="CCD2D8"/>
            <w:tcMar>
              <w:top w:w="72" w:type="dxa"/>
              <w:left w:w="144" w:type="dxa"/>
              <w:bottom w:w="72" w:type="dxa"/>
              <w:right w:w="144" w:type="dxa"/>
            </w:tcMar>
          </w:tcPr>
          <w:p w14:paraId="3548ED58"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7FA2032F" w14:textId="77777777" w:rsidTr="00446A18">
        <w:trPr>
          <w:trHeight w:val="276"/>
        </w:trPr>
        <w:tc>
          <w:tcPr>
            <w:tcW w:w="3297" w:type="dxa"/>
            <w:vMerge/>
            <w:tcBorders>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529C6093" w14:textId="77777777" w:rsidR="00DF2A48" w:rsidRPr="00DF2A48" w:rsidRDefault="00DF2A48" w:rsidP="00446A18">
            <w:pPr>
              <w:spacing w:line="360" w:lineRule="auto"/>
              <w:rPr>
                <w:color w:val="000000" w:themeColor="text1"/>
              </w:rPr>
            </w:pPr>
          </w:p>
        </w:tc>
        <w:tc>
          <w:tcPr>
            <w:tcW w:w="3297" w:type="dxa"/>
            <w:tcBorders>
              <w:top w:val="single" w:sz="4" w:space="0" w:color="auto"/>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5431D2A0"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3297" w:type="dxa"/>
            <w:tcBorders>
              <w:top w:val="single" w:sz="4" w:space="0" w:color="auto"/>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166A1B32" w14:textId="77777777" w:rsidR="00DF2A48" w:rsidRPr="00DF2A48" w:rsidRDefault="00DF2A48" w:rsidP="00446A18">
            <w:pPr>
              <w:spacing w:line="360" w:lineRule="auto"/>
              <w:rPr>
                <w:color w:val="000000" w:themeColor="text1"/>
              </w:rPr>
            </w:pPr>
            <w:r w:rsidRPr="00DF2A48">
              <w:rPr>
                <w:color w:val="000000" w:themeColor="text1"/>
              </w:rPr>
              <w:t>37°C</w:t>
            </w:r>
          </w:p>
        </w:tc>
      </w:tr>
      <w:tr w:rsidR="00DF2A48" w:rsidRPr="00DF2A48" w14:paraId="29B56B23" w14:textId="77777777" w:rsidTr="00446A18">
        <w:trPr>
          <w:trHeight w:val="337"/>
        </w:trPr>
        <w:tc>
          <w:tcPr>
            <w:tcW w:w="3297" w:type="dxa"/>
            <w:vMerge w:val="restart"/>
            <w:tcBorders>
              <w:top w:val="single" w:sz="8" w:space="0" w:color="FFFFFF"/>
              <w:left w:val="single" w:sz="8" w:space="0" w:color="FFFFFF"/>
              <w:right w:val="single" w:sz="8" w:space="0" w:color="FFFFFF"/>
            </w:tcBorders>
            <w:shd w:val="clear" w:color="auto" w:fill="E7EAED"/>
            <w:tcMar>
              <w:top w:w="72" w:type="dxa"/>
              <w:left w:w="144" w:type="dxa"/>
              <w:bottom w:w="72" w:type="dxa"/>
              <w:right w:w="144" w:type="dxa"/>
            </w:tcMar>
            <w:hideMark/>
          </w:tcPr>
          <w:p w14:paraId="056120DB" w14:textId="77777777" w:rsidR="00DF2A48" w:rsidRPr="00DF2A48" w:rsidRDefault="00DF2A48" w:rsidP="00446A18">
            <w:pPr>
              <w:spacing w:line="360" w:lineRule="auto"/>
              <w:rPr>
                <w:color w:val="000000" w:themeColor="text1"/>
              </w:rPr>
            </w:pPr>
            <w:r w:rsidRPr="00DF2A48">
              <w:rPr>
                <w:color w:val="000000" w:themeColor="text1"/>
              </w:rPr>
              <w:t xml:space="preserve">All supernatant </w:t>
            </w:r>
          </w:p>
        </w:tc>
        <w:tc>
          <w:tcPr>
            <w:tcW w:w="3297" w:type="dxa"/>
            <w:tcBorders>
              <w:top w:val="single" w:sz="8" w:space="0" w:color="FFFFFF"/>
              <w:left w:val="single" w:sz="8" w:space="0" w:color="FFFFFF"/>
              <w:bottom w:val="single" w:sz="4" w:space="0" w:color="auto"/>
              <w:right w:val="single" w:sz="8" w:space="0" w:color="FFFFFF"/>
            </w:tcBorders>
            <w:shd w:val="clear" w:color="auto" w:fill="E7EAED"/>
            <w:tcMar>
              <w:top w:w="72" w:type="dxa"/>
              <w:left w:w="144" w:type="dxa"/>
              <w:bottom w:w="72" w:type="dxa"/>
              <w:right w:w="144" w:type="dxa"/>
            </w:tcMar>
            <w:hideMark/>
          </w:tcPr>
          <w:p w14:paraId="7A3631EB" w14:textId="77777777" w:rsidR="00DF2A48" w:rsidRPr="00DF2A48" w:rsidRDefault="00DF2A48" w:rsidP="00446A18">
            <w:pPr>
              <w:spacing w:line="360" w:lineRule="auto"/>
              <w:rPr>
                <w:color w:val="000000" w:themeColor="text1"/>
              </w:rPr>
            </w:pPr>
            <w:r w:rsidRPr="00DF2A48">
              <w:rPr>
                <w:color w:val="000000" w:themeColor="text1"/>
              </w:rPr>
              <w:t xml:space="preserve">EMJH (in house) </w:t>
            </w:r>
          </w:p>
        </w:tc>
        <w:tc>
          <w:tcPr>
            <w:tcW w:w="3297" w:type="dxa"/>
            <w:tcBorders>
              <w:top w:val="single" w:sz="8" w:space="0" w:color="FFFFFF"/>
              <w:left w:val="single" w:sz="8" w:space="0" w:color="FFFFFF"/>
              <w:bottom w:val="single" w:sz="4" w:space="0" w:color="auto"/>
              <w:right w:val="single" w:sz="8" w:space="0" w:color="FFFFFF"/>
            </w:tcBorders>
            <w:shd w:val="clear" w:color="auto" w:fill="E7EAED"/>
            <w:tcMar>
              <w:top w:w="72" w:type="dxa"/>
              <w:left w:w="144" w:type="dxa"/>
              <w:bottom w:w="72" w:type="dxa"/>
              <w:right w:w="144" w:type="dxa"/>
            </w:tcMar>
            <w:hideMark/>
          </w:tcPr>
          <w:p w14:paraId="0C2605B3"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34D210B1" w14:textId="77777777" w:rsidTr="00446A18">
        <w:trPr>
          <w:trHeight w:val="261"/>
        </w:trPr>
        <w:tc>
          <w:tcPr>
            <w:tcW w:w="3297" w:type="dxa"/>
            <w:vMerge/>
            <w:tcBorders>
              <w:left w:val="single" w:sz="8" w:space="0" w:color="FFFFFF"/>
              <w:right w:val="single" w:sz="8" w:space="0" w:color="FFFFFF"/>
            </w:tcBorders>
            <w:shd w:val="clear" w:color="auto" w:fill="E7EAED"/>
            <w:tcMar>
              <w:top w:w="72" w:type="dxa"/>
              <w:left w:w="144" w:type="dxa"/>
              <w:bottom w:w="72" w:type="dxa"/>
              <w:right w:w="144" w:type="dxa"/>
            </w:tcMar>
          </w:tcPr>
          <w:p w14:paraId="2FDBDFA7" w14:textId="77777777" w:rsidR="00DF2A48" w:rsidRPr="00DF2A48" w:rsidRDefault="00DF2A48" w:rsidP="00446A18">
            <w:pPr>
              <w:spacing w:line="360" w:lineRule="auto"/>
              <w:rPr>
                <w:color w:val="000000" w:themeColor="text1"/>
              </w:rPr>
            </w:pPr>
          </w:p>
        </w:tc>
        <w:tc>
          <w:tcPr>
            <w:tcW w:w="3297" w:type="dxa"/>
            <w:tcBorders>
              <w:top w:val="single" w:sz="4" w:space="0" w:color="auto"/>
              <w:left w:val="single" w:sz="8" w:space="0" w:color="FFFFFF"/>
              <w:bottom w:val="single" w:sz="4" w:space="0" w:color="auto"/>
              <w:right w:val="single" w:sz="8" w:space="0" w:color="FFFFFF"/>
            </w:tcBorders>
            <w:shd w:val="clear" w:color="auto" w:fill="E7EAED"/>
            <w:tcMar>
              <w:top w:w="72" w:type="dxa"/>
              <w:left w:w="144" w:type="dxa"/>
              <w:bottom w:w="72" w:type="dxa"/>
              <w:right w:w="144" w:type="dxa"/>
            </w:tcMar>
          </w:tcPr>
          <w:p w14:paraId="211FDD84"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3297" w:type="dxa"/>
            <w:tcBorders>
              <w:top w:val="single" w:sz="4" w:space="0" w:color="auto"/>
              <w:left w:val="single" w:sz="8" w:space="0" w:color="FFFFFF"/>
              <w:bottom w:val="single" w:sz="4" w:space="0" w:color="auto"/>
              <w:right w:val="single" w:sz="8" w:space="0" w:color="FFFFFF"/>
            </w:tcBorders>
            <w:shd w:val="clear" w:color="auto" w:fill="E7EAED"/>
            <w:tcMar>
              <w:top w:w="72" w:type="dxa"/>
              <w:left w:w="144" w:type="dxa"/>
              <w:bottom w:w="72" w:type="dxa"/>
              <w:right w:w="144" w:type="dxa"/>
            </w:tcMar>
          </w:tcPr>
          <w:p w14:paraId="5E81CE3E" w14:textId="77777777" w:rsidR="00DF2A48" w:rsidRPr="00DF2A48" w:rsidRDefault="00DF2A48" w:rsidP="00446A18">
            <w:pPr>
              <w:spacing w:line="360" w:lineRule="auto"/>
              <w:rPr>
                <w:color w:val="000000" w:themeColor="text1"/>
              </w:rPr>
            </w:pPr>
            <w:r w:rsidRPr="00DF2A48">
              <w:rPr>
                <w:color w:val="000000" w:themeColor="text1"/>
              </w:rPr>
              <w:t>37°C</w:t>
            </w:r>
          </w:p>
        </w:tc>
      </w:tr>
      <w:tr w:rsidR="00DF2A48" w:rsidRPr="00DF2A48" w14:paraId="24DAB375" w14:textId="77777777" w:rsidTr="00446A18">
        <w:trPr>
          <w:trHeight w:val="322"/>
        </w:trPr>
        <w:tc>
          <w:tcPr>
            <w:tcW w:w="3297" w:type="dxa"/>
            <w:vMerge/>
            <w:tcBorders>
              <w:left w:val="single" w:sz="8" w:space="0" w:color="FFFFFF"/>
              <w:right w:val="single" w:sz="8" w:space="0" w:color="FFFFFF"/>
            </w:tcBorders>
            <w:shd w:val="clear" w:color="auto" w:fill="E7EAED"/>
            <w:tcMar>
              <w:top w:w="72" w:type="dxa"/>
              <w:left w:w="144" w:type="dxa"/>
              <w:bottom w:w="72" w:type="dxa"/>
              <w:right w:w="144" w:type="dxa"/>
            </w:tcMar>
          </w:tcPr>
          <w:p w14:paraId="79D72CEA" w14:textId="77777777" w:rsidR="00DF2A48" w:rsidRPr="00DF2A48" w:rsidRDefault="00DF2A48" w:rsidP="00446A18">
            <w:pPr>
              <w:spacing w:line="360" w:lineRule="auto"/>
              <w:rPr>
                <w:color w:val="000000" w:themeColor="text1"/>
              </w:rPr>
            </w:pPr>
          </w:p>
        </w:tc>
        <w:tc>
          <w:tcPr>
            <w:tcW w:w="3297" w:type="dxa"/>
            <w:tcBorders>
              <w:top w:val="single" w:sz="4" w:space="0" w:color="auto"/>
              <w:left w:val="single" w:sz="8" w:space="0" w:color="FFFFFF"/>
              <w:bottom w:val="single" w:sz="4" w:space="0" w:color="auto"/>
              <w:right w:val="single" w:sz="8" w:space="0" w:color="FFFFFF"/>
            </w:tcBorders>
            <w:shd w:val="clear" w:color="auto" w:fill="E7EAED"/>
            <w:tcMar>
              <w:top w:w="72" w:type="dxa"/>
              <w:left w:w="144" w:type="dxa"/>
              <w:bottom w:w="72" w:type="dxa"/>
              <w:right w:w="144" w:type="dxa"/>
            </w:tcMar>
          </w:tcPr>
          <w:p w14:paraId="4EE30C4F"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3297" w:type="dxa"/>
            <w:tcBorders>
              <w:top w:val="single" w:sz="4" w:space="0" w:color="auto"/>
              <w:left w:val="single" w:sz="8" w:space="0" w:color="FFFFFF"/>
              <w:bottom w:val="single" w:sz="4" w:space="0" w:color="auto"/>
              <w:right w:val="single" w:sz="8" w:space="0" w:color="FFFFFF"/>
            </w:tcBorders>
            <w:shd w:val="clear" w:color="auto" w:fill="E7EAED"/>
            <w:tcMar>
              <w:top w:w="72" w:type="dxa"/>
              <w:left w:w="144" w:type="dxa"/>
              <w:bottom w:w="72" w:type="dxa"/>
              <w:right w:w="144" w:type="dxa"/>
            </w:tcMar>
          </w:tcPr>
          <w:p w14:paraId="775C23EA"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43367392" w14:textId="77777777" w:rsidTr="00446A18">
        <w:trPr>
          <w:trHeight w:val="214"/>
        </w:trPr>
        <w:tc>
          <w:tcPr>
            <w:tcW w:w="3297" w:type="dxa"/>
            <w:vMerge/>
            <w:tcBorders>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tcPr>
          <w:p w14:paraId="7523551C" w14:textId="77777777" w:rsidR="00DF2A48" w:rsidRPr="00DF2A48" w:rsidRDefault="00DF2A48" w:rsidP="00446A18">
            <w:pPr>
              <w:spacing w:line="360" w:lineRule="auto"/>
              <w:rPr>
                <w:color w:val="000000" w:themeColor="text1"/>
              </w:rPr>
            </w:pPr>
          </w:p>
        </w:tc>
        <w:tc>
          <w:tcPr>
            <w:tcW w:w="3297" w:type="dxa"/>
            <w:tcBorders>
              <w:top w:val="single" w:sz="4" w:space="0" w:color="auto"/>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tcPr>
          <w:p w14:paraId="6785098E"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3297" w:type="dxa"/>
            <w:tcBorders>
              <w:top w:val="single" w:sz="4" w:space="0" w:color="auto"/>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tcPr>
          <w:p w14:paraId="75CC8C7C" w14:textId="77777777" w:rsidR="00DF2A48" w:rsidRPr="00DF2A48" w:rsidRDefault="00DF2A48" w:rsidP="00446A18">
            <w:pPr>
              <w:spacing w:line="360" w:lineRule="auto"/>
              <w:rPr>
                <w:color w:val="000000" w:themeColor="text1"/>
              </w:rPr>
            </w:pPr>
            <w:r w:rsidRPr="00DF2A48">
              <w:rPr>
                <w:color w:val="000000" w:themeColor="text1"/>
              </w:rPr>
              <w:t xml:space="preserve">37°C </w:t>
            </w:r>
          </w:p>
        </w:tc>
      </w:tr>
      <w:tr w:rsidR="00DF2A48" w:rsidRPr="00DF2A48" w14:paraId="7CD19862" w14:textId="77777777" w:rsidTr="00446A18">
        <w:trPr>
          <w:trHeight w:val="399"/>
        </w:trPr>
        <w:tc>
          <w:tcPr>
            <w:tcW w:w="3297" w:type="dxa"/>
            <w:vMerge w:val="restart"/>
            <w:tcBorders>
              <w:top w:val="single" w:sz="8" w:space="0" w:color="FFFFFF"/>
              <w:left w:val="single" w:sz="8" w:space="0" w:color="FFFFFF"/>
              <w:right w:val="single" w:sz="8" w:space="0" w:color="FFFFFF"/>
            </w:tcBorders>
            <w:shd w:val="clear" w:color="auto" w:fill="CCD2D8"/>
            <w:tcMar>
              <w:top w:w="72" w:type="dxa"/>
              <w:left w:w="144" w:type="dxa"/>
              <w:bottom w:w="72" w:type="dxa"/>
              <w:right w:w="144" w:type="dxa"/>
            </w:tcMar>
            <w:hideMark/>
          </w:tcPr>
          <w:p w14:paraId="1AFC91EA" w14:textId="77777777" w:rsidR="00DF2A48" w:rsidRPr="00DF2A48" w:rsidRDefault="00DF2A48" w:rsidP="00446A18">
            <w:pPr>
              <w:spacing w:line="360" w:lineRule="auto"/>
              <w:rPr>
                <w:color w:val="000000" w:themeColor="text1"/>
              </w:rPr>
            </w:pPr>
            <w:r w:rsidRPr="00DF2A48">
              <w:rPr>
                <w:color w:val="000000" w:themeColor="text1"/>
              </w:rPr>
              <w:t>All media</w:t>
            </w:r>
          </w:p>
        </w:tc>
        <w:tc>
          <w:tcPr>
            <w:tcW w:w="3297" w:type="dxa"/>
            <w:tcBorders>
              <w:top w:val="single" w:sz="8" w:space="0" w:color="FFFFFF"/>
              <w:left w:val="single" w:sz="8" w:space="0" w:color="FFFFFF"/>
              <w:bottom w:val="single" w:sz="4" w:space="0" w:color="auto"/>
              <w:right w:val="single" w:sz="8" w:space="0" w:color="FFFFFF"/>
            </w:tcBorders>
            <w:shd w:val="clear" w:color="auto" w:fill="CCD2D8"/>
            <w:tcMar>
              <w:top w:w="72" w:type="dxa"/>
              <w:left w:w="144" w:type="dxa"/>
              <w:bottom w:w="72" w:type="dxa"/>
              <w:right w:w="144" w:type="dxa"/>
            </w:tcMar>
            <w:hideMark/>
          </w:tcPr>
          <w:p w14:paraId="66768ABB" w14:textId="77777777" w:rsidR="00DF2A48" w:rsidRPr="00DF2A48" w:rsidRDefault="00DF2A48" w:rsidP="00446A18">
            <w:pPr>
              <w:spacing w:line="360" w:lineRule="auto"/>
              <w:rPr>
                <w:color w:val="000000" w:themeColor="text1"/>
              </w:rPr>
            </w:pPr>
            <w:r w:rsidRPr="00DF2A48">
              <w:rPr>
                <w:color w:val="000000" w:themeColor="text1"/>
              </w:rPr>
              <w:t xml:space="preserve">EMJH (in house) </w:t>
            </w:r>
          </w:p>
        </w:tc>
        <w:tc>
          <w:tcPr>
            <w:tcW w:w="3297" w:type="dxa"/>
            <w:tcBorders>
              <w:top w:val="single" w:sz="8" w:space="0" w:color="FFFFFF"/>
              <w:left w:val="single" w:sz="8" w:space="0" w:color="FFFFFF"/>
              <w:bottom w:val="single" w:sz="4" w:space="0" w:color="auto"/>
              <w:right w:val="single" w:sz="8" w:space="0" w:color="FFFFFF"/>
            </w:tcBorders>
            <w:shd w:val="clear" w:color="auto" w:fill="CCD2D8"/>
            <w:tcMar>
              <w:top w:w="72" w:type="dxa"/>
              <w:left w:w="144" w:type="dxa"/>
              <w:bottom w:w="72" w:type="dxa"/>
              <w:right w:w="144" w:type="dxa"/>
            </w:tcMar>
            <w:hideMark/>
          </w:tcPr>
          <w:p w14:paraId="6CB52822"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239C3B4D" w14:textId="77777777" w:rsidTr="00446A18">
        <w:trPr>
          <w:trHeight w:val="291"/>
        </w:trPr>
        <w:tc>
          <w:tcPr>
            <w:tcW w:w="3297" w:type="dxa"/>
            <w:vMerge/>
            <w:tcBorders>
              <w:left w:val="single" w:sz="8" w:space="0" w:color="FFFFFF"/>
              <w:right w:val="single" w:sz="8" w:space="0" w:color="FFFFFF"/>
            </w:tcBorders>
            <w:shd w:val="clear" w:color="auto" w:fill="CCD2D8"/>
            <w:tcMar>
              <w:top w:w="72" w:type="dxa"/>
              <w:left w:w="144" w:type="dxa"/>
              <w:bottom w:w="72" w:type="dxa"/>
              <w:right w:w="144" w:type="dxa"/>
            </w:tcMar>
          </w:tcPr>
          <w:p w14:paraId="0FCFE75C" w14:textId="77777777" w:rsidR="00DF2A48" w:rsidRPr="00DF2A48" w:rsidRDefault="00DF2A48" w:rsidP="00446A18">
            <w:pPr>
              <w:spacing w:line="360" w:lineRule="auto"/>
              <w:rPr>
                <w:color w:val="000000" w:themeColor="text1"/>
              </w:rPr>
            </w:pPr>
          </w:p>
        </w:tc>
        <w:tc>
          <w:tcPr>
            <w:tcW w:w="3297" w:type="dxa"/>
            <w:tcBorders>
              <w:top w:val="single" w:sz="4" w:space="0" w:color="auto"/>
              <w:left w:val="single" w:sz="8" w:space="0" w:color="FFFFFF"/>
              <w:bottom w:val="single" w:sz="4" w:space="0" w:color="auto"/>
              <w:right w:val="single" w:sz="8" w:space="0" w:color="FFFFFF"/>
            </w:tcBorders>
            <w:shd w:val="clear" w:color="auto" w:fill="CCD2D8"/>
            <w:tcMar>
              <w:top w:w="72" w:type="dxa"/>
              <w:left w:w="144" w:type="dxa"/>
              <w:bottom w:w="72" w:type="dxa"/>
              <w:right w:w="144" w:type="dxa"/>
            </w:tcMar>
          </w:tcPr>
          <w:p w14:paraId="35EB5C5C"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3297" w:type="dxa"/>
            <w:tcBorders>
              <w:top w:val="single" w:sz="4" w:space="0" w:color="auto"/>
              <w:left w:val="single" w:sz="8" w:space="0" w:color="FFFFFF"/>
              <w:bottom w:val="single" w:sz="4" w:space="0" w:color="auto"/>
              <w:right w:val="single" w:sz="8" w:space="0" w:color="FFFFFF"/>
            </w:tcBorders>
            <w:shd w:val="clear" w:color="auto" w:fill="CCD2D8"/>
            <w:tcMar>
              <w:top w:w="72" w:type="dxa"/>
              <w:left w:w="144" w:type="dxa"/>
              <w:bottom w:w="72" w:type="dxa"/>
              <w:right w:w="144" w:type="dxa"/>
            </w:tcMar>
          </w:tcPr>
          <w:p w14:paraId="21430825" w14:textId="77777777" w:rsidR="00DF2A48" w:rsidRPr="00DF2A48" w:rsidRDefault="00DF2A48" w:rsidP="00446A18">
            <w:pPr>
              <w:spacing w:line="360" w:lineRule="auto"/>
              <w:rPr>
                <w:color w:val="000000" w:themeColor="text1"/>
              </w:rPr>
            </w:pPr>
            <w:r w:rsidRPr="00DF2A48">
              <w:rPr>
                <w:color w:val="000000" w:themeColor="text1"/>
              </w:rPr>
              <w:t xml:space="preserve">37°C </w:t>
            </w:r>
          </w:p>
        </w:tc>
      </w:tr>
      <w:tr w:rsidR="00DF2A48" w:rsidRPr="00DF2A48" w14:paraId="6C3D75EB" w14:textId="77777777" w:rsidTr="00446A18">
        <w:trPr>
          <w:trHeight w:val="291"/>
        </w:trPr>
        <w:tc>
          <w:tcPr>
            <w:tcW w:w="3297" w:type="dxa"/>
            <w:vMerge/>
            <w:tcBorders>
              <w:left w:val="single" w:sz="8" w:space="0" w:color="FFFFFF"/>
              <w:right w:val="single" w:sz="8" w:space="0" w:color="FFFFFF"/>
            </w:tcBorders>
            <w:shd w:val="clear" w:color="auto" w:fill="CCD2D8"/>
            <w:tcMar>
              <w:top w:w="72" w:type="dxa"/>
              <w:left w:w="144" w:type="dxa"/>
              <w:bottom w:w="72" w:type="dxa"/>
              <w:right w:w="144" w:type="dxa"/>
            </w:tcMar>
          </w:tcPr>
          <w:p w14:paraId="3B9BB3DE" w14:textId="77777777" w:rsidR="00DF2A48" w:rsidRPr="00DF2A48" w:rsidRDefault="00DF2A48" w:rsidP="00446A18">
            <w:pPr>
              <w:spacing w:line="360" w:lineRule="auto"/>
              <w:rPr>
                <w:color w:val="000000" w:themeColor="text1"/>
              </w:rPr>
            </w:pPr>
          </w:p>
        </w:tc>
        <w:tc>
          <w:tcPr>
            <w:tcW w:w="3297" w:type="dxa"/>
            <w:tcBorders>
              <w:top w:val="single" w:sz="4" w:space="0" w:color="auto"/>
              <w:left w:val="single" w:sz="8" w:space="0" w:color="FFFFFF"/>
              <w:bottom w:val="single" w:sz="4" w:space="0" w:color="auto"/>
              <w:right w:val="single" w:sz="8" w:space="0" w:color="FFFFFF"/>
            </w:tcBorders>
            <w:shd w:val="clear" w:color="auto" w:fill="CCD2D8"/>
            <w:tcMar>
              <w:top w:w="72" w:type="dxa"/>
              <w:left w:w="144" w:type="dxa"/>
              <w:bottom w:w="72" w:type="dxa"/>
              <w:right w:w="144" w:type="dxa"/>
            </w:tcMar>
          </w:tcPr>
          <w:p w14:paraId="5F501CA5"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3297" w:type="dxa"/>
            <w:tcBorders>
              <w:top w:val="single" w:sz="4" w:space="0" w:color="auto"/>
              <w:left w:val="single" w:sz="8" w:space="0" w:color="FFFFFF"/>
              <w:bottom w:val="single" w:sz="4" w:space="0" w:color="auto"/>
              <w:right w:val="single" w:sz="8" w:space="0" w:color="FFFFFF"/>
            </w:tcBorders>
            <w:shd w:val="clear" w:color="auto" w:fill="CCD2D8"/>
            <w:tcMar>
              <w:top w:w="72" w:type="dxa"/>
              <w:left w:w="144" w:type="dxa"/>
              <w:bottom w:w="72" w:type="dxa"/>
              <w:right w:w="144" w:type="dxa"/>
            </w:tcMar>
          </w:tcPr>
          <w:p w14:paraId="1F67CD58"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737CAF39" w14:textId="77777777" w:rsidTr="00446A18">
        <w:trPr>
          <w:trHeight w:val="245"/>
        </w:trPr>
        <w:tc>
          <w:tcPr>
            <w:tcW w:w="3297" w:type="dxa"/>
            <w:vMerge/>
            <w:tcBorders>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0CE1A71E" w14:textId="77777777" w:rsidR="00DF2A48" w:rsidRPr="00DF2A48" w:rsidRDefault="00DF2A48" w:rsidP="00446A18">
            <w:pPr>
              <w:spacing w:line="360" w:lineRule="auto"/>
              <w:rPr>
                <w:color w:val="000000" w:themeColor="text1"/>
              </w:rPr>
            </w:pPr>
          </w:p>
        </w:tc>
        <w:tc>
          <w:tcPr>
            <w:tcW w:w="3297" w:type="dxa"/>
            <w:tcBorders>
              <w:top w:val="single" w:sz="4" w:space="0" w:color="auto"/>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47D4EF35"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3297" w:type="dxa"/>
            <w:tcBorders>
              <w:top w:val="single" w:sz="4" w:space="0" w:color="auto"/>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4EE99EC4" w14:textId="77777777" w:rsidR="00DF2A48" w:rsidRPr="00DF2A48" w:rsidRDefault="00DF2A48" w:rsidP="00446A18">
            <w:pPr>
              <w:spacing w:line="360" w:lineRule="auto"/>
              <w:rPr>
                <w:color w:val="000000" w:themeColor="text1"/>
              </w:rPr>
            </w:pPr>
            <w:r w:rsidRPr="00DF2A48">
              <w:rPr>
                <w:color w:val="000000" w:themeColor="text1"/>
              </w:rPr>
              <w:t xml:space="preserve">37°C </w:t>
            </w:r>
          </w:p>
        </w:tc>
      </w:tr>
    </w:tbl>
    <w:p w14:paraId="46B40A89" w14:textId="77777777" w:rsidR="007E2377" w:rsidRDefault="00DF2A48" w:rsidP="00A031A4">
      <w:pPr>
        <w:spacing w:line="360" w:lineRule="auto"/>
        <w:rPr>
          <w:b/>
          <w:bCs/>
          <w:color w:val="000000" w:themeColor="text1"/>
        </w:rPr>
      </w:pPr>
      <w:r w:rsidRPr="00DF2A48">
        <w:rPr>
          <w:color w:val="000000" w:themeColor="text1"/>
        </w:rPr>
        <w:br/>
      </w:r>
    </w:p>
    <w:p w14:paraId="4EDB6FAE" w14:textId="77777777" w:rsidR="007E2377" w:rsidRDefault="007E2377" w:rsidP="00A031A4">
      <w:pPr>
        <w:spacing w:line="360" w:lineRule="auto"/>
        <w:rPr>
          <w:b/>
          <w:bCs/>
          <w:color w:val="000000" w:themeColor="text1"/>
        </w:rPr>
      </w:pPr>
    </w:p>
    <w:p w14:paraId="7D10D3B5" w14:textId="77777777" w:rsidR="007E2377" w:rsidRDefault="007E2377" w:rsidP="00A031A4">
      <w:pPr>
        <w:spacing w:line="360" w:lineRule="auto"/>
        <w:rPr>
          <w:b/>
          <w:bCs/>
          <w:color w:val="000000" w:themeColor="text1"/>
        </w:rPr>
      </w:pPr>
    </w:p>
    <w:p w14:paraId="791C0E28" w14:textId="77777777" w:rsidR="007E2377" w:rsidRDefault="007E2377" w:rsidP="00A031A4">
      <w:pPr>
        <w:spacing w:line="360" w:lineRule="auto"/>
        <w:rPr>
          <w:b/>
          <w:bCs/>
          <w:color w:val="000000" w:themeColor="text1"/>
        </w:rPr>
      </w:pPr>
    </w:p>
    <w:p w14:paraId="030357E8" w14:textId="77777777" w:rsidR="007E2377" w:rsidRDefault="007E2377" w:rsidP="00A031A4">
      <w:pPr>
        <w:spacing w:line="360" w:lineRule="auto"/>
        <w:rPr>
          <w:b/>
          <w:bCs/>
          <w:color w:val="000000" w:themeColor="text1"/>
        </w:rPr>
      </w:pPr>
    </w:p>
    <w:p w14:paraId="44261713" w14:textId="77777777" w:rsidR="007E2377" w:rsidRDefault="007E2377" w:rsidP="00A031A4">
      <w:pPr>
        <w:spacing w:line="360" w:lineRule="auto"/>
        <w:rPr>
          <w:b/>
          <w:bCs/>
          <w:color w:val="000000" w:themeColor="text1"/>
        </w:rPr>
      </w:pPr>
    </w:p>
    <w:p w14:paraId="0E2C03B3" w14:textId="77777777" w:rsidR="007E2377" w:rsidRDefault="007E2377" w:rsidP="00A031A4">
      <w:pPr>
        <w:spacing w:line="360" w:lineRule="auto"/>
        <w:rPr>
          <w:b/>
          <w:bCs/>
          <w:color w:val="000000" w:themeColor="text1"/>
        </w:rPr>
      </w:pPr>
    </w:p>
    <w:p w14:paraId="3213F050" w14:textId="77777777" w:rsidR="007E2377" w:rsidRDefault="007E2377" w:rsidP="00A031A4">
      <w:pPr>
        <w:spacing w:line="360" w:lineRule="auto"/>
        <w:rPr>
          <w:b/>
          <w:bCs/>
          <w:color w:val="000000" w:themeColor="text1"/>
        </w:rPr>
      </w:pPr>
    </w:p>
    <w:p w14:paraId="3AB435E7" w14:textId="77777777" w:rsidR="007E2377" w:rsidRDefault="007E2377" w:rsidP="00A031A4">
      <w:pPr>
        <w:spacing w:line="360" w:lineRule="auto"/>
        <w:rPr>
          <w:b/>
          <w:bCs/>
          <w:color w:val="000000" w:themeColor="text1"/>
        </w:rPr>
      </w:pPr>
    </w:p>
    <w:p w14:paraId="35BEEFFE" w14:textId="77777777" w:rsidR="007E2377" w:rsidRDefault="007E2377" w:rsidP="00A031A4">
      <w:pPr>
        <w:spacing w:line="360" w:lineRule="auto"/>
        <w:rPr>
          <w:b/>
          <w:bCs/>
          <w:color w:val="000000" w:themeColor="text1"/>
        </w:rPr>
      </w:pPr>
    </w:p>
    <w:p w14:paraId="0507DA74" w14:textId="77777777" w:rsidR="007E2377" w:rsidRDefault="007E2377" w:rsidP="00A031A4">
      <w:pPr>
        <w:spacing w:line="360" w:lineRule="auto"/>
        <w:rPr>
          <w:b/>
          <w:bCs/>
          <w:color w:val="000000" w:themeColor="text1"/>
        </w:rPr>
      </w:pPr>
    </w:p>
    <w:p w14:paraId="115B1EBD" w14:textId="7909B8EA" w:rsidR="00DF2A48" w:rsidRPr="00DF2A48" w:rsidRDefault="00DF2A48" w:rsidP="00A031A4">
      <w:pPr>
        <w:spacing w:line="360" w:lineRule="auto"/>
        <w:rPr>
          <w:color w:val="000000" w:themeColor="text1"/>
        </w:rPr>
      </w:pPr>
      <w:r w:rsidRPr="00DF2A48">
        <w:rPr>
          <w:b/>
          <w:bCs/>
          <w:color w:val="000000" w:themeColor="text1"/>
        </w:rPr>
        <w:lastRenderedPageBreak/>
        <w:t>Pellets across variable growth condition:</w:t>
      </w:r>
    </w:p>
    <w:p w14:paraId="6FB6E3E4" w14:textId="4E9BF894" w:rsidR="00DF2A48" w:rsidRDefault="00DF2A48" w:rsidP="007E2377">
      <w:pPr>
        <w:spacing w:line="360" w:lineRule="auto"/>
        <w:rPr>
          <w:color w:val="000000" w:themeColor="text1"/>
        </w:rPr>
      </w:pPr>
      <w:r w:rsidRPr="00DF2A48">
        <w:rPr>
          <w:color w:val="000000" w:themeColor="text1"/>
        </w:rPr>
        <w:t>First, three sets of pellets (since the inoculation was not successful in one of the growth conditions) from the growth conditions were put together for comparative analysis. This comparison</w:t>
      </w:r>
      <w:r w:rsidR="00DB4E98">
        <w:rPr>
          <w:color w:val="000000" w:themeColor="text1"/>
        </w:rPr>
        <w:t xml:space="preserve"> (</w:t>
      </w:r>
      <w:r w:rsidR="00DB4E98" w:rsidRPr="00DB4E98">
        <w:rPr>
          <w:b/>
          <w:bCs/>
          <w:color w:val="000000" w:themeColor="text1"/>
        </w:rPr>
        <w:t>Figure 42-45</w:t>
      </w:r>
      <w:r w:rsidR="00DB4E98">
        <w:rPr>
          <w:color w:val="000000" w:themeColor="text1"/>
        </w:rPr>
        <w:t>)</w:t>
      </w:r>
      <w:r w:rsidRPr="00DF2A48">
        <w:rPr>
          <w:color w:val="000000" w:themeColor="text1"/>
        </w:rPr>
        <w:t xml:space="preserve"> shows a summary of effect of temperature and media on the intra cellular metabolites. This aids the visualization in the internal metabolism of the cells under different environmental conditions. </w:t>
      </w:r>
      <w:r w:rsidR="00DB4E98" w:rsidRPr="00DF2A48">
        <w:rPr>
          <w:color w:val="000000" w:themeColor="text1"/>
        </w:rPr>
        <w:t>Although pellets from EMJH (in house) at 28°C and EMJH (in house) at 37°C show an overlap in the PLS-DA model (</w:t>
      </w:r>
      <w:r w:rsidR="00DB4E98" w:rsidRPr="00DF2A48">
        <w:rPr>
          <w:b/>
          <w:bCs/>
          <w:color w:val="000000" w:themeColor="text1"/>
        </w:rPr>
        <w:t>Figure 43</w:t>
      </w:r>
      <w:r w:rsidR="00DB4E98" w:rsidRPr="00DF2A48">
        <w:rPr>
          <w:color w:val="000000" w:themeColor="text1"/>
        </w:rPr>
        <w:t>), the three-dimensional visualization of the PLS-DA displays that these groups are indeed separated and have unique metabolic profiles. Pellets grown in three different environments appears to have completely distinctive metabolic profile (</w:t>
      </w:r>
      <w:r w:rsidR="00DB4E98" w:rsidRPr="00DF2A48">
        <w:rPr>
          <w:b/>
          <w:bCs/>
          <w:color w:val="000000" w:themeColor="text1"/>
        </w:rPr>
        <w:t>Figure 44</w:t>
      </w:r>
      <w:r w:rsidR="00DB4E98" w:rsidRPr="00DF2A48">
        <w:rPr>
          <w:color w:val="000000" w:themeColor="text1"/>
        </w:rPr>
        <w:t>). The bioenergetics driven metabolites NAD+ and FAD contribute to the separation in the pellet groups in EMJH (in house) media, while starch metabolism driven metabolites are more prevalent in the pellets from EMJH (Difco) media.</w:t>
      </w:r>
    </w:p>
    <w:p w14:paraId="28A7674B" w14:textId="738B1577" w:rsidR="007E2377" w:rsidRPr="00DF2A48" w:rsidRDefault="007E2377" w:rsidP="007E2377">
      <w:pPr>
        <w:tabs>
          <w:tab w:val="left" w:pos="1639"/>
        </w:tabs>
        <w:spacing w:line="360" w:lineRule="auto"/>
        <w:rPr>
          <w:b/>
          <w:bCs/>
          <w:color w:val="000000" w:themeColor="text1"/>
        </w:rPr>
      </w:pPr>
      <w:r w:rsidRPr="00DF2A48">
        <w:rPr>
          <w:b/>
          <w:bCs/>
          <w:color w:val="000000" w:themeColor="text1"/>
        </w:rPr>
        <w:t>Control media across variable growth condition:</w:t>
      </w:r>
    </w:p>
    <w:p w14:paraId="3932830F" w14:textId="77777777" w:rsidR="007E2377" w:rsidRPr="00DF2A48" w:rsidRDefault="007E2377" w:rsidP="007E2377">
      <w:pPr>
        <w:tabs>
          <w:tab w:val="left" w:pos="1639"/>
        </w:tabs>
        <w:spacing w:line="360" w:lineRule="auto"/>
        <w:rPr>
          <w:color w:val="000000" w:themeColor="text1"/>
        </w:rPr>
      </w:pPr>
      <w:r>
        <w:rPr>
          <w:color w:val="000000" w:themeColor="text1"/>
        </w:rPr>
        <w:t>Analysis of</w:t>
      </w:r>
      <w:r w:rsidRPr="00DF2A48">
        <w:rPr>
          <w:color w:val="000000" w:themeColor="text1"/>
        </w:rPr>
        <w:t xml:space="preserve"> control media across all four environmental condition</w:t>
      </w:r>
      <w:r>
        <w:rPr>
          <w:color w:val="000000" w:themeColor="text1"/>
        </w:rPr>
        <w:t>s (</w:t>
      </w:r>
      <w:r>
        <w:rPr>
          <w:b/>
          <w:bCs/>
          <w:color w:val="000000" w:themeColor="text1"/>
        </w:rPr>
        <w:t>Figure 46-48)</w:t>
      </w:r>
      <w:r w:rsidRPr="00DF2A48">
        <w:rPr>
          <w:color w:val="000000" w:themeColor="text1"/>
        </w:rPr>
        <w:t xml:space="preserve"> portrays a picture to discern metabolic contribution from the media itself. This helped to identify the metabolites solely contributed from the media, which may not have been utilized for growth but have the potential for bioavailability to the species.</w:t>
      </w:r>
      <w:r>
        <w:rPr>
          <w:color w:val="000000" w:themeColor="text1"/>
        </w:rPr>
        <w:t xml:space="preserve"> </w:t>
      </w:r>
      <w:r w:rsidRPr="00DF2A48">
        <w:rPr>
          <w:color w:val="000000" w:themeColor="text1"/>
        </w:rPr>
        <w:t xml:space="preserve">Control media samples from the EMJH (in house) cultures were not available, hence </w:t>
      </w:r>
      <w:r w:rsidRPr="00DF2A48">
        <w:rPr>
          <w:b/>
          <w:bCs/>
          <w:color w:val="000000" w:themeColor="text1"/>
        </w:rPr>
        <w:t xml:space="preserve">Figure 47 </w:t>
      </w:r>
      <w:r w:rsidRPr="00DF2A48">
        <w:rPr>
          <w:color w:val="000000" w:themeColor="text1"/>
        </w:rPr>
        <w:t xml:space="preserve">only displays 3 groups of media. The three different groups portray complete separation displaying unique metabolite profile corresponding to each group. It is to be noted that some of the major metabolic drivers of the separations, creatine, uric acid, and uridine are highly associated with deteriorated kidney functions. This could imply that the higher level of these metabolites in the host may result into a compatible environment for </w:t>
      </w:r>
      <w:proofErr w:type="spellStart"/>
      <w:r w:rsidRPr="00DF2A48">
        <w:rPr>
          <w:i/>
          <w:iCs/>
          <w:color w:val="000000" w:themeColor="text1"/>
        </w:rPr>
        <w:t>leptospira</w:t>
      </w:r>
      <w:proofErr w:type="spellEnd"/>
      <w:r w:rsidRPr="00DF2A48">
        <w:rPr>
          <w:color w:val="000000" w:themeColor="text1"/>
        </w:rPr>
        <w:t xml:space="preserve"> infection.</w:t>
      </w:r>
    </w:p>
    <w:p w14:paraId="04877BDC" w14:textId="47B9546C" w:rsidR="007E2377" w:rsidRPr="00DF2A48" w:rsidRDefault="007E2377" w:rsidP="007E2377">
      <w:pPr>
        <w:spacing w:line="360" w:lineRule="auto"/>
        <w:rPr>
          <w:color w:val="000000" w:themeColor="text1"/>
        </w:rPr>
      </w:pPr>
      <w:r w:rsidRPr="00DF2A48">
        <w:rPr>
          <w:b/>
          <w:bCs/>
          <w:color w:val="000000" w:themeColor="text1"/>
        </w:rPr>
        <w:t>Supernatants across variable growth condition</w:t>
      </w:r>
      <w:r w:rsidR="00806D23">
        <w:rPr>
          <w:b/>
          <w:bCs/>
          <w:color w:val="000000" w:themeColor="text1"/>
        </w:rPr>
        <w:t>:</w:t>
      </w:r>
    </w:p>
    <w:p w14:paraId="5CA759A6" w14:textId="39B36CAF" w:rsidR="007E2377" w:rsidRPr="00DF2A48" w:rsidRDefault="007E2377" w:rsidP="007E2377">
      <w:pPr>
        <w:widowControl w:val="0"/>
        <w:spacing w:line="360" w:lineRule="auto"/>
        <w:ind w:firstLine="720"/>
        <w:rPr>
          <w:color w:val="000000" w:themeColor="text1"/>
        </w:rPr>
      </w:pPr>
      <w:r w:rsidRPr="00DF2A48">
        <w:rPr>
          <w:color w:val="000000" w:themeColor="text1"/>
        </w:rPr>
        <w:t xml:space="preserve">Assessment of supernatants across all the growth parameters provides comprehension of the </w:t>
      </w:r>
      <w:proofErr w:type="spellStart"/>
      <w:r w:rsidRPr="00DF2A48">
        <w:rPr>
          <w:color w:val="000000" w:themeColor="text1"/>
        </w:rPr>
        <w:t>exo</w:t>
      </w:r>
      <w:proofErr w:type="spellEnd"/>
      <w:r w:rsidRPr="00DF2A48">
        <w:rPr>
          <w:color w:val="000000" w:themeColor="text1"/>
        </w:rPr>
        <w:t xml:space="preserve">-metabolome in </w:t>
      </w:r>
      <w:proofErr w:type="spellStart"/>
      <w:r w:rsidRPr="00DF2A48">
        <w:rPr>
          <w:i/>
          <w:iCs/>
          <w:color w:val="000000" w:themeColor="text1"/>
        </w:rPr>
        <w:t>leptospira</w:t>
      </w:r>
      <w:proofErr w:type="spellEnd"/>
      <w:r w:rsidRPr="00DF2A48">
        <w:rPr>
          <w:color w:val="000000" w:themeColor="text1"/>
        </w:rPr>
        <w:t xml:space="preserve"> growth</w:t>
      </w:r>
      <w:r>
        <w:rPr>
          <w:color w:val="000000" w:themeColor="text1"/>
        </w:rPr>
        <w:t xml:space="preserve"> (</w:t>
      </w:r>
      <w:r w:rsidRPr="00DB4E98">
        <w:rPr>
          <w:b/>
          <w:bCs/>
          <w:color w:val="000000" w:themeColor="text1"/>
        </w:rPr>
        <w:t>Figure 49-52</w:t>
      </w:r>
      <w:r>
        <w:rPr>
          <w:color w:val="000000" w:themeColor="text1"/>
        </w:rPr>
        <w:t>)</w:t>
      </w:r>
      <w:r w:rsidRPr="00DF2A48">
        <w:rPr>
          <w:color w:val="000000" w:themeColor="text1"/>
        </w:rPr>
        <w:t xml:space="preserve">. The </w:t>
      </w:r>
      <w:proofErr w:type="spellStart"/>
      <w:r w:rsidRPr="00DF2A48">
        <w:rPr>
          <w:color w:val="000000" w:themeColor="text1"/>
        </w:rPr>
        <w:t>exo</w:t>
      </w:r>
      <w:proofErr w:type="spellEnd"/>
      <w:r w:rsidRPr="00DF2A48">
        <w:rPr>
          <w:color w:val="000000" w:themeColor="text1"/>
        </w:rPr>
        <w:t>-metabolome can give a deeper insight to the signaling molecules, secreted metabolites, and by-products of biosynthetic metabolites by the cell.</w:t>
      </w:r>
      <w:r w:rsidRPr="00DF2A48">
        <w:rPr>
          <w:color w:val="000000" w:themeColor="text1"/>
        </w:rPr>
        <w:fldChar w:fldCharType="begin" w:fldLock="1"/>
      </w:r>
      <w:r>
        <w:rPr>
          <w:color w:val="000000" w:themeColor="text1"/>
        </w:rPr>
        <w:instrText>ADDIN CSL_CITATION {"citationItems":[{"id":"ITEM-1","itemData":{"DOI":"https://doi.org/10.1016/j.tim.2024.11.009","ISSN":"0966-842X","abstract":"The traditional view of metabolism as merely supplying energy and biosynthetic precursors is undergoing a paradigm shift. Metabolic dynamics not only regulates gene expression but also orchestrates cellular processes with remarkable precision. Most bacterial pathogens exhibit exceptional metabolic plasticity, enabling them to adapt to diverse environments, including hostile conditions within a host. While the role of intracellular bacterial metabolism in pathogen–host interactions has been extensively studied, the contributions of the extracellularly released or secreted bacterial metabolites (referred to here as the bacterial ‘exometabolome’) to metabolic adaptations and disease pathogenesis remain largely unexplored. In this review, we highlight the significant and intriguing roles of bacterial exometabolomes in drug tolerance, immune suppression, and disease pathogenesis, opening a new frontier in our understanding of bacterial–host interactions.","author":[{"dropping-particle":"","family":"Chugh","given":"Saurabh","non-dropping-particle":"","parse-names":false,"suffix":""},{"dropping-particle":"","family":"Létisse","given":"Fabien","non-dropping-particle":"","parse-names":false,"suffix":""},{"dropping-particle":"","family":"Neyrolles","given":"Olivier","non-dropping-particle":"","parse-names":false,"suffix":""}],"container-title":"Trends in Microbiology","id":"ITEM-1","issue":"5","issued":{"date-parts":[["2025"]]},"page":"546-557","title":"The exometabolome as a hidden driver of bacterial virulence and pathogenesis","type":"article-journal","volume":"33"},"uris":["http://www.mendeley.com/documents/?uuid=bd53f4a6-fb5b-49e6-ab94-39ed142b421a"]}],"mendeley":{"formattedCitation":"&lt;sup&gt;39&lt;/sup&gt;","plainTextFormattedCitation":"39","previouslyFormattedCitation":"&lt;sup&gt;39&lt;/sup&gt;"},"properties":{"noteIndex":0},"schema":"https://github.com/citation-style-language/schema/raw/master/csl-citation.json"}</w:instrText>
      </w:r>
      <w:r w:rsidRPr="00DF2A48">
        <w:rPr>
          <w:color w:val="000000" w:themeColor="text1"/>
        </w:rPr>
        <w:fldChar w:fldCharType="separate"/>
      </w:r>
      <w:r w:rsidRPr="001F530E">
        <w:rPr>
          <w:noProof/>
          <w:color w:val="000000" w:themeColor="text1"/>
          <w:vertAlign w:val="superscript"/>
        </w:rPr>
        <w:t>39</w:t>
      </w:r>
      <w:r w:rsidRPr="00DF2A48">
        <w:rPr>
          <w:color w:val="000000" w:themeColor="text1"/>
        </w:rPr>
        <w:fldChar w:fldCharType="end"/>
      </w:r>
      <w:r w:rsidRPr="00DF2A48">
        <w:rPr>
          <w:color w:val="000000" w:themeColor="text1"/>
        </w:rPr>
        <w:t>,</w:t>
      </w:r>
      <w:r w:rsidRPr="00DF2A48">
        <w:rPr>
          <w:color w:val="000000" w:themeColor="text1"/>
        </w:rPr>
        <w:fldChar w:fldCharType="begin" w:fldLock="1"/>
      </w:r>
      <w:r>
        <w:rPr>
          <w:color w:val="000000" w:themeColor="text1"/>
        </w:rPr>
        <w:instrText>ADDIN CSL_CITATION {"citationItems":[{"id":"ITEM-1","itemData":{"DOI":"https://doi.org/10.1016/j.copbio.2015.03.015","ISSN":"0958-1669","abstract":"Metabolism is at the heart of many biotechnologies from biofuels to medical diagnostics. Metabolomic methods that provide glimpses into cellular metabolism have rapidly developed into a critical component of the biotechnological development process. Most metabolomics methods have focused on what is happening inside the cell. Equally important are the biochemical transformations of the cell, and their effect on other cells and their environment; the exometabolome. Exometabolomics is therefore gaining popularity as a robust approach for obtaining rich phenotypic data, and being used in bioprocessing and biofuel development. Mass spectrometry imaging approaches, including several nanotechnologies, provide complimentary information by localizing metabolic processes within complex biological matrices. Together, the two technologies can provide new insights into the metabolism and interactions of cells.","author":[{"dropping-particle":"","family":"Silva","given":"Leslie P","non-dropping-particle":"","parse-names":false,"suffix":""},{"dropping-particle":"","family":"Northen","given":"Trent R","non-dropping-particle":"","parse-names":false,"suffix":""}],"container-title":"Current Opinion in Biotechnology","id":"ITEM-1","issued":{"date-parts":[["2015"]]},"page":"209-216","title":"Exometabolomics and MSI: deconstructing how cells interact to transform their small molecule environment","type":"article-journal","volume":"34"},"uris":["http://www.mendeley.com/documents/?uuid=ad18a3a1-6b4b-45a3-9979-c1e7d3ad0935"]}],"mendeley":{"formattedCitation":"&lt;sup&gt;87&lt;/sup&gt;","plainTextFormattedCitation":"87","previouslyFormattedCitation":"&lt;sup&gt;86&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87</w:t>
      </w:r>
      <w:r w:rsidRPr="00DF2A48">
        <w:rPr>
          <w:color w:val="000000" w:themeColor="text1"/>
        </w:rPr>
        <w:fldChar w:fldCharType="end"/>
      </w:r>
      <w:r w:rsidRPr="00DF2A48">
        <w:rPr>
          <w:color w:val="000000" w:themeColor="text1"/>
        </w:rPr>
        <w:t xml:space="preserve"> This may allow to elucidate the secretion pattern as well as the resource utilization by the species. The overlapping groups portrays that the media EMJH (in house) at both 28°C and 37°C have similarities in their metabolic profile (</w:t>
      </w:r>
      <w:r w:rsidRPr="00DF2A48">
        <w:rPr>
          <w:b/>
          <w:bCs/>
          <w:color w:val="000000" w:themeColor="text1"/>
        </w:rPr>
        <w:t>Figure 50)</w:t>
      </w:r>
      <w:r w:rsidRPr="00DF2A48">
        <w:rPr>
          <w:color w:val="000000" w:themeColor="text1"/>
        </w:rPr>
        <w:t>. The three- dimensional view (</w:t>
      </w:r>
      <w:r w:rsidRPr="00DF2A48">
        <w:rPr>
          <w:b/>
          <w:bCs/>
          <w:color w:val="000000" w:themeColor="text1"/>
        </w:rPr>
        <w:t>Figure 51)</w:t>
      </w:r>
      <w:r w:rsidRPr="00DF2A48">
        <w:rPr>
          <w:color w:val="000000" w:themeColor="text1"/>
        </w:rPr>
        <w:t xml:space="preserve"> of the PLS-DA model confirms that the metabolic profile of the </w:t>
      </w:r>
    </w:p>
    <w:p w14:paraId="56519A9D"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43070D77" wp14:editId="762D6776">
            <wp:extent cx="5406126" cy="5702968"/>
            <wp:effectExtent l="0" t="0" r="4445" b="0"/>
            <wp:docPr id="248181694" name="Picture 42" descr="A screenshot of a data analys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81694" name="Picture 42" descr="A screenshot of a data analysis&#10;&#10;AI-generated content may be incorrect."/>
                    <pic:cNvPicPr/>
                  </pic:nvPicPr>
                  <pic:blipFill rotWithShape="1">
                    <a:blip r:embed="rId51">
                      <a:extLst>
                        <a:ext uri="{28A0092B-C50C-407E-A947-70E740481C1C}">
                          <a14:useLocalDpi xmlns:a14="http://schemas.microsoft.com/office/drawing/2010/main" val="0"/>
                        </a:ext>
                      </a:extLst>
                    </a:blip>
                    <a:srcRect r="1637" b="13530"/>
                    <a:stretch>
                      <a:fillRect/>
                    </a:stretch>
                  </pic:blipFill>
                  <pic:spPr bwMode="auto">
                    <a:xfrm>
                      <a:off x="0" y="0"/>
                      <a:ext cx="5429260" cy="5727372"/>
                    </a:xfrm>
                    <a:prstGeom prst="rect">
                      <a:avLst/>
                    </a:prstGeom>
                    <a:ln>
                      <a:noFill/>
                    </a:ln>
                    <a:extLst>
                      <a:ext uri="{53640926-AAD7-44D8-BBD7-CCE9431645EC}">
                        <a14:shadowObscured xmlns:a14="http://schemas.microsoft.com/office/drawing/2010/main"/>
                      </a:ext>
                    </a:extLst>
                  </pic:spPr>
                </pic:pic>
              </a:graphicData>
            </a:graphic>
          </wp:inline>
        </w:drawing>
      </w:r>
    </w:p>
    <w:p w14:paraId="13A54B62" w14:textId="77777777" w:rsidR="00DF2A48" w:rsidRPr="00DF2A48" w:rsidRDefault="00DF2A48" w:rsidP="00CA1108">
      <w:pPr>
        <w:rPr>
          <w:color w:val="000000" w:themeColor="text1"/>
        </w:rPr>
      </w:pPr>
      <w:r w:rsidRPr="00DF2A48">
        <w:rPr>
          <w:b/>
          <w:bCs/>
          <w:color w:val="000000" w:themeColor="text1"/>
        </w:rPr>
        <w:t>Figure 42:</w:t>
      </w:r>
      <w:r w:rsidRPr="00DF2A48">
        <w:rPr>
          <w:color w:val="000000" w:themeColor="text1"/>
        </w:rPr>
        <w:t xml:space="preserve"> Visualization of metabolites abundance across the pellets grown in A28, A37°C, and B28. A represents the EMJH (in house) media and B represents the EMJH (Difco) media with 28 and 37°C representing the temperature at which the pellets were inoculated. Data underwent log2 transformation and pareto scaling</w:t>
      </w:r>
      <w:r w:rsidRPr="00DF2A48">
        <w:rPr>
          <w:color w:val="000000" w:themeColor="text1"/>
        </w:rPr>
        <w:br w:type="page"/>
      </w:r>
    </w:p>
    <w:p w14:paraId="4749B9FB" w14:textId="77777777" w:rsidR="00DF2A48" w:rsidRPr="00DF2A48" w:rsidRDefault="00DF2A48" w:rsidP="00DF2A48">
      <w:pPr>
        <w:rPr>
          <w:color w:val="000000" w:themeColor="text1"/>
        </w:rPr>
      </w:pPr>
      <w:r w:rsidRPr="00DF2A48">
        <w:rPr>
          <w:noProof/>
          <w:color w:val="000000" w:themeColor="text1"/>
        </w:rPr>
        <w:lastRenderedPageBreak/>
        <w:drawing>
          <wp:inline distT="0" distB="0" distL="0" distR="0" wp14:anchorId="08D328ED" wp14:editId="27D5B948">
            <wp:extent cx="5943600" cy="5283200"/>
            <wp:effectExtent l="0" t="0" r="0" b="0"/>
            <wp:docPr id="643278190" name="Picture 44" descr="A graph with different colored circl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15" name="Picture 44" descr="A graph with different colored circles and numbers&#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7270A1AE" w14:textId="77777777" w:rsidR="00DF2A48" w:rsidRPr="00DF2A48" w:rsidRDefault="00DF2A48" w:rsidP="00CA1108">
      <w:pPr>
        <w:rPr>
          <w:color w:val="000000" w:themeColor="text1"/>
        </w:rPr>
      </w:pPr>
      <w:r w:rsidRPr="00DF2A48">
        <w:rPr>
          <w:b/>
          <w:bCs/>
          <w:color w:val="000000" w:themeColor="text1"/>
        </w:rPr>
        <w:t>Figure 43:</w:t>
      </w:r>
      <w:r w:rsidRPr="00DF2A48">
        <w:rPr>
          <w:color w:val="000000" w:themeColor="text1"/>
        </w:rPr>
        <w:t xml:space="preserve"> Partial Least Squares Discriminant Analysis PLS-DA plot shows 2 distinct groups and one overlapping group among the cell pellets EMJH (in house) media, and EMJH (Difco media). </w:t>
      </w:r>
    </w:p>
    <w:p w14:paraId="65F785B2" w14:textId="77777777" w:rsidR="00DF2A48" w:rsidRPr="00DF2A48" w:rsidRDefault="00DF2A48" w:rsidP="00CA1108">
      <w:pPr>
        <w:rPr>
          <w:color w:val="000000" w:themeColor="text1"/>
        </w:rPr>
      </w:pPr>
    </w:p>
    <w:p w14:paraId="63D0F6AC" w14:textId="77777777" w:rsidR="00DF2A48" w:rsidRPr="00DF2A48" w:rsidRDefault="00DF2A48" w:rsidP="00DF2A48">
      <w:pPr>
        <w:rPr>
          <w:color w:val="000000" w:themeColor="text1"/>
        </w:rPr>
      </w:pPr>
    </w:p>
    <w:p w14:paraId="62940BBC" w14:textId="77777777" w:rsidR="00DF2A48" w:rsidRPr="00DF2A48" w:rsidRDefault="00DF2A48" w:rsidP="00DF2A48">
      <w:pPr>
        <w:rPr>
          <w:color w:val="000000" w:themeColor="text1"/>
        </w:rPr>
      </w:pPr>
      <w:r w:rsidRPr="00DF2A48">
        <w:rPr>
          <w:color w:val="000000" w:themeColor="text1"/>
        </w:rPr>
        <w:br w:type="page"/>
      </w:r>
    </w:p>
    <w:p w14:paraId="649310AC" w14:textId="77777777" w:rsidR="00DF2A48" w:rsidRPr="00DF2A48" w:rsidRDefault="00DF2A48" w:rsidP="00DF2A48">
      <w:pPr>
        <w:rPr>
          <w:color w:val="000000" w:themeColor="text1"/>
        </w:rPr>
      </w:pPr>
      <w:r w:rsidRPr="00DF2A48">
        <w:rPr>
          <w:noProof/>
          <w:color w:val="000000" w:themeColor="text1"/>
        </w:rPr>
        <w:lastRenderedPageBreak/>
        <w:drawing>
          <wp:inline distT="0" distB="0" distL="0" distR="0" wp14:anchorId="4D31D270" wp14:editId="0B62FBA1">
            <wp:extent cx="5885234" cy="5345576"/>
            <wp:effectExtent l="0" t="0" r="0" b="1270"/>
            <wp:docPr id="1562080165" name="Picture 45" descr="A graph with colored circles and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17576" name="Picture 45" descr="A graph with colored circles and grid&#10;&#10;AI-generated content may be incorrect."/>
                    <pic:cNvPicPr/>
                  </pic:nvPicPr>
                  <pic:blipFill rotWithShape="1">
                    <a:blip r:embed="rId53">
                      <a:extLst>
                        <a:ext uri="{28A0092B-C50C-407E-A947-70E740481C1C}">
                          <a14:useLocalDpi xmlns:a14="http://schemas.microsoft.com/office/drawing/2010/main" val="0"/>
                        </a:ext>
                      </a:extLst>
                    </a:blip>
                    <a:srcRect l="11151" t="29364" r="29460"/>
                    <a:stretch>
                      <a:fillRect/>
                    </a:stretch>
                  </pic:blipFill>
                  <pic:spPr bwMode="auto">
                    <a:xfrm>
                      <a:off x="0" y="0"/>
                      <a:ext cx="5925080" cy="5381768"/>
                    </a:xfrm>
                    <a:prstGeom prst="rect">
                      <a:avLst/>
                    </a:prstGeom>
                    <a:ln>
                      <a:noFill/>
                    </a:ln>
                    <a:extLst>
                      <a:ext uri="{53640926-AAD7-44D8-BBD7-CCE9431645EC}">
                        <a14:shadowObscured xmlns:a14="http://schemas.microsoft.com/office/drawing/2010/main"/>
                      </a:ext>
                    </a:extLst>
                  </pic:spPr>
                </pic:pic>
              </a:graphicData>
            </a:graphic>
          </wp:inline>
        </w:drawing>
      </w:r>
    </w:p>
    <w:p w14:paraId="78F38D78" w14:textId="77777777" w:rsidR="00DF2A48" w:rsidRPr="00DF2A48" w:rsidRDefault="00DF2A48" w:rsidP="00F00898">
      <w:pPr>
        <w:jc w:val="both"/>
        <w:rPr>
          <w:color w:val="000000" w:themeColor="text1"/>
        </w:rPr>
      </w:pPr>
      <w:r w:rsidRPr="00DF2A48">
        <w:rPr>
          <w:b/>
          <w:bCs/>
          <w:color w:val="000000" w:themeColor="text1"/>
        </w:rPr>
        <w:t>Figure 44:</w:t>
      </w:r>
      <w:r w:rsidRPr="00DF2A48">
        <w:rPr>
          <w:color w:val="000000" w:themeColor="text1"/>
        </w:rPr>
        <w:t xml:space="preserve"> Three-dimensional representation of the PLS-DA for improved visualization of the separation between the 3 groups.</w:t>
      </w:r>
    </w:p>
    <w:p w14:paraId="32871F84" w14:textId="77777777" w:rsidR="00DF2A48" w:rsidRPr="00DF2A48" w:rsidRDefault="00DF2A48" w:rsidP="00F00898">
      <w:pPr>
        <w:jc w:val="both"/>
        <w:rPr>
          <w:color w:val="000000" w:themeColor="text1"/>
        </w:rPr>
      </w:pPr>
      <w:r w:rsidRPr="00DF2A48">
        <w:rPr>
          <w:color w:val="000000" w:themeColor="text1"/>
        </w:rPr>
        <w:t xml:space="preserve"> </w:t>
      </w:r>
    </w:p>
    <w:p w14:paraId="04D0EC97" w14:textId="77777777" w:rsidR="00DF2A48" w:rsidRPr="00DF2A48" w:rsidRDefault="00DF2A48" w:rsidP="00DF2A48">
      <w:pPr>
        <w:rPr>
          <w:color w:val="000000" w:themeColor="text1"/>
        </w:rPr>
      </w:pPr>
    </w:p>
    <w:p w14:paraId="5E1103F7" w14:textId="77777777" w:rsidR="00DF2A48" w:rsidRPr="00DF2A48" w:rsidRDefault="00DF2A48" w:rsidP="00DF2A48">
      <w:pPr>
        <w:spacing w:line="360" w:lineRule="auto"/>
        <w:rPr>
          <w:noProof/>
          <w:color w:val="000000" w:themeColor="text1"/>
        </w:rPr>
      </w:pPr>
      <w:r w:rsidRPr="00DF2A48">
        <w:rPr>
          <w:noProof/>
          <w:color w:val="000000" w:themeColor="text1"/>
        </w:rPr>
        <w:lastRenderedPageBreak/>
        <w:drawing>
          <wp:inline distT="0" distB="0" distL="0" distR="0" wp14:anchorId="6F5BFEB1" wp14:editId="3746B6C6">
            <wp:extent cx="5943600" cy="5234940"/>
            <wp:effectExtent l="0" t="0" r="0" b="0"/>
            <wp:docPr id="578464196" name="Picture 43"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64196" name="Picture 43" descr="A graph with different colored squares&#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5234940"/>
                    </a:xfrm>
                    <a:prstGeom prst="rect">
                      <a:avLst/>
                    </a:prstGeom>
                  </pic:spPr>
                </pic:pic>
              </a:graphicData>
            </a:graphic>
          </wp:inline>
        </w:drawing>
      </w:r>
    </w:p>
    <w:p w14:paraId="4DD213E4" w14:textId="77777777" w:rsidR="00DF2A48" w:rsidRPr="00DF2A48" w:rsidRDefault="00DF2A48" w:rsidP="00DF2A48">
      <w:pPr>
        <w:spacing w:line="360" w:lineRule="auto"/>
        <w:rPr>
          <w:noProof/>
          <w:color w:val="000000" w:themeColor="text1"/>
        </w:rPr>
      </w:pPr>
    </w:p>
    <w:p w14:paraId="0F51E0A8" w14:textId="77777777" w:rsidR="00DF2A48" w:rsidRPr="00DF2A48" w:rsidRDefault="00DF2A48" w:rsidP="00DF2A48">
      <w:pPr>
        <w:tabs>
          <w:tab w:val="left" w:pos="1639"/>
        </w:tabs>
        <w:jc w:val="both"/>
        <w:rPr>
          <w:color w:val="000000" w:themeColor="text1"/>
        </w:rPr>
      </w:pPr>
      <w:r w:rsidRPr="00DF2A48">
        <w:rPr>
          <w:b/>
          <w:bCs/>
          <w:noProof/>
          <w:color w:val="000000" w:themeColor="text1"/>
        </w:rPr>
        <w:t>Figure 45:</w:t>
      </w:r>
      <w:r w:rsidRPr="00DF2A48">
        <w:rPr>
          <w:noProof/>
          <w:color w:val="000000" w:themeColor="text1"/>
        </w:rPr>
        <w:t xml:space="preserve"> </w:t>
      </w:r>
      <w:r w:rsidRPr="00DF2A48">
        <w:rPr>
          <w:color w:val="000000" w:themeColor="text1"/>
        </w:rPr>
        <w:t>Variable importance in projection (VIP) score plot demonstrating the metabolites of significance in the PLS-DA model among the three groups – pellets from media EMJH (in house) at 28°C, EMJH (in house) at 37°C, EMJH (Difco) at 28°C.</w:t>
      </w:r>
    </w:p>
    <w:p w14:paraId="314A0736" w14:textId="28B52F2C" w:rsidR="00DF2A48" w:rsidRPr="00DF2A48" w:rsidRDefault="00DF2A48" w:rsidP="00A031A4">
      <w:pPr>
        <w:spacing w:line="360" w:lineRule="auto"/>
        <w:rPr>
          <w:color w:val="000000" w:themeColor="text1"/>
        </w:rPr>
      </w:pPr>
    </w:p>
    <w:p w14:paraId="413AB310" w14:textId="77777777" w:rsidR="00DF2A48" w:rsidRPr="00DF2A48" w:rsidRDefault="00DF2A48" w:rsidP="00DF2A48">
      <w:pPr>
        <w:tabs>
          <w:tab w:val="left" w:pos="1639"/>
        </w:tabs>
        <w:spacing w:line="360" w:lineRule="auto"/>
        <w:rPr>
          <w:rFonts w:ascii="Helvetica Neue" w:hAnsi="Helvetica Neue" w:cstheme="minorBidi"/>
          <w:color w:val="000000" w:themeColor="text1"/>
        </w:rPr>
      </w:pPr>
      <w:r w:rsidRPr="00DF2A48">
        <w:rPr>
          <w:noProof/>
          <w:color w:val="000000" w:themeColor="text1"/>
        </w:rPr>
        <w:lastRenderedPageBreak/>
        <w:drawing>
          <wp:inline distT="0" distB="0" distL="0" distR="0" wp14:anchorId="2EDEA81E" wp14:editId="2EE446BD">
            <wp:extent cx="5787957" cy="6015307"/>
            <wp:effectExtent l="0" t="0" r="3810" b="5080"/>
            <wp:docPr id="1582302997" name="Picture 46" descr="A screenshot of a data analys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02997" name="Picture 46" descr="A screenshot of a data analysis&#10;&#10;AI-generated content may be incorrect."/>
                    <pic:cNvPicPr/>
                  </pic:nvPicPr>
                  <pic:blipFill rotWithShape="1">
                    <a:blip r:embed="rId55">
                      <a:extLst>
                        <a:ext uri="{28A0092B-C50C-407E-A947-70E740481C1C}">
                          <a14:useLocalDpi xmlns:a14="http://schemas.microsoft.com/office/drawing/2010/main" val="0"/>
                        </a:ext>
                      </a:extLst>
                    </a:blip>
                    <a:srcRect b="13393"/>
                    <a:stretch>
                      <a:fillRect/>
                    </a:stretch>
                  </pic:blipFill>
                  <pic:spPr bwMode="auto">
                    <a:xfrm>
                      <a:off x="0" y="0"/>
                      <a:ext cx="5824314" cy="6053092"/>
                    </a:xfrm>
                    <a:prstGeom prst="rect">
                      <a:avLst/>
                    </a:prstGeom>
                    <a:ln>
                      <a:noFill/>
                    </a:ln>
                    <a:extLst>
                      <a:ext uri="{53640926-AAD7-44D8-BBD7-CCE9431645EC}">
                        <a14:shadowObscured xmlns:a14="http://schemas.microsoft.com/office/drawing/2010/main"/>
                      </a:ext>
                    </a:extLst>
                  </pic:spPr>
                </pic:pic>
              </a:graphicData>
            </a:graphic>
          </wp:inline>
        </w:drawing>
      </w:r>
    </w:p>
    <w:p w14:paraId="03F453EB" w14:textId="77777777" w:rsidR="00DF2A48" w:rsidRPr="00DF2A48" w:rsidRDefault="00DF2A48" w:rsidP="00CA1108">
      <w:pPr>
        <w:rPr>
          <w:color w:val="000000" w:themeColor="text1"/>
        </w:rPr>
      </w:pPr>
      <w:r w:rsidRPr="00DF2A48">
        <w:rPr>
          <w:b/>
          <w:bCs/>
          <w:color w:val="000000" w:themeColor="text1"/>
        </w:rPr>
        <w:t xml:space="preserve">Figure 46: </w:t>
      </w:r>
      <w:r w:rsidRPr="00DF2A48">
        <w:rPr>
          <w:color w:val="000000" w:themeColor="text1"/>
        </w:rPr>
        <w:t>Visualization of metabolites abundance across the media samples. The media EMJH (Difco) is represented as “B”, and media EMJH (in house) is represented as “A”.  The numbers 28 and 37°C associated with A and B are representative of the corresponding temperatures. Data underwent log2 transformation and pareto scaling.</w:t>
      </w:r>
      <w:r w:rsidRPr="00DF2A48">
        <w:rPr>
          <w:b/>
          <w:bCs/>
          <w:color w:val="000000" w:themeColor="text1"/>
        </w:rPr>
        <w:br w:type="page"/>
      </w:r>
    </w:p>
    <w:p w14:paraId="4F440F73"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067A9136" wp14:editId="27218236">
            <wp:extent cx="5943600" cy="5283200"/>
            <wp:effectExtent l="0" t="0" r="0" b="0"/>
            <wp:docPr id="1972191864" name="Picture 48" descr="A graph with colored circl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44971" name="Picture 48" descr="A graph with colored circles and numbers&#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011187A5" w14:textId="3311EF50" w:rsidR="00DF2A48" w:rsidRPr="00DF2A48" w:rsidRDefault="00DF2A48" w:rsidP="00CA1108">
      <w:pPr>
        <w:rPr>
          <w:color w:val="000000" w:themeColor="text1"/>
        </w:rPr>
      </w:pPr>
      <w:r w:rsidRPr="00DF2A48">
        <w:rPr>
          <w:b/>
          <w:bCs/>
          <w:color w:val="000000" w:themeColor="text1"/>
        </w:rPr>
        <w:t>Figure 47:</w:t>
      </w:r>
      <w:r w:rsidRPr="00DF2A48">
        <w:rPr>
          <w:color w:val="000000" w:themeColor="text1"/>
        </w:rPr>
        <w:t xml:space="preserve"> Partial Least Squares Discriminant Analysis PLS-DA plot shows 3 distinct groups of the media samples at different temperatures. The media EMJH (Difco) is represented as “B”, and media EMJH (in house) is represented as “A”.  The numbers 28 and 37°C associated with A and B are representative of the corresponding temperatures</w:t>
      </w:r>
      <w:r w:rsidR="00F00898">
        <w:rPr>
          <w:color w:val="000000" w:themeColor="text1"/>
        </w:rPr>
        <w:t>.</w:t>
      </w:r>
    </w:p>
    <w:p w14:paraId="188D88C1" w14:textId="77777777" w:rsidR="00DF2A48" w:rsidRPr="00DF2A48" w:rsidRDefault="00DF2A48" w:rsidP="00CA1108">
      <w:pPr>
        <w:rPr>
          <w:color w:val="000000" w:themeColor="text1"/>
        </w:rPr>
      </w:pPr>
      <w:r w:rsidRPr="00DF2A48">
        <w:rPr>
          <w:color w:val="000000" w:themeColor="text1"/>
        </w:rPr>
        <w:br w:type="page"/>
      </w:r>
    </w:p>
    <w:p w14:paraId="08C4165B"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4B8D10EE" wp14:editId="7DCF66F4">
            <wp:extent cx="5943600" cy="5234940"/>
            <wp:effectExtent l="0" t="0" r="0" b="0"/>
            <wp:docPr id="220885718" name="Picture 47"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85718" name="Picture 47" descr="A graph with different colored squares&#10;&#10;AI-generated content may be incorrec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5234940"/>
                    </a:xfrm>
                    <a:prstGeom prst="rect">
                      <a:avLst/>
                    </a:prstGeom>
                  </pic:spPr>
                </pic:pic>
              </a:graphicData>
            </a:graphic>
          </wp:inline>
        </w:drawing>
      </w:r>
    </w:p>
    <w:p w14:paraId="659A4F8D" w14:textId="77777777" w:rsidR="00DF2A48" w:rsidRPr="00DF2A48" w:rsidRDefault="00DF2A48" w:rsidP="00DF2A48">
      <w:pPr>
        <w:spacing w:line="360" w:lineRule="auto"/>
        <w:rPr>
          <w:color w:val="000000" w:themeColor="text1"/>
        </w:rPr>
      </w:pPr>
    </w:p>
    <w:p w14:paraId="6BEAB60A" w14:textId="7A42F303" w:rsidR="00DF2A48" w:rsidRPr="00DF2A48" w:rsidRDefault="00DF2A48" w:rsidP="00DF2A48">
      <w:pPr>
        <w:jc w:val="both"/>
        <w:rPr>
          <w:color w:val="000000" w:themeColor="text1"/>
        </w:rPr>
      </w:pPr>
      <w:r w:rsidRPr="00DF2A48">
        <w:rPr>
          <w:b/>
          <w:bCs/>
          <w:color w:val="000000" w:themeColor="text1"/>
        </w:rPr>
        <w:t>Figure 48:</w:t>
      </w:r>
      <w:r w:rsidRPr="00DF2A48">
        <w:rPr>
          <w:color w:val="000000" w:themeColor="text1"/>
        </w:rPr>
        <w:t xml:space="preserve"> Variable importance in projection (VIP) score plot demonstrating the metabolites of significance in the PLS-DA model between the three groups in </w:t>
      </w:r>
      <w:r w:rsidR="00F40B9B">
        <w:rPr>
          <w:b/>
          <w:bCs/>
          <w:color w:val="000000" w:themeColor="text1"/>
        </w:rPr>
        <w:t>F</w:t>
      </w:r>
      <w:r w:rsidRPr="003950DA">
        <w:rPr>
          <w:b/>
          <w:bCs/>
          <w:color w:val="000000" w:themeColor="text1"/>
        </w:rPr>
        <w:t>igure 47</w:t>
      </w:r>
      <w:r w:rsidRPr="00DF2A48">
        <w:rPr>
          <w:color w:val="000000" w:themeColor="text1"/>
        </w:rPr>
        <w:t xml:space="preserve">.  </w:t>
      </w:r>
    </w:p>
    <w:p w14:paraId="62CB048C" w14:textId="71E773A6" w:rsidR="00DF2A48" w:rsidRPr="00DF2A48" w:rsidRDefault="00DF2A48" w:rsidP="00DF2A48">
      <w:pPr>
        <w:spacing w:line="360" w:lineRule="auto"/>
        <w:jc w:val="both"/>
        <w:rPr>
          <w:color w:val="000000" w:themeColor="text1"/>
        </w:rPr>
      </w:pPr>
    </w:p>
    <w:p w14:paraId="37DD7803" w14:textId="77777777" w:rsidR="00DF2A48" w:rsidRPr="00DF2A48" w:rsidRDefault="00DF2A48" w:rsidP="00DF2A48">
      <w:pPr>
        <w:spacing w:line="360" w:lineRule="auto"/>
        <w:rPr>
          <w:b/>
          <w:bCs/>
          <w:color w:val="000000" w:themeColor="text1"/>
        </w:rPr>
      </w:pPr>
      <w:r w:rsidRPr="00DF2A48">
        <w:rPr>
          <w:noProof/>
          <w:color w:val="000000" w:themeColor="text1"/>
        </w:rPr>
        <w:lastRenderedPageBreak/>
        <w:drawing>
          <wp:inline distT="0" distB="0" distL="0" distR="0" wp14:anchorId="18AD9F72" wp14:editId="04DAF133">
            <wp:extent cx="5942679" cy="6821906"/>
            <wp:effectExtent l="0" t="0" r="1270" b="0"/>
            <wp:docPr id="150393132" name="Picture 49"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3132" name="Picture 49" descr="A screenshot of a computer screen&#10;&#10;AI-generated content may be incorrect."/>
                    <pic:cNvPicPr/>
                  </pic:nvPicPr>
                  <pic:blipFill rotWithShape="1">
                    <a:blip r:embed="rId58">
                      <a:extLst>
                        <a:ext uri="{28A0092B-C50C-407E-A947-70E740481C1C}">
                          <a14:useLocalDpi xmlns:a14="http://schemas.microsoft.com/office/drawing/2010/main" val="0"/>
                        </a:ext>
                      </a:extLst>
                    </a:blip>
                    <a:srcRect b="14894"/>
                    <a:stretch>
                      <a:fillRect/>
                    </a:stretch>
                  </pic:blipFill>
                  <pic:spPr bwMode="auto">
                    <a:xfrm>
                      <a:off x="0" y="0"/>
                      <a:ext cx="6034774" cy="6927627"/>
                    </a:xfrm>
                    <a:prstGeom prst="rect">
                      <a:avLst/>
                    </a:prstGeom>
                    <a:ln>
                      <a:noFill/>
                    </a:ln>
                    <a:extLst>
                      <a:ext uri="{53640926-AAD7-44D8-BBD7-CCE9431645EC}">
                        <a14:shadowObscured xmlns:a14="http://schemas.microsoft.com/office/drawing/2010/main"/>
                      </a:ext>
                    </a:extLst>
                  </pic:spPr>
                </pic:pic>
              </a:graphicData>
            </a:graphic>
          </wp:inline>
        </w:drawing>
      </w:r>
    </w:p>
    <w:p w14:paraId="4651EC92" w14:textId="77777777" w:rsidR="00DF2A48" w:rsidRPr="00DF2A48" w:rsidRDefault="00DF2A48" w:rsidP="00CA1108">
      <w:pPr>
        <w:rPr>
          <w:b/>
          <w:bCs/>
          <w:color w:val="000000" w:themeColor="text1"/>
        </w:rPr>
      </w:pPr>
      <w:r w:rsidRPr="00DF2A48">
        <w:rPr>
          <w:b/>
          <w:bCs/>
          <w:color w:val="000000" w:themeColor="text1"/>
        </w:rPr>
        <w:t xml:space="preserve">Figure 49: </w:t>
      </w:r>
      <w:r w:rsidRPr="00DF2A48">
        <w:rPr>
          <w:color w:val="000000" w:themeColor="text1"/>
        </w:rPr>
        <w:t>Visualization of metabolites abundance across the supernatant samples. The media EMJH (Difco) is represented as “B”, and media EMJH (in house) is represented as “A”.  The numbers 28 and 37°C associated with A and B are representative of the corresponding temperatures. Data underwent log2 transformation and pareto scaling.</w:t>
      </w:r>
      <w:r w:rsidRPr="00DF2A48">
        <w:rPr>
          <w:b/>
          <w:bCs/>
          <w:color w:val="000000" w:themeColor="text1"/>
        </w:rPr>
        <w:br w:type="page"/>
      </w:r>
    </w:p>
    <w:p w14:paraId="4FED82F1" w14:textId="77777777" w:rsidR="00DF2A48" w:rsidRPr="00DF2A48" w:rsidRDefault="00DF2A48" w:rsidP="00DF2A48">
      <w:pPr>
        <w:rPr>
          <w:color w:val="000000" w:themeColor="text1"/>
        </w:rPr>
      </w:pPr>
      <w:r w:rsidRPr="00DF2A48">
        <w:rPr>
          <w:noProof/>
          <w:color w:val="000000" w:themeColor="text1"/>
        </w:rPr>
        <w:lastRenderedPageBreak/>
        <w:drawing>
          <wp:inline distT="0" distB="0" distL="0" distR="0" wp14:anchorId="11C9EB77" wp14:editId="0A5B0156">
            <wp:extent cx="5943600" cy="5283200"/>
            <wp:effectExtent l="0" t="0" r="0" b="0"/>
            <wp:docPr id="929122475" name="Picture 51" descr="A graph with colored circl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49927" name="Picture 51" descr="A graph with colored circles and numbers&#10;&#10;AI-generated content may be incorrect."/>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65C53296" w14:textId="77777777" w:rsidR="00DF2A48" w:rsidRPr="00DF2A48" w:rsidRDefault="00DF2A48" w:rsidP="00DF2A48">
      <w:pPr>
        <w:jc w:val="both"/>
        <w:rPr>
          <w:color w:val="000000" w:themeColor="text1"/>
        </w:rPr>
      </w:pPr>
      <w:r w:rsidRPr="00DF2A48">
        <w:rPr>
          <w:b/>
          <w:bCs/>
          <w:color w:val="000000" w:themeColor="text1"/>
        </w:rPr>
        <w:t>Figure 50:</w:t>
      </w:r>
      <w:r w:rsidRPr="00DF2A48">
        <w:rPr>
          <w:color w:val="000000" w:themeColor="text1"/>
        </w:rPr>
        <w:t xml:space="preserve"> Partial Least Squares Discriminant Analysis PLS-DA plot shows separation between supernatant from cell culture in two different media and temperatures. The multivariate analysis shows distinctive individual metabolic profile between the group. </w:t>
      </w:r>
    </w:p>
    <w:p w14:paraId="593298EE" w14:textId="77777777" w:rsidR="00DF2A48" w:rsidRPr="00DF2A48" w:rsidRDefault="00DF2A48" w:rsidP="00DF2A48">
      <w:pPr>
        <w:jc w:val="both"/>
        <w:rPr>
          <w:color w:val="000000" w:themeColor="text1"/>
        </w:rPr>
      </w:pPr>
    </w:p>
    <w:p w14:paraId="0521C6A5" w14:textId="77777777" w:rsidR="00DF2A48" w:rsidRPr="00DF2A48" w:rsidRDefault="00DF2A48" w:rsidP="00DF2A48">
      <w:pPr>
        <w:rPr>
          <w:color w:val="000000" w:themeColor="text1"/>
        </w:rPr>
      </w:pPr>
    </w:p>
    <w:p w14:paraId="7BCE55CB" w14:textId="77777777" w:rsidR="00DF2A48" w:rsidRPr="00DF2A48" w:rsidRDefault="00DF2A48" w:rsidP="00DF2A48">
      <w:pPr>
        <w:rPr>
          <w:color w:val="000000" w:themeColor="text1"/>
        </w:rPr>
      </w:pPr>
      <w:r w:rsidRPr="00DF2A48">
        <w:rPr>
          <w:color w:val="000000" w:themeColor="text1"/>
        </w:rPr>
        <w:br w:type="page"/>
      </w:r>
    </w:p>
    <w:p w14:paraId="35BE533E" w14:textId="77777777" w:rsidR="00DF2A48" w:rsidRPr="00DF2A48" w:rsidRDefault="00DF2A48" w:rsidP="00DF2A48">
      <w:pPr>
        <w:rPr>
          <w:color w:val="000000" w:themeColor="text1"/>
        </w:rPr>
      </w:pPr>
      <w:r w:rsidRPr="00DF2A48">
        <w:rPr>
          <w:noProof/>
          <w:color w:val="000000" w:themeColor="text1"/>
        </w:rPr>
        <w:lastRenderedPageBreak/>
        <w:drawing>
          <wp:inline distT="0" distB="0" distL="0" distR="0" wp14:anchorId="604EF032" wp14:editId="4F619198">
            <wp:extent cx="5878195" cy="4902740"/>
            <wp:effectExtent l="0" t="0" r="1905" b="0"/>
            <wp:docPr id="495797715" name="Picture 52" descr="A graph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5030" name="Picture 52" descr="A graph with colorful circles and dots&#10;&#10;AI-generated content may be incorrect."/>
                    <pic:cNvPicPr/>
                  </pic:nvPicPr>
                  <pic:blipFill rotWithShape="1">
                    <a:blip r:embed="rId60">
                      <a:extLst>
                        <a:ext uri="{28A0092B-C50C-407E-A947-70E740481C1C}">
                          <a14:useLocalDpi xmlns:a14="http://schemas.microsoft.com/office/drawing/2010/main" val="0"/>
                        </a:ext>
                      </a:extLst>
                    </a:blip>
                    <a:srcRect t="25935" r="20131"/>
                    <a:stretch>
                      <a:fillRect/>
                    </a:stretch>
                  </pic:blipFill>
                  <pic:spPr bwMode="auto">
                    <a:xfrm>
                      <a:off x="0" y="0"/>
                      <a:ext cx="5939979" cy="4954272"/>
                    </a:xfrm>
                    <a:prstGeom prst="rect">
                      <a:avLst/>
                    </a:prstGeom>
                    <a:ln>
                      <a:noFill/>
                    </a:ln>
                    <a:extLst>
                      <a:ext uri="{53640926-AAD7-44D8-BBD7-CCE9431645EC}">
                        <a14:shadowObscured xmlns:a14="http://schemas.microsoft.com/office/drawing/2010/main"/>
                      </a:ext>
                    </a:extLst>
                  </pic:spPr>
                </pic:pic>
              </a:graphicData>
            </a:graphic>
          </wp:inline>
        </w:drawing>
      </w:r>
    </w:p>
    <w:p w14:paraId="618C4D29" w14:textId="77777777" w:rsidR="00DF2A48" w:rsidRPr="00DF2A48" w:rsidRDefault="00DF2A48" w:rsidP="00DF2A48">
      <w:pPr>
        <w:jc w:val="both"/>
        <w:rPr>
          <w:color w:val="000000" w:themeColor="text1"/>
        </w:rPr>
      </w:pPr>
      <w:r w:rsidRPr="00DF2A48">
        <w:rPr>
          <w:b/>
          <w:bCs/>
          <w:color w:val="000000" w:themeColor="text1"/>
        </w:rPr>
        <w:t>Figure 51</w:t>
      </w:r>
      <w:r w:rsidRPr="00DF2A48">
        <w:rPr>
          <w:color w:val="000000" w:themeColor="text1"/>
        </w:rPr>
        <w:t xml:space="preserve">: Three-dimensional representation of the PLS-DA for improved visualization of the separation between the groups of supernatants from EMJH (in house) and EMJH (Difco) at 28°C and 37°C. </w:t>
      </w:r>
    </w:p>
    <w:p w14:paraId="5E78FD5A" w14:textId="77777777" w:rsidR="00DF2A48" w:rsidRDefault="00DF2A48" w:rsidP="00DF2A48">
      <w:pPr>
        <w:rPr>
          <w:color w:val="000000" w:themeColor="text1"/>
        </w:rPr>
      </w:pPr>
    </w:p>
    <w:p w14:paraId="19201AAA" w14:textId="77777777" w:rsidR="007E2377" w:rsidRDefault="007E2377" w:rsidP="00DF2A48">
      <w:pPr>
        <w:rPr>
          <w:color w:val="000000" w:themeColor="text1"/>
        </w:rPr>
      </w:pPr>
    </w:p>
    <w:p w14:paraId="787E1625" w14:textId="77777777" w:rsidR="007E2377" w:rsidRDefault="007E2377" w:rsidP="00DF2A48">
      <w:pPr>
        <w:rPr>
          <w:color w:val="000000" w:themeColor="text1"/>
        </w:rPr>
      </w:pPr>
    </w:p>
    <w:p w14:paraId="49ADB420" w14:textId="77777777" w:rsidR="007E2377" w:rsidRDefault="007E2377" w:rsidP="00DF2A48">
      <w:pPr>
        <w:rPr>
          <w:color w:val="000000" w:themeColor="text1"/>
        </w:rPr>
      </w:pPr>
    </w:p>
    <w:p w14:paraId="70046627" w14:textId="77777777" w:rsidR="007E2377" w:rsidRDefault="007E2377" w:rsidP="00DF2A48">
      <w:pPr>
        <w:rPr>
          <w:color w:val="000000" w:themeColor="text1"/>
        </w:rPr>
      </w:pPr>
    </w:p>
    <w:p w14:paraId="0897C9EB" w14:textId="77777777" w:rsidR="007E2377" w:rsidRDefault="007E2377" w:rsidP="00DF2A48">
      <w:pPr>
        <w:rPr>
          <w:color w:val="000000" w:themeColor="text1"/>
        </w:rPr>
      </w:pPr>
    </w:p>
    <w:p w14:paraId="5BC6C1D1" w14:textId="77777777" w:rsidR="007E2377" w:rsidRDefault="007E2377" w:rsidP="00DF2A48">
      <w:pPr>
        <w:rPr>
          <w:color w:val="000000" w:themeColor="text1"/>
        </w:rPr>
      </w:pPr>
    </w:p>
    <w:p w14:paraId="54308CB8" w14:textId="77777777" w:rsidR="007E2377" w:rsidRDefault="007E2377" w:rsidP="00DF2A48">
      <w:pPr>
        <w:rPr>
          <w:color w:val="000000" w:themeColor="text1"/>
        </w:rPr>
      </w:pPr>
    </w:p>
    <w:p w14:paraId="5DB73A7D" w14:textId="77777777" w:rsidR="007E2377" w:rsidRDefault="007E2377" w:rsidP="00DF2A48">
      <w:pPr>
        <w:rPr>
          <w:color w:val="000000" w:themeColor="text1"/>
        </w:rPr>
      </w:pPr>
    </w:p>
    <w:p w14:paraId="4661D3AA" w14:textId="77777777" w:rsidR="007E2377" w:rsidRDefault="007E2377" w:rsidP="00DF2A48">
      <w:pPr>
        <w:rPr>
          <w:color w:val="000000" w:themeColor="text1"/>
        </w:rPr>
      </w:pPr>
    </w:p>
    <w:p w14:paraId="0FAA2042" w14:textId="77777777" w:rsidR="007E2377" w:rsidRDefault="007E2377" w:rsidP="00DF2A48">
      <w:pPr>
        <w:rPr>
          <w:color w:val="000000" w:themeColor="text1"/>
        </w:rPr>
      </w:pPr>
    </w:p>
    <w:p w14:paraId="15855112" w14:textId="77777777" w:rsidR="007E2377" w:rsidRDefault="007E2377" w:rsidP="00DF2A48">
      <w:pPr>
        <w:rPr>
          <w:color w:val="000000" w:themeColor="text1"/>
        </w:rPr>
      </w:pPr>
    </w:p>
    <w:p w14:paraId="7BE0FF80" w14:textId="77777777" w:rsidR="007E2377" w:rsidRDefault="007E2377" w:rsidP="00DF2A48">
      <w:pPr>
        <w:rPr>
          <w:color w:val="000000" w:themeColor="text1"/>
        </w:rPr>
      </w:pPr>
    </w:p>
    <w:p w14:paraId="5AD497F3" w14:textId="77777777" w:rsidR="007E2377" w:rsidRDefault="007E2377" w:rsidP="00DF2A48">
      <w:pPr>
        <w:rPr>
          <w:color w:val="000000" w:themeColor="text1"/>
        </w:rPr>
      </w:pPr>
    </w:p>
    <w:p w14:paraId="3CE16321" w14:textId="77777777" w:rsidR="007E2377" w:rsidRDefault="007E2377" w:rsidP="00DF2A48">
      <w:pPr>
        <w:rPr>
          <w:color w:val="000000" w:themeColor="text1"/>
        </w:rPr>
      </w:pPr>
    </w:p>
    <w:p w14:paraId="1AE24808" w14:textId="28D635F9" w:rsidR="007E2377" w:rsidRDefault="007E2377" w:rsidP="007E2377">
      <w:pPr>
        <w:spacing w:line="360" w:lineRule="auto"/>
        <w:rPr>
          <w:color w:val="000000" w:themeColor="text1"/>
        </w:rPr>
      </w:pPr>
      <w:r w:rsidRPr="00DF2A48">
        <w:rPr>
          <w:color w:val="000000" w:themeColor="text1"/>
        </w:rPr>
        <w:lastRenderedPageBreak/>
        <w:t>supernatants collected from EMJH (in house) at 28°C and 37°C are not highly distinctive.</w:t>
      </w:r>
    </w:p>
    <w:p w14:paraId="26348B57" w14:textId="52CD8C56" w:rsidR="007E2377" w:rsidRPr="007512C7" w:rsidRDefault="007E2377" w:rsidP="007512C7">
      <w:pPr>
        <w:pStyle w:val="ListParagraph"/>
        <w:numPr>
          <w:ilvl w:val="0"/>
          <w:numId w:val="39"/>
        </w:numPr>
        <w:spacing w:line="360" w:lineRule="auto"/>
        <w:rPr>
          <w:b/>
          <w:bCs/>
          <w:color w:val="000000" w:themeColor="text1"/>
        </w:rPr>
      </w:pPr>
      <w:r w:rsidRPr="007512C7">
        <w:rPr>
          <w:b/>
          <w:bCs/>
          <w:color w:val="000000" w:themeColor="text1"/>
        </w:rPr>
        <w:t>Integrated comparison of sample fraction across temperature and media conditions</w:t>
      </w:r>
    </w:p>
    <w:p w14:paraId="48CA1016" w14:textId="77777777" w:rsidR="007E2377" w:rsidRPr="00DF2A48" w:rsidRDefault="007E2377" w:rsidP="007E2377">
      <w:pPr>
        <w:spacing w:line="360" w:lineRule="auto"/>
        <w:jc w:val="both"/>
        <w:rPr>
          <w:b/>
          <w:bCs/>
          <w:color w:val="000000" w:themeColor="text1"/>
        </w:rPr>
      </w:pPr>
      <w:r w:rsidRPr="00DF2A48">
        <w:rPr>
          <w:color w:val="000000" w:themeColor="text1"/>
        </w:rPr>
        <w:tab/>
        <w:t xml:space="preserve">The integrated comparisons of sample fractions and varying media compositions altogether is a holistic approach that provides how each of the variable parameters could influence the phenotypic metabolic profile of </w:t>
      </w:r>
      <w:proofErr w:type="spellStart"/>
      <w:r w:rsidRPr="00DF2A48">
        <w:rPr>
          <w:i/>
          <w:iCs/>
          <w:color w:val="000000" w:themeColor="text1"/>
        </w:rPr>
        <w:t>leptospira</w:t>
      </w:r>
      <w:proofErr w:type="spellEnd"/>
      <w:r w:rsidRPr="00DF2A48">
        <w:rPr>
          <w:i/>
          <w:iCs/>
          <w:color w:val="000000" w:themeColor="text1"/>
        </w:rPr>
        <w:t xml:space="preserve">. </w:t>
      </w:r>
      <w:r w:rsidRPr="00DF2A48">
        <w:rPr>
          <w:color w:val="000000" w:themeColor="text1"/>
        </w:rPr>
        <w:t>The integrated analysis offers revelation of interaction of the variable growth conditions to biological variations.</w:t>
      </w:r>
    </w:p>
    <w:p w14:paraId="6D9E7E3F" w14:textId="77777777" w:rsidR="007E2377" w:rsidRDefault="007E2377" w:rsidP="007E2377">
      <w:pPr>
        <w:spacing w:line="360" w:lineRule="auto"/>
        <w:rPr>
          <w:b/>
          <w:bCs/>
          <w:color w:val="000000" w:themeColor="text1"/>
        </w:rPr>
      </w:pPr>
      <w:r w:rsidRPr="00DF2A48">
        <w:rPr>
          <w:b/>
          <w:bCs/>
          <w:color w:val="000000" w:themeColor="text1"/>
        </w:rPr>
        <w:t>Integrated comparison among pellet, supernatant, and media control in EMJH (in house) at 28°C and 37°C</w:t>
      </w:r>
    </w:p>
    <w:p w14:paraId="745E25ED" w14:textId="77777777" w:rsidR="007E2377" w:rsidRDefault="007E2377" w:rsidP="007E2377">
      <w:pPr>
        <w:spacing w:line="360" w:lineRule="auto"/>
        <w:rPr>
          <w:b/>
          <w:bCs/>
          <w:color w:val="000000" w:themeColor="text1"/>
        </w:rPr>
      </w:pPr>
      <w:r>
        <w:rPr>
          <w:color w:val="000000" w:themeColor="text1"/>
        </w:rPr>
        <w:t xml:space="preserve">In the first integrated analysis, all the sample fractions (pellet, supernatant, media control) from </w:t>
      </w:r>
      <w:r w:rsidRPr="00053926">
        <w:rPr>
          <w:color w:val="000000" w:themeColor="text1"/>
        </w:rPr>
        <w:t>EMJH (in house) at 28°C and 37°C</w:t>
      </w:r>
      <w:r>
        <w:rPr>
          <w:color w:val="000000" w:themeColor="text1"/>
        </w:rPr>
        <w:t xml:space="preserve"> are put together for visualization (</w:t>
      </w:r>
      <w:r w:rsidRPr="00053926">
        <w:rPr>
          <w:b/>
          <w:bCs/>
          <w:color w:val="000000" w:themeColor="text1"/>
        </w:rPr>
        <w:t>Figure 53-55</w:t>
      </w:r>
      <w:r>
        <w:rPr>
          <w:color w:val="000000" w:themeColor="text1"/>
        </w:rPr>
        <w:t>).</w:t>
      </w:r>
    </w:p>
    <w:p w14:paraId="5AE1FCCB" w14:textId="77777777" w:rsidR="007E2377" w:rsidRPr="00DF2A48" w:rsidRDefault="007E2377" w:rsidP="007E2377">
      <w:pPr>
        <w:spacing w:line="360" w:lineRule="auto"/>
        <w:ind w:firstLine="720"/>
        <w:rPr>
          <w:color w:val="000000" w:themeColor="text1"/>
        </w:rPr>
      </w:pPr>
      <w:r w:rsidRPr="00DF2A48">
        <w:rPr>
          <w:color w:val="000000" w:themeColor="text1"/>
        </w:rPr>
        <w:t>While there are multiple overlapping groups demonstrating the similarities in metabolic profile</w:t>
      </w:r>
      <w:r>
        <w:rPr>
          <w:color w:val="000000" w:themeColor="text1"/>
        </w:rPr>
        <w:t xml:space="preserve"> (</w:t>
      </w:r>
      <w:r w:rsidRPr="00053926">
        <w:rPr>
          <w:b/>
          <w:bCs/>
          <w:color w:val="000000" w:themeColor="text1"/>
        </w:rPr>
        <w:t>Figure 53</w:t>
      </w:r>
      <w:r>
        <w:rPr>
          <w:b/>
          <w:bCs/>
          <w:color w:val="000000" w:themeColor="text1"/>
        </w:rPr>
        <w:t>)</w:t>
      </w:r>
      <w:r w:rsidRPr="00DF2A48">
        <w:rPr>
          <w:color w:val="000000" w:themeColor="text1"/>
        </w:rPr>
        <w:t>, the three-dimensional view of the PLS-DA model</w:t>
      </w:r>
      <w:r>
        <w:rPr>
          <w:color w:val="000000" w:themeColor="text1"/>
        </w:rPr>
        <w:t xml:space="preserve"> (</w:t>
      </w:r>
      <w:r w:rsidRPr="00053926">
        <w:rPr>
          <w:b/>
          <w:bCs/>
          <w:color w:val="000000" w:themeColor="text1"/>
        </w:rPr>
        <w:t>Figure 5</w:t>
      </w:r>
      <w:r>
        <w:rPr>
          <w:b/>
          <w:bCs/>
          <w:color w:val="000000" w:themeColor="text1"/>
        </w:rPr>
        <w:t>4)</w:t>
      </w:r>
      <w:r w:rsidRPr="00DF2A48">
        <w:rPr>
          <w:color w:val="000000" w:themeColor="text1"/>
        </w:rPr>
        <w:t xml:space="preserve"> provides an improved understanding.</w:t>
      </w:r>
      <w:r>
        <w:rPr>
          <w:color w:val="000000" w:themeColor="text1"/>
        </w:rPr>
        <w:t xml:space="preserve"> </w:t>
      </w:r>
      <w:r w:rsidRPr="00DF2A48">
        <w:rPr>
          <w:color w:val="000000" w:themeColor="text1"/>
        </w:rPr>
        <w:t>The only overlapping groups are the supernatants (in cyan and magenta) from the media at 28°C and 37°C (</w:t>
      </w:r>
      <w:r>
        <w:rPr>
          <w:b/>
          <w:bCs/>
          <w:color w:val="000000" w:themeColor="text1"/>
        </w:rPr>
        <w:t>F</w:t>
      </w:r>
      <w:r w:rsidRPr="00DF2A48">
        <w:rPr>
          <w:b/>
          <w:bCs/>
          <w:color w:val="000000" w:themeColor="text1"/>
        </w:rPr>
        <w:t>igure 54</w:t>
      </w:r>
      <w:r w:rsidRPr="00DF2A48">
        <w:rPr>
          <w:color w:val="000000" w:themeColor="text1"/>
        </w:rPr>
        <w:t xml:space="preserve">). The pellets grown in the EMJH (in house) media at different temperatures hold their unique metabolic profile. Control media sample of EMJH (in house) at 37°C was not available. The EMJH (in house) at 28°C displays its distinct metabolic profile. </w:t>
      </w:r>
    </w:p>
    <w:p w14:paraId="2AABCFCA" w14:textId="77777777" w:rsidR="007E2377" w:rsidRDefault="007E2377" w:rsidP="007E2377">
      <w:pPr>
        <w:spacing w:line="360" w:lineRule="auto"/>
        <w:rPr>
          <w:color w:val="000000" w:themeColor="text1"/>
        </w:rPr>
      </w:pPr>
      <w:r w:rsidRPr="00DF2A48">
        <w:rPr>
          <w:color w:val="000000" w:themeColor="text1"/>
        </w:rPr>
        <w:tab/>
        <w:t>In PLS-DA, sample separation could be linked to specific metabolic alteration as it searches for independent variations.</w:t>
      </w:r>
      <w:r w:rsidRPr="00DF2A48">
        <w:rPr>
          <w:color w:val="000000" w:themeColor="text1"/>
        </w:rPr>
        <w:fldChar w:fldCharType="begin" w:fldLock="1"/>
      </w:r>
      <w:r>
        <w:rPr>
          <w:color w:val="000000" w:themeColor="text1"/>
        </w:rPr>
        <w:instrText>ADDIN CSL_CITATION {"citationItems":[{"id":"ITEM-1","itemData":{"DOI":"https://doi.org/10.1016/j.chemolab.2018.08.011","ISSN":"0169-7439","abstract":"The need for effective methods to classify high-dimensional spectral data is increasing in tasks such as rapid and non-destructive detection of object features and chemical species using spectroscopy. Partial least squares discriminant analysis (PLS-DA) is an effective, multivariate regression based method for spectral data classification. Although powerful, PLS-DA suffers from performance degradation under complex conditions such as nonlinearity, class imbalance and multiclass, which are common in real-world applications. Collaborative representation-based classifier (CRC) is a new machine learning algorithm which represents a query by a linear combination of training samples and classifies the query based on the representation. It offers the possibility of good classification performance even under nonlinearity, class imbalance and multiclass conditions. In this paper, we present a novel method for spectral data classification, namely CRC-WPLS, which reaps the benefits of both PLS regression and CRC. This method searches for a weighted, linear combination of all training samples to represent the query by using PLS regression, and then assigns the query to the class which yields the least approximation error. CRC-WPLS is compared to PLS-DA, kernel PLS-DA, support vector machine (SVM), random forest (RF) and representation-based classifiers on fourteen general machine learning datasets and three spectral datasets. Experimental results show the proposed method can outperform 7 baseline methods in most cases, and achieve a high classification accuracy (&gt;90%) for low grade spectra obtained from portable instrumentation.","author":[{"dropping-particle":"","family":"Song","given":"Weiran","non-dropping-particle":"","parse-names":false,"suffix":""},{"dropping-particle":"","family":"Wang","given":"Hui","non-dropping-particle":"","parse-names":false,"suffix":""},{"dropping-particle":"","family":"Maguire","given":"Paul","non-dropping-particle":"","parse-names":false,"suffix":""},{"dropping-particle":"","family":"Nibouche","given":"Omar","non-dropping-particle":"","parse-names":false,"suffix":""}],"container-title":"Chemometrics and Intelligent Laboratory Systems","id":"ITEM-1","issued":{"date-parts":[["2018"]]},"page":"79-86","title":"Collaborative representation based classifier with partial least squares regression for the classification of spectral data","type":"article-journal","volume":"182"},"uris":["http://www.mendeley.com/documents/?uuid=968ad8ce-2c74-483f-9eb4-9bbc87c52a99"]}],"mendeley":{"formattedCitation":"&lt;sup&gt;88&lt;/sup&gt;","plainTextFormattedCitation":"88","previouslyFormattedCitation":"&lt;sup&gt;87&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88</w:t>
      </w:r>
      <w:r w:rsidRPr="00DF2A48">
        <w:rPr>
          <w:color w:val="000000" w:themeColor="text1"/>
        </w:rPr>
        <w:fldChar w:fldCharType="end"/>
      </w:r>
      <w:r w:rsidRPr="00DF2A48">
        <w:rPr>
          <w:color w:val="000000" w:themeColor="text1"/>
          <w:vertAlign w:val="superscript"/>
        </w:rPr>
        <w:t>,</w:t>
      </w:r>
      <w:r w:rsidRPr="00DF2A48">
        <w:rPr>
          <w:color w:val="000000" w:themeColor="text1"/>
        </w:rPr>
        <w:fldChar w:fldCharType="begin" w:fldLock="1"/>
      </w:r>
      <w:r>
        <w:rPr>
          <w:color w:val="000000" w:themeColor="text1"/>
        </w:rPr>
        <w:instrText>ADDIN CSL_CITATION {"citationItems":[{"id":"ITEM-1","itemData":{"DOI":"10.1016/J.ACA.2015.02.012","ISSN":"0003-2670","PMID":"26002472","abstract":"The predominance of partial least squares-discriminant analysis (PLS-DA) used to analyze metabolomics datasets (indeed, it is the most well-known tool to perform classification and regression in metabolomics), can be said to have led to the point that not all researchers are fully aware of alternative multivariate classification algorithms. This may in part be due to the widespread availability of PLS-DA in most of the well-known statistical software packages, where its implementation is very easy if the default settings are used. In addition, one of the perceived advantages of PLS-DA is that it has the ability to analyze highly collinear and noisy data. Furthermore, the calibration model is known to provide a variety of useful statistics, such as prediction accuracy as well as scores and loadings plots. However, this method may provide misleading results, largely due to a lack of suitable statistical validation, when used by non-experts who are not aware of its potential limitations when used in conjunction with metabolomics. This tutorial review aims to provide an introductory overview to several straightforward statistical methods such as principal component-discriminant function analysis (PC-DFA), support vector machines (SVM) and random forests (RF), which could very easily be used either to augment PLS or as alternative supervised learning methods to PLS-DA. These methods can be said to be particularly appropriate for the analysis of large, highly-complex data sets which are common output(s) in metabolomics studies where the numbers of variables often far exceed the number of samples. In addition, these alternative techniques may be useful tools for generating parsimonious models through feature selection and data reduction, as well as providing more propitious results. We sincerely hope that the general reader is left with little doubt that there are several promising and readily available alternatives to PLS-DA, to analyze large and highly complex data sets.","author":[{"dropping-particle":"","family":"Gromski","given":"Piotr S.","non-dropping-particle":"","parse-names":false,"suffix":""},{"dropping-particle":"","family":"Muhamadali","given":"Howbeer","non-dropping-particle":"","parse-names":false,"suffix":""},{"dropping-particle":"","family":"Ellis","given":"David I.","non-dropping-particle":"","parse-names":false,"suffix":""},{"dropping-particle":"","family":"Xu","given":"Yun","non-dropping-particle":"","parse-names":false,"suffix":""},{"dropping-particle":"","family":"Correa","given":"Elon","non-dropping-particle":"","parse-names":false,"suffix":""},{"dropping-particle":"","family":"Turner","given":"Michael L.","non-dropping-particle":"","parse-names":false,"suffix":""},{"dropping-particle":"","family":"Goodacre","given":"Royston","non-dropping-particle":"","parse-names":false,"suffix":""}],"container-title":"Analytica Chimica Acta","id":"ITEM-1","issued":{"date-parts":[["2015","6","16"]]},"page":"10-23","publisher":"Elsevier","title":"A tutorial review: Metabolomics and partial least squares-discriminant analysis – a marriage of convenience or a shotgun wedding","type":"article-journal","volume":"879"},"uris":["http://www.mendeley.com/documents/?uuid=3ed4be9d-ef3a-36d9-8799-f07a28a5c5fb"]}],"mendeley":{"formattedCitation":"&lt;sup&gt;89&lt;/sup&gt;","plainTextFormattedCitation":"89","previouslyFormattedCitation":"&lt;sup&gt;88&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89</w:t>
      </w:r>
      <w:r w:rsidRPr="00DF2A48">
        <w:rPr>
          <w:color w:val="000000" w:themeColor="text1"/>
        </w:rPr>
        <w:fldChar w:fldCharType="end"/>
      </w:r>
      <w:r w:rsidRPr="00DF2A48">
        <w:rPr>
          <w:color w:val="000000" w:themeColor="text1"/>
        </w:rPr>
        <w:t xml:space="preserve"> While the supernatants groups in different temperature combinations are overlapping, separation between pellet groups shows that alteration in temperature leads the leptospiral cells to opt out for unique metabolic pathways.</w:t>
      </w:r>
      <w:r w:rsidRPr="00DF2A48">
        <w:rPr>
          <w:color w:val="000000" w:themeColor="text1"/>
        </w:rPr>
        <w:fldChar w:fldCharType="begin" w:fldLock="1"/>
      </w:r>
      <w:r>
        <w:rPr>
          <w:color w:val="000000" w:themeColor="text1"/>
        </w:rPr>
        <w:instrText>ADDIN CSL_CITATION {"citationItems":[{"id":"ITEM-1","itemData":{"DOI":"https://doi.org/10.1016/j.tim.2024.07.009","ISSN":"0966-842X","abstract":"Pathogenic bacteria can detect a variety of environmental signals, including temperature changes. While sudden and significant temperature variations act as danger signals that trigger a protective heat-shock response, minor temperature fluctuations typically signal to the pathogen that it has moved from one environment to another, such as entering a specific niche within a host during infection. These latter temperature fluctuations are utilized by pathogens to coordinate the expression of crucial virulence factors. Here, we elucidate the critical role of temperature in governing the expression of virulence factors in bacterial pathogens. Moreover, we outline the molecular mechanisms used by pathogens to detect temperature fluctuations, focusing on systems that employ proteins and nucleic acids as sensory devices. We also discuss the potential implications and the extent of the risk that climate change poses to human pathogenic diseases.","author":[{"dropping-particle":"","family":"Roncarati","given":"Davide","non-dropping-particle":"","parse-names":false,"suffix":""},{"dropping-particle":"","family":"Vannini","given":"Andrea","non-dropping-particle":"","parse-names":false,"suffix":""},{"dropping-particle":"","family":"Scarlato","given":"Vincenzo","non-dropping-particle":"","parse-names":false,"suffix":""}],"container-title":"Trends in Microbiology","id":"ITEM-1","issue":"1","issued":{"date-parts":[["2025"]]},"page":"66-79","title":"Temperature sensing and virulence regulation in pathogenic bacteria","type":"article-journal","volume":"33"},"uris":["http://www.mendeley.com/documents/?uuid=c36a0c21-0f59-44ee-a987-991104900bcf"]}],"mendeley":{"formattedCitation":"&lt;sup&gt;90&lt;/sup&gt;","plainTextFormattedCitation":"90","previouslyFormattedCitation":"&lt;sup&gt;89&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90</w:t>
      </w:r>
      <w:r w:rsidRPr="00DF2A48">
        <w:rPr>
          <w:color w:val="000000" w:themeColor="text1"/>
        </w:rPr>
        <w:fldChar w:fldCharType="end"/>
      </w:r>
      <w:r w:rsidRPr="00DF2A48">
        <w:rPr>
          <w:color w:val="000000" w:themeColor="text1"/>
          <w:vertAlign w:val="superscript"/>
        </w:rPr>
        <w:t>,</w:t>
      </w:r>
      <w:r w:rsidRPr="00DF2A48">
        <w:rPr>
          <w:color w:val="000000" w:themeColor="text1"/>
        </w:rPr>
        <w:fldChar w:fldCharType="begin" w:fldLock="1"/>
      </w:r>
      <w:r>
        <w:rPr>
          <w:color w:val="000000" w:themeColor="text1"/>
        </w:rPr>
        <w:instrText>ADDIN CSL_CITATION {"citationItems":[{"id":"ITEM-1","itemData":{"ISSN":"1664-302X","abstract":"Temperature is the main factor to control the microbial growth in perishable foods. The psychrotrophic pathogen bacteria are microorganisms of concern for food products with extended shelf life in chilling conditions. The aims of this work were two. Firstly, to evaluate growth behaviour of Aeromonas hydrophila DSM-30187, Listeria monocytogenes DSM-20600 and Yersinia enterocolitica DSM-27689 strains, at different temperatures (4, 7, 10, 15, 25, and 30°C) and starting cell concentrations (10 and 106 CFU/mL), in order to determine the activation energies (Ea) of the relevant lag phases and growth rates. Secondly, to investigate if Mean Kinetic Temperature (MKT) might be applied in recording temperature devices to alert a thermal abuse in a management control system for food safety. As expected, lag phase and growth rate proved to be heavily affected by temperature whereas the inoculum size did not. The Ea values involved in the duration of latent periods, calculated on the basis of the Arrhenius model, were comparable for A. hydrophila and L. monocytogenes strains (from 21.3 to 24.4 kcal/mol), while significantly differed for Y. enterocolitica (16.6 kcal/mol). The Ea values of growth rates were similar for A. hydrophila and L. monocytogenes strains (from 20.9 to 21.1 kcal/mol), while were considerably lower for Y. enterocolitica (from 14.2 to 16.7 kcal/mol). \nThe use of MKT is widespread and well accepted in pharmaceutical field as convenient method for estimating drugs degradation in relation to storage temperature. The Ea value of the lag phase found for L. monocytogenes (23.9 ± 1.2 kcal/mol) was included in the MKT formula. In this work, the air temperature of two chilling rooms was monitored during the normal operating activity in a catering company for a period of eight months. The MKT profiles were then compared with those of mean temperatures in different conditions (short or prolonged events of thermal abuse) with the purpose to evaluate if it may be applicable to reduce false alarms without lowering the safety level of stored food.","author":[{"dropping-particle":"","family":"Silvestri","given":"Andrea","non-dropping-particle":"De","parse-names":false,"suffix":""},{"dropping-particle":"","family":"Ferrari","given":"Enrico","non-dropping-particle":"","parse-names":false,"suffix":""},{"dropping-particle":"","family":"Gozzi","given":"Simone","non-dropping-particle":"","parse-names":false,"suffix":""},{"dropping-particle":"","family":"Marchi","given":"Francesca","non-dropping-particle":"","parse-names":false,"suffix":""},{"dropping-particle":"","family":"Foschino","given":"Roberto","non-dropping-particle":"","parse-names":false,"suffix":""}],"container-title":"Frontiers in Microbiology","id":"ITEM-1","issued":{"date-parts":[["2018"]]},"title":"Determination of Temperature Dependent Growth Parameters in Psychrotrophic Pathogen Bacteria and Tentative Use of Mean Kinetic Temperature for the Microbiological Control of Food","type":"article-journal","volume":"Volume 9 -"},"uris":["http://www.mendeley.com/documents/?uuid=0fc74637-8ef9-41b1-a8f4-68ae2a8df692"]}],"mendeley":{"formattedCitation":"&lt;sup&gt;91&lt;/sup&gt;","plainTextFormattedCitation":"91","previouslyFormattedCitation":"&lt;sup&gt;90&lt;/sup&gt;"},"properties":{"noteIndex":0},"schema":"https://github.com/citation-style-language/schema/raw/master/csl-citation.json"}</w:instrText>
      </w:r>
      <w:r w:rsidRPr="00DF2A48">
        <w:rPr>
          <w:color w:val="000000" w:themeColor="text1"/>
        </w:rPr>
        <w:fldChar w:fldCharType="separate"/>
      </w:r>
      <w:r w:rsidRPr="001F04D6">
        <w:rPr>
          <w:noProof/>
          <w:color w:val="000000" w:themeColor="text1"/>
          <w:vertAlign w:val="superscript"/>
        </w:rPr>
        <w:t>91</w:t>
      </w:r>
      <w:r w:rsidRPr="00DF2A48">
        <w:rPr>
          <w:color w:val="000000" w:themeColor="text1"/>
        </w:rPr>
        <w:fldChar w:fldCharType="end"/>
      </w:r>
    </w:p>
    <w:p w14:paraId="0699934F" w14:textId="77777777" w:rsidR="007E2377" w:rsidRDefault="007E2377" w:rsidP="007E2377">
      <w:pPr>
        <w:spacing w:line="360" w:lineRule="auto"/>
        <w:rPr>
          <w:b/>
          <w:bCs/>
          <w:color w:val="000000" w:themeColor="text1"/>
        </w:rPr>
      </w:pPr>
      <w:r w:rsidRPr="00DF2A48">
        <w:rPr>
          <w:b/>
          <w:bCs/>
          <w:color w:val="000000" w:themeColor="text1"/>
        </w:rPr>
        <w:t>Integrated comparison among pellet, supernatant, and media control in EMJH (Difco) at 28°C and 37°C</w:t>
      </w:r>
    </w:p>
    <w:p w14:paraId="4CB4DF1E" w14:textId="273D728F" w:rsidR="007E2377" w:rsidRPr="00053926" w:rsidRDefault="007E2377" w:rsidP="007E2377">
      <w:pPr>
        <w:spacing w:line="360" w:lineRule="auto"/>
        <w:ind w:firstLine="720"/>
        <w:rPr>
          <w:color w:val="000000" w:themeColor="text1"/>
        </w:rPr>
      </w:pPr>
      <w:r>
        <w:rPr>
          <w:color w:val="000000" w:themeColor="text1"/>
        </w:rPr>
        <w:t xml:space="preserve">The next integrated analysis is among all the sample fractions (pellet, supernatant, media control) from </w:t>
      </w:r>
      <w:r w:rsidRPr="00053926">
        <w:rPr>
          <w:color w:val="000000" w:themeColor="text1"/>
        </w:rPr>
        <w:t>EMJH (</w:t>
      </w:r>
      <w:r>
        <w:rPr>
          <w:color w:val="000000" w:themeColor="text1"/>
        </w:rPr>
        <w:t>Difco</w:t>
      </w:r>
      <w:r w:rsidRPr="00053926">
        <w:rPr>
          <w:color w:val="000000" w:themeColor="text1"/>
        </w:rPr>
        <w:t>) at 28°C and 37°C</w:t>
      </w:r>
      <w:r>
        <w:rPr>
          <w:color w:val="000000" w:themeColor="text1"/>
        </w:rPr>
        <w:t xml:space="preserve">. The analysis is visualized in </w:t>
      </w:r>
      <w:r w:rsidRPr="00053926">
        <w:rPr>
          <w:b/>
          <w:bCs/>
          <w:color w:val="000000" w:themeColor="text1"/>
        </w:rPr>
        <w:t>Figure 5</w:t>
      </w:r>
      <w:r>
        <w:rPr>
          <w:b/>
          <w:bCs/>
          <w:color w:val="000000" w:themeColor="text1"/>
        </w:rPr>
        <w:t>6</w:t>
      </w:r>
      <w:r w:rsidRPr="00053926">
        <w:rPr>
          <w:b/>
          <w:bCs/>
          <w:color w:val="000000" w:themeColor="text1"/>
        </w:rPr>
        <w:t>-5</w:t>
      </w:r>
      <w:r>
        <w:rPr>
          <w:b/>
          <w:bCs/>
          <w:color w:val="000000" w:themeColor="text1"/>
        </w:rPr>
        <w:t>8</w:t>
      </w:r>
      <w:r>
        <w:rPr>
          <w:color w:val="000000" w:themeColor="text1"/>
        </w:rPr>
        <w:t xml:space="preserve">. </w:t>
      </w:r>
      <w:r w:rsidRPr="00DF2A48">
        <w:rPr>
          <w:color w:val="000000" w:themeColor="text1"/>
        </w:rPr>
        <w:t>While there are multiple overlapping groups demonstrating the similarities in metabolic profile</w:t>
      </w:r>
      <w:r>
        <w:rPr>
          <w:color w:val="000000" w:themeColor="text1"/>
        </w:rPr>
        <w:t xml:space="preserve"> (</w:t>
      </w:r>
      <w:r w:rsidRPr="00053926">
        <w:rPr>
          <w:b/>
          <w:bCs/>
          <w:color w:val="000000" w:themeColor="text1"/>
        </w:rPr>
        <w:t>Figure 5</w:t>
      </w:r>
      <w:r>
        <w:rPr>
          <w:b/>
          <w:bCs/>
          <w:color w:val="000000" w:themeColor="text1"/>
        </w:rPr>
        <w:t>6)</w:t>
      </w:r>
      <w:r w:rsidRPr="00DF2A48">
        <w:rPr>
          <w:color w:val="000000" w:themeColor="text1"/>
        </w:rPr>
        <w:t>, the three-dimensional view of the PLS-DA model</w:t>
      </w:r>
      <w:r>
        <w:rPr>
          <w:color w:val="000000" w:themeColor="text1"/>
        </w:rPr>
        <w:t xml:space="preserve"> (</w:t>
      </w:r>
      <w:r w:rsidRPr="00053926">
        <w:rPr>
          <w:b/>
          <w:bCs/>
          <w:color w:val="000000" w:themeColor="text1"/>
        </w:rPr>
        <w:t>Figure 5</w:t>
      </w:r>
      <w:r>
        <w:rPr>
          <w:b/>
          <w:bCs/>
          <w:color w:val="000000" w:themeColor="text1"/>
        </w:rPr>
        <w:t>7)</w:t>
      </w:r>
      <w:r w:rsidRPr="00DF2A48">
        <w:rPr>
          <w:color w:val="000000" w:themeColor="text1"/>
        </w:rPr>
        <w:t xml:space="preserve"> provides an improved visualization for better understanding.</w:t>
      </w:r>
      <w:r>
        <w:rPr>
          <w:color w:val="000000" w:themeColor="text1"/>
        </w:rPr>
        <w:t xml:space="preserve"> </w:t>
      </w:r>
      <w:r w:rsidRPr="00DF2A48">
        <w:rPr>
          <w:color w:val="000000" w:themeColor="text1"/>
        </w:rPr>
        <w:t xml:space="preserve">The </w:t>
      </w:r>
      <w:proofErr w:type="spellStart"/>
      <w:r w:rsidRPr="00DF2A48">
        <w:rPr>
          <w:i/>
          <w:iCs/>
          <w:color w:val="000000" w:themeColor="text1"/>
        </w:rPr>
        <w:t>leptospira</w:t>
      </w:r>
      <w:proofErr w:type="spellEnd"/>
      <w:r w:rsidRPr="00DF2A48">
        <w:rPr>
          <w:color w:val="000000" w:themeColor="text1"/>
        </w:rPr>
        <w:t xml:space="preserve"> inoculation did not show any evidence of growth in the EMJH(Difco) media at 37°C. Hence the pellets from that experiment could not be incorporated. However, the three-dimensional view of the PLS-DA shows separations for the pellets grown in the EMJH (Difco) media 28°C, the supernatants from EMJH </w:t>
      </w:r>
    </w:p>
    <w:p w14:paraId="629C4F44"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6D1B4F7B" wp14:editId="4BC504AA">
            <wp:extent cx="5943600" cy="5227320"/>
            <wp:effectExtent l="0" t="0" r="0" b="5080"/>
            <wp:docPr id="2080753914" name="Picture 50" descr="A chart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53914" name="Picture 50" descr="A chart with different colored squares&#10;&#10;AI-generated content may be incorrec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5227320"/>
                    </a:xfrm>
                    <a:prstGeom prst="rect">
                      <a:avLst/>
                    </a:prstGeom>
                  </pic:spPr>
                </pic:pic>
              </a:graphicData>
            </a:graphic>
          </wp:inline>
        </w:drawing>
      </w:r>
    </w:p>
    <w:p w14:paraId="2199E149" w14:textId="44DDCE06" w:rsidR="00DF2A48" w:rsidRPr="00DF2A48" w:rsidRDefault="00DF2A48" w:rsidP="00CA1108">
      <w:pPr>
        <w:rPr>
          <w:color w:val="000000" w:themeColor="text1"/>
        </w:rPr>
      </w:pPr>
      <w:r w:rsidRPr="00DF2A48">
        <w:rPr>
          <w:b/>
          <w:bCs/>
          <w:color w:val="000000" w:themeColor="text1"/>
        </w:rPr>
        <w:t>Figure 52:</w:t>
      </w:r>
      <w:r w:rsidRPr="00DF2A48">
        <w:rPr>
          <w:color w:val="000000" w:themeColor="text1"/>
        </w:rPr>
        <w:t xml:space="preserve"> Variable importance in projection (VIP) score plot demonstrating the metabolites of significance in the PLS-DA model between the supernatant groups from EMJH (in house) and EMJH (Difco) at 28°C and 37°C. </w:t>
      </w:r>
    </w:p>
    <w:p w14:paraId="761800DA" w14:textId="11E58FC1" w:rsidR="00DF2A48" w:rsidRPr="00DF2A48" w:rsidRDefault="00DB4E98" w:rsidP="00CA1108">
      <w:pPr>
        <w:rPr>
          <w:color w:val="000000" w:themeColor="text1"/>
        </w:rPr>
      </w:pPr>
      <w:r>
        <w:rPr>
          <w:color w:val="000000" w:themeColor="text1"/>
        </w:rPr>
        <w:br w:type="page"/>
      </w:r>
    </w:p>
    <w:p w14:paraId="4EFC57DF" w14:textId="77777777" w:rsidR="00DF2A48" w:rsidRPr="00CA1108" w:rsidRDefault="00DF2A48" w:rsidP="00CA1108">
      <w:pPr>
        <w:rPr>
          <w:color w:val="000000" w:themeColor="text1"/>
        </w:rPr>
      </w:pPr>
      <w:r w:rsidRPr="00CA1108">
        <w:rPr>
          <w:b/>
          <w:bCs/>
          <w:color w:val="000000" w:themeColor="text1"/>
        </w:rPr>
        <w:lastRenderedPageBreak/>
        <w:t>Table 3:</w:t>
      </w:r>
      <w:r w:rsidRPr="00CA1108">
        <w:rPr>
          <w:color w:val="000000" w:themeColor="text1"/>
        </w:rPr>
        <w:t xml:space="preserve"> Overview of integrated comparison of sample fractions in variable growth parameters</w:t>
      </w:r>
    </w:p>
    <w:tbl>
      <w:tblPr>
        <w:tblW w:w="9607" w:type="dxa"/>
        <w:tblCellMar>
          <w:left w:w="0" w:type="dxa"/>
          <w:right w:w="0" w:type="dxa"/>
        </w:tblCellMar>
        <w:tblLook w:val="0420" w:firstRow="1" w:lastRow="0" w:firstColumn="0" w:lastColumn="0" w:noHBand="0" w:noVBand="1"/>
      </w:tblPr>
      <w:tblGrid>
        <w:gridCol w:w="3730"/>
        <w:gridCol w:w="2765"/>
        <w:gridCol w:w="3112"/>
      </w:tblGrid>
      <w:tr w:rsidR="00DF2A48" w:rsidRPr="00DF2A48" w14:paraId="0E814FC6" w14:textId="77777777" w:rsidTr="00446A18">
        <w:trPr>
          <w:trHeight w:val="609"/>
        </w:trPr>
        <w:tc>
          <w:tcPr>
            <w:tcW w:w="373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1C3DEA7" w14:textId="77777777" w:rsidR="00DF2A48" w:rsidRPr="00DF2A48" w:rsidRDefault="00DF2A48" w:rsidP="00446A18">
            <w:pPr>
              <w:spacing w:line="360" w:lineRule="auto"/>
              <w:rPr>
                <w:b/>
                <w:bCs/>
                <w:color w:val="000000" w:themeColor="text1"/>
              </w:rPr>
            </w:pPr>
            <w:r w:rsidRPr="00DF2A48">
              <w:rPr>
                <w:b/>
                <w:bCs/>
                <w:color w:val="000000" w:themeColor="text1"/>
              </w:rPr>
              <w:t>Sample fraction</w:t>
            </w:r>
          </w:p>
        </w:tc>
        <w:tc>
          <w:tcPr>
            <w:tcW w:w="2765"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124181F1" w14:textId="77777777" w:rsidR="00DF2A48" w:rsidRPr="00DF2A48" w:rsidRDefault="00DF2A48" w:rsidP="00446A18">
            <w:pPr>
              <w:spacing w:line="360" w:lineRule="auto"/>
              <w:rPr>
                <w:b/>
                <w:bCs/>
                <w:color w:val="000000" w:themeColor="text1"/>
              </w:rPr>
            </w:pPr>
            <w:r w:rsidRPr="00DF2A48">
              <w:rPr>
                <w:b/>
                <w:bCs/>
                <w:color w:val="000000" w:themeColor="text1"/>
              </w:rPr>
              <w:t>Media</w:t>
            </w:r>
          </w:p>
          <w:p w14:paraId="7622A2C9" w14:textId="77777777" w:rsidR="00DF2A48" w:rsidRPr="00DF2A48" w:rsidRDefault="00DF2A48" w:rsidP="00446A18">
            <w:pPr>
              <w:rPr>
                <w:b/>
                <w:bCs/>
                <w:color w:val="000000" w:themeColor="text1"/>
              </w:rPr>
            </w:pPr>
          </w:p>
        </w:tc>
        <w:tc>
          <w:tcPr>
            <w:tcW w:w="3112"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29CBE79E" w14:textId="77777777" w:rsidR="00DF2A48" w:rsidRPr="00DF2A48" w:rsidRDefault="00DF2A48" w:rsidP="00446A18">
            <w:pPr>
              <w:spacing w:line="360" w:lineRule="auto"/>
              <w:rPr>
                <w:b/>
                <w:bCs/>
                <w:color w:val="000000" w:themeColor="text1"/>
              </w:rPr>
            </w:pPr>
            <w:r w:rsidRPr="00DF2A48">
              <w:rPr>
                <w:b/>
                <w:bCs/>
                <w:color w:val="000000" w:themeColor="text1"/>
              </w:rPr>
              <w:t>Temperature</w:t>
            </w:r>
          </w:p>
        </w:tc>
      </w:tr>
      <w:tr w:rsidR="00DF2A48" w:rsidRPr="00DF2A48" w14:paraId="42161FC3" w14:textId="77777777" w:rsidTr="00446A18">
        <w:trPr>
          <w:trHeight w:val="513"/>
        </w:trPr>
        <w:tc>
          <w:tcPr>
            <w:tcW w:w="3730" w:type="dxa"/>
            <w:vMerge w:val="restart"/>
            <w:tcBorders>
              <w:top w:val="single" w:sz="24" w:space="0" w:color="FFFFFF"/>
              <w:left w:val="single" w:sz="8" w:space="0" w:color="FFFFFF"/>
              <w:right w:val="single" w:sz="8" w:space="0" w:color="FFFFFF"/>
            </w:tcBorders>
            <w:shd w:val="clear" w:color="auto" w:fill="CCD2D8"/>
            <w:tcMar>
              <w:top w:w="72" w:type="dxa"/>
              <w:left w:w="144" w:type="dxa"/>
              <w:bottom w:w="72" w:type="dxa"/>
              <w:right w:w="144" w:type="dxa"/>
            </w:tcMar>
            <w:hideMark/>
          </w:tcPr>
          <w:p w14:paraId="11DE1B53" w14:textId="77777777" w:rsidR="00DF2A48" w:rsidRPr="00DF2A48" w:rsidRDefault="00DF2A48" w:rsidP="00446A18">
            <w:pPr>
              <w:spacing w:line="360" w:lineRule="auto"/>
              <w:rPr>
                <w:color w:val="000000" w:themeColor="text1"/>
              </w:rPr>
            </w:pPr>
            <w:r w:rsidRPr="00DF2A48">
              <w:rPr>
                <w:color w:val="000000" w:themeColor="text1"/>
              </w:rPr>
              <w:t>Pellet, Supernatant, and Media control</w:t>
            </w:r>
          </w:p>
        </w:tc>
        <w:tc>
          <w:tcPr>
            <w:tcW w:w="2765" w:type="dxa"/>
            <w:tcBorders>
              <w:top w:val="single" w:sz="24" w:space="0" w:color="FFFFFF"/>
              <w:left w:val="single" w:sz="8" w:space="0" w:color="FFFFFF"/>
              <w:bottom w:val="single" w:sz="4" w:space="0" w:color="auto"/>
              <w:right w:val="single" w:sz="8" w:space="0" w:color="FFFFFF"/>
            </w:tcBorders>
            <w:shd w:val="clear" w:color="auto" w:fill="CCD2D8"/>
            <w:tcMar>
              <w:top w:w="72" w:type="dxa"/>
              <w:left w:w="144" w:type="dxa"/>
              <w:bottom w:w="72" w:type="dxa"/>
              <w:right w:w="144" w:type="dxa"/>
            </w:tcMar>
            <w:hideMark/>
          </w:tcPr>
          <w:p w14:paraId="10CB0211"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3112" w:type="dxa"/>
            <w:tcBorders>
              <w:top w:val="single" w:sz="24" w:space="0" w:color="FFFFFF"/>
              <w:left w:val="single" w:sz="8" w:space="0" w:color="FFFFFF"/>
              <w:bottom w:val="single" w:sz="4" w:space="0" w:color="auto"/>
              <w:right w:val="single" w:sz="8" w:space="0" w:color="FFFFFF"/>
            </w:tcBorders>
            <w:shd w:val="clear" w:color="auto" w:fill="CCD2D8"/>
            <w:tcMar>
              <w:top w:w="72" w:type="dxa"/>
              <w:left w:w="144" w:type="dxa"/>
              <w:bottom w:w="72" w:type="dxa"/>
              <w:right w:w="144" w:type="dxa"/>
            </w:tcMar>
            <w:hideMark/>
          </w:tcPr>
          <w:p w14:paraId="571B0185"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191F29CA" w14:textId="77777777" w:rsidTr="00446A18">
        <w:trPr>
          <w:trHeight w:val="496"/>
        </w:trPr>
        <w:tc>
          <w:tcPr>
            <w:tcW w:w="3730" w:type="dxa"/>
            <w:vMerge/>
            <w:tcBorders>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65CD4A83" w14:textId="77777777" w:rsidR="00DF2A48" w:rsidRPr="00DF2A48" w:rsidRDefault="00DF2A48" w:rsidP="00446A18">
            <w:pPr>
              <w:spacing w:line="360" w:lineRule="auto"/>
              <w:rPr>
                <w:color w:val="000000" w:themeColor="text1"/>
              </w:rPr>
            </w:pPr>
          </w:p>
        </w:tc>
        <w:tc>
          <w:tcPr>
            <w:tcW w:w="2765" w:type="dxa"/>
            <w:tcBorders>
              <w:top w:val="single" w:sz="4" w:space="0" w:color="auto"/>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0FB07928"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3112" w:type="dxa"/>
            <w:tcBorders>
              <w:top w:val="single" w:sz="4" w:space="0" w:color="auto"/>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0024A6C9" w14:textId="77777777" w:rsidR="00DF2A48" w:rsidRPr="00DF2A48" w:rsidRDefault="00DF2A48" w:rsidP="00446A18">
            <w:pPr>
              <w:spacing w:line="360" w:lineRule="auto"/>
              <w:rPr>
                <w:color w:val="000000" w:themeColor="text1"/>
              </w:rPr>
            </w:pPr>
            <w:r w:rsidRPr="00DF2A48">
              <w:rPr>
                <w:color w:val="000000" w:themeColor="text1"/>
              </w:rPr>
              <w:t>37°C</w:t>
            </w:r>
          </w:p>
        </w:tc>
      </w:tr>
      <w:tr w:rsidR="00DF2A48" w:rsidRPr="00DF2A48" w14:paraId="2F57C9A4" w14:textId="77777777" w:rsidTr="00446A18">
        <w:trPr>
          <w:trHeight w:val="528"/>
        </w:trPr>
        <w:tc>
          <w:tcPr>
            <w:tcW w:w="3730" w:type="dxa"/>
            <w:vMerge w:val="restart"/>
            <w:tcBorders>
              <w:top w:val="single" w:sz="8" w:space="0" w:color="FFFFFF"/>
              <w:left w:val="single" w:sz="8" w:space="0" w:color="FFFFFF"/>
              <w:right w:val="single" w:sz="8" w:space="0" w:color="FFFFFF"/>
            </w:tcBorders>
            <w:shd w:val="clear" w:color="auto" w:fill="E7EAED"/>
            <w:tcMar>
              <w:top w:w="72" w:type="dxa"/>
              <w:left w:w="144" w:type="dxa"/>
              <w:bottom w:w="72" w:type="dxa"/>
              <w:right w:w="144" w:type="dxa"/>
            </w:tcMar>
            <w:hideMark/>
          </w:tcPr>
          <w:p w14:paraId="5B92E9C6" w14:textId="77777777" w:rsidR="00DF2A48" w:rsidRPr="00DF2A48" w:rsidRDefault="00DF2A48" w:rsidP="00446A18">
            <w:pPr>
              <w:spacing w:line="360" w:lineRule="auto"/>
              <w:rPr>
                <w:color w:val="000000" w:themeColor="text1"/>
              </w:rPr>
            </w:pPr>
            <w:r w:rsidRPr="00DF2A48">
              <w:rPr>
                <w:color w:val="000000" w:themeColor="text1"/>
              </w:rPr>
              <w:t>Pellet, Supernatant, and Media control</w:t>
            </w:r>
          </w:p>
        </w:tc>
        <w:tc>
          <w:tcPr>
            <w:tcW w:w="2765" w:type="dxa"/>
            <w:tcBorders>
              <w:top w:val="single" w:sz="8" w:space="0" w:color="FFFFFF"/>
              <w:left w:val="single" w:sz="8" w:space="0" w:color="FFFFFF"/>
              <w:bottom w:val="single" w:sz="4" w:space="0" w:color="auto"/>
              <w:right w:val="single" w:sz="8" w:space="0" w:color="FFFFFF"/>
            </w:tcBorders>
            <w:shd w:val="clear" w:color="auto" w:fill="E7EAED"/>
            <w:tcMar>
              <w:top w:w="72" w:type="dxa"/>
              <w:left w:w="144" w:type="dxa"/>
              <w:bottom w:w="72" w:type="dxa"/>
              <w:right w:w="144" w:type="dxa"/>
            </w:tcMar>
            <w:hideMark/>
          </w:tcPr>
          <w:p w14:paraId="2E1F2C66"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3112" w:type="dxa"/>
            <w:tcBorders>
              <w:top w:val="single" w:sz="8" w:space="0" w:color="FFFFFF"/>
              <w:left w:val="single" w:sz="8" w:space="0" w:color="FFFFFF"/>
              <w:bottom w:val="single" w:sz="4" w:space="0" w:color="auto"/>
              <w:right w:val="single" w:sz="8" w:space="0" w:color="FFFFFF"/>
            </w:tcBorders>
            <w:shd w:val="clear" w:color="auto" w:fill="E7EAED"/>
            <w:tcMar>
              <w:top w:w="72" w:type="dxa"/>
              <w:left w:w="144" w:type="dxa"/>
              <w:bottom w:w="72" w:type="dxa"/>
              <w:right w:w="144" w:type="dxa"/>
            </w:tcMar>
            <w:hideMark/>
          </w:tcPr>
          <w:p w14:paraId="7CF71E71"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7B1429A4" w14:textId="77777777" w:rsidTr="00446A18">
        <w:trPr>
          <w:trHeight w:val="480"/>
        </w:trPr>
        <w:tc>
          <w:tcPr>
            <w:tcW w:w="3730" w:type="dxa"/>
            <w:vMerge/>
            <w:tcBorders>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tcPr>
          <w:p w14:paraId="55DF6454" w14:textId="77777777" w:rsidR="00DF2A48" w:rsidRPr="00DF2A48" w:rsidRDefault="00DF2A48" w:rsidP="00446A18">
            <w:pPr>
              <w:spacing w:line="360" w:lineRule="auto"/>
              <w:rPr>
                <w:color w:val="000000" w:themeColor="text1"/>
              </w:rPr>
            </w:pPr>
          </w:p>
        </w:tc>
        <w:tc>
          <w:tcPr>
            <w:tcW w:w="2765" w:type="dxa"/>
            <w:tcBorders>
              <w:top w:val="single" w:sz="4" w:space="0" w:color="auto"/>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tcPr>
          <w:p w14:paraId="7618DCDA"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3112" w:type="dxa"/>
            <w:tcBorders>
              <w:top w:val="single" w:sz="4" w:space="0" w:color="auto"/>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tcPr>
          <w:p w14:paraId="32DD9E71" w14:textId="77777777" w:rsidR="00DF2A48" w:rsidRPr="00DF2A48" w:rsidRDefault="00DF2A48" w:rsidP="00446A18">
            <w:pPr>
              <w:spacing w:line="360" w:lineRule="auto"/>
              <w:rPr>
                <w:color w:val="000000" w:themeColor="text1"/>
              </w:rPr>
            </w:pPr>
            <w:r w:rsidRPr="00DF2A48">
              <w:rPr>
                <w:color w:val="000000" w:themeColor="text1"/>
              </w:rPr>
              <w:t>37°C</w:t>
            </w:r>
          </w:p>
        </w:tc>
      </w:tr>
      <w:tr w:rsidR="00DF2A48" w:rsidRPr="00DF2A48" w14:paraId="19316F03" w14:textId="77777777" w:rsidTr="00446A18">
        <w:trPr>
          <w:trHeight w:val="544"/>
        </w:trPr>
        <w:tc>
          <w:tcPr>
            <w:tcW w:w="3730" w:type="dxa"/>
            <w:vMerge w:val="restart"/>
            <w:tcBorders>
              <w:top w:val="single" w:sz="8" w:space="0" w:color="FFFFFF"/>
              <w:left w:val="single" w:sz="8" w:space="0" w:color="FFFFFF"/>
              <w:right w:val="single" w:sz="8" w:space="0" w:color="FFFFFF"/>
            </w:tcBorders>
            <w:shd w:val="clear" w:color="auto" w:fill="CCD2D8"/>
            <w:tcMar>
              <w:top w:w="72" w:type="dxa"/>
              <w:left w:w="144" w:type="dxa"/>
              <w:bottom w:w="72" w:type="dxa"/>
              <w:right w:w="144" w:type="dxa"/>
            </w:tcMar>
            <w:hideMark/>
          </w:tcPr>
          <w:p w14:paraId="4F8E7B8D" w14:textId="77777777" w:rsidR="00DF2A48" w:rsidRPr="00DF2A48" w:rsidRDefault="00DF2A48" w:rsidP="00446A18">
            <w:pPr>
              <w:spacing w:line="360" w:lineRule="auto"/>
              <w:rPr>
                <w:color w:val="000000" w:themeColor="text1"/>
              </w:rPr>
            </w:pPr>
            <w:r w:rsidRPr="00DF2A48">
              <w:rPr>
                <w:color w:val="000000" w:themeColor="text1"/>
              </w:rPr>
              <w:t>Pellet, Supernatant, and Media control</w:t>
            </w:r>
          </w:p>
        </w:tc>
        <w:tc>
          <w:tcPr>
            <w:tcW w:w="2765" w:type="dxa"/>
            <w:tcBorders>
              <w:top w:val="single" w:sz="8" w:space="0" w:color="FFFFFF"/>
              <w:left w:val="single" w:sz="8" w:space="0" w:color="FFFFFF"/>
              <w:bottom w:val="single" w:sz="4" w:space="0" w:color="auto"/>
              <w:right w:val="single" w:sz="8" w:space="0" w:color="FFFFFF"/>
            </w:tcBorders>
            <w:shd w:val="clear" w:color="auto" w:fill="CCD2D8"/>
            <w:tcMar>
              <w:top w:w="72" w:type="dxa"/>
              <w:left w:w="144" w:type="dxa"/>
              <w:bottom w:w="72" w:type="dxa"/>
              <w:right w:w="144" w:type="dxa"/>
            </w:tcMar>
            <w:hideMark/>
          </w:tcPr>
          <w:p w14:paraId="2826BD8B"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3112" w:type="dxa"/>
            <w:tcBorders>
              <w:top w:val="single" w:sz="8" w:space="0" w:color="FFFFFF"/>
              <w:left w:val="single" w:sz="8" w:space="0" w:color="FFFFFF"/>
              <w:bottom w:val="single" w:sz="4" w:space="0" w:color="auto"/>
              <w:right w:val="single" w:sz="8" w:space="0" w:color="FFFFFF"/>
            </w:tcBorders>
            <w:shd w:val="clear" w:color="auto" w:fill="CCD2D8"/>
            <w:tcMar>
              <w:top w:w="72" w:type="dxa"/>
              <w:left w:w="144" w:type="dxa"/>
              <w:bottom w:w="72" w:type="dxa"/>
              <w:right w:w="144" w:type="dxa"/>
            </w:tcMar>
            <w:hideMark/>
          </w:tcPr>
          <w:p w14:paraId="714257DB"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20761C3F" w14:textId="77777777" w:rsidTr="00446A18">
        <w:trPr>
          <w:trHeight w:val="464"/>
        </w:trPr>
        <w:tc>
          <w:tcPr>
            <w:tcW w:w="3730" w:type="dxa"/>
            <w:vMerge/>
            <w:tcBorders>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187C82B6" w14:textId="77777777" w:rsidR="00DF2A48" w:rsidRPr="00DF2A48" w:rsidRDefault="00DF2A48" w:rsidP="00446A18">
            <w:pPr>
              <w:spacing w:line="360" w:lineRule="auto"/>
              <w:rPr>
                <w:color w:val="000000" w:themeColor="text1"/>
              </w:rPr>
            </w:pPr>
          </w:p>
        </w:tc>
        <w:tc>
          <w:tcPr>
            <w:tcW w:w="2765" w:type="dxa"/>
            <w:tcBorders>
              <w:top w:val="single" w:sz="4" w:space="0" w:color="auto"/>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7BAF3191"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3112" w:type="dxa"/>
            <w:tcBorders>
              <w:top w:val="single" w:sz="4" w:space="0" w:color="auto"/>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tcPr>
          <w:p w14:paraId="0B0D8363" w14:textId="77777777" w:rsidR="00DF2A48" w:rsidRPr="00DF2A48" w:rsidRDefault="00DF2A48" w:rsidP="00446A18">
            <w:pPr>
              <w:spacing w:line="360" w:lineRule="auto"/>
              <w:rPr>
                <w:color w:val="000000" w:themeColor="text1"/>
              </w:rPr>
            </w:pPr>
            <w:r w:rsidRPr="00DF2A48">
              <w:rPr>
                <w:color w:val="000000" w:themeColor="text1"/>
              </w:rPr>
              <w:t>28°C</w:t>
            </w:r>
          </w:p>
        </w:tc>
      </w:tr>
      <w:tr w:rsidR="00DF2A48" w:rsidRPr="00DF2A48" w14:paraId="13460529" w14:textId="77777777" w:rsidTr="00446A18">
        <w:trPr>
          <w:trHeight w:val="592"/>
        </w:trPr>
        <w:tc>
          <w:tcPr>
            <w:tcW w:w="3730" w:type="dxa"/>
            <w:vMerge w:val="restart"/>
            <w:tcBorders>
              <w:top w:val="single" w:sz="8" w:space="0" w:color="FFFFFF"/>
              <w:left w:val="single" w:sz="8" w:space="0" w:color="FFFFFF"/>
              <w:right w:val="single" w:sz="8" w:space="0" w:color="FFFFFF"/>
            </w:tcBorders>
            <w:shd w:val="clear" w:color="auto" w:fill="E7EAED"/>
            <w:tcMar>
              <w:top w:w="72" w:type="dxa"/>
              <w:left w:w="144" w:type="dxa"/>
              <w:bottom w:w="72" w:type="dxa"/>
              <w:right w:w="144" w:type="dxa"/>
            </w:tcMar>
            <w:hideMark/>
          </w:tcPr>
          <w:p w14:paraId="6E2667F6" w14:textId="77777777" w:rsidR="00DF2A48" w:rsidRPr="00DF2A48" w:rsidRDefault="00DF2A48" w:rsidP="00446A18">
            <w:pPr>
              <w:spacing w:line="360" w:lineRule="auto"/>
              <w:rPr>
                <w:color w:val="000000" w:themeColor="text1"/>
              </w:rPr>
            </w:pPr>
            <w:r w:rsidRPr="00DF2A48">
              <w:rPr>
                <w:color w:val="000000" w:themeColor="text1"/>
              </w:rPr>
              <w:t>Pellet, Supernatant, and Media control</w:t>
            </w:r>
          </w:p>
        </w:tc>
        <w:tc>
          <w:tcPr>
            <w:tcW w:w="2765" w:type="dxa"/>
            <w:tcBorders>
              <w:top w:val="single" w:sz="8" w:space="0" w:color="FFFFFF"/>
              <w:left w:val="single" w:sz="8" w:space="0" w:color="FFFFFF"/>
              <w:bottom w:val="single" w:sz="4" w:space="0" w:color="auto"/>
              <w:right w:val="single" w:sz="8" w:space="0" w:color="FFFFFF"/>
            </w:tcBorders>
            <w:shd w:val="clear" w:color="auto" w:fill="E7EAED"/>
            <w:tcMar>
              <w:top w:w="72" w:type="dxa"/>
              <w:left w:w="144" w:type="dxa"/>
              <w:bottom w:w="72" w:type="dxa"/>
              <w:right w:w="144" w:type="dxa"/>
            </w:tcMar>
            <w:hideMark/>
          </w:tcPr>
          <w:p w14:paraId="526F48B8" w14:textId="77777777" w:rsidR="00DF2A48" w:rsidRPr="00DF2A48" w:rsidRDefault="00DF2A48" w:rsidP="00446A18">
            <w:pPr>
              <w:spacing w:line="360" w:lineRule="auto"/>
              <w:rPr>
                <w:color w:val="000000" w:themeColor="text1"/>
              </w:rPr>
            </w:pPr>
            <w:r w:rsidRPr="00DF2A48">
              <w:rPr>
                <w:color w:val="000000" w:themeColor="text1"/>
              </w:rPr>
              <w:t>EMJH (in house)</w:t>
            </w:r>
          </w:p>
        </w:tc>
        <w:tc>
          <w:tcPr>
            <w:tcW w:w="3112" w:type="dxa"/>
            <w:tcBorders>
              <w:top w:val="single" w:sz="8" w:space="0" w:color="FFFFFF"/>
              <w:left w:val="single" w:sz="8" w:space="0" w:color="FFFFFF"/>
              <w:bottom w:val="single" w:sz="4" w:space="0" w:color="auto"/>
              <w:right w:val="single" w:sz="8" w:space="0" w:color="FFFFFF"/>
            </w:tcBorders>
            <w:shd w:val="clear" w:color="auto" w:fill="E7EAED"/>
            <w:tcMar>
              <w:top w:w="72" w:type="dxa"/>
              <w:left w:w="144" w:type="dxa"/>
              <w:bottom w:w="72" w:type="dxa"/>
              <w:right w:w="144" w:type="dxa"/>
            </w:tcMar>
            <w:hideMark/>
          </w:tcPr>
          <w:p w14:paraId="12459A88" w14:textId="77777777" w:rsidR="00DF2A48" w:rsidRPr="00DF2A48" w:rsidRDefault="00DF2A48" w:rsidP="00446A18">
            <w:pPr>
              <w:spacing w:line="360" w:lineRule="auto"/>
              <w:rPr>
                <w:color w:val="000000" w:themeColor="text1"/>
              </w:rPr>
            </w:pPr>
            <w:r w:rsidRPr="00DF2A48">
              <w:rPr>
                <w:color w:val="000000" w:themeColor="text1"/>
              </w:rPr>
              <w:t>37°C</w:t>
            </w:r>
          </w:p>
        </w:tc>
      </w:tr>
      <w:tr w:rsidR="00DF2A48" w:rsidRPr="00DF2A48" w14:paraId="6E11901A" w14:textId="77777777" w:rsidTr="00446A18">
        <w:trPr>
          <w:trHeight w:val="415"/>
        </w:trPr>
        <w:tc>
          <w:tcPr>
            <w:tcW w:w="3730" w:type="dxa"/>
            <w:vMerge/>
            <w:tcBorders>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tcPr>
          <w:p w14:paraId="0040C0C1" w14:textId="77777777" w:rsidR="00DF2A48" w:rsidRPr="00DF2A48" w:rsidRDefault="00DF2A48" w:rsidP="00446A18">
            <w:pPr>
              <w:spacing w:line="360" w:lineRule="auto"/>
              <w:rPr>
                <w:color w:val="000000" w:themeColor="text1"/>
              </w:rPr>
            </w:pPr>
          </w:p>
        </w:tc>
        <w:tc>
          <w:tcPr>
            <w:tcW w:w="2765" w:type="dxa"/>
            <w:tcBorders>
              <w:top w:val="single" w:sz="4" w:space="0" w:color="auto"/>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tcPr>
          <w:p w14:paraId="4F2F4AD5" w14:textId="77777777" w:rsidR="00DF2A48" w:rsidRPr="00DF2A48" w:rsidRDefault="00DF2A48" w:rsidP="00446A18">
            <w:pPr>
              <w:spacing w:line="360" w:lineRule="auto"/>
              <w:rPr>
                <w:color w:val="000000" w:themeColor="text1"/>
              </w:rPr>
            </w:pPr>
            <w:r w:rsidRPr="00DF2A48">
              <w:rPr>
                <w:color w:val="000000" w:themeColor="text1"/>
              </w:rPr>
              <w:t>EMJH (Difco)</w:t>
            </w:r>
          </w:p>
        </w:tc>
        <w:tc>
          <w:tcPr>
            <w:tcW w:w="3112" w:type="dxa"/>
            <w:tcBorders>
              <w:top w:val="single" w:sz="4" w:space="0" w:color="auto"/>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tcPr>
          <w:p w14:paraId="6456B95A" w14:textId="77777777" w:rsidR="00DF2A48" w:rsidRPr="00DF2A48" w:rsidRDefault="00DF2A48" w:rsidP="00446A18">
            <w:pPr>
              <w:spacing w:line="360" w:lineRule="auto"/>
              <w:rPr>
                <w:color w:val="000000" w:themeColor="text1"/>
              </w:rPr>
            </w:pPr>
            <w:r w:rsidRPr="00DF2A48">
              <w:rPr>
                <w:color w:val="000000" w:themeColor="text1"/>
              </w:rPr>
              <w:t>37°C</w:t>
            </w:r>
          </w:p>
        </w:tc>
      </w:tr>
    </w:tbl>
    <w:p w14:paraId="7FB0AEF1" w14:textId="77777777" w:rsidR="00DB4E98" w:rsidRDefault="00DB4E98" w:rsidP="00DF2A48">
      <w:pPr>
        <w:spacing w:line="360" w:lineRule="auto"/>
        <w:rPr>
          <w:b/>
          <w:bCs/>
          <w:color w:val="000000" w:themeColor="text1"/>
        </w:rPr>
      </w:pPr>
    </w:p>
    <w:p w14:paraId="449D7BD8" w14:textId="1C4F3C45" w:rsidR="00DF2A48" w:rsidRPr="00DB4E98" w:rsidRDefault="00DF2A48" w:rsidP="00CA1108">
      <w:pPr>
        <w:spacing w:line="360" w:lineRule="auto"/>
        <w:rPr>
          <w:b/>
          <w:bCs/>
          <w:color w:val="000000" w:themeColor="text1"/>
        </w:rPr>
      </w:pPr>
      <w:r w:rsidRPr="00DF2A48">
        <w:rPr>
          <w:noProof/>
          <w:color w:val="000000" w:themeColor="text1"/>
        </w:rPr>
        <w:lastRenderedPageBreak/>
        <w:drawing>
          <wp:inline distT="0" distB="0" distL="0" distR="0" wp14:anchorId="6050C5A6" wp14:editId="15BB4D9F">
            <wp:extent cx="5943600" cy="5283200"/>
            <wp:effectExtent l="0" t="0" r="0" b="0"/>
            <wp:docPr id="357308123" name="Picture 54" descr="A graph with colored circl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08123" name="Picture 54" descr="A graph with colored circles and numbers&#10;&#10;AI-generated content may be incorrect."/>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14:paraId="31A8996B" w14:textId="4DD06EB3" w:rsidR="00DF2A48" w:rsidRPr="00DF2A48" w:rsidRDefault="00DF2A48" w:rsidP="00CA1108">
      <w:pPr>
        <w:rPr>
          <w:color w:val="000000" w:themeColor="text1"/>
        </w:rPr>
      </w:pPr>
      <w:r w:rsidRPr="00DF2A48">
        <w:rPr>
          <w:b/>
          <w:bCs/>
          <w:color w:val="000000" w:themeColor="text1"/>
        </w:rPr>
        <w:t>Figure 53:</w:t>
      </w:r>
      <w:r w:rsidRPr="00DF2A48">
        <w:rPr>
          <w:color w:val="000000" w:themeColor="text1"/>
        </w:rPr>
        <w:t xml:space="preserve"> Partial Least Squares Discriminant Analysis PLS-DA plot among the pellets, supernatant collected from EMJH (in house) media at both 28°C and 37°C are represented.</w:t>
      </w:r>
      <w:r w:rsidRPr="00DF2A48">
        <w:rPr>
          <w:color w:val="000000" w:themeColor="text1"/>
        </w:rPr>
        <w:br w:type="page"/>
      </w:r>
    </w:p>
    <w:p w14:paraId="2C125DDD"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4D9D77D8" wp14:editId="2D0B8451">
            <wp:extent cx="5573949" cy="5390832"/>
            <wp:effectExtent l="0" t="0" r="1905" b="0"/>
            <wp:docPr id="1825866250" name="Picture 55" descr="A graph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66250" name="Picture 55" descr="A graph of a diagram&#10;&#10;AI-generated content may be incorrect."/>
                    <pic:cNvPicPr/>
                  </pic:nvPicPr>
                  <pic:blipFill rotWithShape="1">
                    <a:blip r:embed="rId63">
                      <a:extLst>
                        <a:ext uri="{28A0092B-C50C-407E-A947-70E740481C1C}">
                          <a14:useLocalDpi xmlns:a14="http://schemas.microsoft.com/office/drawing/2010/main" val="0"/>
                        </a:ext>
                      </a:extLst>
                    </a:blip>
                    <a:srcRect l="13585" t="15433" r="22259" b="3317"/>
                    <a:stretch>
                      <a:fillRect/>
                    </a:stretch>
                  </pic:blipFill>
                  <pic:spPr bwMode="auto">
                    <a:xfrm>
                      <a:off x="0" y="0"/>
                      <a:ext cx="5589977" cy="5406333"/>
                    </a:xfrm>
                    <a:prstGeom prst="rect">
                      <a:avLst/>
                    </a:prstGeom>
                    <a:ln>
                      <a:noFill/>
                    </a:ln>
                    <a:extLst>
                      <a:ext uri="{53640926-AAD7-44D8-BBD7-CCE9431645EC}">
                        <a14:shadowObscured xmlns:a14="http://schemas.microsoft.com/office/drawing/2010/main"/>
                      </a:ext>
                    </a:extLst>
                  </pic:spPr>
                </pic:pic>
              </a:graphicData>
            </a:graphic>
          </wp:inline>
        </w:drawing>
      </w:r>
    </w:p>
    <w:p w14:paraId="57A79F68" w14:textId="267AA734" w:rsidR="00DF2A48" w:rsidRPr="00DF2A48" w:rsidRDefault="00DF2A48" w:rsidP="00CA1108">
      <w:pPr>
        <w:rPr>
          <w:color w:val="000000" w:themeColor="text1"/>
        </w:rPr>
      </w:pPr>
      <w:r w:rsidRPr="00DF2A48">
        <w:rPr>
          <w:b/>
          <w:bCs/>
          <w:color w:val="000000" w:themeColor="text1"/>
        </w:rPr>
        <w:t>Figure 54:</w:t>
      </w:r>
      <w:r w:rsidRPr="00DF2A48">
        <w:rPr>
          <w:color w:val="000000" w:themeColor="text1"/>
        </w:rPr>
        <w:t xml:space="preserve"> Three-dimensional representation of the PLS-DA of </w:t>
      </w:r>
      <w:r w:rsidR="00F40B9B">
        <w:rPr>
          <w:b/>
          <w:bCs/>
          <w:color w:val="000000" w:themeColor="text1"/>
        </w:rPr>
        <w:t>F</w:t>
      </w:r>
      <w:r w:rsidRPr="00DF2A48">
        <w:rPr>
          <w:b/>
          <w:bCs/>
          <w:color w:val="000000" w:themeColor="text1"/>
        </w:rPr>
        <w:t>igure 53</w:t>
      </w:r>
      <w:r w:rsidRPr="00DF2A48">
        <w:rPr>
          <w:color w:val="000000" w:themeColor="text1"/>
        </w:rPr>
        <w:t xml:space="preserve"> for improved visualization.</w:t>
      </w:r>
    </w:p>
    <w:p w14:paraId="549B347E" w14:textId="77777777" w:rsidR="00DF2A48" w:rsidRPr="00DF2A48" w:rsidRDefault="00DF2A48" w:rsidP="00F00898">
      <w:pPr>
        <w:jc w:val="both"/>
        <w:rPr>
          <w:color w:val="000000" w:themeColor="text1"/>
        </w:rPr>
      </w:pPr>
    </w:p>
    <w:p w14:paraId="6139AC33" w14:textId="77777777" w:rsidR="00DF2A48" w:rsidRPr="00DF2A48" w:rsidRDefault="00DF2A48" w:rsidP="00DF2A48">
      <w:pPr>
        <w:spacing w:line="360" w:lineRule="auto"/>
        <w:rPr>
          <w:color w:val="000000" w:themeColor="text1"/>
        </w:rPr>
      </w:pPr>
    </w:p>
    <w:p w14:paraId="7C9005FA" w14:textId="77777777" w:rsidR="00DF2A48" w:rsidRPr="00DF2A48" w:rsidRDefault="00DF2A48" w:rsidP="00DF2A48">
      <w:pPr>
        <w:spacing w:line="360" w:lineRule="auto"/>
        <w:rPr>
          <w:color w:val="000000" w:themeColor="text1"/>
        </w:rPr>
      </w:pPr>
    </w:p>
    <w:p w14:paraId="3C4245C6" w14:textId="77777777" w:rsidR="00DF2A48" w:rsidRPr="00DF2A48" w:rsidRDefault="00DF2A48" w:rsidP="00DF2A48">
      <w:pPr>
        <w:spacing w:line="360" w:lineRule="auto"/>
        <w:rPr>
          <w:color w:val="000000" w:themeColor="text1"/>
        </w:rPr>
      </w:pPr>
    </w:p>
    <w:p w14:paraId="557BA3CE" w14:textId="77777777" w:rsidR="00DF2A48" w:rsidRPr="00DF2A48" w:rsidRDefault="00DF2A48" w:rsidP="00DF2A48">
      <w:pPr>
        <w:rPr>
          <w:color w:val="000000" w:themeColor="text1"/>
        </w:rPr>
      </w:pPr>
      <w:r w:rsidRPr="00DF2A48">
        <w:rPr>
          <w:color w:val="000000" w:themeColor="text1"/>
        </w:rPr>
        <w:br w:type="page"/>
      </w:r>
    </w:p>
    <w:p w14:paraId="0347FEBD"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2DDFF204" wp14:editId="03544E16">
            <wp:extent cx="5943600" cy="5219700"/>
            <wp:effectExtent l="0" t="0" r="0" b="0"/>
            <wp:docPr id="332435082" name="Picture 53" descr="A chart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596153" name="Picture 53" descr="A chart with different colored squares&#10;&#10;AI-generated content may be incorrec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5219700"/>
                    </a:xfrm>
                    <a:prstGeom prst="rect">
                      <a:avLst/>
                    </a:prstGeom>
                  </pic:spPr>
                </pic:pic>
              </a:graphicData>
            </a:graphic>
          </wp:inline>
        </w:drawing>
      </w:r>
    </w:p>
    <w:p w14:paraId="7C045786" w14:textId="77777777" w:rsidR="00DF2A48" w:rsidRPr="00DF2A48" w:rsidRDefault="00DF2A48" w:rsidP="00DF2A48">
      <w:pPr>
        <w:spacing w:line="360" w:lineRule="auto"/>
        <w:rPr>
          <w:color w:val="000000" w:themeColor="text1"/>
        </w:rPr>
      </w:pPr>
    </w:p>
    <w:p w14:paraId="4D9E98BB" w14:textId="5ABBB718" w:rsidR="00DF2A48" w:rsidRPr="00DF2A48" w:rsidRDefault="00DF2A48" w:rsidP="00CA1108">
      <w:pPr>
        <w:rPr>
          <w:color w:val="000000" w:themeColor="text1"/>
        </w:rPr>
      </w:pPr>
      <w:r w:rsidRPr="00DF2A48">
        <w:rPr>
          <w:b/>
          <w:bCs/>
          <w:color w:val="000000" w:themeColor="text1"/>
        </w:rPr>
        <w:t>Figure 55:</w:t>
      </w:r>
      <w:r w:rsidRPr="00DF2A48">
        <w:rPr>
          <w:color w:val="000000" w:themeColor="text1"/>
        </w:rPr>
        <w:t xml:space="preserve"> Variable importance in projection (VIP) score plot demonstrating the metabolites of significance in the PLS-DA model of </w:t>
      </w:r>
      <w:r w:rsidR="00F40B9B">
        <w:rPr>
          <w:b/>
          <w:bCs/>
          <w:color w:val="000000" w:themeColor="text1"/>
        </w:rPr>
        <w:t>F</w:t>
      </w:r>
      <w:r w:rsidRPr="003950DA">
        <w:rPr>
          <w:b/>
          <w:bCs/>
          <w:color w:val="000000" w:themeColor="text1"/>
        </w:rPr>
        <w:t>igure 54.</w:t>
      </w:r>
      <w:r w:rsidRPr="00DF2A48">
        <w:rPr>
          <w:color w:val="000000" w:themeColor="text1"/>
        </w:rPr>
        <w:t xml:space="preserve"> </w:t>
      </w:r>
    </w:p>
    <w:p w14:paraId="3802FEE7" w14:textId="74DC73F7" w:rsidR="00DF2A48" w:rsidRPr="00DF2A48" w:rsidRDefault="00DF2A48" w:rsidP="00202DED">
      <w:pPr>
        <w:spacing w:line="360" w:lineRule="auto"/>
        <w:jc w:val="both"/>
        <w:rPr>
          <w:color w:val="000000" w:themeColor="text1"/>
        </w:rPr>
      </w:pPr>
      <w:r w:rsidRPr="00DF2A48">
        <w:rPr>
          <w:color w:val="000000" w:themeColor="text1"/>
        </w:rPr>
        <w:br w:type="page"/>
      </w:r>
    </w:p>
    <w:p w14:paraId="62324DAB" w14:textId="77777777" w:rsidR="00053926" w:rsidRPr="00DF2A48" w:rsidRDefault="00053926" w:rsidP="00DF2A48">
      <w:pPr>
        <w:rPr>
          <w:noProof/>
          <w:color w:val="000000" w:themeColor="text1"/>
        </w:rPr>
      </w:pPr>
    </w:p>
    <w:p w14:paraId="38E04DED" w14:textId="77777777" w:rsidR="00DF2A48" w:rsidRPr="00DF2A48" w:rsidRDefault="00DF2A48" w:rsidP="00DF2A48">
      <w:pPr>
        <w:spacing w:line="360" w:lineRule="auto"/>
        <w:rPr>
          <w:color w:val="000000" w:themeColor="text1"/>
        </w:rPr>
      </w:pPr>
      <w:r w:rsidRPr="00DF2A48">
        <w:rPr>
          <w:noProof/>
          <w:color w:val="000000" w:themeColor="text1"/>
        </w:rPr>
        <w:drawing>
          <wp:inline distT="0" distB="0" distL="0" distR="0" wp14:anchorId="5444522C" wp14:editId="748951B6">
            <wp:extent cx="5318760" cy="4727787"/>
            <wp:effectExtent l="0" t="0" r="2540" b="0"/>
            <wp:docPr id="607576176" name="Picture 58" descr="A graph with colored circl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76176" name="Picture 58" descr="A graph with colored circles and numbers&#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358695" cy="4763285"/>
                    </a:xfrm>
                    <a:prstGeom prst="rect">
                      <a:avLst/>
                    </a:prstGeom>
                  </pic:spPr>
                </pic:pic>
              </a:graphicData>
            </a:graphic>
          </wp:inline>
        </w:drawing>
      </w:r>
    </w:p>
    <w:p w14:paraId="101A48DA" w14:textId="77777777" w:rsidR="00DF2A48" w:rsidRPr="00DF2A48" w:rsidRDefault="00DF2A48" w:rsidP="00DF2A48">
      <w:pPr>
        <w:rPr>
          <w:color w:val="000000" w:themeColor="text1"/>
        </w:rPr>
      </w:pPr>
      <w:r w:rsidRPr="0024716F">
        <w:rPr>
          <w:b/>
          <w:bCs/>
          <w:color w:val="000000" w:themeColor="text1"/>
        </w:rPr>
        <w:t>Figure 56:</w:t>
      </w:r>
      <w:r w:rsidRPr="00DF2A48">
        <w:rPr>
          <w:color w:val="000000" w:themeColor="text1"/>
        </w:rPr>
        <w:t xml:space="preserve"> Partial Least Squares Discriminant Analysis (PLS-DA) plot among the pellets, supernatant collected from EMJH (Difco) media at both 28°C and 37°C are represented.</w:t>
      </w:r>
    </w:p>
    <w:p w14:paraId="3661882B" w14:textId="3FB399B7" w:rsidR="00DF2A48" w:rsidRPr="00DF2A48" w:rsidRDefault="00DF2A48" w:rsidP="00053926">
      <w:pPr>
        <w:rPr>
          <w:color w:val="000000" w:themeColor="text1"/>
        </w:rPr>
      </w:pPr>
      <w:r w:rsidRPr="00DF2A48">
        <w:rPr>
          <w:color w:val="000000" w:themeColor="text1"/>
        </w:rPr>
        <w:t xml:space="preserve"> </w:t>
      </w:r>
      <w:r w:rsidRPr="00DF2A48">
        <w:rPr>
          <w:color w:val="000000" w:themeColor="text1"/>
        </w:rPr>
        <w:br w:type="page"/>
      </w:r>
    </w:p>
    <w:p w14:paraId="56B1AF43"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1B0323E9" wp14:editId="62855651">
            <wp:extent cx="5904689" cy="5720301"/>
            <wp:effectExtent l="0" t="0" r="1270" b="0"/>
            <wp:docPr id="69607829" name="Picture 59" descr="A graph with colorful ball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7829" name="Picture 59" descr="A graph with colorful balls and lines&#10;&#10;AI-generated content may be incorrect."/>
                    <pic:cNvPicPr/>
                  </pic:nvPicPr>
                  <pic:blipFill rotWithShape="1">
                    <a:blip r:embed="rId66">
                      <a:extLst>
                        <a:ext uri="{28A0092B-C50C-407E-A947-70E740481C1C}">
                          <a14:useLocalDpi xmlns:a14="http://schemas.microsoft.com/office/drawing/2010/main" val="0"/>
                        </a:ext>
                      </a:extLst>
                    </a:blip>
                    <a:srcRect l="17779" t="5573" r="19804"/>
                    <a:stretch>
                      <a:fillRect/>
                    </a:stretch>
                  </pic:blipFill>
                  <pic:spPr bwMode="auto">
                    <a:xfrm>
                      <a:off x="0" y="0"/>
                      <a:ext cx="5958985" cy="5772902"/>
                    </a:xfrm>
                    <a:prstGeom prst="rect">
                      <a:avLst/>
                    </a:prstGeom>
                    <a:ln>
                      <a:noFill/>
                    </a:ln>
                    <a:extLst>
                      <a:ext uri="{53640926-AAD7-44D8-BBD7-CCE9431645EC}">
                        <a14:shadowObscured xmlns:a14="http://schemas.microsoft.com/office/drawing/2010/main"/>
                      </a:ext>
                    </a:extLst>
                  </pic:spPr>
                </pic:pic>
              </a:graphicData>
            </a:graphic>
          </wp:inline>
        </w:drawing>
      </w:r>
    </w:p>
    <w:p w14:paraId="799D8EC7" w14:textId="77777777" w:rsidR="00DF2A48" w:rsidRPr="00DF2A48" w:rsidRDefault="00DF2A48" w:rsidP="00DF2A48">
      <w:pPr>
        <w:spacing w:line="360" w:lineRule="auto"/>
        <w:rPr>
          <w:color w:val="000000" w:themeColor="text1"/>
        </w:rPr>
      </w:pPr>
    </w:p>
    <w:p w14:paraId="2C7B68A6" w14:textId="6DCC314F" w:rsidR="00DF2A48" w:rsidRPr="00DF2A48" w:rsidRDefault="00DF2A48" w:rsidP="00CA1108">
      <w:pPr>
        <w:rPr>
          <w:color w:val="000000" w:themeColor="text1"/>
        </w:rPr>
      </w:pPr>
      <w:r w:rsidRPr="00DF2A48">
        <w:rPr>
          <w:b/>
          <w:bCs/>
          <w:color w:val="000000" w:themeColor="text1"/>
        </w:rPr>
        <w:t>Figure 57:</w:t>
      </w:r>
      <w:r w:rsidRPr="00DF2A48">
        <w:rPr>
          <w:color w:val="000000" w:themeColor="text1"/>
        </w:rPr>
        <w:t xml:space="preserve"> Three-dimensional representation of the PLS-DA of </w:t>
      </w:r>
      <w:r w:rsidR="00F40B9B">
        <w:rPr>
          <w:b/>
          <w:bCs/>
          <w:color w:val="000000" w:themeColor="text1"/>
        </w:rPr>
        <w:t>F</w:t>
      </w:r>
      <w:r w:rsidRPr="00DF2A48">
        <w:rPr>
          <w:b/>
          <w:bCs/>
          <w:color w:val="000000" w:themeColor="text1"/>
        </w:rPr>
        <w:t>igure 56</w:t>
      </w:r>
      <w:r w:rsidRPr="00DF2A48">
        <w:rPr>
          <w:color w:val="000000" w:themeColor="text1"/>
        </w:rPr>
        <w:t xml:space="preserve"> for improved visualization.</w:t>
      </w:r>
    </w:p>
    <w:p w14:paraId="27C58861" w14:textId="77777777" w:rsidR="00DF2A48" w:rsidRPr="00DF2A48" w:rsidRDefault="00DF2A48" w:rsidP="00DF2A48">
      <w:pPr>
        <w:spacing w:line="360" w:lineRule="auto"/>
        <w:jc w:val="both"/>
        <w:rPr>
          <w:color w:val="000000" w:themeColor="text1"/>
        </w:rPr>
      </w:pPr>
    </w:p>
    <w:p w14:paraId="600DB652" w14:textId="77777777" w:rsidR="00DF2A48" w:rsidRPr="00DF2A48" w:rsidRDefault="00DF2A48" w:rsidP="00DF2A48">
      <w:pPr>
        <w:rPr>
          <w:color w:val="000000" w:themeColor="text1"/>
        </w:rPr>
      </w:pPr>
      <w:r w:rsidRPr="00DF2A48">
        <w:rPr>
          <w:color w:val="000000" w:themeColor="text1"/>
        </w:rPr>
        <w:br w:type="page"/>
      </w:r>
      <w:r w:rsidRPr="00DF2A48">
        <w:rPr>
          <w:noProof/>
          <w:color w:val="000000" w:themeColor="text1"/>
        </w:rPr>
        <w:lastRenderedPageBreak/>
        <w:drawing>
          <wp:inline distT="0" distB="0" distL="0" distR="0" wp14:anchorId="304D55DE" wp14:editId="21E3E377">
            <wp:extent cx="5943600" cy="5219700"/>
            <wp:effectExtent l="0" t="0" r="0" b="0"/>
            <wp:docPr id="1950510798" name="Picture 57" descr="A chart with a line graph and a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65246" name="Picture 57" descr="A chart with a line graph and a chart with text&#10;&#10;AI-generated content may be incorrect."/>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5219700"/>
                    </a:xfrm>
                    <a:prstGeom prst="rect">
                      <a:avLst/>
                    </a:prstGeom>
                  </pic:spPr>
                </pic:pic>
              </a:graphicData>
            </a:graphic>
          </wp:inline>
        </w:drawing>
      </w:r>
    </w:p>
    <w:p w14:paraId="3D030AD3" w14:textId="6DAF1825" w:rsidR="00DF2A48" w:rsidRPr="00DF2A48" w:rsidRDefault="00DF2A48" w:rsidP="00053926">
      <w:pPr>
        <w:rPr>
          <w:b/>
          <w:bCs/>
          <w:color w:val="000000" w:themeColor="text1"/>
        </w:rPr>
      </w:pPr>
      <w:r w:rsidRPr="00DF2A48">
        <w:rPr>
          <w:b/>
          <w:bCs/>
          <w:color w:val="000000" w:themeColor="text1"/>
        </w:rPr>
        <w:t>Figure 58:</w:t>
      </w:r>
      <w:r w:rsidRPr="00DF2A48">
        <w:rPr>
          <w:color w:val="000000" w:themeColor="text1"/>
        </w:rPr>
        <w:t xml:space="preserve"> Variable importance in projection (VIP) score plot demonstrating the metabolites of significance in the PLS-DA model of </w:t>
      </w:r>
      <w:r w:rsidR="00F40B9B">
        <w:rPr>
          <w:b/>
          <w:bCs/>
          <w:color w:val="000000" w:themeColor="text1"/>
        </w:rPr>
        <w:t>F</w:t>
      </w:r>
      <w:r w:rsidRPr="00DF2A48">
        <w:rPr>
          <w:b/>
          <w:bCs/>
          <w:color w:val="000000" w:themeColor="text1"/>
        </w:rPr>
        <w:t>igure 57.</w:t>
      </w:r>
      <w:r w:rsidRPr="00DF2A48">
        <w:rPr>
          <w:b/>
          <w:bCs/>
          <w:color w:val="000000" w:themeColor="text1"/>
        </w:rPr>
        <w:br w:type="page"/>
      </w:r>
    </w:p>
    <w:p w14:paraId="34CC105D" w14:textId="139C8625" w:rsidR="00741511" w:rsidRDefault="00741511" w:rsidP="00CA1108">
      <w:pPr>
        <w:spacing w:line="360" w:lineRule="auto"/>
        <w:rPr>
          <w:b/>
          <w:bCs/>
          <w:color w:val="000000" w:themeColor="text1"/>
        </w:rPr>
      </w:pPr>
      <w:r w:rsidRPr="00DF2A48">
        <w:rPr>
          <w:color w:val="000000" w:themeColor="text1"/>
        </w:rPr>
        <w:lastRenderedPageBreak/>
        <w:t>Difco) at 28°C and 37°C, and the media controls at 28°C and 37°C referring to unique metabolic profiles across each sample fraction.</w:t>
      </w:r>
      <w:r>
        <w:rPr>
          <w:color w:val="000000" w:themeColor="text1"/>
        </w:rPr>
        <w:t xml:space="preserve"> </w:t>
      </w:r>
      <w:r w:rsidRPr="00DF2A48">
        <w:rPr>
          <w:color w:val="000000" w:themeColor="text1"/>
        </w:rPr>
        <w:t>The key metabolites contributing to the variations in each group are of high impact in supernatants</w:t>
      </w:r>
      <w:r>
        <w:rPr>
          <w:color w:val="000000" w:themeColor="text1"/>
        </w:rPr>
        <w:t xml:space="preserve"> (</w:t>
      </w:r>
      <w:r w:rsidRPr="00053926">
        <w:rPr>
          <w:b/>
          <w:bCs/>
          <w:color w:val="000000" w:themeColor="text1"/>
        </w:rPr>
        <w:t>Figure 5</w:t>
      </w:r>
      <w:r>
        <w:rPr>
          <w:b/>
          <w:bCs/>
          <w:color w:val="000000" w:themeColor="text1"/>
        </w:rPr>
        <w:t>8)</w:t>
      </w:r>
      <w:r>
        <w:rPr>
          <w:color w:val="000000" w:themeColor="text1"/>
        </w:rPr>
        <w:t xml:space="preserve">, </w:t>
      </w:r>
      <w:r w:rsidRPr="00DF2A48">
        <w:rPr>
          <w:color w:val="000000" w:themeColor="text1"/>
        </w:rPr>
        <w:t>attributing to the metabolites upregulated from the supernatants</w:t>
      </w:r>
      <w:r>
        <w:rPr>
          <w:color w:val="000000" w:themeColor="text1"/>
        </w:rPr>
        <w:t xml:space="preserve">. This finding </w:t>
      </w:r>
      <w:r w:rsidRPr="00DF2A48">
        <w:rPr>
          <w:color w:val="000000" w:themeColor="text1"/>
        </w:rPr>
        <w:t xml:space="preserve">is consistent with the findings </w:t>
      </w:r>
      <w:r>
        <w:rPr>
          <w:color w:val="000000" w:themeColor="text1"/>
        </w:rPr>
        <w:t xml:space="preserve">from </w:t>
      </w:r>
      <w:r w:rsidRPr="00741511">
        <w:rPr>
          <w:b/>
          <w:bCs/>
          <w:color w:val="000000" w:themeColor="text1"/>
        </w:rPr>
        <w:t>Figure 4</w:t>
      </w:r>
      <w:r w:rsidRPr="00DF2A48">
        <w:rPr>
          <w:b/>
          <w:bCs/>
          <w:color w:val="000000" w:themeColor="text1"/>
        </w:rPr>
        <w:t>1.</w:t>
      </w:r>
    </w:p>
    <w:p w14:paraId="696D7295" w14:textId="5619BF48" w:rsidR="00F10B12" w:rsidRDefault="00DF2A48" w:rsidP="00CA1108">
      <w:pPr>
        <w:spacing w:line="360" w:lineRule="auto"/>
        <w:rPr>
          <w:b/>
          <w:bCs/>
          <w:color w:val="000000" w:themeColor="text1"/>
        </w:rPr>
      </w:pPr>
      <w:r w:rsidRPr="00DF2A48">
        <w:rPr>
          <w:b/>
          <w:bCs/>
          <w:color w:val="000000" w:themeColor="text1"/>
        </w:rPr>
        <w:t>Integrated comparison among pellet supernatant and media control in EMJH (in house) and EMJH (Difco) media at 28°C</w:t>
      </w:r>
    </w:p>
    <w:p w14:paraId="22EFE101" w14:textId="76FA5700" w:rsidR="00F10B12" w:rsidRDefault="00F10B12" w:rsidP="00741511">
      <w:pPr>
        <w:spacing w:line="360" w:lineRule="auto"/>
        <w:ind w:firstLine="720"/>
        <w:rPr>
          <w:color w:val="000000" w:themeColor="text1"/>
        </w:rPr>
      </w:pPr>
      <w:r>
        <w:rPr>
          <w:color w:val="000000" w:themeColor="text1"/>
        </w:rPr>
        <w:t xml:space="preserve">The next integrated analysis is among all the sample fractions (pellet, supernatant, media control) from two media used in the experiment – EMJH (in house) and </w:t>
      </w:r>
      <w:r w:rsidRPr="00053926">
        <w:rPr>
          <w:color w:val="000000" w:themeColor="text1"/>
        </w:rPr>
        <w:t>EMJH (</w:t>
      </w:r>
      <w:r>
        <w:rPr>
          <w:color w:val="000000" w:themeColor="text1"/>
        </w:rPr>
        <w:t>Difco</w:t>
      </w:r>
      <w:r w:rsidRPr="00053926">
        <w:rPr>
          <w:color w:val="000000" w:themeColor="text1"/>
        </w:rPr>
        <w:t>) at 28°C</w:t>
      </w:r>
      <w:r>
        <w:rPr>
          <w:color w:val="000000" w:themeColor="text1"/>
        </w:rPr>
        <w:t xml:space="preserve">. The analysis is visualized in </w:t>
      </w:r>
      <w:r w:rsidRPr="00053926">
        <w:rPr>
          <w:b/>
          <w:bCs/>
          <w:color w:val="000000" w:themeColor="text1"/>
        </w:rPr>
        <w:t>Figure 5</w:t>
      </w:r>
      <w:r>
        <w:rPr>
          <w:b/>
          <w:bCs/>
          <w:color w:val="000000" w:themeColor="text1"/>
        </w:rPr>
        <w:t>9</w:t>
      </w:r>
      <w:r w:rsidRPr="00053926">
        <w:rPr>
          <w:b/>
          <w:bCs/>
          <w:color w:val="000000" w:themeColor="text1"/>
        </w:rPr>
        <w:t>-</w:t>
      </w:r>
      <w:r>
        <w:rPr>
          <w:b/>
          <w:bCs/>
          <w:color w:val="000000" w:themeColor="text1"/>
        </w:rPr>
        <w:t>61</w:t>
      </w:r>
      <w:r>
        <w:rPr>
          <w:color w:val="000000" w:themeColor="text1"/>
        </w:rPr>
        <w:t>.</w:t>
      </w:r>
      <w:r w:rsidR="00CA1108">
        <w:rPr>
          <w:color w:val="000000" w:themeColor="text1"/>
        </w:rPr>
        <w:t xml:space="preserve"> While</w:t>
      </w:r>
      <w:r w:rsidRPr="00DF2A48">
        <w:rPr>
          <w:color w:val="000000" w:themeColor="text1"/>
        </w:rPr>
        <w:t xml:space="preserve"> there are multiple overlapping groups demonstrating the similarities in metabolic profile</w:t>
      </w:r>
      <w:r w:rsidR="00CA1108">
        <w:rPr>
          <w:color w:val="000000" w:themeColor="text1"/>
        </w:rPr>
        <w:t xml:space="preserve"> (</w:t>
      </w:r>
      <w:r w:rsidR="00CA1108" w:rsidRPr="00CA1108">
        <w:rPr>
          <w:b/>
          <w:bCs/>
          <w:color w:val="000000" w:themeColor="text1"/>
        </w:rPr>
        <w:t>Figure 59</w:t>
      </w:r>
      <w:r w:rsidR="00CA1108">
        <w:rPr>
          <w:color w:val="000000" w:themeColor="text1"/>
        </w:rPr>
        <w:t>)</w:t>
      </w:r>
      <w:r w:rsidRPr="00DF2A48">
        <w:rPr>
          <w:color w:val="000000" w:themeColor="text1"/>
        </w:rPr>
        <w:t xml:space="preserve">, the three-dimensional view of the PLS-DA model </w:t>
      </w:r>
      <w:r w:rsidR="00CA1108">
        <w:rPr>
          <w:color w:val="000000" w:themeColor="text1"/>
        </w:rPr>
        <w:t>(</w:t>
      </w:r>
      <w:r w:rsidR="00CA1108" w:rsidRPr="00CA1108">
        <w:rPr>
          <w:b/>
          <w:bCs/>
          <w:color w:val="000000" w:themeColor="text1"/>
        </w:rPr>
        <w:t>Figure 60</w:t>
      </w:r>
      <w:r w:rsidR="00CA1108">
        <w:rPr>
          <w:color w:val="000000" w:themeColor="text1"/>
        </w:rPr>
        <w:t xml:space="preserve">) </w:t>
      </w:r>
      <w:r w:rsidRPr="00DF2A48">
        <w:rPr>
          <w:color w:val="000000" w:themeColor="text1"/>
        </w:rPr>
        <w:t>provides an improved visualization for better understanding. The three-dimensional view of the PLS-DA shows unique profiles for each sample fraction from EMJH (in house) and EMJH (Difco) media even when the temperature remains constant at 28°C.</w:t>
      </w:r>
      <w:r w:rsidR="00CA1108">
        <w:rPr>
          <w:color w:val="000000" w:themeColor="text1"/>
        </w:rPr>
        <w:t xml:space="preserve"> </w:t>
      </w:r>
      <w:r w:rsidRPr="00DF2A48">
        <w:rPr>
          <w:color w:val="000000" w:themeColor="text1"/>
        </w:rPr>
        <w:t xml:space="preserve">In this comparison, each group is showing separation referring to the unique metabolic profile of </w:t>
      </w:r>
      <w:proofErr w:type="spellStart"/>
      <w:r w:rsidRPr="00DF2A48">
        <w:rPr>
          <w:i/>
          <w:iCs/>
          <w:color w:val="000000" w:themeColor="text1"/>
        </w:rPr>
        <w:t>leptospira</w:t>
      </w:r>
      <w:proofErr w:type="spellEnd"/>
      <w:r w:rsidRPr="00DF2A48">
        <w:rPr>
          <w:color w:val="000000" w:themeColor="text1"/>
        </w:rPr>
        <w:t>. Although the temperature is kept constant during both inoculations, the variation in media provided an environment suited for distinctive metabolic profile for growth. This insight could lead to investigation towards adaptive strategies of growth based on nutrient availability.</w:t>
      </w:r>
    </w:p>
    <w:p w14:paraId="30182671" w14:textId="77777777" w:rsidR="00741511" w:rsidRDefault="00741511" w:rsidP="00741511">
      <w:pPr>
        <w:spacing w:line="360" w:lineRule="auto"/>
        <w:rPr>
          <w:b/>
          <w:bCs/>
          <w:color w:val="000000" w:themeColor="text1"/>
        </w:rPr>
      </w:pPr>
      <w:r w:rsidRPr="00DF2A48">
        <w:rPr>
          <w:b/>
          <w:bCs/>
          <w:color w:val="000000" w:themeColor="text1"/>
        </w:rPr>
        <w:t xml:space="preserve">Integrated comparison among pellet, supernatant, and media control in EMJH (in house) and EMJH (Difco) media at 37°C </w:t>
      </w:r>
    </w:p>
    <w:p w14:paraId="29879C5C" w14:textId="77777777" w:rsidR="00741511" w:rsidRDefault="00741511" w:rsidP="00741511">
      <w:pPr>
        <w:spacing w:line="360" w:lineRule="auto"/>
        <w:rPr>
          <w:color w:val="000000" w:themeColor="text1"/>
        </w:rPr>
      </w:pPr>
      <w:r>
        <w:rPr>
          <w:color w:val="000000" w:themeColor="text1"/>
        </w:rPr>
        <w:t xml:space="preserve">The final integrated analysis is among all the sample fractions (pellet, supernatant, media control) from two media used in the experiment – EMJH (in house) and </w:t>
      </w:r>
      <w:r w:rsidRPr="00053926">
        <w:rPr>
          <w:color w:val="000000" w:themeColor="text1"/>
        </w:rPr>
        <w:t>EMJH (</w:t>
      </w:r>
      <w:r>
        <w:rPr>
          <w:color w:val="000000" w:themeColor="text1"/>
        </w:rPr>
        <w:t>Difco</w:t>
      </w:r>
      <w:r w:rsidRPr="00053926">
        <w:rPr>
          <w:color w:val="000000" w:themeColor="text1"/>
        </w:rPr>
        <w:t xml:space="preserve">) at </w:t>
      </w:r>
      <w:r>
        <w:rPr>
          <w:color w:val="000000" w:themeColor="text1"/>
        </w:rPr>
        <w:t>37</w:t>
      </w:r>
      <w:r w:rsidRPr="00053926">
        <w:rPr>
          <w:color w:val="000000" w:themeColor="text1"/>
        </w:rPr>
        <w:t>°C</w:t>
      </w:r>
      <w:r>
        <w:rPr>
          <w:color w:val="000000" w:themeColor="text1"/>
        </w:rPr>
        <w:t xml:space="preserve">. The analysis is visualized in </w:t>
      </w:r>
      <w:r w:rsidRPr="00053926">
        <w:rPr>
          <w:b/>
          <w:bCs/>
          <w:color w:val="000000" w:themeColor="text1"/>
        </w:rPr>
        <w:t xml:space="preserve">Figure </w:t>
      </w:r>
      <w:r>
        <w:rPr>
          <w:b/>
          <w:bCs/>
          <w:color w:val="000000" w:themeColor="text1"/>
        </w:rPr>
        <w:t>62</w:t>
      </w:r>
      <w:r w:rsidRPr="00053926">
        <w:rPr>
          <w:b/>
          <w:bCs/>
          <w:color w:val="000000" w:themeColor="text1"/>
        </w:rPr>
        <w:t>-</w:t>
      </w:r>
      <w:r>
        <w:rPr>
          <w:b/>
          <w:bCs/>
          <w:color w:val="000000" w:themeColor="text1"/>
        </w:rPr>
        <w:t>64.</w:t>
      </w:r>
      <w:r>
        <w:rPr>
          <w:color w:val="000000" w:themeColor="text1"/>
        </w:rPr>
        <w:t xml:space="preserve"> </w:t>
      </w:r>
      <w:r w:rsidRPr="00DF2A48">
        <w:rPr>
          <w:color w:val="000000" w:themeColor="text1"/>
        </w:rPr>
        <w:t>While there are multiple overlapping groups demonstrating the similarities in metabolic profile</w:t>
      </w:r>
      <w:r>
        <w:rPr>
          <w:color w:val="000000" w:themeColor="text1"/>
        </w:rPr>
        <w:t xml:space="preserve"> (</w:t>
      </w:r>
      <w:r w:rsidRPr="00CA1108">
        <w:rPr>
          <w:b/>
          <w:bCs/>
          <w:color w:val="000000" w:themeColor="text1"/>
        </w:rPr>
        <w:t>Figure 62</w:t>
      </w:r>
      <w:r>
        <w:rPr>
          <w:color w:val="000000" w:themeColor="text1"/>
        </w:rPr>
        <w:t>)</w:t>
      </w:r>
      <w:r w:rsidRPr="00DF2A48">
        <w:rPr>
          <w:color w:val="000000" w:themeColor="text1"/>
        </w:rPr>
        <w:t xml:space="preserve">, the three-dimensional view of the PLS-DA model </w:t>
      </w:r>
      <w:r>
        <w:rPr>
          <w:color w:val="000000" w:themeColor="text1"/>
        </w:rPr>
        <w:t>(</w:t>
      </w:r>
      <w:r w:rsidRPr="00CA1108">
        <w:rPr>
          <w:b/>
          <w:bCs/>
          <w:color w:val="000000" w:themeColor="text1"/>
        </w:rPr>
        <w:t>Figure 6</w:t>
      </w:r>
      <w:r>
        <w:rPr>
          <w:b/>
          <w:bCs/>
          <w:color w:val="000000" w:themeColor="text1"/>
        </w:rPr>
        <w:t>3</w:t>
      </w:r>
      <w:r>
        <w:rPr>
          <w:color w:val="000000" w:themeColor="text1"/>
        </w:rPr>
        <w:t xml:space="preserve">) </w:t>
      </w:r>
      <w:r w:rsidRPr="00DF2A48">
        <w:rPr>
          <w:color w:val="000000" w:themeColor="text1"/>
        </w:rPr>
        <w:t>provides an improved visualization for better understanding.</w:t>
      </w:r>
      <w:r>
        <w:rPr>
          <w:color w:val="000000" w:themeColor="text1"/>
        </w:rPr>
        <w:t xml:space="preserve"> </w:t>
      </w:r>
      <w:r w:rsidRPr="00DF2A48">
        <w:rPr>
          <w:color w:val="000000" w:themeColor="text1"/>
        </w:rPr>
        <w:t>The three-dimensional view of the PLS-DA shows unique profiles for each sample fraction from EMJH (in house) and EMJH (Difco) media even when the temperature remains constant at 37°C.</w:t>
      </w:r>
    </w:p>
    <w:p w14:paraId="5286510F" w14:textId="12642CDC" w:rsidR="00741511" w:rsidRPr="00CA1108" w:rsidRDefault="00741511" w:rsidP="00741511">
      <w:pPr>
        <w:spacing w:line="360" w:lineRule="auto"/>
        <w:jc w:val="both"/>
        <w:rPr>
          <w:color w:val="000000" w:themeColor="text1"/>
        </w:rPr>
      </w:pPr>
      <w:r w:rsidRPr="00DF2A48">
        <w:rPr>
          <w:color w:val="000000" w:themeColor="text1"/>
        </w:rPr>
        <w:t>While the VIP score</w:t>
      </w:r>
      <w:r>
        <w:rPr>
          <w:color w:val="000000" w:themeColor="text1"/>
        </w:rPr>
        <w:t xml:space="preserve"> </w:t>
      </w:r>
      <w:r w:rsidRPr="00DF2A48">
        <w:rPr>
          <w:color w:val="000000" w:themeColor="text1"/>
        </w:rPr>
        <w:t xml:space="preserve">plot is displaying that the key metabolites driving the separations in </w:t>
      </w:r>
      <w:r w:rsidRPr="00DF2A48">
        <w:rPr>
          <w:b/>
          <w:bCs/>
          <w:color w:val="000000" w:themeColor="text1"/>
        </w:rPr>
        <w:t>Figure</w:t>
      </w:r>
      <w:r>
        <w:rPr>
          <w:b/>
          <w:bCs/>
          <w:color w:val="000000" w:themeColor="text1"/>
        </w:rPr>
        <w:t xml:space="preserve"> </w:t>
      </w:r>
      <w:r w:rsidRPr="00CA6BBB">
        <w:rPr>
          <w:b/>
          <w:bCs/>
          <w:color w:val="000000" w:themeColor="text1"/>
        </w:rPr>
        <w:t>63</w:t>
      </w:r>
      <w:r w:rsidRPr="00DF2A48">
        <w:rPr>
          <w:color w:val="000000" w:themeColor="text1"/>
        </w:rPr>
        <w:t xml:space="preserve"> are coming from the supernatants, drawing a conclusion only from this integrative comparison may lead to erroneous conclusion as no growth was observed in the EMJH (Difco) media at 37°C and the metabolite upregulation in the supernatant at that media-temperature composition was </w:t>
      </w:r>
    </w:p>
    <w:p w14:paraId="38C31CD1" w14:textId="2819A4C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3E9A2073" wp14:editId="643DC298">
            <wp:extent cx="5503546" cy="4892040"/>
            <wp:effectExtent l="0" t="0" r="0" b="0"/>
            <wp:docPr id="282525423" name="Picture 61" descr="A graph with colored circl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25423" name="Picture 61" descr="A graph with colored circles and numbers&#10;&#10;AI-generated content may be incorrec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533400" cy="4918577"/>
                    </a:xfrm>
                    <a:prstGeom prst="rect">
                      <a:avLst/>
                    </a:prstGeom>
                  </pic:spPr>
                </pic:pic>
              </a:graphicData>
            </a:graphic>
          </wp:inline>
        </w:drawing>
      </w:r>
    </w:p>
    <w:p w14:paraId="061C326B" w14:textId="7CE887DE" w:rsidR="00DF2A48" w:rsidRPr="00DF2A48" w:rsidRDefault="00DF2A48" w:rsidP="00CA1108">
      <w:pPr>
        <w:rPr>
          <w:color w:val="000000" w:themeColor="text1"/>
        </w:rPr>
      </w:pPr>
      <w:r w:rsidRPr="0024716F">
        <w:rPr>
          <w:b/>
          <w:bCs/>
          <w:color w:val="000000" w:themeColor="text1"/>
        </w:rPr>
        <w:t>Figure 59:</w:t>
      </w:r>
      <w:r w:rsidRPr="00DF2A48">
        <w:rPr>
          <w:color w:val="000000" w:themeColor="text1"/>
        </w:rPr>
        <w:t xml:space="preserve"> Partial Least Squares Discriminant Analysis PLS-DA plot for all the sample fractions (pellet, supernatant, and media control) from A28 and B28. The media EMJH (Difco) is represented as “B”, and media EMJH (in house) is represented as “A”.  The numbers 28 associated with A and B are representative of the temperature.</w:t>
      </w:r>
    </w:p>
    <w:p w14:paraId="02C6E65A" w14:textId="451C80FF" w:rsidR="00DF2A48" w:rsidRPr="00DF2A48" w:rsidRDefault="00DF2A48" w:rsidP="00F00898">
      <w:pPr>
        <w:spacing w:line="360" w:lineRule="auto"/>
        <w:ind w:firstLine="720"/>
        <w:jc w:val="both"/>
        <w:rPr>
          <w:color w:val="000000" w:themeColor="text1"/>
        </w:rPr>
      </w:pPr>
      <w:r w:rsidRPr="00DF2A48">
        <w:rPr>
          <w:color w:val="000000" w:themeColor="text1"/>
        </w:rPr>
        <w:br w:type="page"/>
      </w:r>
    </w:p>
    <w:p w14:paraId="237FB602"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3DC4B535" wp14:editId="3E688ABF">
            <wp:extent cx="5807413" cy="6231744"/>
            <wp:effectExtent l="0" t="0" r="0" b="4445"/>
            <wp:docPr id="605810234" name="Picture 62" descr="A graph with colorful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810234" name="Picture 62" descr="A graph with colorful dots and numbers&#10;&#10;AI-generated content may be incorrect."/>
                    <pic:cNvPicPr/>
                  </pic:nvPicPr>
                  <pic:blipFill rotWithShape="1">
                    <a:blip r:embed="rId69">
                      <a:extLst>
                        <a:ext uri="{28A0092B-C50C-407E-A947-70E740481C1C}">
                          <a14:useLocalDpi xmlns:a14="http://schemas.microsoft.com/office/drawing/2010/main" val="0"/>
                        </a:ext>
                      </a:extLst>
                    </a:blip>
                    <a:srcRect l="19805" t="13075" r="18329" b="-4"/>
                    <a:stretch>
                      <a:fillRect/>
                    </a:stretch>
                  </pic:blipFill>
                  <pic:spPr bwMode="auto">
                    <a:xfrm>
                      <a:off x="0" y="0"/>
                      <a:ext cx="5829206" cy="6255129"/>
                    </a:xfrm>
                    <a:prstGeom prst="rect">
                      <a:avLst/>
                    </a:prstGeom>
                    <a:ln>
                      <a:noFill/>
                    </a:ln>
                    <a:extLst>
                      <a:ext uri="{53640926-AAD7-44D8-BBD7-CCE9431645EC}">
                        <a14:shadowObscured xmlns:a14="http://schemas.microsoft.com/office/drawing/2010/main"/>
                      </a:ext>
                    </a:extLst>
                  </pic:spPr>
                </pic:pic>
              </a:graphicData>
            </a:graphic>
          </wp:inline>
        </w:drawing>
      </w:r>
    </w:p>
    <w:p w14:paraId="75761DC1" w14:textId="38221C9C" w:rsidR="00DF2A48" w:rsidRPr="00DF2A48" w:rsidRDefault="00DF2A48" w:rsidP="00CA1108">
      <w:pPr>
        <w:rPr>
          <w:color w:val="000000" w:themeColor="text1"/>
        </w:rPr>
      </w:pPr>
      <w:r w:rsidRPr="00DF2A48">
        <w:rPr>
          <w:b/>
          <w:bCs/>
          <w:color w:val="000000" w:themeColor="text1"/>
        </w:rPr>
        <w:t>Figure 60:</w:t>
      </w:r>
      <w:r w:rsidRPr="00DF2A48">
        <w:rPr>
          <w:color w:val="000000" w:themeColor="text1"/>
        </w:rPr>
        <w:t xml:space="preserve"> Three-dimensional representation of the PLS-DA of </w:t>
      </w:r>
      <w:r w:rsidR="00F40B9B">
        <w:rPr>
          <w:b/>
          <w:bCs/>
          <w:color w:val="000000" w:themeColor="text1"/>
        </w:rPr>
        <w:t>F</w:t>
      </w:r>
      <w:r w:rsidRPr="00DF2A48">
        <w:rPr>
          <w:b/>
          <w:bCs/>
          <w:color w:val="000000" w:themeColor="text1"/>
        </w:rPr>
        <w:t>igure 59</w:t>
      </w:r>
      <w:r w:rsidRPr="00DF2A48">
        <w:rPr>
          <w:color w:val="000000" w:themeColor="text1"/>
        </w:rPr>
        <w:t xml:space="preserve"> for improved visualization.</w:t>
      </w:r>
    </w:p>
    <w:p w14:paraId="4F605A57" w14:textId="77777777" w:rsidR="00DF2A48" w:rsidRPr="00DF2A48" w:rsidRDefault="00DF2A48" w:rsidP="00DF2A48">
      <w:pPr>
        <w:rPr>
          <w:color w:val="000000" w:themeColor="text1"/>
        </w:rPr>
      </w:pPr>
    </w:p>
    <w:p w14:paraId="689A6DB4" w14:textId="77777777" w:rsidR="00DF2A48" w:rsidRPr="00DF2A48" w:rsidRDefault="00DF2A48" w:rsidP="00DF2A48">
      <w:pPr>
        <w:spacing w:line="360" w:lineRule="auto"/>
        <w:rPr>
          <w:color w:val="000000" w:themeColor="text1"/>
        </w:rPr>
      </w:pPr>
    </w:p>
    <w:p w14:paraId="076F6F15" w14:textId="77777777" w:rsidR="00DF2A48" w:rsidRPr="00DF2A48" w:rsidRDefault="00DF2A48" w:rsidP="00DF2A48">
      <w:pPr>
        <w:rPr>
          <w:color w:val="000000" w:themeColor="text1"/>
        </w:rPr>
      </w:pPr>
      <w:r w:rsidRPr="00DF2A48">
        <w:rPr>
          <w:color w:val="000000" w:themeColor="text1"/>
        </w:rPr>
        <w:br w:type="page"/>
      </w:r>
    </w:p>
    <w:p w14:paraId="59052031" w14:textId="77777777"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4B9F88B8" wp14:editId="424CD1B0">
            <wp:extent cx="5943600" cy="5210175"/>
            <wp:effectExtent l="0" t="0" r="0" b="0"/>
            <wp:docPr id="1289597982" name="Picture 60" descr="A chart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81985" name="Picture 60" descr="A chart with different colored squares&#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5210175"/>
                    </a:xfrm>
                    <a:prstGeom prst="rect">
                      <a:avLst/>
                    </a:prstGeom>
                  </pic:spPr>
                </pic:pic>
              </a:graphicData>
            </a:graphic>
          </wp:inline>
        </w:drawing>
      </w:r>
    </w:p>
    <w:p w14:paraId="34B0CE0B" w14:textId="79689A1E" w:rsidR="00DF2A48" w:rsidRPr="00DF2A48" w:rsidRDefault="00DF2A48" w:rsidP="00CA1108">
      <w:pPr>
        <w:rPr>
          <w:b/>
          <w:bCs/>
          <w:color w:val="000000" w:themeColor="text1"/>
        </w:rPr>
      </w:pPr>
      <w:r w:rsidRPr="00DF2A48">
        <w:rPr>
          <w:b/>
          <w:bCs/>
          <w:color w:val="000000" w:themeColor="text1"/>
        </w:rPr>
        <w:t>Figure 61:</w:t>
      </w:r>
      <w:r w:rsidRPr="00DF2A48">
        <w:rPr>
          <w:color w:val="000000" w:themeColor="text1"/>
        </w:rPr>
        <w:t xml:space="preserve"> Variable importance in projection (VIP) score plot demonstrating the metabolites of significance in the PLS-DA model of </w:t>
      </w:r>
      <w:r w:rsidR="00F40B9B">
        <w:rPr>
          <w:b/>
          <w:bCs/>
          <w:color w:val="000000" w:themeColor="text1"/>
        </w:rPr>
        <w:t>F</w:t>
      </w:r>
      <w:r w:rsidRPr="00DF2A48">
        <w:rPr>
          <w:b/>
          <w:bCs/>
          <w:color w:val="000000" w:themeColor="text1"/>
        </w:rPr>
        <w:t>igure 60.</w:t>
      </w:r>
    </w:p>
    <w:p w14:paraId="7DDD5874" w14:textId="733988F0" w:rsidR="00CA1108" w:rsidRDefault="00CA1108" w:rsidP="00CA1108">
      <w:pPr>
        <w:rPr>
          <w:b/>
          <w:bCs/>
          <w:color w:val="000000" w:themeColor="text1"/>
        </w:rPr>
      </w:pPr>
      <w:r>
        <w:rPr>
          <w:b/>
          <w:bCs/>
          <w:color w:val="000000" w:themeColor="text1"/>
        </w:rPr>
        <w:br w:type="page"/>
      </w:r>
    </w:p>
    <w:p w14:paraId="5D466A25" w14:textId="4FE3F4DB" w:rsidR="00DF2A48" w:rsidRPr="00DF2A48" w:rsidRDefault="00DF2A48" w:rsidP="00DF2A48">
      <w:pPr>
        <w:spacing w:line="360" w:lineRule="auto"/>
        <w:rPr>
          <w:color w:val="000000" w:themeColor="text1"/>
        </w:rPr>
      </w:pPr>
      <w:r w:rsidRPr="00DF2A48">
        <w:rPr>
          <w:noProof/>
          <w:color w:val="000000" w:themeColor="text1"/>
        </w:rPr>
        <w:lastRenderedPageBreak/>
        <w:drawing>
          <wp:inline distT="0" distB="0" distL="0" distR="0" wp14:anchorId="1815146C" wp14:editId="206AB34B">
            <wp:extent cx="5726435" cy="5090160"/>
            <wp:effectExtent l="0" t="0" r="1270" b="2540"/>
            <wp:docPr id="341741708" name="Picture 65" descr="A graph with colored circl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41708" name="Picture 65" descr="A graph with colored circles and numbers&#10;&#10;AI-generated content may be incorrec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891390" cy="5236787"/>
                    </a:xfrm>
                    <a:prstGeom prst="rect">
                      <a:avLst/>
                    </a:prstGeom>
                  </pic:spPr>
                </pic:pic>
              </a:graphicData>
            </a:graphic>
          </wp:inline>
        </w:drawing>
      </w:r>
    </w:p>
    <w:p w14:paraId="7162EFBF" w14:textId="77777777" w:rsidR="00DF2A48" w:rsidRPr="00DF2A48" w:rsidRDefault="00DF2A48" w:rsidP="00DF2A48">
      <w:pPr>
        <w:rPr>
          <w:color w:val="000000" w:themeColor="text1"/>
        </w:rPr>
      </w:pPr>
      <w:r w:rsidRPr="00DF2A48">
        <w:rPr>
          <w:b/>
          <w:bCs/>
          <w:color w:val="000000" w:themeColor="text1"/>
        </w:rPr>
        <w:t>Figure 62:</w:t>
      </w:r>
      <w:r w:rsidRPr="00DF2A48">
        <w:rPr>
          <w:color w:val="000000" w:themeColor="text1"/>
        </w:rPr>
        <w:t xml:space="preserve"> Partial Least Squares Discriminant Analysis PLS-DA plot for all the sample fractions (pellet, supernatant, and media control) from A37°C and B37°C. The media EMJH (Difco) is represented as “B”, and media EMJH (in house) is represented as “A”.  The numbers 37°C associated with A and B are representative of the temperatures.</w:t>
      </w:r>
    </w:p>
    <w:p w14:paraId="7B945836" w14:textId="77777777" w:rsidR="00DF2A48" w:rsidRPr="00DF2A48" w:rsidRDefault="00DF2A48" w:rsidP="00DF2A48">
      <w:pPr>
        <w:spacing w:line="360" w:lineRule="auto"/>
        <w:rPr>
          <w:color w:val="000000" w:themeColor="text1"/>
        </w:rPr>
      </w:pPr>
    </w:p>
    <w:p w14:paraId="46D646DD" w14:textId="77777777" w:rsidR="00DF2A48" w:rsidRPr="00DF2A48" w:rsidRDefault="00DF2A48" w:rsidP="00741511">
      <w:pPr>
        <w:rPr>
          <w:color w:val="000000" w:themeColor="text1"/>
        </w:rPr>
      </w:pPr>
      <w:r w:rsidRPr="00DF2A48">
        <w:rPr>
          <w:noProof/>
          <w:color w:val="000000" w:themeColor="text1"/>
        </w:rPr>
        <w:lastRenderedPageBreak/>
        <w:drawing>
          <wp:inline distT="0" distB="0" distL="0" distR="0" wp14:anchorId="242692E9" wp14:editId="76DEB3CE">
            <wp:extent cx="6050604" cy="5701354"/>
            <wp:effectExtent l="0" t="0" r="0" b="1270"/>
            <wp:docPr id="1843795180" name="Picture 66" descr="A graph with colorful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95180" name="Picture 66" descr="A graph with colorful dots and numbers&#10;&#10;AI-generated content may be incorrect."/>
                    <pic:cNvPicPr/>
                  </pic:nvPicPr>
                  <pic:blipFill rotWithShape="1">
                    <a:blip r:embed="rId72">
                      <a:extLst>
                        <a:ext uri="{28A0092B-C50C-407E-A947-70E740481C1C}">
                          <a14:useLocalDpi xmlns:a14="http://schemas.microsoft.com/office/drawing/2010/main" val="0"/>
                        </a:ext>
                      </a:extLst>
                    </a:blip>
                    <a:srcRect l="15876" t="11146" r="12111"/>
                    <a:stretch>
                      <a:fillRect/>
                    </a:stretch>
                  </pic:blipFill>
                  <pic:spPr bwMode="auto">
                    <a:xfrm>
                      <a:off x="0" y="0"/>
                      <a:ext cx="6071779" cy="5721307"/>
                    </a:xfrm>
                    <a:prstGeom prst="rect">
                      <a:avLst/>
                    </a:prstGeom>
                    <a:ln>
                      <a:noFill/>
                    </a:ln>
                    <a:extLst>
                      <a:ext uri="{53640926-AAD7-44D8-BBD7-CCE9431645EC}">
                        <a14:shadowObscured xmlns:a14="http://schemas.microsoft.com/office/drawing/2010/main"/>
                      </a:ext>
                    </a:extLst>
                  </pic:spPr>
                </pic:pic>
              </a:graphicData>
            </a:graphic>
          </wp:inline>
        </w:drawing>
      </w:r>
    </w:p>
    <w:p w14:paraId="256972F0" w14:textId="7921E655" w:rsidR="00DF2A48" w:rsidRPr="00DF2A48" w:rsidRDefault="00DF2A48" w:rsidP="00741511">
      <w:pPr>
        <w:rPr>
          <w:color w:val="000000" w:themeColor="text1"/>
        </w:rPr>
      </w:pPr>
      <w:r w:rsidRPr="00DF2A48">
        <w:rPr>
          <w:b/>
          <w:bCs/>
          <w:color w:val="000000" w:themeColor="text1"/>
        </w:rPr>
        <w:t>Figure 63:</w:t>
      </w:r>
      <w:r w:rsidRPr="00DF2A48">
        <w:rPr>
          <w:color w:val="000000" w:themeColor="text1"/>
        </w:rPr>
        <w:t xml:space="preserve"> Three-dimensional representation of the PLS-DA of </w:t>
      </w:r>
      <w:r w:rsidR="00F40B9B">
        <w:rPr>
          <w:b/>
          <w:bCs/>
          <w:color w:val="000000" w:themeColor="text1"/>
        </w:rPr>
        <w:t>F</w:t>
      </w:r>
      <w:r w:rsidRPr="00DF2A48">
        <w:rPr>
          <w:b/>
          <w:bCs/>
          <w:color w:val="000000" w:themeColor="text1"/>
        </w:rPr>
        <w:t>igure 62</w:t>
      </w:r>
      <w:r w:rsidRPr="00DF2A48">
        <w:rPr>
          <w:color w:val="000000" w:themeColor="text1"/>
        </w:rPr>
        <w:t xml:space="preserve"> for improved visualization.</w:t>
      </w:r>
    </w:p>
    <w:p w14:paraId="596B352E" w14:textId="4CF2967B" w:rsidR="00DF2A48" w:rsidRPr="00DF2A48" w:rsidRDefault="00DF2A48" w:rsidP="00DF2A48">
      <w:pPr>
        <w:spacing w:line="360" w:lineRule="auto"/>
        <w:ind w:firstLine="720"/>
        <w:rPr>
          <w:color w:val="000000" w:themeColor="text1"/>
        </w:rPr>
      </w:pPr>
      <w:r w:rsidRPr="00DF2A48">
        <w:rPr>
          <w:color w:val="000000" w:themeColor="text1"/>
        </w:rPr>
        <w:br w:type="page"/>
      </w:r>
    </w:p>
    <w:p w14:paraId="54E76AEC" w14:textId="77777777" w:rsidR="00DF2A48" w:rsidRPr="00DF2A48" w:rsidRDefault="00DF2A48" w:rsidP="00CA1108">
      <w:pPr>
        <w:pStyle w:val="ListParagraph"/>
        <w:spacing w:line="360" w:lineRule="auto"/>
        <w:ind w:left="0"/>
        <w:rPr>
          <w:color w:val="000000" w:themeColor="text1"/>
        </w:rPr>
      </w:pPr>
      <w:r w:rsidRPr="00DF2A48">
        <w:rPr>
          <w:noProof/>
          <w:color w:val="000000" w:themeColor="text1"/>
        </w:rPr>
        <w:lastRenderedPageBreak/>
        <w:drawing>
          <wp:inline distT="0" distB="0" distL="0" distR="0" wp14:anchorId="58A4EAC2" wp14:editId="49CEF728">
            <wp:extent cx="5943600" cy="5227320"/>
            <wp:effectExtent l="0" t="0" r="0" b="5080"/>
            <wp:docPr id="1686586455" name="Picture 64"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86455" name="Picture 64" descr="A graph with different colored squares&#10;&#10;AI-generated content may be incorrect."/>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5227320"/>
                    </a:xfrm>
                    <a:prstGeom prst="rect">
                      <a:avLst/>
                    </a:prstGeom>
                  </pic:spPr>
                </pic:pic>
              </a:graphicData>
            </a:graphic>
          </wp:inline>
        </w:drawing>
      </w:r>
    </w:p>
    <w:p w14:paraId="4CFDBD18" w14:textId="7B149A24" w:rsidR="00DF2A48" w:rsidRPr="00DF2A48" w:rsidRDefault="00DF2A48" w:rsidP="00CA1108">
      <w:pPr>
        <w:rPr>
          <w:b/>
          <w:bCs/>
          <w:color w:val="000000" w:themeColor="text1"/>
        </w:rPr>
      </w:pPr>
      <w:r w:rsidRPr="00DF2A48">
        <w:rPr>
          <w:b/>
          <w:bCs/>
          <w:color w:val="000000" w:themeColor="text1"/>
        </w:rPr>
        <w:t>Figure 64:</w:t>
      </w:r>
      <w:r w:rsidRPr="00DF2A48">
        <w:rPr>
          <w:color w:val="000000" w:themeColor="text1"/>
        </w:rPr>
        <w:t xml:space="preserve"> Variable importance in projection (VIP) score plot demonstrating the metabolites of significance in the PLS-DA model of </w:t>
      </w:r>
      <w:r w:rsidR="00F40B9B" w:rsidRPr="00DF2A48">
        <w:rPr>
          <w:b/>
          <w:bCs/>
          <w:color w:val="000000" w:themeColor="text1"/>
        </w:rPr>
        <w:t xml:space="preserve">Figure </w:t>
      </w:r>
      <w:r w:rsidRPr="00DF2A48">
        <w:rPr>
          <w:b/>
          <w:bCs/>
          <w:color w:val="000000" w:themeColor="text1"/>
        </w:rPr>
        <w:t>63.</w:t>
      </w:r>
    </w:p>
    <w:p w14:paraId="3D4C27FF" w14:textId="77777777" w:rsidR="00DF2A48" w:rsidRDefault="00DF2A48" w:rsidP="00CA1108">
      <w:pPr>
        <w:rPr>
          <w:b/>
          <w:bCs/>
          <w:color w:val="000000" w:themeColor="text1"/>
        </w:rPr>
      </w:pPr>
    </w:p>
    <w:p w14:paraId="76E1C28F" w14:textId="77777777" w:rsidR="00741511" w:rsidRPr="00DF2A48" w:rsidRDefault="00741511" w:rsidP="00741511">
      <w:pPr>
        <w:spacing w:line="360" w:lineRule="auto"/>
        <w:rPr>
          <w:color w:val="000000" w:themeColor="text1"/>
        </w:rPr>
      </w:pPr>
      <w:r w:rsidRPr="00DF2A48">
        <w:rPr>
          <w:color w:val="000000" w:themeColor="text1"/>
        </w:rPr>
        <w:t>high. For a deeper insight, inspecting the individual fraction component comparison (</w:t>
      </w:r>
      <w:r w:rsidRPr="00DF2A48">
        <w:rPr>
          <w:b/>
          <w:bCs/>
          <w:color w:val="000000" w:themeColor="text1"/>
        </w:rPr>
        <w:t>Figure</w:t>
      </w:r>
      <w:r>
        <w:rPr>
          <w:b/>
          <w:bCs/>
          <w:color w:val="000000" w:themeColor="text1"/>
        </w:rPr>
        <w:t>s</w:t>
      </w:r>
      <w:r w:rsidRPr="00DF2A48">
        <w:rPr>
          <w:b/>
          <w:bCs/>
          <w:color w:val="000000" w:themeColor="text1"/>
        </w:rPr>
        <w:t xml:space="preserve"> 39, 40, 41</w:t>
      </w:r>
      <w:r w:rsidRPr="00DF2A48">
        <w:rPr>
          <w:color w:val="000000" w:themeColor="text1"/>
        </w:rPr>
        <w:t>) may provide a better insight.</w:t>
      </w:r>
    </w:p>
    <w:p w14:paraId="21BD5139" w14:textId="77777777" w:rsidR="00741511" w:rsidRPr="00DF2A48" w:rsidRDefault="00741511" w:rsidP="00CA1108">
      <w:pPr>
        <w:rPr>
          <w:b/>
          <w:bCs/>
          <w:color w:val="000000" w:themeColor="text1"/>
        </w:rPr>
      </w:pPr>
    </w:p>
    <w:p w14:paraId="52A2B6B3" w14:textId="77777777" w:rsidR="00CA1108" w:rsidRDefault="00CA1108">
      <w:pPr>
        <w:rPr>
          <w:color w:val="000000" w:themeColor="text1"/>
        </w:rPr>
      </w:pPr>
      <w:r>
        <w:rPr>
          <w:color w:val="000000" w:themeColor="text1"/>
        </w:rPr>
        <w:br w:type="page"/>
      </w:r>
    </w:p>
    <w:p w14:paraId="0C8A7F0E" w14:textId="376C5918" w:rsidR="00DF2A48" w:rsidRPr="00CA1108" w:rsidRDefault="00DF2A48" w:rsidP="00CA1108">
      <w:pPr>
        <w:spacing w:line="360" w:lineRule="auto"/>
        <w:jc w:val="center"/>
        <w:rPr>
          <w:color w:val="000000" w:themeColor="text1"/>
        </w:rPr>
      </w:pPr>
      <w:r w:rsidRPr="00DF2A48">
        <w:rPr>
          <w:b/>
          <w:bCs/>
          <w:color w:val="000000" w:themeColor="text1"/>
        </w:rPr>
        <w:lastRenderedPageBreak/>
        <w:t>Chapter 4</w:t>
      </w:r>
    </w:p>
    <w:p w14:paraId="7D8FF5DA" w14:textId="3ADED7A1" w:rsidR="00DF2A48" w:rsidRPr="00DF2A48" w:rsidRDefault="00DF2A48" w:rsidP="00CA1108">
      <w:pPr>
        <w:spacing w:line="360" w:lineRule="auto"/>
        <w:jc w:val="center"/>
        <w:rPr>
          <w:b/>
          <w:bCs/>
          <w:color w:val="000000" w:themeColor="text1"/>
        </w:rPr>
      </w:pPr>
      <w:r w:rsidRPr="00DF2A48">
        <w:rPr>
          <w:b/>
          <w:bCs/>
          <w:color w:val="000000" w:themeColor="text1"/>
        </w:rPr>
        <w:t>Discussion</w:t>
      </w:r>
    </w:p>
    <w:p w14:paraId="16D79F23" w14:textId="77777777" w:rsidR="00DF2A48" w:rsidRPr="00DF2A48" w:rsidRDefault="00DF2A48" w:rsidP="00CA1108">
      <w:pPr>
        <w:spacing w:line="360" w:lineRule="auto"/>
        <w:ind w:firstLine="720"/>
        <w:rPr>
          <w:color w:val="000000" w:themeColor="text1"/>
        </w:rPr>
      </w:pPr>
      <w:r w:rsidRPr="00DF2A48">
        <w:rPr>
          <w:color w:val="000000" w:themeColor="text1"/>
        </w:rPr>
        <w:t xml:space="preserve">The purpose of this study was to determine the growth pattern of </w:t>
      </w:r>
      <w:r w:rsidRPr="00DF2A48">
        <w:rPr>
          <w:i/>
          <w:iCs/>
          <w:color w:val="000000" w:themeColor="text1"/>
        </w:rPr>
        <w:t>Leptospira,</w:t>
      </w:r>
      <w:r w:rsidRPr="00DF2A48">
        <w:rPr>
          <w:color w:val="000000" w:themeColor="text1"/>
        </w:rPr>
        <w:t xml:space="preserve"> and the metabolites profile linked to it under varying growth conditions, emphasizing the variations in </w:t>
      </w:r>
      <w:r w:rsidRPr="00DF2A48">
        <w:rPr>
          <w:i/>
          <w:iCs/>
          <w:color w:val="000000" w:themeColor="text1"/>
        </w:rPr>
        <w:t>in vitro</w:t>
      </w:r>
      <w:r w:rsidRPr="00DF2A48">
        <w:rPr>
          <w:color w:val="000000" w:themeColor="text1"/>
        </w:rPr>
        <w:t xml:space="preserve"> growth parameters that is possibly associated with </w:t>
      </w:r>
      <w:r w:rsidRPr="00DF2A48">
        <w:rPr>
          <w:i/>
          <w:iCs/>
          <w:color w:val="000000" w:themeColor="text1"/>
        </w:rPr>
        <w:t>Leptospira</w:t>
      </w:r>
      <w:r w:rsidRPr="00DF2A48">
        <w:rPr>
          <w:color w:val="000000" w:themeColor="text1"/>
        </w:rPr>
        <w:t xml:space="preserve">'s altered virulence. </w:t>
      </w:r>
    </w:p>
    <w:p w14:paraId="6C37C7FE" w14:textId="5CB067E9" w:rsidR="007029CA" w:rsidRDefault="00DF2A48" w:rsidP="00CA1108">
      <w:pPr>
        <w:spacing w:line="360" w:lineRule="auto"/>
        <w:ind w:firstLine="720"/>
        <w:rPr>
          <w:color w:val="000000" w:themeColor="text1"/>
        </w:rPr>
      </w:pPr>
      <w:r w:rsidRPr="00DF2A48">
        <w:rPr>
          <w:color w:val="000000" w:themeColor="text1"/>
        </w:rPr>
        <w:t xml:space="preserve">The influence of environmental factors on the metabolic profile of </w:t>
      </w:r>
      <w:proofErr w:type="spellStart"/>
      <w:r w:rsidRPr="00DF2A48">
        <w:rPr>
          <w:i/>
          <w:iCs/>
          <w:color w:val="000000" w:themeColor="text1"/>
        </w:rPr>
        <w:t>leptospira</w:t>
      </w:r>
      <w:proofErr w:type="spellEnd"/>
      <w:r w:rsidRPr="00DF2A48">
        <w:rPr>
          <w:color w:val="000000" w:themeColor="text1"/>
        </w:rPr>
        <w:t xml:space="preserve"> cultures is evident from the exclusive metabolic signature at different temperature composition. The influence of </w:t>
      </w:r>
      <w:r w:rsidR="00430664" w:rsidRPr="00DF2A48">
        <w:rPr>
          <w:color w:val="000000" w:themeColor="text1"/>
        </w:rPr>
        <w:t>phosphoryl ethanolamine</w:t>
      </w:r>
      <w:r w:rsidRPr="00DF2A48">
        <w:rPr>
          <w:color w:val="000000" w:themeColor="text1"/>
        </w:rPr>
        <w:t xml:space="preserve"> at 28°C is to be noted for its contribution to structural stability and integrity in pathogens.</w:t>
      </w:r>
      <w:r w:rsidRPr="00DF2A48">
        <w:rPr>
          <w:color w:val="000000" w:themeColor="text1"/>
        </w:rPr>
        <w:fldChar w:fldCharType="begin" w:fldLock="1"/>
      </w:r>
      <w:r w:rsidR="001F04D6">
        <w:rPr>
          <w:color w:val="000000" w:themeColor="text1"/>
        </w:rPr>
        <w:instrText>ADDIN CSL_CITATION {"citationItems":[{"id":"ITEM-1","itemData":{"ISSN":"2296-861X","abstract":"Phosphatidylethanolamine is the major inner-membrane lipid, which is synthesized in the endoplasmic reticulum (ER) from ethanolamine and diacylglycerol by the CDP-ethanolamine pathway and from phosphatidylserine by decarboxylation in the mitochondria. Recently, multiple genetic disorders that impact these pathways have been identified, including hereditary spastic paraplegia 81 and 82, Liberfarb syndrome, and a new type of childhood-onset neurodegeneration-CONATOC. Individuals with deficiencies in these pathways suffer from multisystem disorders mainly affecting neuronal function. This indicates the importance of maintaining proper phospholipid homeostasis when major biosynthetic pathways are impaired. This study summarizes the current knowledge of phosphatidylethanolamine metabolism in order to identify possible treatment options. The research indicates that targeting the lysoPE acylation pathway is a promising method of increasing PE in the case of deficiency as it can supply both the ER and mitochondrial PE pools, however more studies are needed to determine the best methods of doing this in vivo.","author":[{"dropping-particle":"","family":"St Germain","given":"Michaela","non-dropping-particle":"","parse-names":false,"suffix":""},{"dropping-particle":"","family":"Iraji","given":"Roya","non-dropping-particle":"","parse-names":false,"suffix":""},{"dropping-particle":"","family":"Bakovic","given":"Marica","non-dropping-particle":"","parse-names":false,"suffix":""}],"container-title":"Frontiers in Nutrition","id":"ITEM-1","issued":{"date-parts":[["2023"]]},"title":"Phosphatidylethanolamine homeostasis under conditions of impaired CDP-ethanolamine pathway or phosphatidylserine decarboxylation","type":"article-journal","volume":"Volume 9 -"},"uris":["http://www.mendeley.com/documents/?uuid=96d355e2-f194-4b4b-967d-74e254192276"]}],"mendeley":{"formattedCitation":"&lt;sup&gt;92&lt;/sup&gt;","plainTextFormattedCitation":"92","previouslyFormattedCitation":"&lt;sup&gt;91&lt;/sup&gt;"},"properties":{"noteIndex":0},"schema":"https://github.com/citation-style-language/schema/raw/master/csl-citation.json"}</w:instrText>
      </w:r>
      <w:r w:rsidRPr="00DF2A48">
        <w:rPr>
          <w:color w:val="000000" w:themeColor="text1"/>
        </w:rPr>
        <w:fldChar w:fldCharType="separate"/>
      </w:r>
      <w:r w:rsidR="001F04D6" w:rsidRPr="001F04D6">
        <w:rPr>
          <w:noProof/>
          <w:color w:val="000000" w:themeColor="text1"/>
          <w:vertAlign w:val="superscript"/>
        </w:rPr>
        <w:t>92</w:t>
      </w:r>
      <w:r w:rsidRPr="00DF2A48">
        <w:rPr>
          <w:color w:val="000000" w:themeColor="text1"/>
        </w:rPr>
        <w:fldChar w:fldCharType="end"/>
      </w:r>
      <w:r w:rsidRPr="00DF2A48">
        <w:rPr>
          <w:color w:val="000000" w:themeColor="text1"/>
          <w:vertAlign w:val="superscript"/>
        </w:rPr>
        <w:t>,</w:t>
      </w:r>
      <w:r w:rsidRPr="00DF2A48">
        <w:rPr>
          <w:color w:val="000000" w:themeColor="text1"/>
        </w:rPr>
        <w:fldChar w:fldCharType="begin" w:fldLock="1"/>
      </w:r>
      <w:r w:rsidR="001F04D6">
        <w:rPr>
          <w:color w:val="000000" w:themeColor="text1"/>
        </w:rPr>
        <w:instrText>ADDIN CSL_CITATION {"citationItems":[{"id":"ITEM-1","itemData":{"DOI":"10.3390/jof4010028","ISBN":"2309-608X","abstract":"The phospholipids phosphatidylserine (PS) and phosphatidylethanolamine (PE) play important roles in the virulence of Candida albicans and loss of PS synthesis or synthesis of PE from PS (PS decarboxylase) severely compromises virulence in C. albicans in a mouse model of systemic candidiasis. This review discusses synthesis of PE and PS in C. albicans and mechanisms by which these lipids impact virulence in this fungus. This is further compared to how PS and PE synthesis impact virulence in other fungi, parasites and bacteria. Furthermore, the impact of PS asymmetry on virulence and extracellular vesicle formation in several microbes is reviewed. Finally, the potential for PS and PE synthases as drug targets in these various kingdoms is also examined.","author":[{"dropping-particle":"","family":"Cassilly","given":"Chelsi D","non-dropping-particle":"","parse-names":false,"suffix":""},{"dropping-particle":"","family":"Reynolds","given":"Todd B","non-dropping-particle":"","parse-names":false,"suffix":""}],"container-title":"Journal of Fungi","id":"ITEM-1","issue":"1","issued":{"date-parts":[["2018"]]},"title":"PS, It’s Complicated: The Roles of Phosphatidylserine and Phosphatidylethanolamine in the Pathogenesis of Candida albicans and Other Microbial Pathogens","type":"article","volume":"4"},"uris":["http://www.mendeley.com/documents/?uuid=84190b8b-4fef-44e7-9841-88d5ed08c5d3"]}],"mendeley":{"formattedCitation":"&lt;sup&gt;93&lt;/sup&gt;","plainTextFormattedCitation":"93","previouslyFormattedCitation":"&lt;sup&gt;92&lt;/sup&gt;"},"properties":{"noteIndex":0},"schema":"https://github.com/citation-style-language/schema/raw/master/csl-citation.json"}</w:instrText>
      </w:r>
      <w:r w:rsidRPr="00DF2A48">
        <w:rPr>
          <w:color w:val="000000" w:themeColor="text1"/>
        </w:rPr>
        <w:fldChar w:fldCharType="separate"/>
      </w:r>
      <w:r w:rsidR="001F04D6" w:rsidRPr="001F04D6">
        <w:rPr>
          <w:noProof/>
          <w:color w:val="000000" w:themeColor="text1"/>
          <w:vertAlign w:val="superscript"/>
        </w:rPr>
        <w:t>93</w:t>
      </w:r>
      <w:r w:rsidRPr="00DF2A48">
        <w:rPr>
          <w:color w:val="000000" w:themeColor="text1"/>
        </w:rPr>
        <w:fldChar w:fldCharType="end"/>
      </w:r>
      <w:r w:rsidRPr="00DF2A48">
        <w:rPr>
          <w:color w:val="000000" w:themeColor="text1"/>
        </w:rPr>
        <w:t xml:space="preserve"> Upregulation of Glutamate at 28°C was also found to be significant and is consistent with amino acid metabolism contributing to the growth phenotype. Media type comparisons showed a distinct metabolic profile of </w:t>
      </w:r>
      <w:proofErr w:type="spellStart"/>
      <w:r w:rsidRPr="00DF2A48">
        <w:rPr>
          <w:i/>
          <w:iCs/>
          <w:color w:val="000000" w:themeColor="text1"/>
        </w:rPr>
        <w:t>leptospira</w:t>
      </w:r>
      <w:proofErr w:type="spellEnd"/>
      <w:r w:rsidRPr="00DF2A48">
        <w:rPr>
          <w:color w:val="000000" w:themeColor="text1"/>
        </w:rPr>
        <w:t xml:space="preserve"> in different media at 28°C. Utilization of bioenergetics driven metabolites was more prominent in growth using EMJH (Difco) media. Bioenergetics driven metabolites such as CMP and IMP were also observed in </w:t>
      </w:r>
      <w:proofErr w:type="spellStart"/>
      <w:r w:rsidRPr="00DF2A48">
        <w:rPr>
          <w:i/>
          <w:iCs/>
          <w:color w:val="000000" w:themeColor="text1"/>
        </w:rPr>
        <w:t>leptospira</w:t>
      </w:r>
      <w:proofErr w:type="spellEnd"/>
      <w:r w:rsidRPr="00DF2A48">
        <w:rPr>
          <w:color w:val="000000" w:themeColor="text1"/>
        </w:rPr>
        <w:t xml:space="preserve"> when cultured in EMJH (in house) at both 28°C and 37°C. This indicates the dependence on environmental nutrient availability for biosynthesis and redox balance for growth.</w:t>
      </w:r>
      <w:r w:rsidRPr="00DF2A48">
        <w:rPr>
          <w:color w:val="000000" w:themeColor="text1"/>
        </w:rPr>
        <w:fldChar w:fldCharType="begin" w:fldLock="1"/>
      </w:r>
      <w:r w:rsidR="001F04D6">
        <w:rPr>
          <w:color w:val="000000" w:themeColor="text1"/>
        </w:rPr>
        <w:instrText>ADDIN CSL_CITATION {"citationItems":[{"id":"ITEM-1","itemData":{"DOI":"10.1016/J.FEMSLE.2005.02.004","ISSN":"03781097","PMID":"15766783","abstract":"Leptospirosis is an important global human and veterinary health problem. Humans can be infected by exposure to chronically infected animals and their environment. An important focus of the current leptospiral research is the identification of outer membrane proteins (OMPs). Due to their location, leptospiral OMPs are likely to be relevant in host-pathogen interactions, hence their potential ability to stimulate heterologous immunity. The existing whole-genome sequence of Leptospira interrogans serovar Copenhageni offers a unique opportunity to search for cell surface proteins. Predicted genes encoding potential surface proteins were amplified from genomic DNA by PCR methodology and cloned into an Escherichia coli expression system. The partially purified recombinant proteins were probed by Western blotting with sera from human patients diagnosed with leptospirosis. Sixteen proteins, out of a hundred tested, were recognized by antibodies present in human sera. Four of these proteins were conserved among eight serovars of L. interrogans and absent in the non-pathogenic Leptospira biflexa. These proteins might be useful for the diagnosis of the disease as well as potential vaccine candidates. © 2005 Federation of European Microbiological Societies. Published by Elsevier B.V. All rights reserved.","author":[{"dropping-particle":"","family":"Gamberini","given":"Marcia","non-dropping-particle":"","parse-names":false,"suffix":""},{"dropping-particle":"","family":"Gómez","given":"Ricardo M.","non-dropping-particle":"","parse-names":false,"suffix":""},{"dropping-particle":"V.","family":"Atzingen","given":"Marina","non-dropping-particle":"","parse-names":false,"suffix":""},{"dropping-particle":"","family":"Martins","given":"Elizabeth A.L.","non-dropping-particle":"","parse-names":false,"suffix":""},{"dropping-particle":"","family":"Vasconcellos","given":"Silvio A.","non-dropping-particle":"","parse-names":false,"suffix":""},{"dropping-particle":"","family":"Romero","given":"Eliete C.","non-dropping-particle":"","parse-names":false,"suffix":""},{"dropping-particle":"","family":"Leite","given":"Luciana C.C.","non-dropping-particle":"","parse-names":false,"suffix":""},{"dropping-particle":"","family":"Ho","given":"Paulo L.","non-dropping-particle":"","parse-names":false,"suffix":""},{"dropping-particle":"","family":"Nascimento","given":"Ana L.T.O.","non-dropping-particle":"","parse-names":false,"suffix":""}],"container-title":"FEMS Microbiology Letters","id":"ITEM-1","issue":"2","issued":{"date-parts":[["2005","3","15"]]},"page":"305-313","publisher":"Elsevier","title":"Whole-genome analysis of Leptospira interrogans to identify potential vaccine candidates against leptospirosis","type":"article-journal","volume":"244"},"uris":["http://www.mendeley.com/documents/?uuid=515e34cc-a4b1-34f0-8b9d-231216aebfb1"]}],"mendeley":{"formattedCitation":"&lt;sup&gt;94&lt;/sup&gt;","plainTextFormattedCitation":"94","previouslyFormattedCitation":"&lt;sup&gt;93&lt;/sup&gt;"},"properties":{"noteIndex":0},"schema":"https://github.com/citation-style-language/schema/raw/master/csl-citation.json"}</w:instrText>
      </w:r>
      <w:r w:rsidRPr="00DF2A48">
        <w:rPr>
          <w:color w:val="000000" w:themeColor="text1"/>
        </w:rPr>
        <w:fldChar w:fldCharType="separate"/>
      </w:r>
      <w:r w:rsidR="001F04D6" w:rsidRPr="001F04D6">
        <w:rPr>
          <w:noProof/>
          <w:color w:val="000000" w:themeColor="text1"/>
          <w:vertAlign w:val="superscript"/>
        </w:rPr>
        <w:t>94</w:t>
      </w:r>
      <w:r w:rsidRPr="00DF2A48">
        <w:rPr>
          <w:color w:val="000000" w:themeColor="text1"/>
        </w:rPr>
        <w:fldChar w:fldCharType="end"/>
      </w:r>
      <w:r w:rsidR="007029CA">
        <w:rPr>
          <w:color w:val="000000" w:themeColor="text1"/>
        </w:rPr>
        <w:t xml:space="preserve"> Like any other organism, </w:t>
      </w:r>
      <w:proofErr w:type="spellStart"/>
      <w:r w:rsidR="007029CA" w:rsidRPr="007029CA">
        <w:rPr>
          <w:i/>
          <w:iCs/>
          <w:color w:val="000000" w:themeColor="text1"/>
        </w:rPr>
        <w:t>leptospira</w:t>
      </w:r>
      <w:proofErr w:type="spellEnd"/>
      <w:r w:rsidR="007029CA">
        <w:rPr>
          <w:color w:val="000000" w:themeColor="text1"/>
        </w:rPr>
        <w:t xml:space="preserve"> is dependent on vitamin B</w:t>
      </w:r>
      <w:r w:rsidR="007029CA" w:rsidRPr="007029CA">
        <w:rPr>
          <w:color w:val="000000" w:themeColor="text1"/>
          <w:vertAlign w:val="subscript"/>
        </w:rPr>
        <w:t>12</w:t>
      </w:r>
      <w:r w:rsidR="007029CA">
        <w:rPr>
          <w:color w:val="000000" w:themeColor="text1"/>
        </w:rPr>
        <w:t xml:space="preserve"> metabolism for its growth. The interesting finding from the media effect analysis is that while grown in the EMJH (in house) media at </w:t>
      </w:r>
      <w:r w:rsidR="007029CA" w:rsidRPr="00DF2A48">
        <w:rPr>
          <w:color w:val="000000" w:themeColor="text1"/>
        </w:rPr>
        <w:t>28°C</w:t>
      </w:r>
      <w:r w:rsidR="007029CA">
        <w:rPr>
          <w:color w:val="000000" w:themeColor="text1"/>
        </w:rPr>
        <w:t xml:space="preserve">, it utilizes a folate mediated purine-based pathway towards vitamin metabolism. When it is grown in the commercial EMJH (Difco) media at </w:t>
      </w:r>
      <w:r w:rsidR="007029CA" w:rsidRPr="00DF2A48">
        <w:rPr>
          <w:color w:val="000000" w:themeColor="text1"/>
        </w:rPr>
        <w:t>28°C</w:t>
      </w:r>
      <w:r w:rsidR="007029CA">
        <w:rPr>
          <w:color w:val="000000" w:themeColor="text1"/>
        </w:rPr>
        <w:t>, it follows a homocysteine remediated pyruvate-based pathway towards vitamin B metabolism. Both pathways eventually lead to One Carbon Metabolism (OCM) but remediated via unalike vitamin metabolism.</w:t>
      </w:r>
    </w:p>
    <w:p w14:paraId="16555060" w14:textId="77777777" w:rsidR="008C3E9B" w:rsidRDefault="007029CA" w:rsidP="00CA1108">
      <w:pPr>
        <w:spacing w:line="360" w:lineRule="auto"/>
        <w:ind w:firstLine="720"/>
        <w:rPr>
          <w:color w:val="000000" w:themeColor="text1"/>
        </w:rPr>
      </w:pPr>
      <w:r>
        <w:rPr>
          <w:color w:val="000000" w:themeColor="text1"/>
        </w:rPr>
        <w:t xml:space="preserve">The sample fraction analysis </w:t>
      </w:r>
      <w:r w:rsidR="00131A40">
        <w:rPr>
          <w:color w:val="000000" w:themeColor="text1"/>
        </w:rPr>
        <w:t xml:space="preserve">of pellet and media control, and pellet and supernatant in EMJH (in house) media at </w:t>
      </w:r>
      <w:r w:rsidR="00131A40" w:rsidRPr="00DF2A48">
        <w:rPr>
          <w:color w:val="000000" w:themeColor="text1"/>
        </w:rPr>
        <w:t>28°C</w:t>
      </w:r>
      <w:r w:rsidR="00131A40">
        <w:rPr>
          <w:color w:val="000000" w:themeColor="text1"/>
        </w:rPr>
        <w:t xml:space="preserve"> suggests a purine and pyrimidine metabolism pathway utilization for growth of </w:t>
      </w:r>
      <w:r w:rsidR="00131A40">
        <w:rPr>
          <w:i/>
          <w:iCs/>
          <w:color w:val="000000" w:themeColor="text1"/>
        </w:rPr>
        <w:t xml:space="preserve">l. </w:t>
      </w:r>
      <w:proofErr w:type="spellStart"/>
      <w:r w:rsidR="00131A40">
        <w:rPr>
          <w:i/>
          <w:iCs/>
          <w:color w:val="000000" w:themeColor="text1"/>
        </w:rPr>
        <w:t>i</w:t>
      </w:r>
      <w:r w:rsidR="00131A40" w:rsidRPr="00131A40">
        <w:rPr>
          <w:i/>
          <w:iCs/>
          <w:color w:val="000000" w:themeColor="text1"/>
        </w:rPr>
        <w:t>nte</w:t>
      </w:r>
      <w:r w:rsidR="00131A40">
        <w:rPr>
          <w:i/>
          <w:iCs/>
          <w:color w:val="000000" w:themeColor="text1"/>
        </w:rPr>
        <w:t>rr</w:t>
      </w:r>
      <w:r w:rsidR="00131A40" w:rsidRPr="00131A40">
        <w:rPr>
          <w:i/>
          <w:iCs/>
          <w:color w:val="000000" w:themeColor="text1"/>
        </w:rPr>
        <w:t>ogans</w:t>
      </w:r>
      <w:proofErr w:type="spellEnd"/>
      <w:r w:rsidR="00131A40" w:rsidRPr="00131A40">
        <w:rPr>
          <w:i/>
          <w:iCs/>
          <w:color w:val="000000" w:themeColor="text1"/>
        </w:rPr>
        <w:t>.</w:t>
      </w:r>
      <w:r w:rsidR="00131A40">
        <w:rPr>
          <w:i/>
          <w:iCs/>
          <w:color w:val="000000" w:themeColor="text1"/>
        </w:rPr>
        <w:t xml:space="preserve"> </w:t>
      </w:r>
      <w:r w:rsidR="00131A40" w:rsidRPr="00DF2A48">
        <w:rPr>
          <w:color w:val="000000" w:themeColor="text1"/>
        </w:rPr>
        <w:t xml:space="preserve">The higher abundance of orotate and indole-3-carboxale in the </w:t>
      </w:r>
      <w:proofErr w:type="spellStart"/>
      <w:r w:rsidR="00131A40" w:rsidRPr="00DF2A48">
        <w:rPr>
          <w:color w:val="000000" w:themeColor="text1"/>
        </w:rPr>
        <w:t>exo</w:t>
      </w:r>
      <w:proofErr w:type="spellEnd"/>
      <w:r w:rsidR="00131A40" w:rsidRPr="00DF2A48">
        <w:rPr>
          <w:color w:val="000000" w:themeColor="text1"/>
        </w:rPr>
        <w:t xml:space="preserve">-metabolome of </w:t>
      </w:r>
      <w:proofErr w:type="spellStart"/>
      <w:r w:rsidR="00131A40" w:rsidRPr="00DF2A48">
        <w:rPr>
          <w:i/>
          <w:iCs/>
          <w:color w:val="000000" w:themeColor="text1"/>
        </w:rPr>
        <w:t>leptospira</w:t>
      </w:r>
      <w:proofErr w:type="spellEnd"/>
      <w:r w:rsidR="00131A40" w:rsidRPr="00DF2A48">
        <w:rPr>
          <w:color w:val="000000" w:themeColor="text1"/>
        </w:rPr>
        <w:t xml:space="preserve"> in EMJH (in house) is highly interesting because it is consistent with utilization of pyrimidine biosynthesis pathway which is responsible for DNA replication.</w:t>
      </w:r>
      <w:r w:rsidR="00131A40" w:rsidRPr="00DF2A48">
        <w:rPr>
          <w:color w:val="000000" w:themeColor="text1"/>
        </w:rPr>
        <w:fldChar w:fldCharType="begin" w:fldLock="1"/>
      </w:r>
      <w:r w:rsidR="00131A40">
        <w:rPr>
          <w:color w:val="000000" w:themeColor="text1"/>
        </w:rPr>
        <w:instrText>ADDIN CSL_CITATION {"citationItems":[{"id":"ITEM-1","itemData":{"DOI":"10.1016/J.JGG.2015.04.004","ISSN":"1673-8527","PMID":"26059768","abstract":"The importance of pyrimidines lies in the fact that they are structural components of a broad spectrum of key molecules that participate in diverse cellular functions, such as synthesis of DNA, RNA, lipids, and carbohydrates. Pyrimidine metabolism encompasses all enzymes involved in the synthesis, degradation, salvage, interconversion and transport of these molecules. In this review, we summarize recent publications that document how pyrimidine metabolism changes under a variety of conditions, including, when possible, those studies based on techniques of genomics, transcriptomics, proteomics, and metabolomics. First, we briefly look at the dynamics of pyrimidine metabolism during nonpathogenic cellular events. We then focus on changes that pathogen infections cause in the pyrimidine metabolism of their host. Next, we discuss the effects of antimetabolites and inhibitors, and finally we consider the consequences of genetic manipulations, such as knock-downs, knock-outs, and knock-ins, of pyrimidine enzymes on pyrimidine metabolism in the cell.","author":[{"dropping-particle":"","family":"Garavito","given":"Manuel F.","non-dropping-particle":"","parse-names":false,"suffix":""},{"dropping-particle":"","family":"Narváez-Ortiz","given":"Heidy Y.","non-dropping-particle":"","parse-names":false,"suffix":""},{"dropping-particle":"","family":"Zimmermann","given":"Barbara H.","non-dropping-particle":"","parse-names":false,"suffix":""}],"container-title":"Journal of Genetics and Genomics","id":"ITEM-1","issue":"5","issued":{"date-parts":[["2015","5","20"]]},"page":"195-205","publisher":"Elsevier","title":"Pyrimidine Metabolism: Dynamic and Versatile Pathways in Pathogens and Cellular Development","type":"article-journal","volume":"42"},"uris":["http://www.mendeley.com/documents/?uuid=60ac3036-6963-353a-b36c-dac9338602c2"]}],"mendeley":{"formattedCitation":"&lt;sup&gt;79&lt;/sup&gt;","plainTextFormattedCitation":"79","previouslyFormattedCitation":"&lt;sup&gt;78&lt;/sup&gt;"},"properties":{"noteIndex":0},"schema":"https://github.com/citation-style-language/schema/raw/master/csl-citation.json"}</w:instrText>
      </w:r>
      <w:r w:rsidR="00131A40" w:rsidRPr="00DF2A48">
        <w:rPr>
          <w:color w:val="000000" w:themeColor="text1"/>
        </w:rPr>
        <w:fldChar w:fldCharType="separate"/>
      </w:r>
      <w:r w:rsidR="00131A40" w:rsidRPr="001F04D6">
        <w:rPr>
          <w:noProof/>
          <w:color w:val="000000" w:themeColor="text1"/>
          <w:vertAlign w:val="superscript"/>
        </w:rPr>
        <w:t>79</w:t>
      </w:r>
      <w:r w:rsidR="00131A40" w:rsidRPr="00DF2A48">
        <w:rPr>
          <w:color w:val="000000" w:themeColor="text1"/>
        </w:rPr>
        <w:fldChar w:fldCharType="end"/>
      </w:r>
      <w:r w:rsidR="00131A40" w:rsidRPr="00DF2A48">
        <w:rPr>
          <w:color w:val="000000" w:themeColor="text1"/>
        </w:rPr>
        <w:t xml:space="preserve"> </w:t>
      </w:r>
      <w:r w:rsidR="00131A40">
        <w:rPr>
          <w:i/>
          <w:iCs/>
          <w:color w:val="000000" w:themeColor="text1"/>
        </w:rPr>
        <w:t xml:space="preserve"> </w:t>
      </w:r>
      <w:r w:rsidR="00131A40">
        <w:rPr>
          <w:color w:val="000000" w:themeColor="text1"/>
        </w:rPr>
        <w:t>However, abundance of homocysteine and cystathionine in the media suggest that a pyruvate-based vitamin-B metabolic pathway was not followed. This further confirms the purine metabolic pathway is chiefly utilized.</w:t>
      </w:r>
      <w:r w:rsidR="008C3E9B">
        <w:rPr>
          <w:color w:val="000000" w:themeColor="text1"/>
        </w:rPr>
        <w:t xml:space="preserve"> </w:t>
      </w:r>
    </w:p>
    <w:p w14:paraId="3EAAAE68" w14:textId="26AC8560" w:rsidR="008C3E9B" w:rsidRPr="0079752E" w:rsidRDefault="00DF2A48" w:rsidP="00CA1108">
      <w:pPr>
        <w:spacing w:line="360" w:lineRule="auto"/>
        <w:ind w:firstLine="720"/>
        <w:rPr>
          <w:color w:val="000000" w:themeColor="text1"/>
        </w:rPr>
      </w:pPr>
      <w:r w:rsidRPr="00DF2A48">
        <w:rPr>
          <w:color w:val="000000" w:themeColor="text1"/>
        </w:rPr>
        <w:lastRenderedPageBreak/>
        <w:t xml:space="preserve">Analysis of paired sample fractions in EMJH (Difco) at 28°C provide some key metabolic feature for </w:t>
      </w:r>
      <w:proofErr w:type="spellStart"/>
      <w:r w:rsidRPr="00DF2A48">
        <w:rPr>
          <w:i/>
          <w:iCs/>
          <w:color w:val="000000" w:themeColor="text1"/>
        </w:rPr>
        <w:t>leptospira</w:t>
      </w:r>
      <w:proofErr w:type="spellEnd"/>
      <w:r w:rsidRPr="00DF2A48">
        <w:rPr>
          <w:color w:val="000000" w:themeColor="text1"/>
        </w:rPr>
        <w:t xml:space="preserve"> metabolic profile. Detection of CMP, ADP-glucose, Glutathione disulfide, FMN in pellet refers to utilization of starch metabolism, redox balance. This is </w:t>
      </w:r>
      <w:proofErr w:type="gramStart"/>
      <w:r w:rsidRPr="00DF2A48">
        <w:rPr>
          <w:color w:val="000000" w:themeColor="text1"/>
        </w:rPr>
        <w:t>similar to</w:t>
      </w:r>
      <w:proofErr w:type="gramEnd"/>
      <w:r w:rsidRPr="00DF2A48">
        <w:rPr>
          <w:color w:val="000000" w:themeColor="text1"/>
        </w:rPr>
        <w:t xml:space="preserve"> the finding of the metabolic profile of </w:t>
      </w:r>
      <w:proofErr w:type="spellStart"/>
      <w:r w:rsidRPr="00DF2A48">
        <w:rPr>
          <w:i/>
          <w:iCs/>
          <w:color w:val="000000" w:themeColor="text1"/>
        </w:rPr>
        <w:t>leptospira</w:t>
      </w:r>
      <w:proofErr w:type="spellEnd"/>
      <w:r w:rsidRPr="00DF2A48">
        <w:rPr>
          <w:color w:val="000000" w:themeColor="text1"/>
        </w:rPr>
        <w:t xml:space="preserve"> during growth in EMJH (in house) at 28°C. Detection of </w:t>
      </w:r>
      <w:r w:rsidR="0079752E" w:rsidRPr="00DF2A48">
        <w:rPr>
          <w:color w:val="000000" w:themeColor="text1"/>
        </w:rPr>
        <w:t>phosphoryl ethanolamine</w:t>
      </w:r>
      <w:r w:rsidRPr="00DF2A48">
        <w:rPr>
          <w:color w:val="000000" w:themeColor="text1"/>
        </w:rPr>
        <w:t xml:space="preserve"> and upregulation of it is congruent with the pellet metabolic upregulation in EMJH (in-house) media at 28°C as well.</w:t>
      </w:r>
      <w:r w:rsidR="00131A40">
        <w:rPr>
          <w:color w:val="000000" w:themeColor="text1"/>
        </w:rPr>
        <w:t xml:space="preserve"> </w:t>
      </w:r>
      <w:r w:rsidR="00131A40" w:rsidRPr="0079752E">
        <w:rPr>
          <w:color w:val="000000" w:themeColor="text1"/>
        </w:rPr>
        <w:t>Upregulation of ADP-glucose, and UDP-glucose in pellet when compared to media control suggests a glycogen synthesis pathway as these are intermediary metabolites of starch metabolism. This is highly intriguing as glycogen synthesis pathway is utilized by pathogen when there is a need for preserving energy in unfavorable environment.</w:t>
      </w:r>
      <w:r w:rsidR="008C3E9B" w:rsidRPr="0079752E">
        <w:rPr>
          <w:color w:val="000000" w:themeColor="text1"/>
        </w:rPr>
        <w:t xml:space="preserve"> In pairwise comparison between pellet and supernatant in the commercial media at 28</w:t>
      </w:r>
      <w:r w:rsidR="008C3E9B" w:rsidRPr="0079752E">
        <w:rPr>
          <w:color w:val="000000" w:themeColor="text1"/>
        </w:rPr>
        <w:sym w:font="Symbol" w:char="F0B0"/>
      </w:r>
      <w:r w:rsidR="008C3E9B" w:rsidRPr="0079752E">
        <w:rPr>
          <w:color w:val="000000" w:themeColor="text1"/>
        </w:rPr>
        <w:t xml:space="preserve">C, upregulated metabolites in the supernatants suggest a pyruvate metabolic pathway utilization through glycine-serine-threonine metabolism leading to a thymine metabolic pathway. In the same environmental setup, comparison between supernatant and media shows an upregulation of thymine regulated metabolite in the supernatant. Having thymine mediated extracellular contents suggest that thymine pathway was utilized and byproducts of it are secreted while scavenging for vitamin for survival. </w:t>
      </w:r>
    </w:p>
    <w:p w14:paraId="58EC50A7" w14:textId="3313BC00" w:rsidR="008C3E9B" w:rsidRPr="0079752E" w:rsidRDefault="00DF2A48" w:rsidP="00CA1108">
      <w:pPr>
        <w:spacing w:line="360" w:lineRule="auto"/>
        <w:ind w:firstLine="720"/>
        <w:rPr>
          <w:color w:val="000000" w:themeColor="text1"/>
        </w:rPr>
      </w:pPr>
      <w:r w:rsidRPr="0079752E">
        <w:rPr>
          <w:color w:val="000000" w:themeColor="text1"/>
        </w:rPr>
        <w:t xml:space="preserve"> Upregulation of citrulline, </w:t>
      </w:r>
      <w:r w:rsidRPr="0079752E">
        <w:rPr>
          <w:i/>
          <w:iCs/>
          <w:color w:val="000000" w:themeColor="text1"/>
        </w:rPr>
        <w:t>N</w:t>
      </w:r>
      <w:r w:rsidRPr="0079752E">
        <w:rPr>
          <w:color w:val="000000" w:themeColor="text1"/>
        </w:rPr>
        <w:t>-carbamoyl-</w:t>
      </w:r>
      <w:r w:rsidR="0079752E" w:rsidRPr="00DE18F5">
        <w:rPr>
          <w:smallCaps/>
          <w:color w:val="000000" w:themeColor="text1"/>
        </w:rPr>
        <w:t>l</w:t>
      </w:r>
      <w:r w:rsidRPr="0079752E">
        <w:rPr>
          <w:color w:val="000000" w:themeColor="text1"/>
        </w:rPr>
        <w:t xml:space="preserve">-aspartate in supernatant follows the </w:t>
      </w:r>
      <w:r w:rsidR="008C3E9B" w:rsidRPr="0079752E">
        <w:rPr>
          <w:color w:val="000000" w:themeColor="text1"/>
        </w:rPr>
        <w:t>pyrimidine biosynthesis</w:t>
      </w:r>
      <w:r w:rsidRPr="0079752E">
        <w:rPr>
          <w:color w:val="000000" w:themeColor="text1"/>
        </w:rPr>
        <w:t xml:space="preserve"> pathway</w:t>
      </w:r>
      <w:r w:rsidRPr="0079752E">
        <w:rPr>
          <w:color w:val="000000" w:themeColor="text1"/>
        </w:rPr>
        <w:fldChar w:fldCharType="begin" w:fldLock="1"/>
      </w:r>
      <w:r w:rsidR="001F04D6" w:rsidRPr="0079752E">
        <w:rPr>
          <w:color w:val="000000" w:themeColor="text1"/>
        </w:rPr>
        <w:instrText>ADDIN CSL_CITATION {"citationItems":[{"id":"ITEM-1","itemData":{"DOI":"10.1371/JOURNAL.PNTD.0004403","ISSN":"1935-2735","PMID":"26890609","abstract":"Leptospirosis, caused by spirochetes of the genus Leptospira, is a globally widespread, neglected and emerging zoonotic disease. While whole genome analysis of individual pathogenic, intermediately pathogenic and saprophytic Leptospira species has been reported, comprehensive cross-species genomic comparison of all known species of infectious and non-infectious Leptospira, with the goal of identifying genes related to pathogenesis and mammalian host adaptation, remains a key gap in the field. Infectious Leptospira, comprised of pathogenic and intermediately pathogenic Leptospira, evolutionarily diverged from non-infectious, saprophytic Leptospira, as demonstrated by the following computational biology analyses: 1) the definitive taxonomy and evolutionary relatedness among all known Leptospira species; 2) genomically-predicted metabolic reconstructions that indicate novel adaptation of infectious Leptospira to mammals, including sialic acid biosynthesis, pathogen-specific porphyrin metabolism and the first-time demonstration of cobalamin (B12) autotrophy as a bacterial virulence factor; 3) CRISPR/Cas systems demonstrated only to be present in pathogenic Leptospira, suggesting a potential mechanism for this clade’s refractoriness to gene targeting; 4) finding Leptospira pathogen-specific specialized protein secretion systems; 5) novel virulence-related genes/gene families such as the Virulence Modifying (VM) (PF07598 paralogs) proteins and pathogen-specific adhesins; 6) discovery of novel, pathogen-specific protein modification and secretion mechanisms including unique lipoprotein signal peptide motifs, Sec-independent twin arginine protein secretion motifs, and the absence of certain canonical signal recognition particle proteins from all Leptospira; and 7) and demonstration of infectious Leptospira-specific signal-responsive gene expression, motility and chemotaxis systems. By identifying large scale changes in infectious (pathogenic and intermediately pathogenic) vs. non-infectious Leptospira, this work provides new insights into the evolution of a genus of bacterial pathogens. This work will be a comprehensive roadmap for understanding leptospirosis pathogenesis. More generally, it provides new insights into mechanisms by which bacterial pathogens adapt to mammalian hosts.","author":[{"dropping-particle":"","family":"Fouts","given":"Derrick E.","non-dropping-particle":"","parse-names":false,"suffix":""},{"dropping-particle":"","family":"Matthias","given":"Michael A.","non-dropping-particle":"","parse-names":false,"suffix":""},{"dropping-particle":"","family":"Adhikarla","given":"Haritha","non-dropping-particle":"","parse-names":false,"suffix":""},{"dropping-particle":"","family":"Adler","given":"Ben","non-dropping-particle":"","parse-names":false,"suffix":""},{"dropping-particle":"","family":"Amorim-Santos","given":"Luciane","non-dropping-particle":"","parse-names":false,"suffix":""},{"dropping-particle":"","family":"Berg","given":"Douglas E.","non-dropping-particle":"","parse-names":false,"suffix":""},{"dropping-particle":"","family":"Bulach","given":"Dieter","non-dropping-particle":"","parse-names":false,"suffix":""},{"dropping-particle":"","family":"Buschiazzo","given":"Alejandro","non-dropping-particle":"","parse-names":false,"suffix":""},{"dropping-particle":"","family":"Chang","given":"Yung Fu","non-dropping-particle":"","parse-names":false,"suffix":""},{"dropping-particle":"","family":"Galloway","given":"Renee L.","non-dropping-particle":"","parse-names":false,"suffix":""},{"dropping-particle":"","family":"Haake","given":"David A.","non-dropping-particle":"","parse-names":false,"suffix":""},{"dropping-particle":"","family":"Haft","given":"Daniel H.","non-dropping-particle":"","parse-names":false,"suffix":""},{"dropping-particle":"","family":"Hartskeerl","given":"Rudy","non-dropping-particle":"","parse-names":false,"suffix":""},{"dropping-particle":"","family":"Ko","given":"Albert I.","non-dropping-particle":"","parse-names":false,"suffix":""},{"dropping-particle":"","family":"Levett","given":"Paul N.","non-dropping-particle":"","parse-names":false,"suffix":""},{"dropping-particle":"","family":"Matsunaga","given":"James","non-dropping-particle":"","parse-names":false,"suffix":""},{"dropping-particle":"","family":"Mechaly","given":"Ariel E.","non-dropping-particle":"","parse-names":false,"suffix":""},{"dropping-particle":"","family":"Monk","given":"Jonathan M.","non-dropping-particle":"","parse-names":false,"suffix":""},{"dropping-particle":"","family":"Nascimento","given":"Ana L.T.","non-dropping-particle":"","parse-names":false,"suffix":""},{"dropping-particle":"","family":"Nelson","given":"Karen E.","non-dropping-particle":"","parse-names":false,"suffix":""},{"dropping-particle":"","family":"Palsson","given":"Bernhard","non-dropping-particle":"","parse-names":false,"suffix":""},{"dropping-particle":"","family":"Peacock","given":"Sharon J.","non-dropping-particle":"","parse-names":false,"suffix":""},{"dropping-particle":"","family":"Picardeau","given":"Mathieu","non-dropping-particle":"","parse-names":false,"suffix":""},{"dropping-particle":"","family":"Ricaldi","given":"Jessica N.","non-dropping-particle":"","parse-names":false,"suffix":""},{"dropping-particle":"","family":"Thaipandungpanit","given":"Janjira","non-dropping-particle":"","parse-names":false,"suffix":""},{"dropping-particle":"","family":"Wunder","given":"Elsio A.","non-dropping-particle":"","parse-names":false,"suffix":""},{"dropping-particle":"","family":"Yang","given":"X. Frank","non-dropping-particle":"","parse-names":false,"suffix":""},{"dropping-particle":"","family":"Zhang","given":"Jun Jie","non-dropping-particle":"","parse-names":false,"suffix":""},{"dropping-particle":"","family":"Vinetz","given":"Joseph M.","non-dropping-particle":"","parse-names":false,"suffix":""}],"container-title":"PLOS Neglected Tropical Diseases","id":"ITEM-1","issue":"2","issued":{"date-parts":[["2016","2","18"]]},"page":"e0004403","publisher":"Public Library of Science","title":"What Makes a Bacterial Species Pathogenic?:Comparative Genomic Analysis of the Genus Leptospira","type":"article-journal","volume":"10"},"uris":["http://www.mendeley.com/documents/?uuid=f67fc7a9-4737-38e9-a2e1-515bf95f99b0"]}],"mendeley":{"formattedCitation":"&lt;sup&gt;95&lt;/sup&gt;","plainTextFormattedCitation":"95","previouslyFormattedCitation":"&lt;sup&gt;94&lt;/sup&gt;"},"properties":{"noteIndex":0},"schema":"https://github.com/citation-style-language/schema/raw/master/csl-citation.json"}</w:instrText>
      </w:r>
      <w:r w:rsidRPr="0079752E">
        <w:rPr>
          <w:color w:val="000000" w:themeColor="text1"/>
        </w:rPr>
        <w:fldChar w:fldCharType="separate"/>
      </w:r>
      <w:r w:rsidR="001F04D6" w:rsidRPr="0079752E">
        <w:rPr>
          <w:noProof/>
          <w:color w:val="000000" w:themeColor="text1"/>
          <w:vertAlign w:val="superscript"/>
        </w:rPr>
        <w:t>95</w:t>
      </w:r>
      <w:r w:rsidRPr="0079752E">
        <w:rPr>
          <w:color w:val="000000" w:themeColor="text1"/>
        </w:rPr>
        <w:fldChar w:fldCharType="end"/>
      </w:r>
      <w:r w:rsidRPr="0079752E">
        <w:rPr>
          <w:color w:val="000000" w:themeColor="text1"/>
          <w:vertAlign w:val="superscript"/>
        </w:rPr>
        <w:t>,</w:t>
      </w:r>
      <w:r w:rsidRPr="0079752E">
        <w:rPr>
          <w:color w:val="000000" w:themeColor="text1"/>
        </w:rPr>
        <w:fldChar w:fldCharType="begin" w:fldLock="1"/>
      </w:r>
      <w:r w:rsidR="001F04D6" w:rsidRPr="0079752E">
        <w:rPr>
          <w:color w:val="000000" w:themeColor="text1"/>
        </w:rPr>
        <w:instrText>ADDIN CSL_CITATION {"citationItems":[{"id":"ITEM-1","itemData":{"ISSN":"1664-3224","abstract":"Macrophages play a major role in the immune system, both as antimicrobial effector cells and as immunoregulatory cells, which induce, suppress or modulate adaptive immune responses. These key aspects of macrophage biology are fundamentally driven by the phenotype of macrophage arginine metabolism that is prevalent in an evolving or ongoing immune response. M1 macrophages express the enzyme nitric oxide synthase (NOS), which metabolizes arginine to nitric oxide (NO) and citrulline. NO can be metabolized to further downstream reactive nitrogen species, while citrulline might be reused for efficient NO synthesis via the citrulline-NO cycle. M2 macrophages are characterized by expression of the enzyme arginase, which hydrolyzes arginine to ornithine and urea. The arginase pathway limits arginine availability for NO synthesis and ornithine itself can further feed into the important downstream pathways of polyamine and proline syntheses, which are important for cellular proliferation and tissue repair. M1 versus M2 polarization leads to opposing outcomes of inflammatory reactions, but depending on the context, M1 and M2 macrophages can be both pro- and antiinflammatory. Notably, M1/M2 macrophage polarization can be driven by microbial infection or innate danger signals without any influence of adaptive immune cells, secondarily driving the T helper (Th)1/Th2 polarization of the evolving adaptive immune response. Since both arginine metabolic pathways cross-inhibit each other on the level of the respective arginine break-down products and Th1 and Th2 lymphocytes can drive or amplify macrophage M1/M2 dichotomy via cytokine activation, this forms the basis of a self-sustaining M1/M2 polarization of the whole immune response. Understanding the arginine metabolism of M1/M2 macrophage phenotypes is therefore central to find new possibilities to manipulate immune responses in infection, autoimmune diseases, chronic inflammatory conditions and cancer.","author":[{"dropping-particle":"","family":"Rath","given":"Meera","non-dropping-particle":"","parse-names":false,"suffix":""},{"dropping-particle":"","family":"Müller","given":"Ingrid","non-dropping-particle":"","parse-names":false,"suffix":""},{"dropping-particle":"","family":"Kropf","given":"Pascale","non-dropping-particle":"","parse-names":false,"suffix":""},{"dropping-particle":"","family":"Closs","given":"Ellen I","non-dropping-particle":"","parse-names":false,"suffix":""},{"dropping-particle":"","family":"Munder","given":"Markus","non-dropping-particle":"","parse-names":false,"suffix":""}],"container-title":"Frontiers in Immunology","id":"ITEM-1","issued":{"date-parts":[["2014"]]},"title":"Metabolism via Arginase or Nitric Oxide Synthase: Two Competing Arginine Pathways in Macrophages","type":"article-journal","volume":"Volume 5 -"},"uris":["http://www.mendeley.com/documents/?uuid=04d1cb20-3096-4d32-99dd-fd9d9379790f"]}],"mendeley":{"formattedCitation":"&lt;sup&gt;96&lt;/sup&gt;","plainTextFormattedCitation":"96","previouslyFormattedCitation":"&lt;sup&gt;95&lt;/sup&gt;"},"properties":{"noteIndex":0},"schema":"https://github.com/citation-style-language/schema/raw/master/csl-citation.json"}</w:instrText>
      </w:r>
      <w:r w:rsidRPr="0079752E">
        <w:rPr>
          <w:color w:val="000000" w:themeColor="text1"/>
        </w:rPr>
        <w:fldChar w:fldCharType="separate"/>
      </w:r>
      <w:r w:rsidR="001F04D6" w:rsidRPr="0079752E">
        <w:rPr>
          <w:noProof/>
          <w:color w:val="000000" w:themeColor="text1"/>
          <w:vertAlign w:val="superscript"/>
        </w:rPr>
        <w:t>96</w:t>
      </w:r>
      <w:r w:rsidRPr="0079752E">
        <w:rPr>
          <w:color w:val="000000" w:themeColor="text1"/>
        </w:rPr>
        <w:fldChar w:fldCharType="end"/>
      </w:r>
      <w:r w:rsidRPr="0079752E">
        <w:rPr>
          <w:color w:val="000000" w:themeColor="text1"/>
          <w:vertAlign w:val="superscript"/>
        </w:rPr>
        <w:t>,</w:t>
      </w:r>
      <w:r w:rsidRPr="0079752E">
        <w:rPr>
          <w:color w:val="000000" w:themeColor="text1"/>
        </w:rPr>
        <w:fldChar w:fldCharType="begin" w:fldLock="1"/>
      </w:r>
      <w:r w:rsidR="001F04D6" w:rsidRPr="0079752E">
        <w:rPr>
          <w:color w:val="000000" w:themeColor="text1"/>
        </w:rPr>
        <w:instrText>ADDIN CSL_CITATION {"citationItems":[{"id":"ITEM-1","itemData":{"DOI":"10.1128/jb.182.4.1008-1015.2000","author":[{"dropping-particle":"","family":"José","given":"Quintero María","non-dropping-particle":"","parse-names":false,"suffix":""},{"dropping-particle":"","family":"María","given":"Muro-Pastor Alicia","non-dropping-particle":"","parse-names":false,"suffix":""},{"dropping-particle":"","family":"Antonia","given":"Herrero","non-dropping-particle":"","parse-names":false,"suffix":""},{"dropping-particle":"","family":"Enrique","given":"Flores","non-dropping-particle":"","parse-names":false,"suffix":""}],"container-title":"Journal of Bacteriology","id":"ITEM-1","issue":"4","issued":{"date-parts":[["2000","2","15"]]},"note":"doi: 10.1128/jb.182.4.1008-1015.2000","page":"1008-1015","publisher":"American Society for Microbiology","title":"Arginine Catabolism in the CyanobacteriumSynechocystis sp. Strain PCC 6803 Involves the Urea Cycle and Arginase Pathway","type":"article-journal","volume":"182"},"uris":["http://www.mendeley.com/documents/?uuid=d9441d07-62a7-46f7-bc67-234a6723b50c"]}],"mendeley":{"formattedCitation":"&lt;sup&gt;97&lt;/sup&gt;","plainTextFormattedCitation":"97","previouslyFormattedCitation":"&lt;sup&gt;96&lt;/sup&gt;"},"properties":{"noteIndex":0},"schema":"https://github.com/citation-style-language/schema/raw/master/csl-citation.json"}</w:instrText>
      </w:r>
      <w:r w:rsidRPr="0079752E">
        <w:rPr>
          <w:color w:val="000000" w:themeColor="text1"/>
        </w:rPr>
        <w:fldChar w:fldCharType="separate"/>
      </w:r>
      <w:r w:rsidR="001F04D6" w:rsidRPr="0079752E">
        <w:rPr>
          <w:noProof/>
          <w:color w:val="000000" w:themeColor="text1"/>
          <w:vertAlign w:val="superscript"/>
        </w:rPr>
        <w:t>97</w:t>
      </w:r>
      <w:r w:rsidRPr="0079752E">
        <w:rPr>
          <w:color w:val="000000" w:themeColor="text1"/>
        </w:rPr>
        <w:fldChar w:fldCharType="end"/>
      </w:r>
      <w:r w:rsidRPr="0079752E">
        <w:rPr>
          <w:color w:val="000000" w:themeColor="text1"/>
        </w:rPr>
        <w:t xml:space="preserve"> </w:t>
      </w:r>
      <w:r w:rsidR="008C3E9B" w:rsidRPr="0079752E">
        <w:rPr>
          <w:color w:val="000000" w:themeColor="text1"/>
        </w:rPr>
        <w:t xml:space="preserve">Downstream product of arginine catabolism could also lead to pyrimidine metabolism pathway. Pyrimidine pathway products and involved enzymes are a quintessential for cell activity in pathogen, majorly in cell division. Overall, in the commercial media, multiple pathways are mediated for growth alternate to purine metabolic pathway, </w:t>
      </w:r>
    </w:p>
    <w:p w14:paraId="6900CD9D" w14:textId="14BE05AC" w:rsidR="00DF2A48" w:rsidRPr="00DF2A48" w:rsidRDefault="00DF2A48" w:rsidP="00CA1108">
      <w:pPr>
        <w:spacing w:line="360" w:lineRule="auto"/>
        <w:ind w:firstLine="720"/>
        <w:rPr>
          <w:color w:val="000000" w:themeColor="text1"/>
        </w:rPr>
      </w:pPr>
      <w:r w:rsidRPr="0079752E">
        <w:rPr>
          <w:color w:val="000000" w:themeColor="text1"/>
        </w:rPr>
        <w:t>However, inoculation at 37°C in EMJH (Difco) media did now support any measurable</w:t>
      </w:r>
      <w:r w:rsidRPr="004F63BE">
        <w:rPr>
          <w:color w:val="000000" w:themeColor="text1"/>
        </w:rPr>
        <w:t xml:space="preserve"> growth of </w:t>
      </w:r>
      <w:proofErr w:type="spellStart"/>
      <w:r w:rsidRPr="004F63BE">
        <w:rPr>
          <w:i/>
          <w:iCs/>
          <w:color w:val="000000" w:themeColor="text1"/>
        </w:rPr>
        <w:t>leptospira</w:t>
      </w:r>
      <w:proofErr w:type="spellEnd"/>
      <w:r w:rsidRPr="004F63BE">
        <w:rPr>
          <w:i/>
          <w:iCs/>
          <w:color w:val="000000" w:themeColor="text1"/>
        </w:rPr>
        <w:t xml:space="preserve"> </w:t>
      </w:r>
      <w:proofErr w:type="spellStart"/>
      <w:r w:rsidRPr="004F63BE">
        <w:rPr>
          <w:i/>
          <w:iCs/>
          <w:color w:val="000000" w:themeColor="text1"/>
        </w:rPr>
        <w:t>interogan</w:t>
      </w:r>
      <w:proofErr w:type="spellEnd"/>
      <w:r w:rsidRPr="004F63BE">
        <w:rPr>
          <w:color w:val="000000" w:themeColor="text1"/>
        </w:rPr>
        <w:t>. There was a high abundance of several metabolites such as lactate, malate, uridine, CMP, thymidine at EMJH (Difco) media at 37°C. Most of these are associated with the cysteine, pyruvate, pyrimidine, or purine metabolic pathways. While thymidine could have protective effect on DNA damage on mammalian cell</w:t>
      </w:r>
      <w:r w:rsidRPr="004F63BE">
        <w:rPr>
          <w:color w:val="000000" w:themeColor="text1"/>
        </w:rPr>
        <w:fldChar w:fldCharType="begin" w:fldLock="1"/>
      </w:r>
      <w:r w:rsidR="001F04D6" w:rsidRPr="004F63BE">
        <w:rPr>
          <w:color w:val="000000" w:themeColor="text1"/>
        </w:rPr>
        <w:instrText>ADDIN CSL_CITATION {"citationItems":[{"id":"ITEM-1","itemData":{"DOI":"10.1021/acsomega.0c02843","author":[{"dropping-particle":"","family":"Li","given":"Yan","non-dropping-particle":"","parse-names":false,"suffix":""},{"dropping-particle":"","family":"Guo","given":"Jianru","non-dropping-particle":"","parse-names":false,"suffix":""},{"dropping-particle":"","family":"Zhang","given":"Huixia","non-dropping-particle":"","parse-names":false,"suffix":""},{"dropping-particle":"","family":"Lam","given":"Christopher Wai Kei","non-dropping-particle":"","parse-names":false,"suffix":""},{"dropping-particle":"","family":"Luo","given":"Wendi","non-dropping-particle":"","parse-names":false,"suffix":""},{"dropping-particle":"","family":"Zhou","given":"Hua","non-dropping-particle":"","parse-names":false,"suffix":""},{"dropping-particle":"","family":"Zhang","given":"Wei","non-dropping-particle":"","parse-names":false,"suffix":""}],"container-title":"ACS Omega","id":"ITEM-1","issue":"34","issued":{"date-parts":[["2020","9","1"]]},"note":"doi: 10.1021/acsomega.0c02843","page":"21796-21804","publisher":"American Chemical Society","title":"Protective Effect of Thymidine on DNA Damage Induced by Hydrogen Peroxide in Human Hepatocellular Cancer Cells","type":"article-journal","volume":"5"},"uris":["http://www.mendeley.com/documents/?uuid=cbe9f129-08a5-4905-814c-96e74e245e05"]}],"mendeley":{"formattedCitation":"&lt;sup&gt;98&lt;/sup&gt;","plainTextFormattedCitation":"98","previouslyFormattedCitation":"&lt;sup&gt;97&lt;/sup&gt;"},"properties":{"noteIndex":0},"schema":"https://github.com/citation-style-language/schema/raw/master/csl-citation.json"}</w:instrText>
      </w:r>
      <w:r w:rsidRPr="004F63BE">
        <w:rPr>
          <w:color w:val="000000" w:themeColor="text1"/>
        </w:rPr>
        <w:fldChar w:fldCharType="separate"/>
      </w:r>
      <w:r w:rsidR="001F04D6" w:rsidRPr="004F63BE">
        <w:rPr>
          <w:noProof/>
          <w:color w:val="000000" w:themeColor="text1"/>
          <w:vertAlign w:val="superscript"/>
        </w:rPr>
        <w:t>98</w:t>
      </w:r>
      <w:r w:rsidRPr="004F63BE">
        <w:rPr>
          <w:color w:val="000000" w:themeColor="text1"/>
        </w:rPr>
        <w:fldChar w:fldCharType="end"/>
      </w:r>
      <w:r w:rsidRPr="004F63BE">
        <w:rPr>
          <w:color w:val="000000" w:themeColor="text1"/>
        </w:rPr>
        <w:t>, in gram-negative pathogens such as E. coli it could sensitize pathogen to antibiotics.</w:t>
      </w:r>
      <w:r w:rsidRPr="004F63BE">
        <w:rPr>
          <w:color w:val="000000" w:themeColor="text1"/>
        </w:rPr>
        <w:fldChar w:fldCharType="begin" w:fldLock="1"/>
      </w:r>
      <w:r w:rsidR="001F04D6" w:rsidRPr="004F63BE">
        <w:rPr>
          <w:color w:val="000000" w:themeColor="text1"/>
        </w:rPr>
        <w:instrText>ADDIN CSL_CITATION {"citationItems":[{"id":"ITEM-1","itemData":{"ISSN":"1664-302X","abstract":"&lt;p&gt;Diminished antibiotic susceptibility of bacterial pathogens is an increasingly serious threat to human and animal health. Alternative strategies are required to combat antibiotic refractory bacteria. Bacterial metabolic state has been shown to play a critical role in its susceptibility to antibiotic killing. However, the adjuvant potential of nucleotides in combination with antibiotics to kill Gram-negative pathogens remains unknown. Herein, we found that thymine potentiated ciprofloxacin killing against both sensitive and resistant-&lt;italic&gt;E. coli&lt;/italic&gt; in a growth phase-independent manner. Similar promotion effects were also observed for other bactericidal antibiotics, including ampicillin and kanamycin, in the fight against four kinds of Gram-negative bacteria. The mechanisms underlying this finding were that exogenous thymine could upregulate bacterial metabolism including increased TCA cycle and respiration, which thereby promote the production of ATP and ROS. Subsequently, metabolically inactive bacteria were converted to active bacteria and restored its susceptibility to antibiotic killing. In &lt;italic&gt;Galleria mellonella&lt;/italic&gt; infection model, thymine effectively improved ciprofloxacin activity against &lt;italic&gt;E. coli&lt;/italic&gt;. Taken together, our results demonstrated that thymine potentiates bactericidal antibiotics activity against Gram-negative pathogens through activating bacterial metabolism, providing a universal strategy to overcome Gram-negative pathogens.&lt;/p&gt;","author":[{"dropping-particle":"","family":"Liu","given":"Yuan","non-dropping-particle":"","parse-names":false,"suffix":""},{"dropping-particle":"","family":"Yang","given":"Kangni","non-dropping-particle":"","parse-names":false,"suffix":""},{"dropping-particle":"","family":"Jia","given":"Yuqian","non-dropping-particle":"","parse-names":false,"suffix":""},{"dropping-particle":"","family":"Shi","given":"Jingru","non-dropping-particle":"","parse-names":false,"suffix":""},{"dropping-particle":"","family":"Tong","given":"Ziwen","non-dropping-particle":"","parse-names":false,"suffix":""},{"dropping-particle":"","family":"Wang","given":"Zhiqiang","non-dropping-particle":"","parse-names":false,"suffix":""}],"container-title":"Frontiers in Microbiology","id":"ITEM-1","issued":{"date-parts":[["2021"]]},"title":"Thymine Sensitizes Gram-Negative Pathogens to Antibiotic Killing","type":"article-journal","volume":"Volume 12 "},"uris":["http://www.mendeley.com/documents/?uuid=bea1a677-1702-41a8-bcf9-7dfd293ba55c"]}],"mendeley":{"formattedCitation":"&lt;sup&gt;99&lt;/sup&gt;","plainTextFormattedCitation":"99","previouslyFormattedCitation":"&lt;sup&gt;98&lt;/sup&gt;"},"properties":{"noteIndex":0},"schema":"https://github.com/citation-style-language/schema/raw/master/csl-citation.json"}</w:instrText>
      </w:r>
      <w:r w:rsidRPr="004F63BE">
        <w:rPr>
          <w:color w:val="000000" w:themeColor="text1"/>
        </w:rPr>
        <w:fldChar w:fldCharType="separate"/>
      </w:r>
      <w:r w:rsidR="001F04D6" w:rsidRPr="004F63BE">
        <w:rPr>
          <w:noProof/>
          <w:color w:val="000000" w:themeColor="text1"/>
          <w:vertAlign w:val="superscript"/>
        </w:rPr>
        <w:t>99</w:t>
      </w:r>
      <w:r w:rsidRPr="004F63BE">
        <w:rPr>
          <w:color w:val="000000" w:themeColor="text1"/>
        </w:rPr>
        <w:fldChar w:fldCharType="end"/>
      </w:r>
      <w:r w:rsidRPr="004F63BE">
        <w:rPr>
          <w:color w:val="000000" w:themeColor="text1"/>
        </w:rPr>
        <w:t xml:space="preserve">  Whereas cyclic CMP through pyrimidine pathway could provide bacterial immunity accelerating immune response against phage.</w:t>
      </w:r>
      <w:r w:rsidRPr="004F63BE">
        <w:rPr>
          <w:color w:val="000000" w:themeColor="text1"/>
        </w:rPr>
        <w:fldChar w:fldCharType="begin" w:fldLock="1"/>
      </w:r>
      <w:r w:rsidR="001F04D6" w:rsidRPr="004F63BE">
        <w:rPr>
          <w:color w:val="000000" w:themeColor="text1"/>
        </w:rPr>
        <w:instrText>ADDIN CSL_CITATION {"citationItems":[{"id":"ITEM-1","itemData":{"DOI":"https://doi.org/10.1016/j.cell.2021.09.031","ISSN":"0092-8674","abstract":"Summary The cyclic pyrimidines 3′,5′-cyclic cytidine monophosphate (cCMP) and 3′,5′-cyclic uridine monophosphate (cUMP) have been reported in multiple organisms and cell types. As opposed to the cyclic nucleotides 3′,5′-cyclic adenosine monophosphate (cAMP) and 3′,5′-cyclic guanosine monophosphate (cGMP), which are second messenger molecules with well-established regulatory roles across all domains of life, the biological role of cyclic pyrimidines has remained unclear. Here we report that cCMP and cUMP are second messengers functioning in bacterial immunity against viruses. We discovered a family of bacterial pyrimidine cyclase enzymes that specifically synthesize cCMP and cUMP following phage infection and demonstrate that these molecules activate immune effectors that execute an antiviral response. A crystal structure of a uridylate cyclase enzyme from this family explains the molecular mechanism of selectivity for pyrimidines as cyclization substrates. Defense systems encoding pyrimidine cyclases, denoted here Pycsar (pyrimidine cyclase system for antiphage resistance), are widespread in prokaryotes. Our results assign clear biological function to cCMP and cUMP as immunity signaling molecules in bacteria.","author":[{"dropping-particle":"","family":"Tal","given":"Nitzan","non-dropping-particle":"","parse-names":false,"suffix":""},{"dropping-particle":"","family":"Morehouse","given":"Benjamin R","non-dropping-particle":"","parse-names":false,"suffix":""},{"dropping-particle":"","family":"Millman","given":"Adi","non-dropping-particle":"","parse-names":false,"suffix":""},{"dropping-particle":"","family":"Stokar-Avihail","given":"Avigail","non-dropping-particle":"","parse-names":false,"suffix":""},{"dropping-particle":"","family":"Avraham","given":"Carmel","non-dropping-particle":"","parse-names":false,"suffix":""},{"dropping-particle":"","family":"Fedorenko","given":"Taya","non-dropping-particle":"","parse-names":false,"suffix":""},{"dropping-particle":"","family":"Yirmiya","given":"Erez","non-dropping-particle":"","parse-names":false,"suffix":""},{"dropping-particle":"","family":"Herbst","given":"Ehud","non-dropping-particle":"","parse-names":false,"suffix":""},{"dropping-particle":"","family":"Brandis","given":"Alexander","non-dropping-particle":"","parse-names":false,"suffix":""},{"dropping-particle":"","family":"Mehlman","given":"Tevie","non-dropping-particle":"","parse-names":false,"suffix":""},{"dropping-particle":"","family":"Oppenheimer-Shaanan","given":"Yaara","non-dropping-particle":"","parse-names":false,"suffix":""},{"dropping-particle":"","family":"Keszei","given":"Alexander F A","non-dropping-particle":"","parse-names":false,"suffix":""},{"dropping-particle":"","family":"Shao","given":"Sichen","non-dropping-particle":"","parse-names":false,"suffix":""},{"dropping-particle":"","family":"Amitai","given":"Gil","non-dropping-particle":"","parse-names":false,"suffix":""},{"dropping-particle":"","family":"Kranzusch","given":"Philip J","non-dropping-particle":"","parse-names":false,"suffix":""},{"dropping-particle":"","family":"Sorek","given":"Rotem","non-dropping-particle":"","parse-names":false,"suffix":""}],"container-title":"Cell","id":"ITEM-1","issue":"23","issued":{"date-parts":[["2021"]]},"page":"5728-5739.e16","title":"Cyclic CMP and cyclic UMP mediate bacterial immunity against phages","type":"article-journal","volume":"184"},"uris":["http://www.mendeley.com/documents/?uuid=a2d0e380-3f08-47dd-801f-41317d5bc208"]}],"mendeley":{"formattedCitation":"&lt;sup&gt;100&lt;/sup&gt;","plainTextFormattedCitation":"100","previouslyFormattedCitation":"&lt;sup&gt;99&lt;/sup&gt;"},"properties":{"noteIndex":0},"schema":"https://github.com/citation-style-language/schema/raw/master/csl-citation.json"}</w:instrText>
      </w:r>
      <w:r w:rsidRPr="004F63BE">
        <w:rPr>
          <w:color w:val="000000" w:themeColor="text1"/>
        </w:rPr>
        <w:fldChar w:fldCharType="separate"/>
      </w:r>
      <w:r w:rsidR="001F04D6" w:rsidRPr="004F63BE">
        <w:rPr>
          <w:noProof/>
          <w:color w:val="000000" w:themeColor="text1"/>
          <w:vertAlign w:val="superscript"/>
        </w:rPr>
        <w:t>100</w:t>
      </w:r>
      <w:r w:rsidRPr="004F63BE">
        <w:rPr>
          <w:color w:val="000000" w:themeColor="text1"/>
        </w:rPr>
        <w:fldChar w:fldCharType="end"/>
      </w:r>
      <w:r w:rsidRPr="004F63BE">
        <w:rPr>
          <w:color w:val="000000" w:themeColor="text1"/>
        </w:rPr>
        <w:t xml:space="preserve"> This trend could be ascribed to unutilized nutrients from the media is mediating the lack of growth in EMJH (Difco) at 37°C.</w:t>
      </w:r>
      <w:r w:rsidRPr="004F63BE">
        <w:rPr>
          <w:color w:val="000000" w:themeColor="text1"/>
        </w:rPr>
        <w:fldChar w:fldCharType="begin" w:fldLock="1"/>
      </w:r>
      <w:r w:rsidR="001F04D6" w:rsidRPr="004F63BE">
        <w:rPr>
          <w:color w:val="000000" w:themeColor="text1"/>
        </w:rPr>
        <w:instrText>ADDIN CSL_CITATION {"citationItems":[{"id":"ITEM-1","itemData":{"DOI":"10.1128/iai.05168-11","author":[{"dropping-particle":"","family":"Kristel","given":"Lourdault","non-dropping-particle":"","parse-names":false,"suffix":""},{"dropping-particle":"","family":"M.","given":"Cerqueira Gustavo","non-dropping-particle":"","parse-names":false,"suffix":""},{"dropping-particle":"","family":"A.","given":"Wunder Elsio","non-dropping-particle":"","parse-names":false,"suffix":""},{"dropping-particle":"","family":"Mathieu","given":"Picardeau","non-dropping-particle":"","parse-names":false,"suffix":""}],"container-title":"Infection and Immunity","id":"ITEM-1","issue":"9","issued":{"date-parts":[["2011","8","16"]]},"note":"doi: 10.1128/iai.05168-11","page":"3711-3717","publisher":"American Society for Microbiology","title":"Inactivation of clpB in the Pathogen Leptospira interrogans Reduces Virulence and Resistance to Stress Conditions ","type":"article-journal","volume":"79"},"uris":["http://www.mendeley.com/documents/?uuid=755397e8-5578-4698-a641-899052dc2dc2"]}],"mendeley":{"formattedCitation":"&lt;sup&gt;101&lt;/sup&gt;","plainTextFormattedCitation":"101","previouslyFormattedCitation":"&lt;sup&gt;100&lt;/sup&gt;"},"properties":{"noteIndex":0},"schema":"https://github.com/citation-style-language/schema/raw/master/csl-citation.json"}</w:instrText>
      </w:r>
      <w:r w:rsidRPr="004F63BE">
        <w:rPr>
          <w:color w:val="000000" w:themeColor="text1"/>
        </w:rPr>
        <w:fldChar w:fldCharType="separate"/>
      </w:r>
      <w:r w:rsidR="001F04D6" w:rsidRPr="004F63BE">
        <w:rPr>
          <w:noProof/>
          <w:color w:val="000000" w:themeColor="text1"/>
          <w:vertAlign w:val="superscript"/>
        </w:rPr>
        <w:t>101</w:t>
      </w:r>
      <w:r w:rsidRPr="004F63BE">
        <w:rPr>
          <w:color w:val="000000" w:themeColor="text1"/>
        </w:rPr>
        <w:fldChar w:fldCharType="end"/>
      </w:r>
      <w:r w:rsidRPr="004F63BE">
        <w:rPr>
          <w:color w:val="000000" w:themeColor="text1"/>
          <w:vertAlign w:val="superscript"/>
        </w:rPr>
        <w:t>,</w:t>
      </w:r>
      <w:r w:rsidRPr="004F63BE">
        <w:rPr>
          <w:color w:val="000000" w:themeColor="text1"/>
        </w:rPr>
        <w:fldChar w:fldCharType="begin" w:fldLock="1"/>
      </w:r>
      <w:r w:rsidR="001F04D6" w:rsidRPr="004F63BE">
        <w:rPr>
          <w:color w:val="000000" w:themeColor="text1"/>
        </w:rPr>
        <w:instrText>ADDIN CSL_CITATION {"citationItems":[{"id":"ITEM-1","itemData":{"DOI":"10.1038/S41598-020-66526-4;SUBJMETA=1320,1647,2234,2537,326,41,631;KWRD=BACTERIAL+TECHNIQUES+AND+APPLICATIONS,BACTERIOLOGY,MICROBIOLOGY,MICROBIOLOGY+TECHNIQUES","ISSN":"20452322","PMID":"32541841","abstract":"The causative agent of leptospirosis includes multiple serovars and species of pathogenic leptospires that are excreted via urine from reservoir hosts of infection. Primary isolation takes weeks to months, and is limited to semi-solid media at 28-30 °C. Here we present an alternative media formulation, HAN, compared to commercially available EMJH and the more specialized T80/40/LH media formulations, in semi-solid and liquid compositions, for the primary isolation of two diverse species and serovars of pathogenic leptospires directly from host kidney tissue. All three media types supported the isolation and propagation of L. interrogans serovar Copenhageni strain IC:20:001 in semi-solid media at 29 °C. However, only HAN and T80/40/LH supported the growth of L. borgpetersenii serovar Hardjo strain HB15B203 at 29 °C. In addition, HAN supported primary isolation at 37 °C. Both T80/40/LH and HAN supported primary isolation of strain IC:20:001 in liquid media at 29 °C but only HAN supported growth of strain HB15B203 in liquid media, at both 29 and 37 °C. HAN media supports the primary isolation of fastidious pathogenic leptospires directly from infected host tissue at either 29 or 37 °C: this formulation represents a more defined media for the continued optimization of growth factors required to support the primary isolation of the large and diverse range of species and serovars within the genus Leptospira circulating within domestic and wild animal populations.","author":[{"dropping-particle":"","family":"Hornsby","given":"Richard L.","non-dropping-particle":"","parse-names":false,"suffix":""},{"dropping-particle":"","family":"Alt","given":"David P.","non-dropping-particle":"","parse-names":false,"suffix":""},{"dropping-particle":"","family":"Nally","given":"Jarlath E.","non-dropping-particle":"","parse-names":false,"suffix":""}],"container-title":"Scientific reports","id":"ITEM-1","issue":"1","issued":{"date-parts":[["2020","6","15"]]},"page":"9620","publisher":"NLM (Medline)","title":"Isolation and propagation of leptospires at 37 °C directly from the mammalian host","type":"article-journal","volume":"10"},"uris":["http://www.mendeley.com/documents/?uuid=34731c42-3cff-39a1-9cfd-10d25ff505a0"]}],"mendeley":{"formattedCitation":"&lt;sup&gt;66&lt;/sup&gt;","plainTextFormattedCitation":"66","previouslyFormattedCitation":"&lt;sup&gt;65&lt;/sup&gt;"},"properties":{"noteIndex":0},"schema":"https://github.com/citation-style-language/schema/raw/master/csl-citation.json"}</w:instrText>
      </w:r>
      <w:r w:rsidRPr="004F63BE">
        <w:rPr>
          <w:color w:val="000000" w:themeColor="text1"/>
        </w:rPr>
        <w:fldChar w:fldCharType="separate"/>
      </w:r>
      <w:r w:rsidR="001F04D6" w:rsidRPr="004F63BE">
        <w:rPr>
          <w:noProof/>
          <w:color w:val="000000" w:themeColor="text1"/>
          <w:vertAlign w:val="superscript"/>
        </w:rPr>
        <w:t>66</w:t>
      </w:r>
      <w:r w:rsidRPr="004F63BE">
        <w:rPr>
          <w:color w:val="000000" w:themeColor="text1"/>
        </w:rPr>
        <w:fldChar w:fldCharType="end"/>
      </w:r>
      <w:r w:rsidRPr="004F63BE">
        <w:rPr>
          <w:color w:val="000000" w:themeColor="text1"/>
        </w:rPr>
        <w:t xml:space="preserve"> </w:t>
      </w:r>
    </w:p>
    <w:p w14:paraId="02601DE7" w14:textId="77777777" w:rsidR="00BE68A3" w:rsidRPr="0079752E" w:rsidRDefault="00DF2A48" w:rsidP="00D96410">
      <w:pPr>
        <w:spacing w:line="360" w:lineRule="auto"/>
        <w:rPr>
          <w:color w:val="000000" w:themeColor="text1"/>
        </w:rPr>
      </w:pPr>
      <w:r w:rsidRPr="00DF2A48">
        <w:rPr>
          <w:b/>
          <w:bCs/>
          <w:color w:val="000000" w:themeColor="text1"/>
        </w:rPr>
        <w:lastRenderedPageBreak/>
        <w:tab/>
      </w:r>
      <w:r w:rsidR="00533017" w:rsidRPr="0079752E">
        <w:rPr>
          <w:color w:val="000000" w:themeColor="text1"/>
        </w:rPr>
        <w:t>It is to be</w:t>
      </w:r>
      <w:r w:rsidR="00533017" w:rsidRPr="0079752E">
        <w:rPr>
          <w:b/>
          <w:bCs/>
          <w:color w:val="000000" w:themeColor="text1"/>
        </w:rPr>
        <w:t xml:space="preserve"> </w:t>
      </w:r>
      <w:r w:rsidR="00533017" w:rsidRPr="0079752E">
        <w:rPr>
          <w:color w:val="000000" w:themeColor="text1"/>
        </w:rPr>
        <w:t>noted that a sample-based normalization (cell count/mass/volume) was not performed in this study. Multiple data</w:t>
      </w:r>
      <w:r w:rsidR="00BE68A3" w:rsidRPr="0079752E">
        <w:rPr>
          <w:color w:val="000000" w:themeColor="text1"/>
        </w:rPr>
        <w:t>-</w:t>
      </w:r>
      <w:r w:rsidR="00533017" w:rsidRPr="0079752E">
        <w:rPr>
          <w:color w:val="000000" w:themeColor="text1"/>
        </w:rPr>
        <w:t>based normalization techniques such as SERRF, log</w:t>
      </w:r>
      <w:r w:rsidR="00533017" w:rsidRPr="0079752E">
        <w:rPr>
          <w:color w:val="000000" w:themeColor="text1"/>
          <w:vertAlign w:val="subscript"/>
        </w:rPr>
        <w:t>2</w:t>
      </w:r>
      <w:r w:rsidR="00533017" w:rsidRPr="0079752E">
        <w:rPr>
          <w:color w:val="000000" w:themeColor="text1"/>
        </w:rPr>
        <w:t xml:space="preserve"> transformation, pareto scaling was availed. </w:t>
      </w:r>
      <w:r w:rsidR="00BE68A3" w:rsidRPr="0079752E">
        <w:rPr>
          <w:color w:val="000000" w:themeColor="text1"/>
        </w:rPr>
        <w:t>In the future, sample-based normalization approach will be taken into consideration for more robust analysis.</w:t>
      </w:r>
    </w:p>
    <w:p w14:paraId="5EDD0050" w14:textId="6D26041F" w:rsidR="00DF2A48" w:rsidRPr="00DF2A48" w:rsidRDefault="00BE68A3" w:rsidP="00BE68A3">
      <w:pPr>
        <w:spacing w:line="360" w:lineRule="auto"/>
        <w:ind w:firstLine="720"/>
        <w:rPr>
          <w:color w:val="000000" w:themeColor="text1"/>
        </w:rPr>
      </w:pPr>
      <w:r w:rsidRPr="0079752E">
        <w:rPr>
          <w:color w:val="000000" w:themeColor="text1"/>
        </w:rPr>
        <w:t>As a direction towards further progress of this study</w:t>
      </w:r>
      <w:r>
        <w:rPr>
          <w:color w:val="000000" w:themeColor="text1"/>
        </w:rPr>
        <w:t>, t</w:t>
      </w:r>
      <w:r w:rsidR="00DF2A48" w:rsidRPr="00DF2A48">
        <w:rPr>
          <w:color w:val="000000" w:themeColor="text1"/>
        </w:rPr>
        <w:t>he impact of these metabolites could be assessed focusing on the absence of growth in EMJH (Difco) medium at 37°C. Compounded with this, expansion of metabolic profiling among additional pathogenic leptospiral strains could be of interest to investigate the growth adaptive metabolic strategies.</w:t>
      </w:r>
    </w:p>
    <w:p w14:paraId="5F61D5B3" w14:textId="77777777" w:rsidR="00DF2A48" w:rsidRPr="00DF2A48" w:rsidRDefault="00DF2A48" w:rsidP="00D96410">
      <w:pPr>
        <w:rPr>
          <w:b/>
          <w:bCs/>
          <w:color w:val="000000" w:themeColor="text1"/>
        </w:rPr>
      </w:pPr>
      <w:r w:rsidRPr="00DF2A48">
        <w:rPr>
          <w:b/>
          <w:bCs/>
          <w:color w:val="000000" w:themeColor="text1"/>
        </w:rPr>
        <w:br w:type="page"/>
      </w:r>
    </w:p>
    <w:p w14:paraId="47502FA9" w14:textId="77777777" w:rsidR="00DF2A48" w:rsidRPr="00DF2A48" w:rsidRDefault="00DF2A48" w:rsidP="00DF2A48">
      <w:pPr>
        <w:spacing w:line="360" w:lineRule="auto"/>
        <w:ind w:firstLine="720"/>
        <w:jc w:val="center"/>
        <w:rPr>
          <w:b/>
          <w:bCs/>
          <w:color w:val="000000" w:themeColor="text1"/>
        </w:rPr>
      </w:pPr>
      <w:r w:rsidRPr="00DF2A48">
        <w:rPr>
          <w:b/>
          <w:bCs/>
          <w:color w:val="000000" w:themeColor="text1"/>
        </w:rPr>
        <w:lastRenderedPageBreak/>
        <w:t>References</w:t>
      </w:r>
    </w:p>
    <w:p w14:paraId="1B74CB7D" w14:textId="35DF78EE" w:rsidR="001F04D6" w:rsidRPr="001F04D6" w:rsidRDefault="00DF2A48" w:rsidP="00D96410">
      <w:pPr>
        <w:widowControl w:val="0"/>
        <w:autoSpaceDE w:val="0"/>
        <w:autoSpaceDN w:val="0"/>
        <w:adjustRightInd w:val="0"/>
        <w:spacing w:line="360" w:lineRule="auto"/>
        <w:ind w:left="640" w:hanging="640"/>
        <w:rPr>
          <w:noProof/>
        </w:rPr>
      </w:pPr>
      <w:r w:rsidRPr="00DF2A48">
        <w:rPr>
          <w:b/>
          <w:bCs/>
          <w:color w:val="000000" w:themeColor="text1"/>
        </w:rPr>
        <w:fldChar w:fldCharType="begin" w:fldLock="1"/>
      </w:r>
      <w:r w:rsidRPr="00DF2A48">
        <w:rPr>
          <w:b/>
          <w:bCs/>
          <w:color w:val="000000" w:themeColor="text1"/>
        </w:rPr>
        <w:instrText xml:space="preserve">ADDIN Mendeley Bibliography CSL_BIBLIOGRAPHY </w:instrText>
      </w:r>
      <w:r w:rsidRPr="00DF2A48">
        <w:rPr>
          <w:b/>
          <w:bCs/>
          <w:color w:val="000000" w:themeColor="text1"/>
        </w:rPr>
        <w:fldChar w:fldCharType="separate"/>
      </w:r>
      <w:r w:rsidR="001F04D6" w:rsidRPr="001F04D6">
        <w:rPr>
          <w:noProof/>
        </w:rPr>
        <w:t xml:space="preserve">1. </w:t>
      </w:r>
      <w:r w:rsidR="001F04D6" w:rsidRPr="001F04D6">
        <w:rPr>
          <w:noProof/>
        </w:rPr>
        <w:tab/>
        <w:t xml:space="preserve">Costa F, Hagan JE, Calcagno J, et al. Global Morbidity and Mortality of Leptospirosis: A Systematic Review. Small PLC, ed. </w:t>
      </w:r>
      <w:r w:rsidR="001F04D6" w:rsidRPr="001F04D6">
        <w:rPr>
          <w:i/>
          <w:iCs/>
          <w:noProof/>
        </w:rPr>
        <w:t>PLoS Negl Trop Dis</w:t>
      </w:r>
      <w:r w:rsidR="001F04D6" w:rsidRPr="001F04D6">
        <w:rPr>
          <w:noProof/>
        </w:rPr>
        <w:t>. 2015;9(9):e0003898. doi:10.1371/JOURNAL.PNTD.0003898’,</w:t>
      </w:r>
    </w:p>
    <w:p w14:paraId="6AAF3FDE"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2. </w:t>
      </w:r>
      <w:r w:rsidRPr="001F04D6">
        <w:rPr>
          <w:noProof/>
        </w:rPr>
        <w:tab/>
        <w:t xml:space="preserve">Adler B. History of Leptospirosis and Leptospira. </w:t>
      </w:r>
      <w:r w:rsidRPr="001F04D6">
        <w:rPr>
          <w:i/>
          <w:iCs/>
          <w:noProof/>
        </w:rPr>
        <w:t>Curr Top Microbiol Immunol</w:t>
      </w:r>
      <w:r w:rsidRPr="001F04D6">
        <w:rPr>
          <w:noProof/>
        </w:rPr>
        <w:t>. 2015;387:1-9. doi:10.1007/978-3-662-45059-8_1</w:t>
      </w:r>
    </w:p>
    <w:p w14:paraId="60321019"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3. </w:t>
      </w:r>
      <w:r w:rsidRPr="001F04D6">
        <w:rPr>
          <w:noProof/>
        </w:rPr>
        <w:tab/>
        <w:t xml:space="preserve">Inada R, Ido Y, Hoki R, Kaneko R, Ito H. The etiology, mode of infection, and specific therapy of Weil’s disease. (Spirochaetosis icterohaemorrhagica). </w:t>
      </w:r>
      <w:r w:rsidRPr="001F04D6">
        <w:rPr>
          <w:i/>
          <w:iCs/>
          <w:noProof/>
        </w:rPr>
        <w:t>J Exp Med</w:t>
      </w:r>
      <w:r w:rsidRPr="001F04D6">
        <w:rPr>
          <w:noProof/>
        </w:rPr>
        <w:t>. 1916;23(3):377-402. doi:10.1084/jem.23.3.377</w:t>
      </w:r>
    </w:p>
    <w:p w14:paraId="7BA070DC"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4. </w:t>
      </w:r>
      <w:r w:rsidRPr="001F04D6">
        <w:rPr>
          <w:noProof/>
        </w:rPr>
        <w:tab/>
        <w:t xml:space="preserve">Arean VM. The pathologic anatomy and pathogenesis of fatal human leptospirosis (Weil’s disease). </w:t>
      </w:r>
      <w:r w:rsidRPr="001F04D6">
        <w:rPr>
          <w:i/>
          <w:iCs/>
          <w:noProof/>
        </w:rPr>
        <w:t>Am J Pathol</w:t>
      </w:r>
      <w:r w:rsidRPr="001F04D6">
        <w:rPr>
          <w:noProof/>
        </w:rPr>
        <w:t>. 1962;40(4):393.</w:t>
      </w:r>
    </w:p>
    <w:p w14:paraId="5516A9B2"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5. </w:t>
      </w:r>
      <w:r w:rsidRPr="001F04D6">
        <w:rPr>
          <w:noProof/>
        </w:rPr>
        <w:tab/>
        <w:t xml:space="preserve">Haake DA, Levett PN. Leptospirosis in Humans. </w:t>
      </w:r>
      <w:r w:rsidRPr="001F04D6">
        <w:rPr>
          <w:i/>
          <w:iCs/>
          <w:noProof/>
        </w:rPr>
        <w:t>Curr Top Microbiol Immunol</w:t>
      </w:r>
      <w:r w:rsidRPr="001F04D6">
        <w:rPr>
          <w:noProof/>
        </w:rPr>
        <w:t>. 2015;387:65-97. doi:10.1007/978-3-662-45059-8_5</w:t>
      </w:r>
    </w:p>
    <w:p w14:paraId="61790294"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6. </w:t>
      </w:r>
      <w:r w:rsidRPr="001F04D6">
        <w:rPr>
          <w:noProof/>
        </w:rPr>
        <w:tab/>
        <w:t xml:space="preserve">Picardeau M. Virulence of the zoonotic agent of leptospirosis: Still terra incognita? </w:t>
      </w:r>
      <w:r w:rsidRPr="001F04D6">
        <w:rPr>
          <w:i/>
          <w:iCs/>
          <w:noProof/>
        </w:rPr>
        <w:t>Nat Rev Microbiol</w:t>
      </w:r>
      <w:r w:rsidRPr="001F04D6">
        <w:rPr>
          <w:noProof/>
        </w:rPr>
        <w:t>. 2017;15(5):297-307. doi:10.1038/NRMICRO.2017.5</w:t>
      </w:r>
    </w:p>
    <w:p w14:paraId="7A64DDB3"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7. </w:t>
      </w:r>
      <w:r w:rsidRPr="001F04D6">
        <w:rPr>
          <w:noProof/>
        </w:rPr>
        <w:tab/>
        <w:t xml:space="preserve">Goarant C, Tarantola A. Leptospirosis in French Historical Medical Literature: Weil’s Disease or Kelsch’s Disease? </w:t>
      </w:r>
      <w:r w:rsidRPr="001F04D6">
        <w:rPr>
          <w:i/>
          <w:iCs/>
          <w:noProof/>
        </w:rPr>
        <w:t>Am J Trop Med Hyg</w:t>
      </w:r>
      <w:r w:rsidRPr="001F04D6">
        <w:rPr>
          <w:noProof/>
        </w:rPr>
        <w:t>. 2018;99. doi:10.4269/ajtmh.18-0629</w:t>
      </w:r>
    </w:p>
    <w:p w14:paraId="0A9A187D"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8. </w:t>
      </w:r>
      <w:r w:rsidRPr="001F04D6">
        <w:rPr>
          <w:noProof/>
        </w:rPr>
        <w:tab/>
        <w:t xml:space="preserve">Bierque E, Thibeaux R, Girault D, Soupé-Gilbert ME, Goarant C. A systematic review of Leptospira in water and soil environments. </w:t>
      </w:r>
      <w:r w:rsidRPr="001F04D6">
        <w:rPr>
          <w:i/>
          <w:iCs/>
          <w:noProof/>
        </w:rPr>
        <w:t>PLoS One</w:t>
      </w:r>
      <w:r w:rsidRPr="001F04D6">
        <w:rPr>
          <w:noProof/>
        </w:rPr>
        <w:t>. 2020;15(1). doi:10.1371/JOURNAL.PONE.0227055;</w:t>
      </w:r>
    </w:p>
    <w:p w14:paraId="54AA1BA5"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9. </w:t>
      </w:r>
      <w:r w:rsidRPr="001F04D6">
        <w:rPr>
          <w:noProof/>
        </w:rPr>
        <w:tab/>
        <w:t xml:space="preserve">Bradley EA, Lockaby G. Leptospirosis and the Environment: A Review and Future Directions. </w:t>
      </w:r>
      <w:r w:rsidRPr="001F04D6">
        <w:rPr>
          <w:i/>
          <w:iCs/>
          <w:noProof/>
        </w:rPr>
        <w:t>Pathogens</w:t>
      </w:r>
      <w:r w:rsidRPr="001F04D6">
        <w:rPr>
          <w:noProof/>
        </w:rPr>
        <w:t>. 2023;12(9). doi:10.3390/PATHOGENS12091167</w:t>
      </w:r>
    </w:p>
    <w:p w14:paraId="1CF3778A"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10. </w:t>
      </w:r>
      <w:r w:rsidRPr="001F04D6">
        <w:rPr>
          <w:noProof/>
        </w:rPr>
        <w:tab/>
        <w:t xml:space="preserve">Vincent AT, Schiettekatte O, Goarant C, et al. Revisiting the taxonomy and evolution of pathogenicity of the genus Leptospira through the prism of genomics. </w:t>
      </w:r>
      <w:r w:rsidRPr="001F04D6">
        <w:rPr>
          <w:i/>
          <w:iCs/>
          <w:noProof/>
        </w:rPr>
        <w:t>PLoS Negl Trop Dis</w:t>
      </w:r>
      <w:r w:rsidRPr="001F04D6">
        <w:rPr>
          <w:noProof/>
        </w:rPr>
        <w:t>. 2019;13(5). doi:10.1371/JOURNAL.PNTD.0007270;</w:t>
      </w:r>
    </w:p>
    <w:p w14:paraId="433DA081"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11. </w:t>
      </w:r>
      <w:r w:rsidRPr="001F04D6">
        <w:rPr>
          <w:noProof/>
        </w:rPr>
        <w:tab/>
        <w:t xml:space="preserve">Punjabi NH, Taylor WRJ, Murphy GS, et al. Etiology of acute, non-malaria, febrile illnesses in Jayapura, Northeastern Papua, Indonesia. </w:t>
      </w:r>
      <w:r w:rsidRPr="001F04D6">
        <w:rPr>
          <w:i/>
          <w:iCs/>
          <w:noProof/>
        </w:rPr>
        <w:t>Am J Trop Med Hyg</w:t>
      </w:r>
      <w:r w:rsidRPr="001F04D6">
        <w:rPr>
          <w:noProof/>
        </w:rPr>
        <w:t>. 2012;86(1):46-51. doi:10.4269/AJTMH.2012.10-0497</w:t>
      </w:r>
    </w:p>
    <w:p w14:paraId="2E43579F"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12. </w:t>
      </w:r>
      <w:r w:rsidRPr="001F04D6">
        <w:rPr>
          <w:noProof/>
        </w:rPr>
        <w:tab/>
        <w:t xml:space="preserve">Torgerson PR, Hagan JE, Costa F, et al. Global Burden of Leptospirosis: Estimated in Terms of Disability Adjusted Life Years. </w:t>
      </w:r>
      <w:r w:rsidRPr="001F04D6">
        <w:rPr>
          <w:i/>
          <w:iCs/>
          <w:noProof/>
        </w:rPr>
        <w:t>PLoS Negl Trop Dis</w:t>
      </w:r>
      <w:r w:rsidRPr="001F04D6">
        <w:rPr>
          <w:noProof/>
        </w:rPr>
        <w:t>. 2015;9(10). doi:10.1371/JOURNAL.PNTD.0004122</w:t>
      </w:r>
    </w:p>
    <w:p w14:paraId="688531AC"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lastRenderedPageBreak/>
        <w:t xml:space="preserve">13. </w:t>
      </w:r>
      <w:r w:rsidRPr="001F04D6">
        <w:rPr>
          <w:noProof/>
        </w:rPr>
        <w:tab/>
        <w:t xml:space="preserve">Xu J, Koizumi N, Nakamura S. Crawling Motility on the Host Tissue Surfaces Is Associated With the Pathogenicity of the Zoonotic Spirochete Leptospira. </w:t>
      </w:r>
      <w:r w:rsidRPr="001F04D6">
        <w:rPr>
          <w:i/>
          <w:iCs/>
          <w:noProof/>
        </w:rPr>
        <w:t>Front Microbiol</w:t>
      </w:r>
      <w:r w:rsidRPr="001F04D6">
        <w:rPr>
          <w:noProof/>
        </w:rPr>
        <w:t>. 2020;11:566997. doi:10.3389/FMICB.2020.01886/BIBTEX</w:t>
      </w:r>
    </w:p>
    <w:p w14:paraId="58CF7531"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14. </w:t>
      </w:r>
      <w:r w:rsidRPr="001F04D6">
        <w:rPr>
          <w:noProof/>
        </w:rPr>
        <w:tab/>
        <w:t xml:space="preserve">Daroz BB, Fernandes LGV, Cavenague MF, et al. A Review on Host-Leptospira Interactions: What We Know and Future Expectations. </w:t>
      </w:r>
      <w:r w:rsidRPr="001F04D6">
        <w:rPr>
          <w:i/>
          <w:iCs/>
          <w:noProof/>
        </w:rPr>
        <w:t>Front Cell Infect Microbiol</w:t>
      </w:r>
      <w:r w:rsidRPr="001F04D6">
        <w:rPr>
          <w:noProof/>
        </w:rPr>
        <w:t>. 2021;11:777709. doi:10.3389/FCIMB.2021.777709/XML</w:t>
      </w:r>
    </w:p>
    <w:p w14:paraId="29CFAD3F"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15. </w:t>
      </w:r>
      <w:r w:rsidRPr="001F04D6">
        <w:rPr>
          <w:noProof/>
        </w:rPr>
        <w:tab/>
        <w:t xml:space="preserve">Wang W, Gao Y, Ji J, Huang Z, Xiong B, Xiang S. Trends and advances in Leptospira, a bibliometric analysis. </w:t>
      </w:r>
      <w:r w:rsidRPr="001F04D6">
        <w:rPr>
          <w:i/>
          <w:iCs/>
          <w:noProof/>
        </w:rPr>
        <w:t>Front Microbiol</w:t>
      </w:r>
      <w:r w:rsidRPr="001F04D6">
        <w:rPr>
          <w:noProof/>
        </w:rPr>
        <w:t>. 2024;15:1514738. doi:10.3389/FMICB.2024.1514738/XML</w:t>
      </w:r>
    </w:p>
    <w:p w14:paraId="1F361890"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16. </w:t>
      </w:r>
      <w:r w:rsidRPr="001F04D6">
        <w:rPr>
          <w:noProof/>
        </w:rPr>
        <w:tab/>
        <w:t xml:space="preserve">Ambroise L, Naoko T, W. CN, Mathieu P. Chemotactic Behavior of Pathogenic and Nonpathogenic Leptospira Species. </w:t>
      </w:r>
      <w:r w:rsidRPr="001F04D6">
        <w:rPr>
          <w:i/>
          <w:iCs/>
          <w:noProof/>
        </w:rPr>
        <w:t>Appl Environ Microbiol</w:t>
      </w:r>
      <w:r w:rsidRPr="001F04D6">
        <w:rPr>
          <w:noProof/>
        </w:rPr>
        <w:t>. 2012;78(23):8467-8469. doi:10.1128/AEM.02288-12</w:t>
      </w:r>
    </w:p>
    <w:p w14:paraId="79591B82"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17. </w:t>
      </w:r>
      <w:r w:rsidRPr="001F04D6">
        <w:rPr>
          <w:noProof/>
        </w:rPr>
        <w:tab/>
        <w:t xml:space="preserve">Yamaguchi T, Higa N, Okura N, et al. Characterizing interactions of Leptospira interrogans with proximal renal tubule epithelial cells. </w:t>
      </w:r>
      <w:r w:rsidRPr="001F04D6">
        <w:rPr>
          <w:i/>
          <w:iCs/>
          <w:noProof/>
        </w:rPr>
        <w:t>BMC Microbiol</w:t>
      </w:r>
      <w:r w:rsidRPr="001F04D6">
        <w:rPr>
          <w:noProof/>
        </w:rPr>
        <w:t>. 2018;18(1):64. doi:10.1186/s12866-018-1206-8</w:t>
      </w:r>
    </w:p>
    <w:p w14:paraId="6A814A34"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18. </w:t>
      </w:r>
      <w:r w:rsidRPr="001F04D6">
        <w:rPr>
          <w:noProof/>
        </w:rPr>
        <w:tab/>
        <w:t xml:space="preserve">Yasutake Y, M. VSYA, Naoki N, et al. Leptospira Is an Environmental Bacterium That Grows in Waterlogged Soil. </w:t>
      </w:r>
      <w:r w:rsidRPr="001F04D6">
        <w:rPr>
          <w:i/>
          <w:iCs/>
          <w:noProof/>
        </w:rPr>
        <w:t>Microbiol Spectr</w:t>
      </w:r>
      <w:r w:rsidRPr="001F04D6">
        <w:rPr>
          <w:noProof/>
        </w:rPr>
        <w:t>. 2022;10(2):e02157-21. doi:10.1128/spectrum.02157-21</w:t>
      </w:r>
    </w:p>
    <w:p w14:paraId="7D089004"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19. </w:t>
      </w:r>
      <w:r w:rsidRPr="001F04D6">
        <w:rPr>
          <w:noProof/>
        </w:rPr>
        <w:tab/>
        <w:t xml:space="preserve">Hopkins SR, Jones IJ, Buck JC, et al. Environmental Persistence of the World’s Most Burdensome Infectious and Parasitic Diseases. </w:t>
      </w:r>
      <w:r w:rsidRPr="001F04D6">
        <w:rPr>
          <w:i/>
          <w:iCs/>
          <w:noProof/>
        </w:rPr>
        <w:t>Front Public Heal</w:t>
      </w:r>
      <w:r w:rsidRPr="001F04D6">
        <w:rPr>
          <w:noProof/>
        </w:rPr>
        <w:t>. 2022;10:892366. doi:10.3389/FPUBH.2022.892366/FULL</w:t>
      </w:r>
    </w:p>
    <w:p w14:paraId="4C89F592"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20. </w:t>
      </w:r>
      <w:r w:rsidRPr="001F04D6">
        <w:rPr>
          <w:noProof/>
        </w:rPr>
        <w:tab/>
        <w:t xml:space="preserve">Silva DC, Hanzen PM. Leptospira biofilms: implications for survival, transmission, and disease management. </w:t>
      </w:r>
      <w:r w:rsidRPr="001F04D6">
        <w:rPr>
          <w:i/>
          <w:iCs/>
          <w:noProof/>
        </w:rPr>
        <w:t>Appl Environ Microbiol</w:t>
      </w:r>
      <w:r w:rsidRPr="001F04D6">
        <w:rPr>
          <w:noProof/>
        </w:rPr>
        <w:t>. 2025;91(2):e01914-24. doi:10.1128/aem.01914-24</w:t>
      </w:r>
    </w:p>
    <w:p w14:paraId="639EAF23"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21. </w:t>
      </w:r>
      <w:r w:rsidRPr="001F04D6">
        <w:rPr>
          <w:noProof/>
        </w:rPr>
        <w:tab/>
        <w:t xml:space="preserve">Davignon G, Pietrosemoli N, Benaroudj N, et al. Leptospira interrogans biofilm transcriptome highlights adaption to starvation and general stress while maintaining virulence. </w:t>
      </w:r>
      <w:r w:rsidRPr="001F04D6">
        <w:rPr>
          <w:i/>
          <w:iCs/>
          <w:noProof/>
        </w:rPr>
        <w:t>npj Biofilms Microbiomes</w:t>
      </w:r>
      <w:r w:rsidRPr="001F04D6">
        <w:rPr>
          <w:noProof/>
        </w:rPr>
        <w:t>. 2024;10(1):95. doi:10.1038/s41522-024-00570-0</w:t>
      </w:r>
    </w:p>
    <w:p w14:paraId="59B1CE65"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22. </w:t>
      </w:r>
      <w:r w:rsidRPr="001F04D6">
        <w:rPr>
          <w:noProof/>
        </w:rPr>
        <w:tab/>
        <w:t xml:space="preserve">Thibeaux R, Iraola G, Ferrés I, et al. Deciphering the unexplored Leptospira diversity from soils uncovers genomic evolution to virulence. </w:t>
      </w:r>
      <w:r w:rsidRPr="001F04D6">
        <w:rPr>
          <w:i/>
          <w:iCs/>
          <w:noProof/>
        </w:rPr>
        <w:t>Microb genomics</w:t>
      </w:r>
      <w:r w:rsidRPr="001F04D6">
        <w:rPr>
          <w:noProof/>
        </w:rPr>
        <w:t>. 2018;4(1):e000144. doi:10.1099/MGEN.0.000144/CITE/REFWORKS</w:t>
      </w:r>
    </w:p>
    <w:p w14:paraId="1547DC20"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23. </w:t>
      </w:r>
      <w:r w:rsidRPr="001F04D6">
        <w:rPr>
          <w:noProof/>
        </w:rPr>
        <w:tab/>
        <w:t xml:space="preserve">Faisal SM, Varma VP, Subathra M, et al. Leptospira surface adhesin (Lsa21) induces Toll </w:t>
      </w:r>
      <w:r w:rsidRPr="001F04D6">
        <w:rPr>
          <w:noProof/>
        </w:rPr>
        <w:lastRenderedPageBreak/>
        <w:t xml:space="preserve">like receptor 2 and 4 mediated inflammatory responses in macrophages. </w:t>
      </w:r>
      <w:r w:rsidRPr="001F04D6">
        <w:rPr>
          <w:i/>
          <w:iCs/>
          <w:noProof/>
        </w:rPr>
        <w:t>Sci Rep</w:t>
      </w:r>
      <w:r w:rsidRPr="001F04D6">
        <w:rPr>
          <w:noProof/>
        </w:rPr>
        <w:t>. 2016;6(1):39530. doi:10.1038/srep39530</w:t>
      </w:r>
    </w:p>
    <w:p w14:paraId="00D46C87"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24. </w:t>
      </w:r>
      <w:r w:rsidRPr="001F04D6">
        <w:rPr>
          <w:noProof/>
        </w:rPr>
        <w:tab/>
        <w:t xml:space="preserve">Hsu SH, Yang CW. Insight into the Structure, Functions, and Dynamics of the Leptospira Outer Membrane Proteins with the Pathogenicity. </w:t>
      </w:r>
      <w:r w:rsidRPr="001F04D6">
        <w:rPr>
          <w:i/>
          <w:iCs/>
          <w:noProof/>
        </w:rPr>
        <w:t>Membr 2022, Vol 12, Page 300</w:t>
      </w:r>
      <w:r w:rsidRPr="001F04D6">
        <w:rPr>
          <w:noProof/>
        </w:rPr>
        <w:t>. 2022;12(3):300. doi:10.3390/MEMBRANES12030300</w:t>
      </w:r>
    </w:p>
    <w:p w14:paraId="705433A8"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25. </w:t>
      </w:r>
      <w:r w:rsidRPr="001F04D6">
        <w:rPr>
          <w:noProof/>
        </w:rPr>
        <w:tab/>
        <w:t xml:space="preserve">Evangelista K V., Coburn J. Leptospira as an emerging pathogen: A review of its biology, pathogenesis and host immune responses. </w:t>
      </w:r>
      <w:r w:rsidRPr="001F04D6">
        <w:rPr>
          <w:i/>
          <w:iCs/>
          <w:noProof/>
        </w:rPr>
        <w:t>Future Microbiol</w:t>
      </w:r>
      <w:r w:rsidRPr="001F04D6">
        <w:rPr>
          <w:noProof/>
        </w:rPr>
        <w:t>. 2010;5(9):1413-1425. doi:10.2217/FMB.10.102;</w:t>
      </w:r>
    </w:p>
    <w:p w14:paraId="694EB236"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26. </w:t>
      </w:r>
      <w:r w:rsidRPr="001F04D6">
        <w:rPr>
          <w:noProof/>
        </w:rPr>
        <w:tab/>
        <w:t xml:space="preserve">Daroz BB, Fernandes LG V, Cavenague MF, et al. A Review on Host-Leptospira Interactions: What We Know and Future Expectations. </w:t>
      </w:r>
      <w:r w:rsidRPr="001F04D6">
        <w:rPr>
          <w:i/>
          <w:iCs/>
          <w:noProof/>
        </w:rPr>
        <w:t>Front Cell Infect Microbiol</w:t>
      </w:r>
      <w:r w:rsidRPr="001F04D6">
        <w:rPr>
          <w:noProof/>
        </w:rPr>
        <w:t>. 2021;Volume 11. https://www.frontiersin.org/journals/cellular-and-infection-microbiology/articles/10.3389/fcimb.2021.777709</w:t>
      </w:r>
    </w:p>
    <w:p w14:paraId="0B17A281"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27. </w:t>
      </w:r>
      <w:r w:rsidRPr="001F04D6">
        <w:rPr>
          <w:noProof/>
        </w:rPr>
        <w:tab/>
        <w:t xml:space="preserve">Samrot A V., Sean TC, Bhavya KS, et al. Leptospiral Infection, Pathogenesis and Its Diagnosis—A Review. </w:t>
      </w:r>
      <w:r w:rsidRPr="001F04D6">
        <w:rPr>
          <w:i/>
          <w:iCs/>
          <w:noProof/>
        </w:rPr>
        <w:t>Pathog 2021, Vol 10, Page 145</w:t>
      </w:r>
      <w:r w:rsidRPr="001F04D6">
        <w:rPr>
          <w:noProof/>
        </w:rPr>
        <w:t>. 2021;10(2):145. doi:10.3390/PATHOGENS10020145</w:t>
      </w:r>
    </w:p>
    <w:p w14:paraId="24C1DD05"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28. </w:t>
      </w:r>
      <w:r w:rsidRPr="001F04D6">
        <w:rPr>
          <w:noProof/>
        </w:rPr>
        <w:tab/>
        <w:t xml:space="preserve">Hartskeerl PA, Terpstra WJ. Leptospirosis in wild animals. </w:t>
      </w:r>
      <w:r w:rsidRPr="001F04D6">
        <w:rPr>
          <w:i/>
          <w:iCs/>
          <w:noProof/>
        </w:rPr>
        <w:t>Vet Q</w:t>
      </w:r>
      <w:r w:rsidRPr="001F04D6">
        <w:rPr>
          <w:noProof/>
        </w:rPr>
        <w:t>. 1996;18:149-150. doi:10.1080/01652176.1996.9694722</w:t>
      </w:r>
    </w:p>
    <w:p w14:paraId="3C48DE76"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29. </w:t>
      </w:r>
      <w:r w:rsidRPr="001F04D6">
        <w:rPr>
          <w:noProof/>
        </w:rPr>
        <w:tab/>
        <w:t xml:space="preserve">Bertelloni F, Ebani VV. Leptospirosis in Unconventional Mammal Pets. </w:t>
      </w:r>
      <w:r w:rsidRPr="001F04D6">
        <w:rPr>
          <w:i/>
          <w:iCs/>
          <w:noProof/>
        </w:rPr>
        <w:t>Vet Sci 2025, Vol 12, Page 285</w:t>
      </w:r>
      <w:r w:rsidRPr="001F04D6">
        <w:rPr>
          <w:noProof/>
        </w:rPr>
        <w:t>. 2025;12(3):285. doi:10.3390/VETSCI12030285</w:t>
      </w:r>
    </w:p>
    <w:p w14:paraId="528B1FF2"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30. </w:t>
      </w:r>
      <w:r w:rsidRPr="001F04D6">
        <w:rPr>
          <w:noProof/>
        </w:rPr>
        <w:tab/>
        <w:t xml:space="preserve">Ellis WA. Animal Leptospirosis. </w:t>
      </w:r>
      <w:r w:rsidRPr="001F04D6">
        <w:rPr>
          <w:i/>
          <w:iCs/>
          <w:noProof/>
        </w:rPr>
        <w:t>Curr Top Microbiol Immunol</w:t>
      </w:r>
      <w:r w:rsidRPr="001F04D6">
        <w:rPr>
          <w:noProof/>
        </w:rPr>
        <w:t>. 2015;387:99-137. doi:10.1007/978-3-662-45059-8_6</w:t>
      </w:r>
    </w:p>
    <w:p w14:paraId="3E5560E7"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31. </w:t>
      </w:r>
      <w:r w:rsidRPr="001F04D6">
        <w:rPr>
          <w:noProof/>
        </w:rPr>
        <w:tab/>
        <w:t xml:space="preserve">Hagedoorn NN, Maze MJ, Carugati M, et al. Global distribution of Leptospira serovar isolations and detections from animal host species: A systematic review and online database. </w:t>
      </w:r>
      <w:r w:rsidRPr="001F04D6">
        <w:rPr>
          <w:i/>
          <w:iCs/>
          <w:noProof/>
        </w:rPr>
        <w:t>Trop Med Int Heal</w:t>
      </w:r>
      <w:r w:rsidRPr="001F04D6">
        <w:rPr>
          <w:noProof/>
        </w:rPr>
        <w:t>. 2024;29(3):161-172. doi:10.1111/TMI.13965;</w:t>
      </w:r>
    </w:p>
    <w:p w14:paraId="6C735D86"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32. </w:t>
      </w:r>
      <w:r w:rsidRPr="001F04D6">
        <w:rPr>
          <w:noProof/>
        </w:rPr>
        <w:tab/>
        <w:t xml:space="preserve">Adler B, de la Peña Moctezuma A. Leptospira and leptospirosis. </w:t>
      </w:r>
      <w:r w:rsidRPr="001F04D6">
        <w:rPr>
          <w:i/>
          <w:iCs/>
          <w:noProof/>
        </w:rPr>
        <w:t>Vet Microbiol</w:t>
      </w:r>
      <w:r w:rsidRPr="001F04D6">
        <w:rPr>
          <w:noProof/>
        </w:rPr>
        <w:t>. 2010;140(3-4):287-296. doi:10.1016/j.vetmic.2009.03.012</w:t>
      </w:r>
    </w:p>
    <w:p w14:paraId="20D7D531"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33. </w:t>
      </w:r>
      <w:r w:rsidRPr="001F04D6">
        <w:rPr>
          <w:noProof/>
        </w:rPr>
        <w:tab/>
        <w:t xml:space="preserve">Holbrook-Smith D, Trouillon J, Sauer U. Metabolomics and Microbial Metabolism: Toward a Systematic Understanding. </w:t>
      </w:r>
      <w:r w:rsidRPr="001F04D6">
        <w:rPr>
          <w:i/>
          <w:iCs/>
          <w:noProof/>
        </w:rPr>
        <w:t>Annu Rev Biophys</w:t>
      </w:r>
      <w:r w:rsidRPr="001F04D6">
        <w:rPr>
          <w:noProof/>
        </w:rPr>
        <w:t>. 2024;53(Volume 53, 2024):41-64. doi:https://doi.org/10.1146/annurev-biophys-030722-021957</w:t>
      </w:r>
    </w:p>
    <w:p w14:paraId="131A87DA"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34. </w:t>
      </w:r>
      <w:r w:rsidRPr="001F04D6">
        <w:rPr>
          <w:noProof/>
        </w:rPr>
        <w:tab/>
        <w:t xml:space="preserve">Tedersoo L, Drenkhan R, Anslan S, Morales-Rodriguez C, Cleary M. High-throughput identification and diagnostics of pathogens and pests: Overview and practical </w:t>
      </w:r>
      <w:r w:rsidRPr="001F04D6">
        <w:rPr>
          <w:noProof/>
        </w:rPr>
        <w:lastRenderedPageBreak/>
        <w:t xml:space="preserve">recommendations. </w:t>
      </w:r>
      <w:r w:rsidRPr="001F04D6">
        <w:rPr>
          <w:i/>
          <w:iCs/>
          <w:noProof/>
        </w:rPr>
        <w:t>Mol Ecol Resour</w:t>
      </w:r>
      <w:r w:rsidRPr="001F04D6">
        <w:rPr>
          <w:noProof/>
        </w:rPr>
        <w:t>. 2019;19(1):47-76. doi:https://doi.org/10.1111/1755-0998.12959</w:t>
      </w:r>
    </w:p>
    <w:p w14:paraId="7BDA81DF"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35. </w:t>
      </w:r>
      <w:r w:rsidRPr="001F04D6">
        <w:rPr>
          <w:noProof/>
        </w:rPr>
        <w:tab/>
        <w:t xml:space="preserve">Acierno C, Barletta F, Nevola R, et al. Metabolic Rewiring of Bacterial Pathogens in Response to Antibiotic Pressure—A Molecular Perspective. </w:t>
      </w:r>
      <w:r w:rsidRPr="001F04D6">
        <w:rPr>
          <w:i/>
          <w:iCs/>
          <w:noProof/>
        </w:rPr>
        <w:t>Int J Mol Sci</w:t>
      </w:r>
      <w:r w:rsidRPr="001F04D6">
        <w:rPr>
          <w:noProof/>
        </w:rPr>
        <w:t>. 2025;26(12). doi:10.3390/ijms26125574</w:t>
      </w:r>
    </w:p>
    <w:p w14:paraId="08B53363"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36. </w:t>
      </w:r>
      <w:r w:rsidRPr="001F04D6">
        <w:rPr>
          <w:noProof/>
        </w:rPr>
        <w:tab/>
        <w:t xml:space="preserve">Thibeaux R, Soupé-Gilbert ME, Kainiu M, et al. The zoonotic pathogen Leptospira interrogans mitigates environmental stress through cyclic-di-GMP-controlled biofilm production. </w:t>
      </w:r>
      <w:r w:rsidRPr="001F04D6">
        <w:rPr>
          <w:i/>
          <w:iCs/>
          <w:noProof/>
        </w:rPr>
        <w:t>npj Biofilms Microbiomes</w:t>
      </w:r>
      <w:r w:rsidRPr="001F04D6">
        <w:rPr>
          <w:noProof/>
        </w:rPr>
        <w:t>. 2020;6(1). doi:10.1038/S41522-020-0134-1</w:t>
      </w:r>
    </w:p>
    <w:p w14:paraId="2A811BAE"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37. </w:t>
      </w:r>
      <w:r w:rsidRPr="001F04D6">
        <w:rPr>
          <w:noProof/>
        </w:rPr>
        <w:tab/>
        <w:t xml:space="preserve">Chen K-H, Chou L-F, Hung C-C, et al. Integrated Metabolomic and Transcriptomic Analysis of Acute Kidney Injury Caused by Leptospira Infection. </w:t>
      </w:r>
      <w:r w:rsidRPr="001F04D6">
        <w:rPr>
          <w:i/>
          <w:iCs/>
          <w:noProof/>
        </w:rPr>
        <w:t>Pathogens</w:t>
      </w:r>
      <w:r w:rsidRPr="001F04D6">
        <w:rPr>
          <w:noProof/>
        </w:rPr>
        <w:t>. 2022;11(7). doi:10.3390/pathogens11070764</w:t>
      </w:r>
    </w:p>
    <w:p w14:paraId="360FBD53"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38. </w:t>
      </w:r>
      <w:r w:rsidRPr="001F04D6">
        <w:rPr>
          <w:noProof/>
        </w:rPr>
        <w:tab/>
        <w:t xml:space="preserve">Xue F, Dong H, Wu J, et al. Transcriptional Responses of Leptospira interrogans to Host Innate Immunity: Significant Changes in Metabolism, Oxygen Tolerance, and Outer Membrane. </w:t>
      </w:r>
      <w:r w:rsidRPr="001F04D6">
        <w:rPr>
          <w:i/>
          <w:iCs/>
          <w:noProof/>
        </w:rPr>
        <w:t>PLoS Negl Trop Dis</w:t>
      </w:r>
      <w:r w:rsidRPr="001F04D6">
        <w:rPr>
          <w:noProof/>
        </w:rPr>
        <w:t>. 2010;4(10):e857. https://doi.org/10.1371/journal.pntd.0000857</w:t>
      </w:r>
    </w:p>
    <w:p w14:paraId="14DEEE33"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39. </w:t>
      </w:r>
      <w:r w:rsidRPr="001F04D6">
        <w:rPr>
          <w:noProof/>
        </w:rPr>
        <w:tab/>
        <w:t xml:space="preserve">Chugh S, Létisse F, Neyrolles O. The exometabolome as a hidden driver of bacterial virulence and pathogenesis. </w:t>
      </w:r>
      <w:r w:rsidRPr="001F04D6">
        <w:rPr>
          <w:i/>
          <w:iCs/>
          <w:noProof/>
        </w:rPr>
        <w:t>Trends Microbiol</w:t>
      </w:r>
      <w:r w:rsidRPr="001F04D6">
        <w:rPr>
          <w:noProof/>
        </w:rPr>
        <w:t>. 2025;33(5):546-557. doi:https://doi.org/10.1016/j.tim.2024.11.009</w:t>
      </w:r>
    </w:p>
    <w:p w14:paraId="4764D439"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40. </w:t>
      </w:r>
      <w:r w:rsidRPr="001F04D6">
        <w:rPr>
          <w:noProof/>
        </w:rPr>
        <w:tab/>
        <w:t xml:space="preserve">Kavela S, Vyas P, CP J, Kushwaha SK, Majumdar SS, Faisal SM.  Use of an Integrated Multi-Omics Approach To Identify Molecular Mechanisms and Critical Factors Involved in the Pathogenesis of Leptospira . </w:t>
      </w:r>
      <w:r w:rsidRPr="001F04D6">
        <w:rPr>
          <w:i/>
          <w:iCs/>
          <w:noProof/>
        </w:rPr>
        <w:t>Microbiol Spectr</w:t>
      </w:r>
      <w:r w:rsidRPr="001F04D6">
        <w:rPr>
          <w:noProof/>
        </w:rPr>
        <w:t>. 2023;11(2). doi:10.1128/SPECTRUM.03135-22,</w:t>
      </w:r>
    </w:p>
    <w:p w14:paraId="022E634E"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41. </w:t>
      </w:r>
      <w:r w:rsidRPr="001F04D6">
        <w:rPr>
          <w:noProof/>
        </w:rPr>
        <w:tab/>
        <w:t>Xu R. Using Multi-Omics Data to Study Leptospira sp. Across Multiple Biological Scales. Published online 2023.</w:t>
      </w:r>
    </w:p>
    <w:p w14:paraId="48A45D95"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42. </w:t>
      </w:r>
      <w:r w:rsidRPr="001F04D6">
        <w:rPr>
          <w:noProof/>
        </w:rPr>
        <w:tab/>
        <w:t xml:space="preserve">Ivanisevic J, Zhu Z-J, Plate L, et al. Toward ‘Omic Scale Metabolite Profiling: A Dual Separation–Mass Spectrometry Approach for Coverage of Lipid and Central Carbon Metabolism. </w:t>
      </w:r>
      <w:r w:rsidRPr="001F04D6">
        <w:rPr>
          <w:i/>
          <w:iCs/>
          <w:noProof/>
        </w:rPr>
        <w:t>Anal Chem</w:t>
      </w:r>
      <w:r w:rsidRPr="001F04D6">
        <w:rPr>
          <w:noProof/>
        </w:rPr>
        <w:t>. 2013;85(14):6876-6884. doi:10.1021/ac401140h</w:t>
      </w:r>
    </w:p>
    <w:p w14:paraId="64A70A73"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43. </w:t>
      </w:r>
      <w:r w:rsidRPr="001F04D6">
        <w:rPr>
          <w:noProof/>
        </w:rPr>
        <w:tab/>
        <w:t xml:space="preserve">Leacy E, Batten I, Sanelli L, et al. Optimal LC-MS metabolomic profiling reveals emergent changes to monocyte metabolism in response to lipopolysaccharide. </w:t>
      </w:r>
      <w:r w:rsidRPr="001F04D6">
        <w:rPr>
          <w:i/>
          <w:iCs/>
          <w:noProof/>
        </w:rPr>
        <w:t>Front Immunol</w:t>
      </w:r>
      <w:r w:rsidRPr="001F04D6">
        <w:rPr>
          <w:noProof/>
        </w:rPr>
        <w:t>. 2023;Volume 14. https://www.frontiersin.org/journals/immunology/articles/10.3389/fimmu.2023.1116760</w:t>
      </w:r>
    </w:p>
    <w:p w14:paraId="7748CF24"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lastRenderedPageBreak/>
        <w:t xml:space="preserve">44. </w:t>
      </w:r>
      <w:r w:rsidRPr="001F04D6">
        <w:rPr>
          <w:noProof/>
        </w:rPr>
        <w:tab/>
        <w:t xml:space="preserve">Ribbenstedt A, Ziarrusta H, Benskin JP. Development, characterization and comparisons of targeted and non-targeted metabolomics methods. </w:t>
      </w:r>
      <w:r w:rsidRPr="001F04D6">
        <w:rPr>
          <w:i/>
          <w:iCs/>
          <w:noProof/>
        </w:rPr>
        <w:t>PLoS One</w:t>
      </w:r>
      <w:r w:rsidRPr="001F04D6">
        <w:rPr>
          <w:noProof/>
        </w:rPr>
        <w:t>. 2018;13(11):e0207082.</w:t>
      </w:r>
    </w:p>
    <w:p w14:paraId="3F3F9176"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45. </w:t>
      </w:r>
      <w:r w:rsidRPr="001F04D6">
        <w:rPr>
          <w:noProof/>
        </w:rPr>
        <w:tab/>
        <w:t xml:space="preserve">Lin C, Tian Q, Guo S, et al. Metabolomics for Clinical Biomarker Discovery and Therapeutic Target Identification. </w:t>
      </w:r>
      <w:r w:rsidRPr="001F04D6">
        <w:rPr>
          <w:i/>
          <w:iCs/>
          <w:noProof/>
        </w:rPr>
        <w:t>Molecules</w:t>
      </w:r>
      <w:r w:rsidRPr="001F04D6">
        <w:rPr>
          <w:noProof/>
        </w:rPr>
        <w:t>. 2024;29(10). doi:10.3390/molecules29102198</w:t>
      </w:r>
    </w:p>
    <w:p w14:paraId="04BC3F9A"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46. </w:t>
      </w:r>
      <w:r w:rsidRPr="001F04D6">
        <w:rPr>
          <w:noProof/>
        </w:rPr>
        <w:tab/>
        <w:t xml:space="preserve">Chitiva LC, Lozano-Puentes HS, Londoño X, et al. Untargeted metabolomics approach and molecular networking analysis reveal changes in chemical composition under the influence of altitudinal variation in bamboo species. </w:t>
      </w:r>
      <w:r w:rsidRPr="001F04D6">
        <w:rPr>
          <w:i/>
          <w:iCs/>
          <w:noProof/>
        </w:rPr>
        <w:t>Front Mol Biosci</w:t>
      </w:r>
      <w:r w:rsidRPr="001F04D6">
        <w:rPr>
          <w:noProof/>
        </w:rPr>
        <w:t>. 2023;Volume 10. https://www.frontiersin.org/journals/molecular-biosciences/articles/10.3389/fmolb.2023.1192088</w:t>
      </w:r>
    </w:p>
    <w:p w14:paraId="44E0A15B"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47. </w:t>
      </w:r>
      <w:r w:rsidRPr="001F04D6">
        <w:rPr>
          <w:noProof/>
        </w:rPr>
        <w:tab/>
        <w:t xml:space="preserve">Depke T, Thöming JG, Kordes A, Häussler S, Brönstrup M. Untargeted LC-MS Metabolomics Differentiates Between Virulent and Avirulent Clinical Strains of Pseudomonas aeruginosa. </w:t>
      </w:r>
      <w:r w:rsidRPr="001F04D6">
        <w:rPr>
          <w:i/>
          <w:iCs/>
          <w:noProof/>
        </w:rPr>
        <w:t>Biomolecules</w:t>
      </w:r>
      <w:r w:rsidRPr="001F04D6">
        <w:rPr>
          <w:noProof/>
        </w:rPr>
        <w:t>. 2020;10(7). doi:10.3390/biom10071041</w:t>
      </w:r>
    </w:p>
    <w:p w14:paraId="789AF28D"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48. </w:t>
      </w:r>
      <w:r w:rsidRPr="001F04D6">
        <w:rPr>
          <w:noProof/>
        </w:rPr>
        <w:tab/>
        <w:t xml:space="preserve">Fouts DE, Matthias MA, Adhikarla H, et al. What Makes a Bacterial Species Pathogenic?:Comparative Genomic Analysis of the Genus Leptospira. </w:t>
      </w:r>
      <w:r w:rsidRPr="001F04D6">
        <w:rPr>
          <w:i/>
          <w:iCs/>
          <w:noProof/>
        </w:rPr>
        <w:t>PLoS Negl Trop Dis</w:t>
      </w:r>
      <w:r w:rsidRPr="001F04D6">
        <w:rPr>
          <w:noProof/>
        </w:rPr>
        <w:t>. 2016;10(2). doi:10.1371/JOURNAL.PNTD.0004403</w:t>
      </w:r>
    </w:p>
    <w:p w14:paraId="6B580AE6"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49. </w:t>
      </w:r>
      <w:r w:rsidRPr="001F04D6">
        <w:rPr>
          <w:noProof/>
        </w:rPr>
        <w:tab/>
        <w:t xml:space="preserve">Zuerner RL. Laboratory Maintenance of Pathogenic Leptospira. </w:t>
      </w:r>
      <w:r w:rsidRPr="001F04D6">
        <w:rPr>
          <w:i/>
          <w:iCs/>
          <w:noProof/>
        </w:rPr>
        <w:t>Curr Protoc Microbiol</w:t>
      </w:r>
      <w:r w:rsidRPr="001F04D6">
        <w:rPr>
          <w:noProof/>
        </w:rPr>
        <w:t>. 2006;00(1):12E.1.1-12E.1.13. doi:https://doi.org/10.1002/9780471729259.mc12e01s00</w:t>
      </w:r>
    </w:p>
    <w:p w14:paraId="2BA7072D"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50. </w:t>
      </w:r>
      <w:r w:rsidRPr="001F04D6">
        <w:rPr>
          <w:noProof/>
        </w:rPr>
        <w:tab/>
        <w:t xml:space="preserve">Nally JE, Grassmann AA, Planchon S, et al. Pathogenic Leptospires Modulate Protein Expression and Post-translational Modifications in Response to Mammalian Host Signals. </w:t>
      </w:r>
      <w:r w:rsidRPr="001F04D6">
        <w:rPr>
          <w:i/>
          <w:iCs/>
          <w:noProof/>
        </w:rPr>
        <w:t>Front Cell Infect Microbiol</w:t>
      </w:r>
      <w:r w:rsidRPr="001F04D6">
        <w:rPr>
          <w:noProof/>
        </w:rPr>
        <w:t>. 2017;7(AUG):362. doi:10.3389/fcimb.2017.00362</w:t>
      </w:r>
    </w:p>
    <w:p w14:paraId="41CB194C"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51. </w:t>
      </w:r>
      <w:r w:rsidRPr="001F04D6">
        <w:rPr>
          <w:noProof/>
        </w:rPr>
        <w:tab/>
        <w:t xml:space="preserve">Lu W, Clasquin MF, Melamud E, Amador-Noguez D, Caudy AA, Rabinowitz JD. Metabolomic analysis via reversed-phase ion-pairing liquid chromatography coupled to a stand alone orbitrap mass spectrometer. </w:t>
      </w:r>
      <w:r w:rsidRPr="001F04D6">
        <w:rPr>
          <w:i/>
          <w:iCs/>
          <w:noProof/>
        </w:rPr>
        <w:t>Anal Chem</w:t>
      </w:r>
      <w:r w:rsidRPr="001F04D6">
        <w:rPr>
          <w:noProof/>
        </w:rPr>
        <w:t>. 2010;82(8):3212-3221. doi:10.1021/AC902837X/SUPPL_FILE/AC902837X_SI_001.PDF</w:t>
      </w:r>
    </w:p>
    <w:p w14:paraId="27964B2F"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52. </w:t>
      </w:r>
      <w:r w:rsidRPr="001F04D6">
        <w:rPr>
          <w:noProof/>
        </w:rPr>
        <w:tab/>
        <w:t xml:space="preserve">Bazurto J V, Dearth SP, Tague ED, Campagna SR, Downs DM. Untargeted metabolomics confirms and extends the understanding of the impact of  aminoimidazole carboxamide ribotide (AICAR) in the metabolic network of Salmonella enterica. </w:t>
      </w:r>
      <w:r w:rsidRPr="001F04D6">
        <w:rPr>
          <w:i/>
          <w:iCs/>
          <w:noProof/>
        </w:rPr>
        <w:t>Microb cell (Graz, Austria)</w:t>
      </w:r>
      <w:r w:rsidRPr="001F04D6">
        <w:rPr>
          <w:noProof/>
        </w:rPr>
        <w:t>. 2017;5(2):74-87. doi:10.15698/mic2018.02.613</w:t>
      </w:r>
    </w:p>
    <w:p w14:paraId="4BCF03FE"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53. </w:t>
      </w:r>
      <w:r w:rsidRPr="001F04D6">
        <w:rPr>
          <w:noProof/>
        </w:rPr>
        <w:tab/>
        <w:t xml:space="preserve">Martens L, Chambers M, Sturm M, et al. mzML - A community standard for mass spectrometry data. </w:t>
      </w:r>
      <w:r w:rsidRPr="001F04D6">
        <w:rPr>
          <w:i/>
          <w:iCs/>
          <w:noProof/>
        </w:rPr>
        <w:t>Mol Cell Proteomics</w:t>
      </w:r>
      <w:r w:rsidRPr="001F04D6">
        <w:rPr>
          <w:noProof/>
        </w:rPr>
        <w:t>. 2011;10(1). doi:10.1074/mcp.R110.000133</w:t>
      </w:r>
    </w:p>
    <w:p w14:paraId="5FD910C5"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lastRenderedPageBreak/>
        <w:t xml:space="preserve">54. </w:t>
      </w:r>
      <w:r w:rsidRPr="001F04D6">
        <w:rPr>
          <w:noProof/>
        </w:rPr>
        <w:tab/>
        <w:t xml:space="preserve">Chambers MC, Maclean B, Burke R, et al. A cross-platform toolkit for mass spectrometry and proteomics. </w:t>
      </w:r>
      <w:r w:rsidRPr="001F04D6">
        <w:rPr>
          <w:i/>
          <w:iCs/>
          <w:noProof/>
        </w:rPr>
        <w:t>Nat Biotechnol</w:t>
      </w:r>
      <w:r w:rsidRPr="001F04D6">
        <w:rPr>
          <w:noProof/>
        </w:rPr>
        <w:t>. 2012;30(10):918-920. doi:10.1038/nbt.2377</w:t>
      </w:r>
    </w:p>
    <w:p w14:paraId="25654C2E"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55. </w:t>
      </w:r>
      <w:r w:rsidRPr="001F04D6">
        <w:rPr>
          <w:noProof/>
        </w:rPr>
        <w:tab/>
        <w:t xml:space="preserve">Melamud E, Vastag L, Rabinowitz JD. Metabolomic analysis and visualization engine for LC-MS data. </w:t>
      </w:r>
      <w:r w:rsidRPr="001F04D6">
        <w:rPr>
          <w:i/>
          <w:iCs/>
          <w:noProof/>
        </w:rPr>
        <w:t>Anal Chem</w:t>
      </w:r>
      <w:r w:rsidRPr="001F04D6">
        <w:rPr>
          <w:noProof/>
        </w:rPr>
        <w:t>. 2010;82(23):9818-9826. doi:10.1021/ac1021166</w:t>
      </w:r>
    </w:p>
    <w:p w14:paraId="3A2848CB"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56. </w:t>
      </w:r>
      <w:r w:rsidRPr="001F04D6">
        <w:rPr>
          <w:noProof/>
        </w:rPr>
        <w:tab/>
        <w:t xml:space="preserve">Clasquin MF, Melamud E, Rabinowitz JD. LC-MS data processing with MAVEN: A metabolomic analysis and visualization engine. </w:t>
      </w:r>
      <w:r w:rsidRPr="001F04D6">
        <w:rPr>
          <w:i/>
          <w:iCs/>
          <w:noProof/>
        </w:rPr>
        <w:t>Curr Protoc Bioinforma</w:t>
      </w:r>
      <w:r w:rsidRPr="001F04D6">
        <w:rPr>
          <w:noProof/>
        </w:rPr>
        <w:t>. 2012;(SUPPL.37). doi:10.1002/0471250953.bi1411s37</w:t>
      </w:r>
    </w:p>
    <w:p w14:paraId="367D638C"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57. </w:t>
      </w:r>
      <w:r w:rsidRPr="001F04D6">
        <w:rPr>
          <w:noProof/>
        </w:rPr>
        <w:tab/>
        <w:t xml:space="preserve">Fan S, Kind T, Cajka T, et al. Systematic Error Removal Using Random Forest for Normalizing Large-Scale Untargeted Lipidomics Data. </w:t>
      </w:r>
      <w:r w:rsidRPr="001F04D6">
        <w:rPr>
          <w:i/>
          <w:iCs/>
          <w:noProof/>
        </w:rPr>
        <w:t>Anal Chem</w:t>
      </w:r>
      <w:r w:rsidRPr="001F04D6">
        <w:rPr>
          <w:noProof/>
        </w:rPr>
        <w:t>. 2019;91(5):3590-3596. doi:10.1021/ACS.ANALCHEM.8B05592/SUPPL_FILE/AC8B05592_SI_001.PDF</w:t>
      </w:r>
    </w:p>
    <w:p w14:paraId="0360B67F"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58. </w:t>
      </w:r>
      <w:r w:rsidRPr="001F04D6">
        <w:rPr>
          <w:noProof/>
        </w:rPr>
        <w:tab/>
        <w:t xml:space="preserve">Tang J, Wang Y, Luo Y, et al. Computational advances of tumor marker selection and sample classification in cancer proteomics. </w:t>
      </w:r>
      <w:r w:rsidRPr="001F04D6">
        <w:rPr>
          <w:i/>
          <w:iCs/>
          <w:noProof/>
        </w:rPr>
        <w:t>Comput Struct Biotechnol J</w:t>
      </w:r>
      <w:r w:rsidRPr="001F04D6">
        <w:rPr>
          <w:noProof/>
        </w:rPr>
        <w:t>. 2020;18:2012-2025. doi:10.1016/j.csbj.2020.07.009</w:t>
      </w:r>
    </w:p>
    <w:p w14:paraId="3045E84D"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59. </w:t>
      </w:r>
      <w:r w:rsidRPr="001F04D6">
        <w:rPr>
          <w:noProof/>
        </w:rPr>
        <w:tab/>
        <w:t xml:space="preserve">Lee LC, Liong C-Y, Jemain AA. Partial least squares-discriminant analysis (PLS-DA) for classification of high-dimensional (HD) data: a review of contemporary practice strategies and knowledge gaps. </w:t>
      </w:r>
      <w:r w:rsidRPr="001F04D6">
        <w:rPr>
          <w:i/>
          <w:iCs/>
          <w:noProof/>
        </w:rPr>
        <w:t>Analyst</w:t>
      </w:r>
      <w:r w:rsidRPr="001F04D6">
        <w:rPr>
          <w:noProof/>
        </w:rPr>
        <w:t>. 2018;143(15):3526-3539.</w:t>
      </w:r>
    </w:p>
    <w:p w14:paraId="04ED945D"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60. </w:t>
      </w:r>
      <w:r w:rsidRPr="001F04D6">
        <w:rPr>
          <w:noProof/>
        </w:rPr>
        <w:tab/>
        <w:t xml:space="preserve">Pang Z, Lu Y, Zhou G, et al. MetaboAnalyst 6.0: towards a unified platform for metabolomics data processing, analysis and interpretation. </w:t>
      </w:r>
      <w:r w:rsidRPr="001F04D6">
        <w:rPr>
          <w:i/>
          <w:iCs/>
          <w:noProof/>
        </w:rPr>
        <w:t>Nucleic Acids Res</w:t>
      </w:r>
      <w:r w:rsidRPr="001F04D6">
        <w:rPr>
          <w:noProof/>
        </w:rPr>
        <w:t>. 2024;52(W1):W398-W406. doi:10.1093/nar/gkae253</w:t>
      </w:r>
    </w:p>
    <w:p w14:paraId="296164B7"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61. </w:t>
      </w:r>
      <w:r w:rsidRPr="001F04D6">
        <w:rPr>
          <w:noProof/>
        </w:rPr>
        <w:tab/>
        <w:t xml:space="preserve">Mahieu B, Qannari EM, Jaillais B. Extension and significance testing of Variable Importance in Projection (VIP) indices in Partial Least Squares regression and Principal Components Analysis. </w:t>
      </w:r>
      <w:r w:rsidRPr="001F04D6">
        <w:rPr>
          <w:i/>
          <w:iCs/>
          <w:noProof/>
        </w:rPr>
        <w:t>Chemom Intell Lab Syst</w:t>
      </w:r>
      <w:r w:rsidRPr="001F04D6">
        <w:rPr>
          <w:noProof/>
        </w:rPr>
        <w:t>. 2023;242:104986. doi:https://doi.org/10.1016/j.chemolab.2023.104986</w:t>
      </w:r>
    </w:p>
    <w:p w14:paraId="18618B69"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62. </w:t>
      </w:r>
      <w:r w:rsidRPr="001F04D6">
        <w:rPr>
          <w:noProof/>
        </w:rPr>
        <w:tab/>
        <w:t xml:space="preserve">Banerjee P, Ghosh S, Dutta M, et al. Important features identified by PLS-DA and VIP scores. </w:t>
      </w:r>
      <w:r w:rsidRPr="001F04D6">
        <w:rPr>
          <w:i/>
          <w:iCs/>
          <w:noProof/>
        </w:rPr>
        <w:t>PLoS One</w:t>
      </w:r>
      <w:r w:rsidRPr="001F04D6">
        <w:rPr>
          <w:noProof/>
        </w:rPr>
        <w:t>. 2015;10.</w:t>
      </w:r>
    </w:p>
    <w:p w14:paraId="712E0732"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63. </w:t>
      </w:r>
      <w:r w:rsidRPr="001F04D6">
        <w:rPr>
          <w:noProof/>
        </w:rPr>
        <w:tab/>
        <w:t xml:space="preserve">Zheng R, Chen Z, Guan Z, Zhao C, Cui H, Shang H. Variable importance for projection (VIP) scores for analyzing the contribution of risk factors in severe adverse events to Xiyanping injection. </w:t>
      </w:r>
      <w:r w:rsidRPr="001F04D6">
        <w:rPr>
          <w:i/>
          <w:iCs/>
          <w:noProof/>
        </w:rPr>
        <w:t>Chin Med</w:t>
      </w:r>
      <w:r w:rsidRPr="001F04D6">
        <w:rPr>
          <w:noProof/>
        </w:rPr>
        <w:t>. 2023;18(1):15. doi:10.1186/s13020-023-00718-8</w:t>
      </w:r>
    </w:p>
    <w:p w14:paraId="0DD6F105"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64. </w:t>
      </w:r>
      <w:r w:rsidRPr="001F04D6">
        <w:rPr>
          <w:noProof/>
        </w:rPr>
        <w:tab/>
        <w:t xml:space="preserve">Mildau K, Ehlers H, Meisenburg M, et al. Effective data visualization strategies in untargeted metabolomics. </w:t>
      </w:r>
      <w:r w:rsidRPr="001F04D6">
        <w:rPr>
          <w:i/>
          <w:iCs/>
          <w:noProof/>
        </w:rPr>
        <w:t>Nat Prod Rep</w:t>
      </w:r>
      <w:r w:rsidRPr="001F04D6">
        <w:rPr>
          <w:noProof/>
        </w:rPr>
        <w:t>. 2025;42(6):982-1019. doi:10.1039/D4NP00039K</w:t>
      </w:r>
    </w:p>
    <w:p w14:paraId="09E8F6DB"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lastRenderedPageBreak/>
        <w:t xml:space="preserve">65. </w:t>
      </w:r>
      <w:r w:rsidRPr="001F04D6">
        <w:rPr>
          <w:noProof/>
        </w:rPr>
        <w:tab/>
        <w:t xml:space="preserve">Chen Y, Li EM, Xu LY. Guide to Metabolomics Analysis: A Bioinformatics Workflow. </w:t>
      </w:r>
      <w:r w:rsidRPr="001F04D6">
        <w:rPr>
          <w:i/>
          <w:iCs/>
          <w:noProof/>
        </w:rPr>
        <w:t>Metabolites</w:t>
      </w:r>
      <w:r w:rsidRPr="001F04D6">
        <w:rPr>
          <w:noProof/>
        </w:rPr>
        <w:t>. 2022;12(4):357. doi:10.3390/METABO12040357</w:t>
      </w:r>
    </w:p>
    <w:p w14:paraId="4952DF36"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66. </w:t>
      </w:r>
      <w:r w:rsidRPr="001F04D6">
        <w:rPr>
          <w:noProof/>
        </w:rPr>
        <w:tab/>
        <w:t xml:space="preserve">Hornsby RL, Alt DP, Nally JE. Isolation and propagation of leptospires at 37 °C directly from the mammalian host. </w:t>
      </w:r>
      <w:r w:rsidRPr="001F04D6">
        <w:rPr>
          <w:i/>
          <w:iCs/>
          <w:noProof/>
        </w:rPr>
        <w:t>Sci Rep</w:t>
      </w:r>
      <w:r w:rsidRPr="001F04D6">
        <w:rPr>
          <w:noProof/>
        </w:rPr>
        <w:t>. 2020;10(1):9620. doi:10.1038/S41598-020-66526-4;SUBJMETA=1320,1647,2234,2537,326,41,631;KWRD=BACTERIAL+TECHNIQUES+AND+APPLICATIONS,BACTERIOLOGY,MICROBIOLOGY,MICROBIOLOGY+TECHNIQUES</w:t>
      </w:r>
    </w:p>
    <w:p w14:paraId="0B4A088A"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67. </w:t>
      </w:r>
      <w:r w:rsidRPr="001F04D6">
        <w:rPr>
          <w:noProof/>
        </w:rPr>
        <w:tab/>
        <w:t xml:space="preserve">Matsunaga J, Lo M, Bulach DM, Zuerner RL, Adler B, Haake DA. Response of Leptospira interrogans to physiologic osmolarity: Relevance in signaling the environment-to-host transition. </w:t>
      </w:r>
      <w:r w:rsidRPr="001F04D6">
        <w:rPr>
          <w:i/>
          <w:iCs/>
          <w:noProof/>
        </w:rPr>
        <w:t>Infect Immun</w:t>
      </w:r>
      <w:r w:rsidRPr="001F04D6">
        <w:rPr>
          <w:noProof/>
        </w:rPr>
        <w:t>. 2007;75(6):2864-2874. doi:10.1128/IAI.01619-06/SUPPL_FILE/SUPPLEMENTAL_DATA_REV2.ZIP</w:t>
      </w:r>
    </w:p>
    <w:p w14:paraId="32365B85"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68. </w:t>
      </w:r>
      <w:r w:rsidRPr="001F04D6">
        <w:rPr>
          <w:noProof/>
        </w:rPr>
        <w:tab/>
        <w:t xml:space="preserve">Membré J-M, Leporq B, Vialette M, et al. Temperature effect on bacterial growth rate: quantitative microbiology approach including cardinal values and variability estimates to perform growth simulations on/in food. </w:t>
      </w:r>
      <w:r w:rsidRPr="001F04D6">
        <w:rPr>
          <w:i/>
          <w:iCs/>
          <w:noProof/>
        </w:rPr>
        <w:t>Int J Food Microbiol</w:t>
      </w:r>
      <w:r w:rsidRPr="001F04D6">
        <w:rPr>
          <w:noProof/>
        </w:rPr>
        <w:t>. 2005;100(1):179-186. doi:https://doi.org/10.1016/j.ijfoodmicro.2004.10.015</w:t>
      </w:r>
    </w:p>
    <w:p w14:paraId="6A61B86F"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69. </w:t>
      </w:r>
      <w:r w:rsidRPr="001F04D6">
        <w:rPr>
          <w:noProof/>
        </w:rPr>
        <w:tab/>
        <w:t xml:space="preserve">Bååth E, Kritzberg ES. Temperature Adaptation of Aquatic Bacterial Community Growth Is Faster in Response to Rising than to Falling Temperature. </w:t>
      </w:r>
      <w:r w:rsidRPr="001F04D6">
        <w:rPr>
          <w:i/>
          <w:iCs/>
          <w:noProof/>
        </w:rPr>
        <w:t>Microb Ecol</w:t>
      </w:r>
      <w:r w:rsidRPr="001F04D6">
        <w:rPr>
          <w:noProof/>
        </w:rPr>
        <w:t>. 2024;87(1):38. doi:10.1007/s00248-024-02353-8</w:t>
      </w:r>
    </w:p>
    <w:p w14:paraId="41ED603A"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70. </w:t>
      </w:r>
      <w:r w:rsidRPr="001F04D6">
        <w:rPr>
          <w:noProof/>
        </w:rPr>
        <w:tab/>
        <w:t xml:space="preserve">Garcia-Vello P, Di Lorenzo F, Zucchetta D, Zamyatina A, De Castro C, Molinaro A. Lipopolysaccharide lipid A: A promising molecule for new immunity-based therapies and antibiotics. </w:t>
      </w:r>
      <w:r w:rsidRPr="001F04D6">
        <w:rPr>
          <w:i/>
          <w:iCs/>
          <w:noProof/>
        </w:rPr>
        <w:t>Pharmacol Ther</w:t>
      </w:r>
      <w:r w:rsidRPr="001F04D6">
        <w:rPr>
          <w:noProof/>
        </w:rPr>
        <w:t>. 2022;230:107970. doi:https://doi.org/10.1016/j.pharmthera.2021.107970</w:t>
      </w:r>
    </w:p>
    <w:p w14:paraId="4A916C1C"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71. </w:t>
      </w:r>
      <w:r w:rsidRPr="001F04D6">
        <w:rPr>
          <w:noProof/>
        </w:rPr>
        <w:tab/>
        <w:t xml:space="preserve">Maeshima N, Fernandez R. Recognition of lipid A variants by the TLR4-MD-2 receptor complex. </w:t>
      </w:r>
      <w:r w:rsidRPr="001F04D6">
        <w:rPr>
          <w:i/>
          <w:iCs/>
          <w:noProof/>
        </w:rPr>
        <w:t>Front Cell Infect Microbiol</w:t>
      </w:r>
      <w:r w:rsidRPr="001F04D6">
        <w:rPr>
          <w:noProof/>
        </w:rPr>
        <w:t>. 2013;Volume 3-. https://www.frontiersin.org/journals/cellular-and-infection-microbiology/articles/10.3389/fcimb.2013.00003</w:t>
      </w:r>
    </w:p>
    <w:p w14:paraId="47ED3C3F"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72. </w:t>
      </w:r>
      <w:r w:rsidRPr="001F04D6">
        <w:rPr>
          <w:noProof/>
        </w:rPr>
        <w:tab/>
        <w:t xml:space="preserve">Anna S, Ahmed G, Martin W. The multifaceted roles of phosphoethanolamine-modified lipopolysaccharides: from stress response and virulence to cationic antimicrobial resistance. </w:t>
      </w:r>
      <w:r w:rsidRPr="001F04D6">
        <w:rPr>
          <w:i/>
          <w:iCs/>
          <w:noProof/>
        </w:rPr>
        <w:t>Microbiol Mol Biol Rev</w:t>
      </w:r>
      <w:r w:rsidRPr="001F04D6">
        <w:rPr>
          <w:noProof/>
        </w:rPr>
        <w:t>. 2024;88(4):e00193-23. doi:10.1128/mmbr.00193-23</w:t>
      </w:r>
    </w:p>
    <w:p w14:paraId="732D2110"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73. </w:t>
      </w:r>
      <w:r w:rsidRPr="001F04D6">
        <w:rPr>
          <w:noProof/>
        </w:rPr>
        <w:tab/>
        <w:t xml:space="preserve">Paracini N, Schneck E, Imberty A, Micciulla S. Lipopolysaccharides at Solid and Liquid Interfaces: Models for Biophysical Studies of the Gram-negative Bacterial Outer </w:t>
      </w:r>
      <w:r w:rsidRPr="001F04D6">
        <w:rPr>
          <w:noProof/>
        </w:rPr>
        <w:lastRenderedPageBreak/>
        <w:t xml:space="preserve">Membrane. </w:t>
      </w:r>
      <w:r w:rsidRPr="001F04D6">
        <w:rPr>
          <w:i/>
          <w:iCs/>
          <w:noProof/>
        </w:rPr>
        <w:t>Adv Colloid Interface Sci</w:t>
      </w:r>
      <w:r w:rsidRPr="001F04D6">
        <w:rPr>
          <w:noProof/>
        </w:rPr>
        <w:t>. 2022;301:102603. doi:https://doi.org/10.1016/j.cis.2022.102603</w:t>
      </w:r>
    </w:p>
    <w:p w14:paraId="255A5D66"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74. </w:t>
      </w:r>
      <w:r w:rsidRPr="001F04D6">
        <w:rPr>
          <w:noProof/>
        </w:rPr>
        <w:tab/>
        <w:t>O’Donovan GA. Thymidine Metabolism in Bacteria (and “How, or How Not, to Label DNA”) BT  - DNA Synthesis: Present and Future. In: Molineux I, Kohiyama M, eds. Springer US; 1978:219-253. doi:10.1007/978-1-4684-0844-7_17</w:t>
      </w:r>
    </w:p>
    <w:p w14:paraId="16BDCBD4"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75. </w:t>
      </w:r>
      <w:r w:rsidRPr="001F04D6">
        <w:rPr>
          <w:noProof/>
        </w:rPr>
        <w:tab/>
        <w:t xml:space="preserve">Fraser T, Brown PD. Temperature and Oxidative Stress as Triggers for Virulence Gene Expression in Pathogenic Leptospira spp. </w:t>
      </w:r>
      <w:r w:rsidRPr="001F04D6">
        <w:rPr>
          <w:i/>
          <w:iCs/>
          <w:noProof/>
        </w:rPr>
        <w:t>Front Microbiol</w:t>
      </w:r>
      <w:r w:rsidRPr="001F04D6">
        <w:rPr>
          <w:noProof/>
        </w:rPr>
        <w:t>. 2017;Volume 8-. https://www.frontiersin.org/journals/microbiology/articles/10.3389/fmicb.2017.00783</w:t>
      </w:r>
    </w:p>
    <w:p w14:paraId="0A413938"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76. </w:t>
      </w:r>
      <w:r w:rsidRPr="001F04D6">
        <w:rPr>
          <w:noProof/>
        </w:rPr>
        <w:tab/>
        <w:t xml:space="preserve">LeGrand EK. Beyond nutritional immunity: immune-stressing challenges basic paradigms of immunometabolism and immunology. </w:t>
      </w:r>
      <w:r w:rsidRPr="001F04D6">
        <w:rPr>
          <w:i/>
          <w:iCs/>
          <w:noProof/>
        </w:rPr>
        <w:t>Front Nutr</w:t>
      </w:r>
      <w:r w:rsidRPr="001F04D6">
        <w:rPr>
          <w:noProof/>
        </w:rPr>
        <w:t>. 2025;Volume 12. https://www.frontiersin.org/journals/nutrition/articles/10.3389/fnut.2025.1508767</w:t>
      </w:r>
    </w:p>
    <w:p w14:paraId="033CCB7A"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77. </w:t>
      </w:r>
      <w:r w:rsidRPr="001F04D6">
        <w:rPr>
          <w:noProof/>
        </w:rPr>
        <w:tab/>
        <w:t xml:space="preserve">Gamberini M, Gómez RM, Atzingen M V., et al. Whole-genome analysis of Leptospira interrogans to identify potential vaccine candidates against leptospirosis. </w:t>
      </w:r>
      <w:r w:rsidRPr="001F04D6">
        <w:rPr>
          <w:i/>
          <w:iCs/>
          <w:noProof/>
        </w:rPr>
        <w:t>FEMS Microbiol Lett</w:t>
      </w:r>
      <w:r w:rsidRPr="001F04D6">
        <w:rPr>
          <w:noProof/>
        </w:rPr>
        <w:t>. 2005;244(2):305-313. doi:10.1016/J.FEMSLE.2005.02.004;</w:t>
      </w:r>
    </w:p>
    <w:p w14:paraId="4E56A84A"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78. </w:t>
      </w:r>
      <w:r w:rsidRPr="001F04D6">
        <w:rPr>
          <w:noProof/>
        </w:rPr>
        <w:tab/>
        <w:t xml:space="preserve">Zhou B, Hong M, Jin L, Ling K. Exploring the relationship between creatine supplementation and renal function: insights from Mendelian randomization analysis. </w:t>
      </w:r>
      <w:r w:rsidRPr="001F04D6">
        <w:rPr>
          <w:i/>
          <w:iCs/>
          <w:noProof/>
        </w:rPr>
        <w:t>Ren Fail</w:t>
      </w:r>
      <w:r w:rsidRPr="001F04D6">
        <w:rPr>
          <w:noProof/>
        </w:rPr>
        <w:t>. 2024;46(2):2364762. doi:10.1080/0886022X.2024.2364762</w:t>
      </w:r>
    </w:p>
    <w:p w14:paraId="6D82F5B9"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79. </w:t>
      </w:r>
      <w:r w:rsidRPr="001F04D6">
        <w:rPr>
          <w:noProof/>
        </w:rPr>
        <w:tab/>
        <w:t xml:space="preserve">Garavito MF, Narváez-Ortiz HY, Zimmermann BH. Pyrimidine Metabolism: Dynamic and Versatile Pathways in Pathogens and Cellular Development. </w:t>
      </w:r>
      <w:r w:rsidRPr="001F04D6">
        <w:rPr>
          <w:i/>
          <w:iCs/>
          <w:noProof/>
        </w:rPr>
        <w:t>J Genet Genomics</w:t>
      </w:r>
      <w:r w:rsidRPr="001F04D6">
        <w:rPr>
          <w:noProof/>
        </w:rPr>
        <w:t>. 2015;42(5):195-205. doi:10.1016/J.JGG.2015.04.004</w:t>
      </w:r>
    </w:p>
    <w:p w14:paraId="5419BF0E"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80. </w:t>
      </w:r>
      <w:r w:rsidRPr="001F04D6">
        <w:rPr>
          <w:noProof/>
        </w:rPr>
        <w:tab/>
        <w:t xml:space="preserve">Löffler M, Carrey EA, Zameitat E. Orotic Acid, More Than Just an Intermediate of Pyrimidine de novo Synthesis. </w:t>
      </w:r>
      <w:r w:rsidRPr="001F04D6">
        <w:rPr>
          <w:i/>
          <w:iCs/>
          <w:noProof/>
        </w:rPr>
        <w:t>J Genet Genomics</w:t>
      </w:r>
      <w:r w:rsidRPr="001F04D6">
        <w:rPr>
          <w:noProof/>
        </w:rPr>
        <w:t>. 2015;42(5):207-219. doi:https://doi.org/10.1016/j.jgg.2015.04.001</w:t>
      </w:r>
    </w:p>
    <w:p w14:paraId="7AC357DF"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81. </w:t>
      </w:r>
      <w:r w:rsidRPr="001F04D6">
        <w:rPr>
          <w:noProof/>
        </w:rPr>
        <w:tab/>
        <w:t xml:space="preserve">Yu JSL, Correia-Melo C, Zorrilla F, et al. Microbial communities form rich extracellular metabolomes that foster metabolic interactions and promote drug tolerance. </w:t>
      </w:r>
      <w:r w:rsidRPr="001F04D6">
        <w:rPr>
          <w:i/>
          <w:iCs/>
          <w:noProof/>
        </w:rPr>
        <w:t>Nat Microbiol</w:t>
      </w:r>
      <w:r w:rsidRPr="001F04D6">
        <w:rPr>
          <w:noProof/>
        </w:rPr>
        <w:t>. 2022;7(4):542-555. doi:10.1038/s41564-022-01072-5</w:t>
      </w:r>
    </w:p>
    <w:p w14:paraId="330EF368"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82. </w:t>
      </w:r>
      <w:r w:rsidRPr="001F04D6">
        <w:rPr>
          <w:noProof/>
        </w:rPr>
        <w:tab/>
        <w:t xml:space="preserve">Vega-Celedón P, Castillo-Novales D, Bravo G, Cárdenas F, Romero-Silva MJ, Seeger M. Synthesis and Degradation of the Phytohormone Indole-3-Acetic Acid by the Versatile Bacterium Paraburkholderia xenovorans LB400 and Its Growth Promotion of Nicotiana tabacum Plant. </w:t>
      </w:r>
      <w:r w:rsidRPr="001F04D6">
        <w:rPr>
          <w:i/>
          <w:iCs/>
          <w:noProof/>
        </w:rPr>
        <w:t>Plants</w:t>
      </w:r>
      <w:r w:rsidRPr="001F04D6">
        <w:rPr>
          <w:noProof/>
        </w:rPr>
        <w:t>. 2024;13(24). doi:10.3390/plants13243533</w:t>
      </w:r>
    </w:p>
    <w:p w14:paraId="5F9CBE1D"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83. </w:t>
      </w:r>
      <w:r w:rsidRPr="001F04D6">
        <w:rPr>
          <w:noProof/>
        </w:rPr>
        <w:tab/>
        <w:t xml:space="preserve">STRANGE RE. Bacterial “Glycogen” and Survival. </w:t>
      </w:r>
      <w:r w:rsidRPr="001F04D6">
        <w:rPr>
          <w:i/>
          <w:iCs/>
          <w:noProof/>
        </w:rPr>
        <w:t>Nature</w:t>
      </w:r>
      <w:r w:rsidRPr="001F04D6">
        <w:rPr>
          <w:noProof/>
        </w:rPr>
        <w:t xml:space="preserve">. 1968;220(5167):606-607. </w:t>
      </w:r>
      <w:r w:rsidRPr="001F04D6">
        <w:rPr>
          <w:noProof/>
        </w:rPr>
        <w:lastRenderedPageBreak/>
        <w:t>doi:10.1038/220606a0</w:t>
      </w:r>
    </w:p>
    <w:p w14:paraId="1B363681"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84. </w:t>
      </w:r>
      <w:r w:rsidRPr="001F04D6">
        <w:rPr>
          <w:noProof/>
        </w:rPr>
        <w:tab/>
        <w:t xml:space="preserve">Milhelm Z, Zanoaga O, Pop L, et al. Evaluation of oxidative stress biomarkers for differentiating bacterial and viral infections: a comparative study of glutathione disulfide (GSSG) and reduced glutathione (GSH). </w:t>
      </w:r>
      <w:r w:rsidRPr="001F04D6">
        <w:rPr>
          <w:i/>
          <w:iCs/>
          <w:noProof/>
        </w:rPr>
        <w:t>Med Pharm Reports</w:t>
      </w:r>
      <w:r w:rsidRPr="001F04D6">
        <w:rPr>
          <w:noProof/>
        </w:rPr>
        <w:t>. 2025;98(1):46. doi:10.15386/MPR-2821</w:t>
      </w:r>
    </w:p>
    <w:p w14:paraId="09D5AFC9"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85. </w:t>
      </w:r>
      <w:r w:rsidRPr="001F04D6">
        <w:rPr>
          <w:noProof/>
        </w:rPr>
        <w:tab/>
        <w:t xml:space="preserve">Rivera-Lugo R, Light SH, Garelis NE, Portnoy DA. RibU is an essential determinant of Listeria pathogenesis that mediates acquisition of FMN and FAD during intracellular growth. </w:t>
      </w:r>
      <w:r w:rsidRPr="001F04D6">
        <w:rPr>
          <w:i/>
          <w:iCs/>
          <w:noProof/>
        </w:rPr>
        <w:t>Proc Natl Acad Sci</w:t>
      </w:r>
      <w:r w:rsidRPr="001F04D6">
        <w:rPr>
          <w:noProof/>
        </w:rPr>
        <w:t>. 2022;119(13):e2122173119. doi:10.1073/pnas.2122173119</w:t>
      </w:r>
    </w:p>
    <w:p w14:paraId="65C558FB"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86. </w:t>
      </w:r>
      <w:r w:rsidRPr="001F04D6">
        <w:rPr>
          <w:noProof/>
        </w:rPr>
        <w:tab/>
        <w:t xml:space="preserve">Schneider BL, Kiupakis AK, Reitzer LJ. Arginine Catabolism and the Arginine Succinyltransferase Pathway in Escherichia coli. </w:t>
      </w:r>
      <w:r w:rsidRPr="001F04D6">
        <w:rPr>
          <w:i/>
          <w:iCs/>
          <w:noProof/>
        </w:rPr>
        <w:t>J Bacteriol</w:t>
      </w:r>
      <w:r w:rsidRPr="001F04D6">
        <w:rPr>
          <w:noProof/>
        </w:rPr>
        <w:t>. 1998;180(16):4278. doi:10.1128/JB.180.16.4278-4286.1998</w:t>
      </w:r>
    </w:p>
    <w:p w14:paraId="5EF38068"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87. </w:t>
      </w:r>
      <w:r w:rsidRPr="001F04D6">
        <w:rPr>
          <w:noProof/>
        </w:rPr>
        <w:tab/>
        <w:t xml:space="preserve">Silva LP, Northen TR. Exometabolomics and MSI: deconstructing how cells interact to transform their small molecule environment. </w:t>
      </w:r>
      <w:r w:rsidRPr="001F04D6">
        <w:rPr>
          <w:i/>
          <w:iCs/>
          <w:noProof/>
        </w:rPr>
        <w:t>Curr Opin Biotechnol</w:t>
      </w:r>
      <w:r w:rsidRPr="001F04D6">
        <w:rPr>
          <w:noProof/>
        </w:rPr>
        <w:t>. 2015;34:209-216. doi:https://doi.org/10.1016/j.copbio.2015.03.015</w:t>
      </w:r>
    </w:p>
    <w:p w14:paraId="3E91ECD9"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88. </w:t>
      </w:r>
      <w:r w:rsidRPr="001F04D6">
        <w:rPr>
          <w:noProof/>
        </w:rPr>
        <w:tab/>
        <w:t xml:space="preserve">Song W, Wang H, Maguire P, Nibouche O. Collaborative representation based classifier with partial least squares regression for the classification of spectral data. </w:t>
      </w:r>
      <w:r w:rsidRPr="001F04D6">
        <w:rPr>
          <w:i/>
          <w:iCs/>
          <w:noProof/>
        </w:rPr>
        <w:t>Chemom Intell Lab Syst</w:t>
      </w:r>
      <w:r w:rsidRPr="001F04D6">
        <w:rPr>
          <w:noProof/>
        </w:rPr>
        <w:t>. 2018;182:79-86. doi:https://doi.org/10.1016/j.chemolab.2018.08.011</w:t>
      </w:r>
    </w:p>
    <w:p w14:paraId="7F381D37"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89. </w:t>
      </w:r>
      <w:r w:rsidRPr="001F04D6">
        <w:rPr>
          <w:noProof/>
        </w:rPr>
        <w:tab/>
        <w:t xml:space="preserve">Gromski PS, Muhamadali H, Ellis DI, et al. A tutorial review: Metabolomics and partial least squares-discriminant analysis – a marriage of convenience or a shotgun wedding. </w:t>
      </w:r>
      <w:r w:rsidRPr="001F04D6">
        <w:rPr>
          <w:i/>
          <w:iCs/>
          <w:noProof/>
        </w:rPr>
        <w:t>Anal Chim Acta</w:t>
      </w:r>
      <w:r w:rsidRPr="001F04D6">
        <w:rPr>
          <w:noProof/>
        </w:rPr>
        <w:t>. 2015;879:10-23. doi:10.1016/J.ACA.2015.02.012</w:t>
      </w:r>
    </w:p>
    <w:p w14:paraId="26C5C5C3"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90. </w:t>
      </w:r>
      <w:r w:rsidRPr="001F04D6">
        <w:rPr>
          <w:noProof/>
        </w:rPr>
        <w:tab/>
        <w:t xml:space="preserve">Roncarati D, Vannini A, Scarlato V. Temperature sensing and virulence regulation in pathogenic bacteria. </w:t>
      </w:r>
      <w:r w:rsidRPr="001F04D6">
        <w:rPr>
          <w:i/>
          <w:iCs/>
          <w:noProof/>
        </w:rPr>
        <w:t>Trends Microbiol</w:t>
      </w:r>
      <w:r w:rsidRPr="001F04D6">
        <w:rPr>
          <w:noProof/>
        </w:rPr>
        <w:t>. 2025;33(1):66-79. doi:https://doi.org/10.1016/j.tim.2024.07.009</w:t>
      </w:r>
    </w:p>
    <w:p w14:paraId="0C408A35"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91. </w:t>
      </w:r>
      <w:r w:rsidRPr="001F04D6">
        <w:rPr>
          <w:noProof/>
        </w:rPr>
        <w:tab/>
        <w:t xml:space="preserve">De Silvestri A, Ferrari E, Gozzi S, Marchi F, Foschino R. Determination of Temperature Dependent Growth Parameters in Psychrotrophic Pathogen Bacteria and Tentative Use of Mean Kinetic Temperature for the Microbiological Control of Food. </w:t>
      </w:r>
      <w:r w:rsidRPr="001F04D6">
        <w:rPr>
          <w:i/>
          <w:iCs/>
          <w:noProof/>
        </w:rPr>
        <w:t>Front Microbiol</w:t>
      </w:r>
      <w:r w:rsidRPr="001F04D6">
        <w:rPr>
          <w:noProof/>
        </w:rPr>
        <w:t>. 2018;Volume 9-. https://www.frontiersin.org/journals/microbiology/articles/10.3389/fmicb.2018.03023</w:t>
      </w:r>
    </w:p>
    <w:p w14:paraId="2302C7DB"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92. </w:t>
      </w:r>
      <w:r w:rsidRPr="001F04D6">
        <w:rPr>
          <w:noProof/>
        </w:rPr>
        <w:tab/>
        <w:t xml:space="preserve">St Germain M, Iraji R, Bakovic M. Phosphatidylethanolamine homeostasis under conditions of impaired CDP-ethanolamine pathway or phosphatidylserine decarboxylation. </w:t>
      </w:r>
      <w:r w:rsidRPr="001F04D6">
        <w:rPr>
          <w:i/>
          <w:iCs/>
          <w:noProof/>
        </w:rPr>
        <w:t>Front Nutr</w:t>
      </w:r>
      <w:r w:rsidRPr="001F04D6">
        <w:rPr>
          <w:noProof/>
        </w:rPr>
        <w:t xml:space="preserve">. 2023;Volume 9-. </w:t>
      </w:r>
      <w:r w:rsidRPr="001F04D6">
        <w:rPr>
          <w:noProof/>
        </w:rPr>
        <w:lastRenderedPageBreak/>
        <w:t>https://www.frontiersin.org/journals/nutrition/articles/10.3389/fnut.2022.1094273</w:t>
      </w:r>
    </w:p>
    <w:p w14:paraId="3CB9E3AB"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93. </w:t>
      </w:r>
      <w:r w:rsidRPr="001F04D6">
        <w:rPr>
          <w:noProof/>
        </w:rPr>
        <w:tab/>
        <w:t xml:space="preserve">Cassilly CD, Reynolds TB. PS, It’s Complicated: The Roles of Phosphatidylserine and Phosphatidylethanolamine in the Pathogenesis of Candida albicans and Other Microbial Pathogens. </w:t>
      </w:r>
      <w:r w:rsidRPr="001F04D6">
        <w:rPr>
          <w:i/>
          <w:iCs/>
          <w:noProof/>
        </w:rPr>
        <w:t>J Fungi</w:t>
      </w:r>
      <w:r w:rsidRPr="001F04D6">
        <w:rPr>
          <w:noProof/>
        </w:rPr>
        <w:t>. 2018;4(1). doi:10.3390/jof4010028</w:t>
      </w:r>
    </w:p>
    <w:p w14:paraId="425FD90F"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94. </w:t>
      </w:r>
      <w:r w:rsidRPr="001F04D6">
        <w:rPr>
          <w:noProof/>
        </w:rPr>
        <w:tab/>
        <w:t xml:space="preserve">Gamberini M, Gómez RM, Atzingen M V., et al. Whole-genome analysis of Leptospira interrogans to identify potential vaccine candidates against leptospirosis. </w:t>
      </w:r>
      <w:r w:rsidRPr="001F04D6">
        <w:rPr>
          <w:i/>
          <w:iCs/>
          <w:noProof/>
        </w:rPr>
        <w:t>FEMS Microbiol Lett</w:t>
      </w:r>
      <w:r w:rsidRPr="001F04D6">
        <w:rPr>
          <w:noProof/>
        </w:rPr>
        <w:t>. 2005;244(2):305-313. doi:10.1016/J.FEMSLE.2005.02.004</w:t>
      </w:r>
    </w:p>
    <w:p w14:paraId="7216E84B"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95. </w:t>
      </w:r>
      <w:r w:rsidRPr="001F04D6">
        <w:rPr>
          <w:noProof/>
        </w:rPr>
        <w:tab/>
        <w:t xml:space="preserve">Fouts DE, Matthias MA, Adhikarla H, et al. What Makes a Bacterial Species Pathogenic?:Comparative Genomic Analysis of the Genus Leptospira. </w:t>
      </w:r>
      <w:r w:rsidRPr="001F04D6">
        <w:rPr>
          <w:i/>
          <w:iCs/>
          <w:noProof/>
        </w:rPr>
        <w:t>PLoS Negl Trop Dis</w:t>
      </w:r>
      <w:r w:rsidRPr="001F04D6">
        <w:rPr>
          <w:noProof/>
        </w:rPr>
        <w:t>. 2016;10(2):e0004403. doi:10.1371/JOURNAL.PNTD.0004403</w:t>
      </w:r>
    </w:p>
    <w:p w14:paraId="73DA68E6"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96. </w:t>
      </w:r>
      <w:r w:rsidRPr="001F04D6">
        <w:rPr>
          <w:noProof/>
        </w:rPr>
        <w:tab/>
        <w:t xml:space="preserve">Rath M, Müller I, Kropf P, Closs EI, Munder M. Metabolism via Arginase or Nitric Oxide Synthase: Two Competing Arginine Pathways in Macrophages. </w:t>
      </w:r>
      <w:r w:rsidRPr="001F04D6">
        <w:rPr>
          <w:i/>
          <w:iCs/>
          <w:noProof/>
        </w:rPr>
        <w:t>Front Immunol</w:t>
      </w:r>
      <w:r w:rsidRPr="001F04D6">
        <w:rPr>
          <w:noProof/>
        </w:rPr>
        <w:t>. 2014;Volume 5-. https://www.frontiersin.org/journals/immunology/articles/10.3389/fimmu.2014.00532</w:t>
      </w:r>
    </w:p>
    <w:p w14:paraId="1CF72FBA"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97. </w:t>
      </w:r>
      <w:r w:rsidRPr="001F04D6">
        <w:rPr>
          <w:noProof/>
        </w:rPr>
        <w:tab/>
        <w:t xml:space="preserve">José QM, María M-PA, Antonia H, Enrique F. Arginine Catabolism in the CyanobacteriumSynechocystis sp. Strain PCC 6803 Involves the Urea Cycle and Arginase Pathway. </w:t>
      </w:r>
      <w:r w:rsidRPr="001F04D6">
        <w:rPr>
          <w:i/>
          <w:iCs/>
          <w:noProof/>
        </w:rPr>
        <w:t>J Bacteriol</w:t>
      </w:r>
      <w:r w:rsidRPr="001F04D6">
        <w:rPr>
          <w:noProof/>
        </w:rPr>
        <w:t>. 2000;182(4):1008-1015. doi:10.1128/jb.182.4.1008-1015.2000</w:t>
      </w:r>
    </w:p>
    <w:p w14:paraId="51EEA2E6"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98. </w:t>
      </w:r>
      <w:r w:rsidRPr="001F04D6">
        <w:rPr>
          <w:noProof/>
        </w:rPr>
        <w:tab/>
        <w:t xml:space="preserve">Li Y, Guo J, Zhang H, et al. Protective Effect of Thymidine on DNA Damage Induced by Hydrogen Peroxide in Human Hepatocellular Cancer Cells. </w:t>
      </w:r>
      <w:r w:rsidRPr="001F04D6">
        <w:rPr>
          <w:i/>
          <w:iCs/>
          <w:noProof/>
        </w:rPr>
        <w:t>ACS Omega</w:t>
      </w:r>
      <w:r w:rsidRPr="001F04D6">
        <w:rPr>
          <w:noProof/>
        </w:rPr>
        <w:t>. 2020;5(34):21796-21804. doi:10.1021/acsomega.0c02843</w:t>
      </w:r>
    </w:p>
    <w:p w14:paraId="4AEC3176"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99. </w:t>
      </w:r>
      <w:r w:rsidRPr="001F04D6">
        <w:rPr>
          <w:noProof/>
        </w:rPr>
        <w:tab/>
        <w:t xml:space="preserve">Liu Y, Yang K, Jia Y, Shi J, Tong Z, Wang Z. Thymine Sensitizes Gram-Negative Pathogens to Antibiotic Killing. </w:t>
      </w:r>
      <w:r w:rsidRPr="001F04D6">
        <w:rPr>
          <w:i/>
          <w:iCs/>
          <w:noProof/>
        </w:rPr>
        <w:t>Front Microbiol</w:t>
      </w:r>
      <w:r w:rsidRPr="001F04D6">
        <w:rPr>
          <w:noProof/>
        </w:rPr>
        <w:t>. 2021;Volume 12. https://www.frontiersin.org/journals/microbiology/articles/10.3389/fmicb.2021.622798</w:t>
      </w:r>
    </w:p>
    <w:p w14:paraId="623268E3"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100. </w:t>
      </w:r>
      <w:r w:rsidRPr="001F04D6">
        <w:rPr>
          <w:noProof/>
        </w:rPr>
        <w:tab/>
        <w:t xml:space="preserve">Tal N, Morehouse BR, Millman A, et al. Cyclic CMP and cyclic UMP mediate bacterial immunity against phages. </w:t>
      </w:r>
      <w:r w:rsidRPr="001F04D6">
        <w:rPr>
          <w:i/>
          <w:iCs/>
          <w:noProof/>
        </w:rPr>
        <w:t>Cell</w:t>
      </w:r>
      <w:r w:rsidRPr="001F04D6">
        <w:rPr>
          <w:noProof/>
        </w:rPr>
        <w:t>. 2021;184(23):5728-5739.e16. doi:https://doi.org/10.1016/j.cell.2021.09.031</w:t>
      </w:r>
    </w:p>
    <w:p w14:paraId="42EEB152" w14:textId="77777777" w:rsidR="001F04D6" w:rsidRPr="001F04D6" w:rsidRDefault="001F04D6" w:rsidP="00D96410">
      <w:pPr>
        <w:widowControl w:val="0"/>
        <w:autoSpaceDE w:val="0"/>
        <w:autoSpaceDN w:val="0"/>
        <w:adjustRightInd w:val="0"/>
        <w:spacing w:line="360" w:lineRule="auto"/>
        <w:ind w:left="640" w:hanging="640"/>
        <w:rPr>
          <w:noProof/>
        </w:rPr>
      </w:pPr>
      <w:r w:rsidRPr="001F04D6">
        <w:rPr>
          <w:noProof/>
        </w:rPr>
        <w:t xml:space="preserve">101. </w:t>
      </w:r>
      <w:r w:rsidRPr="001F04D6">
        <w:rPr>
          <w:noProof/>
        </w:rPr>
        <w:tab/>
        <w:t xml:space="preserve">Kristel L, M. CG, A. WE, Mathieu P. Inactivation of clpB in the Pathogen Leptospira interrogans Reduces Virulence and Resistance to Stress Conditions . </w:t>
      </w:r>
      <w:r w:rsidRPr="001F04D6">
        <w:rPr>
          <w:i/>
          <w:iCs/>
          <w:noProof/>
        </w:rPr>
        <w:t>Infect Immun</w:t>
      </w:r>
      <w:r w:rsidRPr="001F04D6">
        <w:rPr>
          <w:noProof/>
        </w:rPr>
        <w:t>. 2011;79(9):3711-3717. doi:10.1128/iai.05168-11</w:t>
      </w:r>
    </w:p>
    <w:p w14:paraId="66641FFD" w14:textId="7179467A" w:rsidR="007D322C" w:rsidRDefault="00DF2A48" w:rsidP="00D96410">
      <w:pPr>
        <w:widowControl w:val="0"/>
        <w:autoSpaceDE w:val="0"/>
        <w:autoSpaceDN w:val="0"/>
        <w:adjustRightInd w:val="0"/>
        <w:spacing w:line="360" w:lineRule="auto"/>
        <w:ind w:left="640" w:hanging="640"/>
        <w:jc w:val="both"/>
        <w:rPr>
          <w:b/>
          <w:bCs/>
          <w:color w:val="000000" w:themeColor="text1"/>
        </w:rPr>
      </w:pPr>
      <w:r w:rsidRPr="00DF2A48">
        <w:rPr>
          <w:b/>
          <w:bCs/>
          <w:color w:val="000000" w:themeColor="text1"/>
        </w:rPr>
        <w:fldChar w:fldCharType="end"/>
      </w:r>
    </w:p>
    <w:p w14:paraId="46562293" w14:textId="7544E226" w:rsidR="00DF2A48" w:rsidRPr="007D322C" w:rsidRDefault="007D322C" w:rsidP="00D96410">
      <w:pPr>
        <w:jc w:val="both"/>
        <w:rPr>
          <w:b/>
          <w:bCs/>
          <w:color w:val="000000" w:themeColor="text1"/>
        </w:rPr>
      </w:pPr>
      <w:r>
        <w:rPr>
          <w:b/>
          <w:bCs/>
          <w:color w:val="000000" w:themeColor="text1"/>
        </w:rPr>
        <w:br w:type="page"/>
      </w:r>
    </w:p>
    <w:p w14:paraId="7A39154F" w14:textId="77777777" w:rsidR="00DF2A48" w:rsidRPr="00DF2A48" w:rsidRDefault="00DF2A48" w:rsidP="00D96410">
      <w:pPr>
        <w:spacing w:line="360" w:lineRule="auto"/>
        <w:ind w:left="3600" w:firstLine="720"/>
        <w:rPr>
          <w:b/>
          <w:bCs/>
          <w:color w:val="000000" w:themeColor="text1"/>
        </w:rPr>
      </w:pPr>
      <w:r w:rsidRPr="00DF2A48">
        <w:rPr>
          <w:b/>
          <w:bCs/>
          <w:color w:val="000000" w:themeColor="text1"/>
        </w:rPr>
        <w:lastRenderedPageBreak/>
        <w:t>VITA</w:t>
      </w:r>
    </w:p>
    <w:p w14:paraId="7AF378F2" w14:textId="39B45417" w:rsidR="00DF2A48" w:rsidRPr="00DF2A48" w:rsidRDefault="00DF2A48" w:rsidP="00D96410">
      <w:pPr>
        <w:spacing w:line="360" w:lineRule="auto"/>
        <w:rPr>
          <w:color w:val="000000" w:themeColor="text1"/>
        </w:rPr>
      </w:pPr>
      <w:r w:rsidRPr="00DF2A48">
        <w:rPr>
          <w:color w:val="000000" w:themeColor="text1"/>
        </w:rPr>
        <w:t>Maliha Tabassum was born on September 10th, 1996, in Bangladesh. She completed her Bachelor of Science degree from the Department of Applied Chemistry and Chemical Engineering at the University of Dhaka in 2019. Afterwards,</w:t>
      </w:r>
      <w:r w:rsidR="00A3256D">
        <w:rPr>
          <w:color w:val="000000" w:themeColor="text1"/>
        </w:rPr>
        <w:t xml:space="preserve"> she worked in BRAC JPG School of Public Health for a whil</w:t>
      </w:r>
      <w:r w:rsidR="00F00898">
        <w:rPr>
          <w:color w:val="000000" w:themeColor="text1"/>
        </w:rPr>
        <w:t>e</w:t>
      </w:r>
      <w:r w:rsidR="00A3256D">
        <w:rPr>
          <w:color w:val="000000" w:themeColor="text1"/>
        </w:rPr>
        <w:t>.</w:t>
      </w:r>
      <w:r w:rsidRPr="00DF2A48">
        <w:rPr>
          <w:color w:val="000000" w:themeColor="text1"/>
        </w:rPr>
        <w:t xml:space="preserve"> </w:t>
      </w:r>
      <w:r w:rsidR="00A3256D">
        <w:rPr>
          <w:color w:val="000000" w:themeColor="text1"/>
        </w:rPr>
        <w:t>Later s</w:t>
      </w:r>
      <w:r w:rsidRPr="00DF2A48">
        <w:rPr>
          <w:color w:val="000000" w:themeColor="text1"/>
        </w:rPr>
        <w:t xml:space="preserve">he pursued higher </w:t>
      </w:r>
      <w:r w:rsidR="00F00898">
        <w:rPr>
          <w:color w:val="000000" w:themeColor="text1"/>
        </w:rPr>
        <w:t>education</w:t>
      </w:r>
      <w:r w:rsidRPr="00DF2A48">
        <w:rPr>
          <w:color w:val="000000" w:themeColor="text1"/>
        </w:rPr>
        <w:t xml:space="preserve"> in the </w:t>
      </w:r>
      <w:r w:rsidR="00F00898">
        <w:rPr>
          <w:color w:val="000000" w:themeColor="text1"/>
        </w:rPr>
        <w:t xml:space="preserve">Department of Chemistry, </w:t>
      </w:r>
      <w:r w:rsidRPr="00DF2A48">
        <w:rPr>
          <w:color w:val="000000" w:themeColor="text1"/>
        </w:rPr>
        <w:t>University of Tennessee, Knoxville (UTK)</w:t>
      </w:r>
      <w:r w:rsidR="00F00898">
        <w:rPr>
          <w:color w:val="000000" w:themeColor="text1"/>
        </w:rPr>
        <w:t xml:space="preserve"> in 2021</w:t>
      </w:r>
      <w:r w:rsidRPr="00DF2A48">
        <w:rPr>
          <w:color w:val="000000" w:themeColor="text1"/>
        </w:rPr>
        <w:t xml:space="preserve">. She </w:t>
      </w:r>
      <w:r w:rsidR="00F00898">
        <w:rPr>
          <w:color w:val="000000" w:themeColor="text1"/>
        </w:rPr>
        <w:t xml:space="preserve">carried out her graduate research work under the supervision of </w:t>
      </w:r>
      <w:r w:rsidRPr="00DF2A48">
        <w:rPr>
          <w:color w:val="000000" w:themeColor="text1"/>
        </w:rPr>
        <w:t>Dr. Shawn R. Campagna and earned her master’s degree in August 2025.</w:t>
      </w:r>
    </w:p>
    <w:p w14:paraId="02570B33" w14:textId="77777777" w:rsidR="00661A95" w:rsidRPr="00DF2A48" w:rsidRDefault="00661A95" w:rsidP="00D96410">
      <w:pPr>
        <w:rPr>
          <w:color w:val="000000" w:themeColor="text1"/>
        </w:rPr>
      </w:pPr>
    </w:p>
    <w:sectPr w:rsidR="00661A95" w:rsidRPr="00DF2A48" w:rsidSect="007E237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4A352" w14:textId="77777777" w:rsidR="00DF32BC" w:rsidRDefault="00DF32BC" w:rsidP="00102004">
      <w:r>
        <w:separator/>
      </w:r>
    </w:p>
  </w:endnote>
  <w:endnote w:type="continuationSeparator" w:id="0">
    <w:p w14:paraId="7C945232" w14:textId="77777777" w:rsidR="00DF32BC" w:rsidRDefault="00DF32BC" w:rsidP="0010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7290755"/>
      <w:docPartObj>
        <w:docPartGallery w:val="Page Numbers (Bottom of Page)"/>
        <w:docPartUnique/>
      </w:docPartObj>
    </w:sdtPr>
    <w:sdtContent>
      <w:p w14:paraId="7E3D7C28" w14:textId="6283EB25" w:rsidR="002D55EC" w:rsidRDefault="002D55EC" w:rsidP="002D55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44C63">
          <w:rPr>
            <w:rStyle w:val="PageNumber"/>
            <w:noProof/>
          </w:rPr>
          <w:t>ii</w:t>
        </w:r>
        <w:r>
          <w:rPr>
            <w:rStyle w:val="PageNumber"/>
          </w:rPr>
          <w:fldChar w:fldCharType="end"/>
        </w:r>
      </w:p>
    </w:sdtContent>
  </w:sdt>
  <w:p w14:paraId="743A5E38" w14:textId="77777777" w:rsidR="002D55EC" w:rsidRDefault="002D55EC" w:rsidP="002D55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788528"/>
      <w:docPartObj>
        <w:docPartGallery w:val="Page Numbers (Bottom of Page)"/>
        <w:docPartUnique/>
      </w:docPartObj>
    </w:sdtPr>
    <w:sdtEndPr>
      <w:rPr>
        <w:rFonts w:ascii="Times New Roman" w:hAnsi="Times New Roman" w:cs="Times New Roman"/>
        <w:noProof/>
      </w:rPr>
    </w:sdtEndPr>
    <w:sdtContent>
      <w:p w14:paraId="6E7A26E0" w14:textId="1B9CAD36" w:rsidR="007E2377" w:rsidRPr="007E2377" w:rsidRDefault="007E2377">
        <w:pPr>
          <w:pStyle w:val="Footer"/>
          <w:jc w:val="right"/>
          <w:rPr>
            <w:rFonts w:ascii="Times New Roman" w:hAnsi="Times New Roman" w:cs="Times New Roman"/>
          </w:rPr>
        </w:pPr>
        <w:r w:rsidRPr="007E2377">
          <w:rPr>
            <w:rFonts w:ascii="Times New Roman" w:hAnsi="Times New Roman" w:cs="Times New Roman"/>
          </w:rPr>
          <w:fldChar w:fldCharType="begin"/>
        </w:r>
        <w:r w:rsidRPr="007E2377">
          <w:rPr>
            <w:rFonts w:ascii="Times New Roman" w:hAnsi="Times New Roman" w:cs="Times New Roman"/>
          </w:rPr>
          <w:instrText xml:space="preserve"> PAGE   \* MERGEFORMAT </w:instrText>
        </w:r>
        <w:r w:rsidRPr="007E2377">
          <w:rPr>
            <w:rFonts w:ascii="Times New Roman" w:hAnsi="Times New Roman" w:cs="Times New Roman"/>
          </w:rPr>
          <w:fldChar w:fldCharType="separate"/>
        </w:r>
        <w:r w:rsidRPr="007E2377">
          <w:rPr>
            <w:rFonts w:ascii="Times New Roman" w:hAnsi="Times New Roman" w:cs="Times New Roman"/>
            <w:noProof/>
          </w:rPr>
          <w:t>2</w:t>
        </w:r>
        <w:r w:rsidRPr="007E2377">
          <w:rPr>
            <w:rFonts w:ascii="Times New Roman" w:hAnsi="Times New Roman" w:cs="Times New Roman"/>
            <w:noProof/>
          </w:rPr>
          <w:fldChar w:fldCharType="end"/>
        </w:r>
      </w:p>
    </w:sdtContent>
  </w:sdt>
  <w:p w14:paraId="0A9A4C8A" w14:textId="77777777" w:rsidR="002D55EC" w:rsidRPr="007E69BE" w:rsidRDefault="002D55EC" w:rsidP="002D55EC">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B3E83" w14:textId="77777777" w:rsidR="00DF32BC" w:rsidRDefault="00DF32BC" w:rsidP="00102004">
      <w:r>
        <w:separator/>
      </w:r>
    </w:p>
  </w:footnote>
  <w:footnote w:type="continuationSeparator" w:id="0">
    <w:p w14:paraId="5BE4A338" w14:textId="77777777" w:rsidR="00DF32BC" w:rsidRDefault="00DF32BC" w:rsidP="001020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1F6"/>
    <w:multiLevelType w:val="multilevel"/>
    <w:tmpl w:val="E052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83477"/>
    <w:multiLevelType w:val="hybridMultilevel"/>
    <w:tmpl w:val="D6421A70"/>
    <w:lvl w:ilvl="0" w:tplc="B3D0A70C">
      <w:start w:val="1"/>
      <w:numFmt w:val="decimal"/>
      <w:lvlText w:val="%1."/>
      <w:lvlJc w:val="left"/>
      <w:pPr>
        <w:ind w:left="630" w:hanging="360"/>
      </w:pPr>
      <w:rPr>
        <w:rFonts w:eastAsiaTheme="minorHAnsi"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207C2"/>
    <w:multiLevelType w:val="multilevel"/>
    <w:tmpl w:val="7842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1C0DCE"/>
    <w:multiLevelType w:val="hybridMultilevel"/>
    <w:tmpl w:val="633C605A"/>
    <w:lvl w:ilvl="0" w:tplc="B720D5C2">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34481098">
      <w:start w:val="1"/>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0464D"/>
    <w:multiLevelType w:val="hybridMultilevel"/>
    <w:tmpl w:val="902C60D6"/>
    <w:lvl w:ilvl="0" w:tplc="534052E4">
      <w:start w:val="1"/>
      <w:numFmt w:val="bullet"/>
      <w:lvlText w:val="•"/>
      <w:lvlJc w:val="left"/>
      <w:pPr>
        <w:tabs>
          <w:tab w:val="num" w:pos="720"/>
        </w:tabs>
        <w:ind w:left="720" w:hanging="360"/>
      </w:pPr>
      <w:rPr>
        <w:rFonts w:ascii="Arial" w:hAnsi="Arial" w:hint="default"/>
      </w:rPr>
    </w:lvl>
    <w:lvl w:ilvl="1" w:tplc="7632D754" w:tentative="1">
      <w:start w:val="1"/>
      <w:numFmt w:val="bullet"/>
      <w:lvlText w:val="•"/>
      <w:lvlJc w:val="left"/>
      <w:pPr>
        <w:tabs>
          <w:tab w:val="num" w:pos="1440"/>
        </w:tabs>
        <w:ind w:left="1440" w:hanging="360"/>
      </w:pPr>
      <w:rPr>
        <w:rFonts w:ascii="Arial" w:hAnsi="Arial" w:hint="default"/>
      </w:rPr>
    </w:lvl>
    <w:lvl w:ilvl="2" w:tplc="69AC65C0" w:tentative="1">
      <w:start w:val="1"/>
      <w:numFmt w:val="bullet"/>
      <w:lvlText w:val="•"/>
      <w:lvlJc w:val="left"/>
      <w:pPr>
        <w:tabs>
          <w:tab w:val="num" w:pos="2160"/>
        </w:tabs>
        <w:ind w:left="2160" w:hanging="360"/>
      </w:pPr>
      <w:rPr>
        <w:rFonts w:ascii="Arial" w:hAnsi="Arial" w:hint="default"/>
      </w:rPr>
    </w:lvl>
    <w:lvl w:ilvl="3" w:tplc="FE325826" w:tentative="1">
      <w:start w:val="1"/>
      <w:numFmt w:val="bullet"/>
      <w:lvlText w:val="•"/>
      <w:lvlJc w:val="left"/>
      <w:pPr>
        <w:tabs>
          <w:tab w:val="num" w:pos="2880"/>
        </w:tabs>
        <w:ind w:left="2880" w:hanging="360"/>
      </w:pPr>
      <w:rPr>
        <w:rFonts w:ascii="Arial" w:hAnsi="Arial" w:hint="default"/>
      </w:rPr>
    </w:lvl>
    <w:lvl w:ilvl="4" w:tplc="1E40D3F2" w:tentative="1">
      <w:start w:val="1"/>
      <w:numFmt w:val="bullet"/>
      <w:lvlText w:val="•"/>
      <w:lvlJc w:val="left"/>
      <w:pPr>
        <w:tabs>
          <w:tab w:val="num" w:pos="3600"/>
        </w:tabs>
        <w:ind w:left="3600" w:hanging="360"/>
      </w:pPr>
      <w:rPr>
        <w:rFonts w:ascii="Arial" w:hAnsi="Arial" w:hint="default"/>
      </w:rPr>
    </w:lvl>
    <w:lvl w:ilvl="5" w:tplc="8F4005D2" w:tentative="1">
      <w:start w:val="1"/>
      <w:numFmt w:val="bullet"/>
      <w:lvlText w:val="•"/>
      <w:lvlJc w:val="left"/>
      <w:pPr>
        <w:tabs>
          <w:tab w:val="num" w:pos="4320"/>
        </w:tabs>
        <w:ind w:left="4320" w:hanging="360"/>
      </w:pPr>
      <w:rPr>
        <w:rFonts w:ascii="Arial" w:hAnsi="Arial" w:hint="default"/>
      </w:rPr>
    </w:lvl>
    <w:lvl w:ilvl="6" w:tplc="CC92B5A6" w:tentative="1">
      <w:start w:val="1"/>
      <w:numFmt w:val="bullet"/>
      <w:lvlText w:val="•"/>
      <w:lvlJc w:val="left"/>
      <w:pPr>
        <w:tabs>
          <w:tab w:val="num" w:pos="5040"/>
        </w:tabs>
        <w:ind w:left="5040" w:hanging="360"/>
      </w:pPr>
      <w:rPr>
        <w:rFonts w:ascii="Arial" w:hAnsi="Arial" w:hint="default"/>
      </w:rPr>
    </w:lvl>
    <w:lvl w:ilvl="7" w:tplc="2970F57A" w:tentative="1">
      <w:start w:val="1"/>
      <w:numFmt w:val="bullet"/>
      <w:lvlText w:val="•"/>
      <w:lvlJc w:val="left"/>
      <w:pPr>
        <w:tabs>
          <w:tab w:val="num" w:pos="5760"/>
        </w:tabs>
        <w:ind w:left="5760" w:hanging="360"/>
      </w:pPr>
      <w:rPr>
        <w:rFonts w:ascii="Arial" w:hAnsi="Arial" w:hint="default"/>
      </w:rPr>
    </w:lvl>
    <w:lvl w:ilvl="8" w:tplc="D6CE1F2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1452A3A"/>
    <w:multiLevelType w:val="hybridMultilevel"/>
    <w:tmpl w:val="97A04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667EC"/>
    <w:multiLevelType w:val="hybridMultilevel"/>
    <w:tmpl w:val="691AAB04"/>
    <w:lvl w:ilvl="0" w:tplc="844011F0">
      <w:start w:val="1"/>
      <w:numFmt w:val="lowerLetter"/>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55FB0"/>
    <w:multiLevelType w:val="hybridMultilevel"/>
    <w:tmpl w:val="79E60A6E"/>
    <w:lvl w:ilvl="0" w:tplc="9244C2B6">
      <w:start w:val="1"/>
      <w:numFmt w:val="bullet"/>
      <w:lvlText w:val="•"/>
      <w:lvlJc w:val="left"/>
      <w:pPr>
        <w:tabs>
          <w:tab w:val="num" w:pos="720"/>
        </w:tabs>
        <w:ind w:left="720" w:hanging="360"/>
      </w:pPr>
      <w:rPr>
        <w:rFonts w:ascii="Arial" w:hAnsi="Arial" w:hint="default"/>
      </w:rPr>
    </w:lvl>
    <w:lvl w:ilvl="1" w:tplc="57B0844C" w:tentative="1">
      <w:start w:val="1"/>
      <w:numFmt w:val="bullet"/>
      <w:lvlText w:val="•"/>
      <w:lvlJc w:val="left"/>
      <w:pPr>
        <w:tabs>
          <w:tab w:val="num" w:pos="1440"/>
        </w:tabs>
        <w:ind w:left="1440" w:hanging="360"/>
      </w:pPr>
      <w:rPr>
        <w:rFonts w:ascii="Arial" w:hAnsi="Arial" w:hint="default"/>
      </w:rPr>
    </w:lvl>
    <w:lvl w:ilvl="2" w:tplc="CEB69C84" w:tentative="1">
      <w:start w:val="1"/>
      <w:numFmt w:val="bullet"/>
      <w:lvlText w:val="•"/>
      <w:lvlJc w:val="left"/>
      <w:pPr>
        <w:tabs>
          <w:tab w:val="num" w:pos="2160"/>
        </w:tabs>
        <w:ind w:left="2160" w:hanging="360"/>
      </w:pPr>
      <w:rPr>
        <w:rFonts w:ascii="Arial" w:hAnsi="Arial" w:hint="default"/>
      </w:rPr>
    </w:lvl>
    <w:lvl w:ilvl="3" w:tplc="F97C9558" w:tentative="1">
      <w:start w:val="1"/>
      <w:numFmt w:val="bullet"/>
      <w:lvlText w:val="•"/>
      <w:lvlJc w:val="left"/>
      <w:pPr>
        <w:tabs>
          <w:tab w:val="num" w:pos="2880"/>
        </w:tabs>
        <w:ind w:left="2880" w:hanging="360"/>
      </w:pPr>
      <w:rPr>
        <w:rFonts w:ascii="Arial" w:hAnsi="Arial" w:hint="default"/>
      </w:rPr>
    </w:lvl>
    <w:lvl w:ilvl="4" w:tplc="B72A39E8" w:tentative="1">
      <w:start w:val="1"/>
      <w:numFmt w:val="bullet"/>
      <w:lvlText w:val="•"/>
      <w:lvlJc w:val="left"/>
      <w:pPr>
        <w:tabs>
          <w:tab w:val="num" w:pos="3600"/>
        </w:tabs>
        <w:ind w:left="3600" w:hanging="360"/>
      </w:pPr>
      <w:rPr>
        <w:rFonts w:ascii="Arial" w:hAnsi="Arial" w:hint="default"/>
      </w:rPr>
    </w:lvl>
    <w:lvl w:ilvl="5" w:tplc="E9003EE0" w:tentative="1">
      <w:start w:val="1"/>
      <w:numFmt w:val="bullet"/>
      <w:lvlText w:val="•"/>
      <w:lvlJc w:val="left"/>
      <w:pPr>
        <w:tabs>
          <w:tab w:val="num" w:pos="4320"/>
        </w:tabs>
        <w:ind w:left="4320" w:hanging="360"/>
      </w:pPr>
      <w:rPr>
        <w:rFonts w:ascii="Arial" w:hAnsi="Arial" w:hint="default"/>
      </w:rPr>
    </w:lvl>
    <w:lvl w:ilvl="6" w:tplc="7F90345E" w:tentative="1">
      <w:start w:val="1"/>
      <w:numFmt w:val="bullet"/>
      <w:lvlText w:val="•"/>
      <w:lvlJc w:val="left"/>
      <w:pPr>
        <w:tabs>
          <w:tab w:val="num" w:pos="5040"/>
        </w:tabs>
        <w:ind w:left="5040" w:hanging="360"/>
      </w:pPr>
      <w:rPr>
        <w:rFonts w:ascii="Arial" w:hAnsi="Arial" w:hint="default"/>
      </w:rPr>
    </w:lvl>
    <w:lvl w:ilvl="7" w:tplc="761CB3BA" w:tentative="1">
      <w:start w:val="1"/>
      <w:numFmt w:val="bullet"/>
      <w:lvlText w:val="•"/>
      <w:lvlJc w:val="left"/>
      <w:pPr>
        <w:tabs>
          <w:tab w:val="num" w:pos="5760"/>
        </w:tabs>
        <w:ind w:left="5760" w:hanging="360"/>
      </w:pPr>
      <w:rPr>
        <w:rFonts w:ascii="Arial" w:hAnsi="Arial" w:hint="default"/>
      </w:rPr>
    </w:lvl>
    <w:lvl w:ilvl="8" w:tplc="8070BC1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076671"/>
    <w:multiLevelType w:val="multilevel"/>
    <w:tmpl w:val="7FE4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020B5"/>
    <w:multiLevelType w:val="hybridMultilevel"/>
    <w:tmpl w:val="10723B9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01C8F"/>
    <w:multiLevelType w:val="hybridMultilevel"/>
    <w:tmpl w:val="C916D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F0DE7"/>
    <w:multiLevelType w:val="hybridMultilevel"/>
    <w:tmpl w:val="6F767926"/>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64485B"/>
    <w:multiLevelType w:val="hybridMultilevel"/>
    <w:tmpl w:val="42C871E0"/>
    <w:lvl w:ilvl="0" w:tplc="A9B8AC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852AA1"/>
    <w:multiLevelType w:val="multilevel"/>
    <w:tmpl w:val="1618F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7531B7"/>
    <w:multiLevelType w:val="hybridMultilevel"/>
    <w:tmpl w:val="B1904E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C24E17"/>
    <w:multiLevelType w:val="hybridMultilevel"/>
    <w:tmpl w:val="D5CC8E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75060"/>
    <w:multiLevelType w:val="multilevel"/>
    <w:tmpl w:val="51C4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770C26"/>
    <w:multiLevelType w:val="multilevel"/>
    <w:tmpl w:val="98DE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C77AAC"/>
    <w:multiLevelType w:val="multilevel"/>
    <w:tmpl w:val="E26AB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1633A5"/>
    <w:multiLevelType w:val="hybridMultilevel"/>
    <w:tmpl w:val="B1606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B260C6"/>
    <w:multiLevelType w:val="hybridMultilevel"/>
    <w:tmpl w:val="691AAB04"/>
    <w:lvl w:ilvl="0" w:tplc="FFFFFFFF">
      <w:start w:val="1"/>
      <w:numFmt w:val="lowerLetter"/>
      <w:lvlText w:val="%1."/>
      <w:lvlJc w:val="left"/>
      <w:pPr>
        <w:ind w:left="720" w:hanging="360"/>
      </w:pPr>
      <w:rPr>
        <w:rFonts w:eastAsiaTheme="minorHAns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553A97"/>
    <w:multiLevelType w:val="hybridMultilevel"/>
    <w:tmpl w:val="A6E4FD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603F70"/>
    <w:multiLevelType w:val="multilevel"/>
    <w:tmpl w:val="C34E0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CF4759"/>
    <w:multiLevelType w:val="multilevel"/>
    <w:tmpl w:val="D1CCF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4876BE"/>
    <w:multiLevelType w:val="multilevel"/>
    <w:tmpl w:val="0EA4EE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tabs>
          <w:tab w:val="num" w:pos="2160"/>
        </w:tabs>
        <w:ind w:left="2160" w:hanging="360"/>
      </w:pPr>
      <w:rPr>
        <w:rFonts w:ascii="Times New Roman" w:eastAsiaTheme="minorHAnsi" w:hAnsi="Times New Roman" w:cs="Times New Roman"/>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AA3464"/>
    <w:multiLevelType w:val="multilevel"/>
    <w:tmpl w:val="42D07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B63CE0"/>
    <w:multiLevelType w:val="hybridMultilevel"/>
    <w:tmpl w:val="27346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D021C5"/>
    <w:multiLevelType w:val="hybridMultilevel"/>
    <w:tmpl w:val="16C61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2328DD"/>
    <w:multiLevelType w:val="hybridMultilevel"/>
    <w:tmpl w:val="E66A04C2"/>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BA005D"/>
    <w:multiLevelType w:val="hybridMultilevel"/>
    <w:tmpl w:val="20EA2CCA"/>
    <w:lvl w:ilvl="0" w:tplc="2C3C49D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7E67A6"/>
    <w:multiLevelType w:val="hybridMultilevel"/>
    <w:tmpl w:val="273464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702E2F"/>
    <w:multiLevelType w:val="hybridMultilevel"/>
    <w:tmpl w:val="6F767926"/>
    <w:lvl w:ilvl="0" w:tplc="10EA278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A5AC6"/>
    <w:multiLevelType w:val="hybridMultilevel"/>
    <w:tmpl w:val="273464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DC4ADB"/>
    <w:multiLevelType w:val="multilevel"/>
    <w:tmpl w:val="D324C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E75F74"/>
    <w:multiLevelType w:val="hybridMultilevel"/>
    <w:tmpl w:val="C916DA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3E535E"/>
    <w:multiLevelType w:val="multilevel"/>
    <w:tmpl w:val="EEF4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D1612D"/>
    <w:multiLevelType w:val="multilevel"/>
    <w:tmpl w:val="7A34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B840D9"/>
    <w:multiLevelType w:val="hybridMultilevel"/>
    <w:tmpl w:val="6F767926"/>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B80BC0"/>
    <w:multiLevelType w:val="hybridMultilevel"/>
    <w:tmpl w:val="1C6E0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F23CE1"/>
    <w:multiLevelType w:val="multilevel"/>
    <w:tmpl w:val="81644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DF04AA"/>
    <w:multiLevelType w:val="multilevel"/>
    <w:tmpl w:val="5C52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4F0E91"/>
    <w:multiLevelType w:val="hybridMultilevel"/>
    <w:tmpl w:val="D23E3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F84F58"/>
    <w:multiLevelType w:val="multilevel"/>
    <w:tmpl w:val="66484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6728928">
    <w:abstractNumId w:val="5"/>
  </w:num>
  <w:num w:numId="2" w16cid:durableId="22904150">
    <w:abstractNumId w:val="26"/>
  </w:num>
  <w:num w:numId="3" w16cid:durableId="79064401">
    <w:abstractNumId w:val="3"/>
  </w:num>
  <w:num w:numId="4" w16cid:durableId="1283028339">
    <w:abstractNumId w:val="29"/>
  </w:num>
  <w:num w:numId="5" w16cid:durableId="849568663">
    <w:abstractNumId w:val="15"/>
  </w:num>
  <w:num w:numId="6" w16cid:durableId="785780381">
    <w:abstractNumId w:val="42"/>
  </w:num>
  <w:num w:numId="7" w16cid:durableId="92282775">
    <w:abstractNumId w:val="25"/>
  </w:num>
  <w:num w:numId="8" w16cid:durableId="970749773">
    <w:abstractNumId w:val="32"/>
  </w:num>
  <w:num w:numId="9" w16cid:durableId="278536860">
    <w:abstractNumId w:val="30"/>
  </w:num>
  <w:num w:numId="10" w16cid:durableId="1549759268">
    <w:abstractNumId w:val="22"/>
  </w:num>
  <w:num w:numId="11" w16cid:durableId="707292615">
    <w:abstractNumId w:val="24"/>
  </w:num>
  <w:num w:numId="12" w16cid:durableId="263270780">
    <w:abstractNumId w:val="0"/>
  </w:num>
  <w:num w:numId="13" w16cid:durableId="463619589">
    <w:abstractNumId w:val="28"/>
  </w:num>
  <w:num w:numId="14" w16cid:durableId="1983729138">
    <w:abstractNumId w:val="39"/>
  </w:num>
  <w:num w:numId="15" w16cid:durableId="1910458141">
    <w:abstractNumId w:val="13"/>
  </w:num>
  <w:num w:numId="16" w16cid:durableId="358504971">
    <w:abstractNumId w:val="18"/>
  </w:num>
  <w:num w:numId="17" w16cid:durableId="509873291">
    <w:abstractNumId w:val="35"/>
  </w:num>
  <w:num w:numId="18" w16cid:durableId="59251921">
    <w:abstractNumId w:val="33"/>
  </w:num>
  <w:num w:numId="19" w16cid:durableId="1600597169">
    <w:abstractNumId w:val="23"/>
  </w:num>
  <w:num w:numId="20" w16cid:durableId="1698501065">
    <w:abstractNumId w:val="36"/>
  </w:num>
  <w:num w:numId="21" w16cid:durableId="2036030618">
    <w:abstractNumId w:val="19"/>
  </w:num>
  <w:num w:numId="22" w16cid:durableId="2029479560">
    <w:abstractNumId w:val="8"/>
  </w:num>
  <w:num w:numId="23" w16cid:durableId="290210315">
    <w:abstractNumId w:val="31"/>
  </w:num>
  <w:num w:numId="24" w16cid:durableId="299654008">
    <w:abstractNumId w:val="6"/>
  </w:num>
  <w:num w:numId="25" w16cid:durableId="2009941561">
    <w:abstractNumId w:val="37"/>
  </w:num>
  <w:num w:numId="26" w16cid:durableId="24016152">
    <w:abstractNumId w:val="17"/>
  </w:num>
  <w:num w:numId="27" w16cid:durableId="552741531">
    <w:abstractNumId w:val="40"/>
  </w:num>
  <w:num w:numId="28" w16cid:durableId="1268927165">
    <w:abstractNumId w:val="38"/>
  </w:num>
  <w:num w:numId="29" w16cid:durableId="400180129">
    <w:abstractNumId w:val="11"/>
  </w:num>
  <w:num w:numId="30" w16cid:durableId="841505312">
    <w:abstractNumId w:val="2"/>
  </w:num>
  <w:num w:numId="31" w16cid:durableId="309485430">
    <w:abstractNumId w:val="9"/>
  </w:num>
  <w:num w:numId="32" w16cid:durableId="1736275205">
    <w:abstractNumId w:val="1"/>
  </w:num>
  <w:num w:numId="33" w16cid:durableId="957682878">
    <w:abstractNumId w:val="41"/>
  </w:num>
  <w:num w:numId="34" w16cid:durableId="102189824">
    <w:abstractNumId w:val="27"/>
  </w:num>
  <w:num w:numId="35" w16cid:durableId="1884360921">
    <w:abstractNumId w:val="16"/>
  </w:num>
  <w:num w:numId="36" w16cid:durableId="883642989">
    <w:abstractNumId w:val="7"/>
  </w:num>
  <w:num w:numId="37" w16cid:durableId="314069134">
    <w:abstractNumId w:val="4"/>
  </w:num>
  <w:num w:numId="38" w16cid:durableId="1486316626">
    <w:abstractNumId w:val="20"/>
  </w:num>
  <w:num w:numId="39" w16cid:durableId="1417752297">
    <w:abstractNumId w:val="10"/>
  </w:num>
  <w:num w:numId="40" w16cid:durableId="75632566">
    <w:abstractNumId w:val="14"/>
  </w:num>
  <w:num w:numId="41" w16cid:durableId="1699576353">
    <w:abstractNumId w:val="21"/>
  </w:num>
  <w:num w:numId="42" w16cid:durableId="1099957744">
    <w:abstractNumId w:val="34"/>
  </w:num>
  <w:num w:numId="43" w16cid:durableId="571886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A48"/>
    <w:rsid w:val="00004F1A"/>
    <w:rsid w:val="0001226A"/>
    <w:rsid w:val="00032B3B"/>
    <w:rsid w:val="00053926"/>
    <w:rsid w:val="00073673"/>
    <w:rsid w:val="000A4473"/>
    <w:rsid w:val="000B2EA0"/>
    <w:rsid w:val="000C2D49"/>
    <w:rsid w:val="000D3EBD"/>
    <w:rsid w:val="000E0B41"/>
    <w:rsid w:val="00102004"/>
    <w:rsid w:val="0011319A"/>
    <w:rsid w:val="0011777D"/>
    <w:rsid w:val="001301EA"/>
    <w:rsid w:val="00131A40"/>
    <w:rsid w:val="0014109D"/>
    <w:rsid w:val="00161151"/>
    <w:rsid w:val="00181776"/>
    <w:rsid w:val="001A0A97"/>
    <w:rsid w:val="001B45AA"/>
    <w:rsid w:val="001F04D6"/>
    <w:rsid w:val="001F530E"/>
    <w:rsid w:val="00200844"/>
    <w:rsid w:val="00202DED"/>
    <w:rsid w:val="0024716F"/>
    <w:rsid w:val="0028769D"/>
    <w:rsid w:val="0029251E"/>
    <w:rsid w:val="002D55EC"/>
    <w:rsid w:val="002F04D4"/>
    <w:rsid w:val="003127F3"/>
    <w:rsid w:val="003304D7"/>
    <w:rsid w:val="00336480"/>
    <w:rsid w:val="00344822"/>
    <w:rsid w:val="00356BD9"/>
    <w:rsid w:val="0037797C"/>
    <w:rsid w:val="003950DA"/>
    <w:rsid w:val="003A2E8D"/>
    <w:rsid w:val="003B4D8D"/>
    <w:rsid w:val="003F1637"/>
    <w:rsid w:val="00430664"/>
    <w:rsid w:val="00430C22"/>
    <w:rsid w:val="00444C63"/>
    <w:rsid w:val="004560CB"/>
    <w:rsid w:val="004610CC"/>
    <w:rsid w:val="004D5485"/>
    <w:rsid w:val="004D7D98"/>
    <w:rsid w:val="004F63BE"/>
    <w:rsid w:val="00515D0D"/>
    <w:rsid w:val="00533017"/>
    <w:rsid w:val="00545712"/>
    <w:rsid w:val="0056318B"/>
    <w:rsid w:val="005914F5"/>
    <w:rsid w:val="005A6478"/>
    <w:rsid w:val="005C0725"/>
    <w:rsid w:val="005D6FDC"/>
    <w:rsid w:val="005E4DC5"/>
    <w:rsid w:val="005F53D5"/>
    <w:rsid w:val="0061231A"/>
    <w:rsid w:val="00661A95"/>
    <w:rsid w:val="00670BF2"/>
    <w:rsid w:val="0068409D"/>
    <w:rsid w:val="006A144F"/>
    <w:rsid w:val="006D1AAD"/>
    <w:rsid w:val="006E09BD"/>
    <w:rsid w:val="006F0867"/>
    <w:rsid w:val="006F676B"/>
    <w:rsid w:val="007029CA"/>
    <w:rsid w:val="007118EA"/>
    <w:rsid w:val="00737605"/>
    <w:rsid w:val="00741511"/>
    <w:rsid w:val="007512C7"/>
    <w:rsid w:val="007720A6"/>
    <w:rsid w:val="0079752E"/>
    <w:rsid w:val="007C001C"/>
    <w:rsid w:val="007C03A2"/>
    <w:rsid w:val="007D322C"/>
    <w:rsid w:val="007E2377"/>
    <w:rsid w:val="007E69BE"/>
    <w:rsid w:val="0080098D"/>
    <w:rsid w:val="00802D20"/>
    <w:rsid w:val="00806D23"/>
    <w:rsid w:val="008257C8"/>
    <w:rsid w:val="00863CE8"/>
    <w:rsid w:val="00880A2F"/>
    <w:rsid w:val="008C0513"/>
    <w:rsid w:val="008C3E9B"/>
    <w:rsid w:val="00926AE7"/>
    <w:rsid w:val="009571E7"/>
    <w:rsid w:val="00964515"/>
    <w:rsid w:val="00965554"/>
    <w:rsid w:val="009664DF"/>
    <w:rsid w:val="009E35EA"/>
    <w:rsid w:val="00A031A4"/>
    <w:rsid w:val="00A12682"/>
    <w:rsid w:val="00A3256D"/>
    <w:rsid w:val="00A47F36"/>
    <w:rsid w:val="00A66B15"/>
    <w:rsid w:val="00AF2419"/>
    <w:rsid w:val="00AF319C"/>
    <w:rsid w:val="00AF420A"/>
    <w:rsid w:val="00B2381F"/>
    <w:rsid w:val="00B27434"/>
    <w:rsid w:val="00B52A98"/>
    <w:rsid w:val="00B63483"/>
    <w:rsid w:val="00B832F5"/>
    <w:rsid w:val="00B9369A"/>
    <w:rsid w:val="00B96135"/>
    <w:rsid w:val="00BD6D97"/>
    <w:rsid w:val="00BE68A3"/>
    <w:rsid w:val="00BE7651"/>
    <w:rsid w:val="00BF10CB"/>
    <w:rsid w:val="00C15AE2"/>
    <w:rsid w:val="00C66B05"/>
    <w:rsid w:val="00C8715B"/>
    <w:rsid w:val="00C87740"/>
    <w:rsid w:val="00CA1108"/>
    <w:rsid w:val="00CA6BBB"/>
    <w:rsid w:val="00CB09AB"/>
    <w:rsid w:val="00D11E8B"/>
    <w:rsid w:val="00D8391B"/>
    <w:rsid w:val="00D96410"/>
    <w:rsid w:val="00DB4E98"/>
    <w:rsid w:val="00DE18F5"/>
    <w:rsid w:val="00DE3CEC"/>
    <w:rsid w:val="00DF2A48"/>
    <w:rsid w:val="00DF32BC"/>
    <w:rsid w:val="00E265D7"/>
    <w:rsid w:val="00E805F5"/>
    <w:rsid w:val="00EC0552"/>
    <w:rsid w:val="00EF72A6"/>
    <w:rsid w:val="00F00898"/>
    <w:rsid w:val="00F04000"/>
    <w:rsid w:val="00F10B12"/>
    <w:rsid w:val="00F33B3C"/>
    <w:rsid w:val="00F40B9B"/>
    <w:rsid w:val="00F4185B"/>
    <w:rsid w:val="00F424ED"/>
    <w:rsid w:val="00F65B41"/>
    <w:rsid w:val="00FB459B"/>
    <w:rsid w:val="00FD4BDB"/>
    <w:rsid w:val="00FD7C17"/>
    <w:rsid w:val="00FF042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37163"/>
  <w15:chartTrackingRefBased/>
  <w15:docId w15:val="{BFF32B9C-F36A-844A-8FE8-258931C9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A48"/>
    <w:rPr>
      <w:rFonts w:ascii="Times New Roman" w:eastAsia="Times New Roman" w:hAnsi="Times New Roman" w:cs="Times New Roman"/>
      <w:kern w:val="0"/>
      <w:lang w:bidi="bn-IN"/>
      <w14:ligatures w14:val="none"/>
    </w:rPr>
  </w:style>
  <w:style w:type="paragraph" w:styleId="Heading1">
    <w:name w:val="heading 1"/>
    <w:basedOn w:val="Normal"/>
    <w:next w:val="Normal"/>
    <w:link w:val="Heading1Char"/>
    <w:uiPriority w:val="9"/>
    <w:qFormat/>
    <w:rsid w:val="00DF2A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2A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2A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2A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2A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2A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A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A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A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A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2A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2A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2A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2A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2A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A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A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A48"/>
    <w:rPr>
      <w:rFonts w:eastAsiaTheme="majorEastAsia" w:cstheme="majorBidi"/>
      <w:color w:val="272727" w:themeColor="text1" w:themeTint="D8"/>
    </w:rPr>
  </w:style>
  <w:style w:type="paragraph" w:styleId="Title">
    <w:name w:val="Title"/>
    <w:basedOn w:val="Normal"/>
    <w:next w:val="Normal"/>
    <w:link w:val="TitleChar"/>
    <w:uiPriority w:val="10"/>
    <w:qFormat/>
    <w:rsid w:val="00DF2A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A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A4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A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A4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2A48"/>
    <w:rPr>
      <w:i/>
      <w:iCs/>
      <w:color w:val="404040" w:themeColor="text1" w:themeTint="BF"/>
    </w:rPr>
  </w:style>
  <w:style w:type="paragraph" w:styleId="ListParagraph">
    <w:name w:val="List Paragraph"/>
    <w:basedOn w:val="Normal"/>
    <w:uiPriority w:val="34"/>
    <w:qFormat/>
    <w:rsid w:val="00DF2A48"/>
    <w:pPr>
      <w:ind w:left="720"/>
      <w:contextualSpacing/>
    </w:pPr>
  </w:style>
  <w:style w:type="character" w:styleId="IntenseEmphasis">
    <w:name w:val="Intense Emphasis"/>
    <w:basedOn w:val="DefaultParagraphFont"/>
    <w:uiPriority w:val="21"/>
    <w:qFormat/>
    <w:rsid w:val="00DF2A48"/>
    <w:rPr>
      <w:i/>
      <w:iCs/>
      <w:color w:val="0F4761" w:themeColor="accent1" w:themeShade="BF"/>
    </w:rPr>
  </w:style>
  <w:style w:type="paragraph" w:styleId="IntenseQuote">
    <w:name w:val="Intense Quote"/>
    <w:basedOn w:val="Normal"/>
    <w:next w:val="Normal"/>
    <w:link w:val="IntenseQuoteChar"/>
    <w:uiPriority w:val="30"/>
    <w:qFormat/>
    <w:rsid w:val="00DF2A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A48"/>
    <w:rPr>
      <w:i/>
      <w:iCs/>
      <w:color w:val="0F4761" w:themeColor="accent1" w:themeShade="BF"/>
    </w:rPr>
  </w:style>
  <w:style w:type="character" w:styleId="IntenseReference">
    <w:name w:val="Intense Reference"/>
    <w:basedOn w:val="DefaultParagraphFont"/>
    <w:uiPriority w:val="32"/>
    <w:qFormat/>
    <w:rsid w:val="00DF2A48"/>
    <w:rPr>
      <w:b/>
      <w:bCs/>
      <w:smallCaps/>
      <w:color w:val="0F4761" w:themeColor="accent1" w:themeShade="BF"/>
      <w:spacing w:val="5"/>
    </w:rPr>
  </w:style>
  <w:style w:type="paragraph" w:styleId="Footer">
    <w:name w:val="footer"/>
    <w:basedOn w:val="Normal"/>
    <w:link w:val="FooterChar"/>
    <w:uiPriority w:val="99"/>
    <w:unhideWhenUsed/>
    <w:rsid w:val="00DF2A48"/>
    <w:pPr>
      <w:tabs>
        <w:tab w:val="center" w:pos="4680"/>
        <w:tab w:val="right" w:pos="9360"/>
      </w:tabs>
    </w:pPr>
    <w:rPr>
      <w:rFonts w:asciiTheme="minorHAnsi" w:eastAsiaTheme="minorHAnsi" w:hAnsiTheme="minorHAnsi" w:cstheme="minorBidi"/>
      <w:kern w:val="2"/>
      <w:lang w:bidi="ar-SA"/>
      <w14:ligatures w14:val="standardContextual"/>
    </w:rPr>
  </w:style>
  <w:style w:type="character" w:customStyle="1" w:styleId="FooterChar">
    <w:name w:val="Footer Char"/>
    <w:basedOn w:val="DefaultParagraphFont"/>
    <w:link w:val="Footer"/>
    <w:uiPriority w:val="99"/>
    <w:rsid w:val="00DF2A48"/>
  </w:style>
  <w:style w:type="character" w:styleId="PageNumber">
    <w:name w:val="page number"/>
    <w:basedOn w:val="DefaultParagraphFont"/>
    <w:uiPriority w:val="99"/>
    <w:semiHidden/>
    <w:unhideWhenUsed/>
    <w:rsid w:val="00DF2A48"/>
  </w:style>
  <w:style w:type="paragraph" w:styleId="Header">
    <w:name w:val="header"/>
    <w:basedOn w:val="Normal"/>
    <w:link w:val="HeaderChar"/>
    <w:uiPriority w:val="99"/>
    <w:unhideWhenUsed/>
    <w:rsid w:val="00DF2A48"/>
    <w:pPr>
      <w:tabs>
        <w:tab w:val="center" w:pos="4680"/>
        <w:tab w:val="right" w:pos="9360"/>
      </w:tabs>
    </w:pPr>
    <w:rPr>
      <w:rFonts w:asciiTheme="minorHAnsi" w:eastAsiaTheme="minorHAnsi" w:hAnsiTheme="minorHAnsi" w:cstheme="minorBidi"/>
      <w:kern w:val="2"/>
      <w:lang w:bidi="ar-SA"/>
      <w14:ligatures w14:val="standardContextual"/>
    </w:rPr>
  </w:style>
  <w:style w:type="character" w:customStyle="1" w:styleId="HeaderChar">
    <w:name w:val="Header Char"/>
    <w:basedOn w:val="DefaultParagraphFont"/>
    <w:link w:val="Header"/>
    <w:uiPriority w:val="99"/>
    <w:rsid w:val="00DF2A48"/>
  </w:style>
  <w:style w:type="paragraph" w:customStyle="1" w:styleId="p1">
    <w:name w:val="p1"/>
    <w:basedOn w:val="Normal"/>
    <w:rsid w:val="00DF2A48"/>
    <w:rPr>
      <w:color w:val="000000"/>
      <w:sz w:val="18"/>
      <w:szCs w:val="18"/>
    </w:rPr>
  </w:style>
  <w:style w:type="character" w:styleId="Emphasis">
    <w:name w:val="Emphasis"/>
    <w:basedOn w:val="DefaultParagraphFont"/>
    <w:uiPriority w:val="20"/>
    <w:qFormat/>
    <w:rsid w:val="00DF2A48"/>
    <w:rPr>
      <w:i/>
      <w:iCs/>
    </w:rPr>
  </w:style>
  <w:style w:type="paragraph" w:styleId="NormalWeb">
    <w:name w:val="Normal (Web)"/>
    <w:basedOn w:val="Normal"/>
    <w:uiPriority w:val="99"/>
    <w:unhideWhenUsed/>
    <w:rsid w:val="00DF2A48"/>
    <w:pPr>
      <w:spacing w:before="100" w:beforeAutospacing="1" w:after="100" w:afterAutospacing="1"/>
    </w:pPr>
  </w:style>
  <w:style w:type="paragraph" w:customStyle="1" w:styleId="my-0">
    <w:name w:val="my-0"/>
    <w:basedOn w:val="Normal"/>
    <w:rsid w:val="00DF2A48"/>
    <w:pPr>
      <w:spacing w:before="100" w:beforeAutospacing="1" w:after="100" w:afterAutospacing="1"/>
    </w:pPr>
  </w:style>
  <w:style w:type="character" w:styleId="Hyperlink">
    <w:name w:val="Hyperlink"/>
    <w:basedOn w:val="DefaultParagraphFont"/>
    <w:uiPriority w:val="99"/>
    <w:unhideWhenUsed/>
    <w:rsid w:val="00DF2A48"/>
    <w:rPr>
      <w:color w:val="0000FF"/>
      <w:u w:val="single"/>
    </w:rPr>
  </w:style>
  <w:style w:type="paragraph" w:styleId="Caption">
    <w:name w:val="caption"/>
    <w:basedOn w:val="Normal"/>
    <w:next w:val="Normal"/>
    <w:uiPriority w:val="35"/>
    <w:unhideWhenUsed/>
    <w:qFormat/>
    <w:rsid w:val="00DF2A48"/>
    <w:pPr>
      <w:spacing w:after="200"/>
    </w:pPr>
    <w:rPr>
      <w:rFonts w:asciiTheme="minorHAnsi" w:eastAsiaTheme="minorHAnsi" w:hAnsiTheme="minorHAnsi" w:cstheme="minorBidi"/>
      <w:i/>
      <w:iCs/>
      <w:color w:val="0E2841" w:themeColor="text2"/>
      <w:kern w:val="2"/>
      <w:sz w:val="18"/>
      <w:szCs w:val="18"/>
      <w:lang w:bidi="ar-SA"/>
      <w14:ligatures w14:val="standardContextual"/>
    </w:rPr>
  </w:style>
  <w:style w:type="character" w:styleId="Strong">
    <w:name w:val="Strong"/>
    <w:basedOn w:val="DefaultParagraphFont"/>
    <w:uiPriority w:val="22"/>
    <w:qFormat/>
    <w:rsid w:val="00DF2A48"/>
    <w:rPr>
      <w:b/>
      <w:bCs/>
    </w:rPr>
  </w:style>
  <w:style w:type="character" w:customStyle="1" w:styleId="min-w-1rem">
    <w:name w:val="min-w-[1rem]"/>
    <w:basedOn w:val="DefaultParagraphFont"/>
    <w:rsid w:val="00DF2A48"/>
  </w:style>
  <w:style w:type="character" w:customStyle="1" w:styleId="whitespace-nowrap">
    <w:name w:val="whitespace-nowrap"/>
    <w:basedOn w:val="DefaultParagraphFont"/>
    <w:rsid w:val="00DF2A48"/>
  </w:style>
  <w:style w:type="character" w:styleId="FollowedHyperlink">
    <w:name w:val="FollowedHyperlink"/>
    <w:basedOn w:val="DefaultParagraphFont"/>
    <w:uiPriority w:val="99"/>
    <w:semiHidden/>
    <w:unhideWhenUsed/>
    <w:rsid w:val="00DF2A48"/>
    <w:rPr>
      <w:color w:val="96607D" w:themeColor="followedHyperlink"/>
      <w:u w:val="single"/>
    </w:rPr>
  </w:style>
  <w:style w:type="character" w:customStyle="1" w:styleId="name">
    <w:name w:val="name"/>
    <w:basedOn w:val="DefaultParagraphFont"/>
    <w:rsid w:val="00DF2A48"/>
  </w:style>
  <w:style w:type="character" w:customStyle="1" w:styleId="s1">
    <w:name w:val="s1"/>
    <w:basedOn w:val="DefaultParagraphFont"/>
    <w:rsid w:val="00DF2A48"/>
    <w:rPr>
      <w:rFonts w:ascii="Times New Roman" w:hAnsi="Times New Roman" w:cs="Times New Roman" w:hint="default"/>
      <w:sz w:val="11"/>
      <w:szCs w:val="11"/>
    </w:rPr>
  </w:style>
  <w:style w:type="character" w:customStyle="1" w:styleId="apple-converted-space">
    <w:name w:val="apple-converted-space"/>
    <w:basedOn w:val="DefaultParagraphFont"/>
    <w:rsid w:val="00DF2A48"/>
  </w:style>
  <w:style w:type="character" w:customStyle="1" w:styleId="identifier">
    <w:name w:val="identifier"/>
    <w:basedOn w:val="DefaultParagraphFont"/>
    <w:rsid w:val="00DF2A48"/>
  </w:style>
  <w:style w:type="character" w:customStyle="1" w:styleId="id-label">
    <w:name w:val="id-label"/>
    <w:basedOn w:val="DefaultParagraphFont"/>
    <w:rsid w:val="00DF2A48"/>
  </w:style>
  <w:style w:type="character" w:customStyle="1" w:styleId="italic">
    <w:name w:val="italic"/>
    <w:basedOn w:val="DefaultParagraphFont"/>
    <w:rsid w:val="00DF2A48"/>
  </w:style>
  <w:style w:type="character" w:styleId="CommentReference">
    <w:name w:val="annotation reference"/>
    <w:basedOn w:val="DefaultParagraphFont"/>
    <w:uiPriority w:val="99"/>
    <w:semiHidden/>
    <w:unhideWhenUsed/>
    <w:rsid w:val="00DF2A48"/>
    <w:rPr>
      <w:sz w:val="16"/>
      <w:szCs w:val="16"/>
    </w:rPr>
  </w:style>
  <w:style w:type="paragraph" w:styleId="CommentText">
    <w:name w:val="annotation text"/>
    <w:basedOn w:val="Normal"/>
    <w:link w:val="CommentTextChar"/>
    <w:uiPriority w:val="99"/>
    <w:unhideWhenUsed/>
    <w:rsid w:val="00DF2A48"/>
    <w:pPr>
      <w:spacing w:after="160"/>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DF2A48"/>
    <w:rPr>
      <w:kern w:val="0"/>
      <w:sz w:val="20"/>
      <w:szCs w:val="20"/>
      <w14:ligatures w14:val="none"/>
    </w:rPr>
  </w:style>
  <w:style w:type="paragraph" w:styleId="Revision">
    <w:name w:val="Revision"/>
    <w:hidden/>
    <w:uiPriority w:val="99"/>
    <w:semiHidden/>
    <w:rsid w:val="00DF2A48"/>
    <w:rPr>
      <w:rFonts w:ascii="Times New Roman" w:eastAsia="Times New Roman" w:hAnsi="Times New Roman" w:cs="Times New Roman"/>
      <w:kern w:val="0"/>
      <w:szCs w:val="30"/>
      <w:lang w:bidi="bn-IN"/>
      <w14:ligatures w14:val="none"/>
    </w:rPr>
  </w:style>
  <w:style w:type="paragraph" w:styleId="CommentSubject">
    <w:name w:val="annotation subject"/>
    <w:basedOn w:val="CommentText"/>
    <w:next w:val="CommentText"/>
    <w:link w:val="CommentSubjectChar"/>
    <w:uiPriority w:val="99"/>
    <w:semiHidden/>
    <w:unhideWhenUsed/>
    <w:rsid w:val="00DF2A48"/>
    <w:pPr>
      <w:spacing w:after="0"/>
    </w:pPr>
    <w:rPr>
      <w:rFonts w:ascii="Times New Roman" w:eastAsia="Times New Roman" w:hAnsi="Times New Roman" w:cs="Times New Roman"/>
      <w:b/>
      <w:bCs/>
      <w:szCs w:val="25"/>
      <w:lang w:bidi="bn-IN"/>
    </w:rPr>
  </w:style>
  <w:style w:type="character" w:customStyle="1" w:styleId="CommentSubjectChar">
    <w:name w:val="Comment Subject Char"/>
    <w:basedOn w:val="CommentTextChar"/>
    <w:link w:val="CommentSubject"/>
    <w:uiPriority w:val="99"/>
    <w:semiHidden/>
    <w:rsid w:val="00DF2A48"/>
    <w:rPr>
      <w:rFonts w:ascii="Times New Roman" w:eastAsia="Times New Roman" w:hAnsi="Times New Roman" w:cs="Times New Roman"/>
      <w:b/>
      <w:bCs/>
      <w:kern w:val="0"/>
      <w:sz w:val="20"/>
      <w:szCs w:val="25"/>
      <w:lang w:bidi="bn-IN"/>
      <w14:ligatures w14:val="none"/>
    </w:rPr>
  </w:style>
  <w:style w:type="paragraph" w:styleId="TOCHeading">
    <w:name w:val="TOC Heading"/>
    <w:basedOn w:val="Heading1"/>
    <w:next w:val="Normal"/>
    <w:uiPriority w:val="39"/>
    <w:unhideWhenUsed/>
    <w:qFormat/>
    <w:rsid w:val="00DF2A48"/>
    <w:pPr>
      <w:spacing w:before="480" w:after="0" w:line="276" w:lineRule="auto"/>
      <w:outlineLvl w:val="9"/>
    </w:pPr>
    <w:rPr>
      <w:b/>
      <w:bCs/>
      <w:sz w:val="28"/>
      <w:szCs w:val="28"/>
    </w:rPr>
  </w:style>
  <w:style w:type="paragraph" w:styleId="TOC2">
    <w:name w:val="toc 2"/>
    <w:basedOn w:val="Normal"/>
    <w:next w:val="Normal"/>
    <w:autoRedefine/>
    <w:uiPriority w:val="39"/>
    <w:unhideWhenUsed/>
    <w:rsid w:val="00DF2A48"/>
    <w:pPr>
      <w:ind w:left="240"/>
    </w:pPr>
    <w:rPr>
      <w:rFonts w:asciiTheme="minorHAnsi" w:hAnsiTheme="minorHAnsi" w:cs="Arial Unicode MS"/>
      <w:smallCaps/>
      <w:sz w:val="20"/>
      <w:szCs w:val="20"/>
    </w:rPr>
  </w:style>
  <w:style w:type="paragraph" w:styleId="TOC1">
    <w:name w:val="toc 1"/>
    <w:basedOn w:val="Normal"/>
    <w:next w:val="Normal"/>
    <w:autoRedefine/>
    <w:uiPriority w:val="39"/>
    <w:unhideWhenUsed/>
    <w:rsid w:val="00DF2A48"/>
    <w:pPr>
      <w:spacing w:before="120" w:after="120"/>
    </w:pPr>
    <w:rPr>
      <w:rFonts w:asciiTheme="minorHAnsi" w:hAnsiTheme="minorHAnsi" w:cs="Arial Unicode MS"/>
      <w:b/>
      <w:bCs/>
      <w:caps/>
      <w:sz w:val="20"/>
      <w:szCs w:val="20"/>
    </w:rPr>
  </w:style>
  <w:style w:type="paragraph" w:styleId="TOC3">
    <w:name w:val="toc 3"/>
    <w:basedOn w:val="Normal"/>
    <w:next w:val="Normal"/>
    <w:autoRedefine/>
    <w:uiPriority w:val="39"/>
    <w:unhideWhenUsed/>
    <w:rsid w:val="00DF2A48"/>
    <w:pPr>
      <w:ind w:left="480"/>
    </w:pPr>
    <w:rPr>
      <w:rFonts w:asciiTheme="minorHAnsi" w:hAnsiTheme="minorHAnsi" w:cs="Arial Unicode MS"/>
      <w:i/>
      <w:iCs/>
      <w:sz w:val="20"/>
      <w:szCs w:val="20"/>
    </w:rPr>
  </w:style>
  <w:style w:type="paragraph" w:styleId="TOC4">
    <w:name w:val="toc 4"/>
    <w:basedOn w:val="Normal"/>
    <w:next w:val="Normal"/>
    <w:autoRedefine/>
    <w:uiPriority w:val="39"/>
    <w:semiHidden/>
    <w:unhideWhenUsed/>
    <w:rsid w:val="00DF2A48"/>
    <w:pPr>
      <w:ind w:left="720"/>
    </w:pPr>
    <w:rPr>
      <w:rFonts w:asciiTheme="minorHAnsi" w:hAnsiTheme="minorHAnsi" w:cs="Arial Unicode MS"/>
      <w:sz w:val="18"/>
      <w:szCs w:val="18"/>
    </w:rPr>
  </w:style>
  <w:style w:type="paragraph" w:styleId="TOC5">
    <w:name w:val="toc 5"/>
    <w:basedOn w:val="Normal"/>
    <w:next w:val="Normal"/>
    <w:autoRedefine/>
    <w:uiPriority w:val="39"/>
    <w:semiHidden/>
    <w:unhideWhenUsed/>
    <w:rsid w:val="00DF2A48"/>
    <w:pPr>
      <w:ind w:left="960"/>
    </w:pPr>
    <w:rPr>
      <w:rFonts w:asciiTheme="minorHAnsi" w:hAnsiTheme="minorHAnsi" w:cs="Arial Unicode MS"/>
      <w:sz w:val="18"/>
      <w:szCs w:val="18"/>
    </w:rPr>
  </w:style>
  <w:style w:type="paragraph" w:styleId="TOC6">
    <w:name w:val="toc 6"/>
    <w:basedOn w:val="Normal"/>
    <w:next w:val="Normal"/>
    <w:autoRedefine/>
    <w:uiPriority w:val="39"/>
    <w:semiHidden/>
    <w:unhideWhenUsed/>
    <w:rsid w:val="00DF2A48"/>
    <w:pPr>
      <w:ind w:left="1200"/>
    </w:pPr>
    <w:rPr>
      <w:rFonts w:asciiTheme="minorHAnsi" w:hAnsiTheme="minorHAnsi" w:cs="Arial Unicode MS"/>
      <w:sz w:val="18"/>
      <w:szCs w:val="18"/>
    </w:rPr>
  </w:style>
  <w:style w:type="paragraph" w:styleId="TOC7">
    <w:name w:val="toc 7"/>
    <w:basedOn w:val="Normal"/>
    <w:next w:val="Normal"/>
    <w:autoRedefine/>
    <w:uiPriority w:val="39"/>
    <w:semiHidden/>
    <w:unhideWhenUsed/>
    <w:rsid w:val="00DF2A48"/>
    <w:pPr>
      <w:ind w:left="1440"/>
    </w:pPr>
    <w:rPr>
      <w:rFonts w:asciiTheme="minorHAnsi" w:hAnsiTheme="minorHAnsi" w:cs="Arial Unicode MS"/>
      <w:sz w:val="18"/>
      <w:szCs w:val="18"/>
    </w:rPr>
  </w:style>
  <w:style w:type="paragraph" w:styleId="TOC8">
    <w:name w:val="toc 8"/>
    <w:basedOn w:val="Normal"/>
    <w:next w:val="Normal"/>
    <w:autoRedefine/>
    <w:uiPriority w:val="39"/>
    <w:semiHidden/>
    <w:unhideWhenUsed/>
    <w:rsid w:val="00DF2A48"/>
    <w:pPr>
      <w:ind w:left="1680"/>
    </w:pPr>
    <w:rPr>
      <w:rFonts w:asciiTheme="minorHAnsi" w:hAnsiTheme="minorHAnsi" w:cs="Arial Unicode MS"/>
      <w:sz w:val="18"/>
      <w:szCs w:val="18"/>
    </w:rPr>
  </w:style>
  <w:style w:type="paragraph" w:styleId="TOC9">
    <w:name w:val="toc 9"/>
    <w:basedOn w:val="Normal"/>
    <w:next w:val="Normal"/>
    <w:autoRedefine/>
    <w:uiPriority w:val="39"/>
    <w:semiHidden/>
    <w:unhideWhenUsed/>
    <w:rsid w:val="00DF2A48"/>
    <w:pPr>
      <w:ind w:left="1920"/>
    </w:pPr>
    <w:rPr>
      <w:rFonts w:asciiTheme="minorHAnsi" w:hAnsiTheme="minorHAnsi" w:cs="Arial Unicode MS"/>
      <w:sz w:val="18"/>
      <w:szCs w:val="18"/>
    </w:rPr>
  </w:style>
  <w:style w:type="paragraph" w:styleId="TableofFigures">
    <w:name w:val="table of figures"/>
    <w:basedOn w:val="Normal"/>
    <w:next w:val="Normal"/>
    <w:uiPriority w:val="99"/>
    <w:unhideWhenUsed/>
    <w:rsid w:val="00DF2A48"/>
    <w:rPr>
      <w:szCs w:val="30"/>
    </w:rPr>
  </w:style>
  <w:style w:type="paragraph" w:styleId="FootnoteText">
    <w:name w:val="footnote text"/>
    <w:basedOn w:val="Normal"/>
    <w:link w:val="FootnoteTextChar"/>
    <w:uiPriority w:val="99"/>
    <w:semiHidden/>
    <w:unhideWhenUsed/>
    <w:rsid w:val="00DF2A48"/>
    <w:rPr>
      <w:sz w:val="20"/>
      <w:szCs w:val="25"/>
    </w:rPr>
  </w:style>
  <w:style w:type="character" w:customStyle="1" w:styleId="FootnoteTextChar">
    <w:name w:val="Footnote Text Char"/>
    <w:basedOn w:val="DefaultParagraphFont"/>
    <w:link w:val="FootnoteText"/>
    <w:uiPriority w:val="99"/>
    <w:semiHidden/>
    <w:rsid w:val="00DF2A48"/>
    <w:rPr>
      <w:rFonts w:ascii="Times New Roman" w:eastAsia="Times New Roman" w:hAnsi="Times New Roman" w:cs="Times New Roman"/>
      <w:kern w:val="0"/>
      <w:sz w:val="20"/>
      <w:szCs w:val="25"/>
      <w:lang w:bidi="bn-IN"/>
      <w14:ligatures w14:val="none"/>
    </w:rPr>
  </w:style>
  <w:style w:type="character" w:styleId="FootnoteReference">
    <w:name w:val="footnote reference"/>
    <w:basedOn w:val="DefaultParagraphFont"/>
    <w:uiPriority w:val="99"/>
    <w:semiHidden/>
    <w:unhideWhenUsed/>
    <w:rsid w:val="00DF2A48"/>
    <w:rPr>
      <w:vertAlign w:val="superscript"/>
    </w:rPr>
  </w:style>
  <w:style w:type="character" w:customStyle="1" w:styleId="title-text">
    <w:name w:val="title-text"/>
    <w:basedOn w:val="DefaultParagraphFont"/>
    <w:rsid w:val="00DF2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71"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8D9B4-6B61-3A44-AD7F-23B29D97E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106</Pages>
  <Words>65944</Words>
  <Characters>375886</Characters>
  <Application>Microsoft Office Word</Application>
  <DocSecurity>0</DocSecurity>
  <Lines>3132</Lines>
  <Paragraphs>881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Tabassum, Maliha</dc:creator>
  <cp:keywords/>
  <dc:description/>
  <cp:lastModifiedBy>Sherman, Abby</cp:lastModifiedBy>
  <cp:revision>2</cp:revision>
  <cp:lastPrinted>2025-07-26T20:25:00Z</cp:lastPrinted>
  <dcterms:created xsi:type="dcterms:W3CDTF">2025-08-11T18:39:00Z</dcterms:created>
  <dcterms:modified xsi:type="dcterms:W3CDTF">2025-08-11T18:39:00Z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447352bb-5b91-3e9e-b428-b93b349eb836</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