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5959" w:rsidRDefault="00F15959" w:rsidP="00F15959">
      <w:pPr>
        <w:spacing w:line="480" w:lineRule="auto"/>
        <w:jc w:val="center"/>
        <w:rPr>
          <w:b/>
          <w:sz w:val="28"/>
          <w:szCs w:val="28"/>
          <w:u w:val="single"/>
        </w:rPr>
      </w:pPr>
    </w:p>
    <w:p w:rsidR="00F15959" w:rsidRDefault="00F15959" w:rsidP="00F15959">
      <w:pPr>
        <w:spacing w:line="480" w:lineRule="auto"/>
        <w:jc w:val="center"/>
        <w:rPr>
          <w:b/>
          <w:sz w:val="28"/>
          <w:szCs w:val="28"/>
          <w:u w:val="single"/>
        </w:rPr>
      </w:pPr>
    </w:p>
    <w:p w:rsidR="00F15959" w:rsidRDefault="00F15959" w:rsidP="00F15959">
      <w:pPr>
        <w:spacing w:line="480" w:lineRule="auto"/>
        <w:jc w:val="center"/>
        <w:rPr>
          <w:b/>
          <w:sz w:val="28"/>
          <w:szCs w:val="28"/>
          <w:u w:val="single"/>
        </w:rPr>
      </w:pPr>
    </w:p>
    <w:p w:rsidR="00F15959" w:rsidRDefault="00F15959" w:rsidP="00F15959">
      <w:pPr>
        <w:spacing w:line="480" w:lineRule="auto"/>
        <w:jc w:val="center"/>
        <w:rPr>
          <w:b/>
          <w:sz w:val="28"/>
          <w:szCs w:val="28"/>
          <w:u w:val="single"/>
        </w:rPr>
      </w:pPr>
    </w:p>
    <w:p w:rsidR="00F15959" w:rsidRPr="00F15959" w:rsidRDefault="00F15959" w:rsidP="00F15959">
      <w:pPr>
        <w:spacing w:line="480" w:lineRule="auto"/>
        <w:jc w:val="center"/>
        <w:rPr>
          <w:b/>
          <w:sz w:val="44"/>
          <w:szCs w:val="44"/>
          <w:u w:val="single"/>
        </w:rPr>
      </w:pPr>
    </w:p>
    <w:p w:rsidR="00F15959" w:rsidRDefault="00F15959" w:rsidP="00C521EF">
      <w:pPr>
        <w:spacing w:line="480" w:lineRule="auto"/>
        <w:jc w:val="center"/>
        <w:rPr>
          <w:b/>
          <w:sz w:val="44"/>
          <w:szCs w:val="44"/>
          <w:u w:val="single"/>
        </w:rPr>
      </w:pPr>
      <w:r w:rsidRPr="00F15959">
        <w:rPr>
          <w:b/>
          <w:sz w:val="44"/>
          <w:szCs w:val="44"/>
          <w:u w:val="single"/>
        </w:rPr>
        <w:t>A Comparison of Active and Passive Portfolio Management</w:t>
      </w:r>
    </w:p>
    <w:p w:rsidR="00C521EF" w:rsidRPr="00C521EF" w:rsidRDefault="00C521EF" w:rsidP="00C521EF">
      <w:pPr>
        <w:spacing w:line="480" w:lineRule="auto"/>
        <w:rPr>
          <w:b/>
          <w:sz w:val="44"/>
          <w:szCs w:val="44"/>
          <w:u w:val="single"/>
        </w:rPr>
      </w:pPr>
    </w:p>
    <w:p w:rsidR="00F15959" w:rsidRDefault="00F15959" w:rsidP="00C521EF">
      <w:pPr>
        <w:spacing w:line="480" w:lineRule="auto"/>
        <w:jc w:val="center"/>
        <w:rPr>
          <w:b/>
          <w:sz w:val="28"/>
          <w:szCs w:val="28"/>
        </w:rPr>
      </w:pPr>
      <w:r w:rsidRPr="005E54B0">
        <w:rPr>
          <w:b/>
          <w:sz w:val="28"/>
          <w:szCs w:val="28"/>
        </w:rPr>
        <w:t>Christopher C. Cox</w:t>
      </w:r>
    </w:p>
    <w:p w:rsidR="00C521EF" w:rsidRPr="005E54B0" w:rsidRDefault="00C521EF" w:rsidP="00F15959">
      <w:pPr>
        <w:spacing w:line="480" w:lineRule="auto"/>
        <w:jc w:val="center"/>
        <w:rPr>
          <w:b/>
          <w:sz w:val="28"/>
          <w:szCs w:val="28"/>
        </w:rPr>
      </w:pPr>
      <w:r>
        <w:rPr>
          <w:b/>
          <w:sz w:val="28"/>
          <w:szCs w:val="28"/>
        </w:rPr>
        <w:t>May 1, 2017</w:t>
      </w:r>
    </w:p>
    <w:p w:rsidR="00F15959" w:rsidRDefault="00F15959" w:rsidP="00F15959">
      <w:pPr>
        <w:spacing w:line="480" w:lineRule="auto"/>
        <w:jc w:val="center"/>
        <w:rPr>
          <w:b/>
          <w:sz w:val="28"/>
          <w:szCs w:val="28"/>
          <w:u w:val="single"/>
        </w:rPr>
      </w:pPr>
    </w:p>
    <w:p w:rsidR="00F15959" w:rsidRDefault="00F15959" w:rsidP="00F15959">
      <w:pPr>
        <w:spacing w:line="480" w:lineRule="auto"/>
        <w:jc w:val="center"/>
        <w:rPr>
          <w:b/>
          <w:sz w:val="28"/>
          <w:szCs w:val="28"/>
          <w:u w:val="single"/>
        </w:rPr>
      </w:pPr>
    </w:p>
    <w:p w:rsidR="00F15959" w:rsidRDefault="00F15959" w:rsidP="00F15959">
      <w:pPr>
        <w:spacing w:line="480" w:lineRule="auto"/>
        <w:jc w:val="center"/>
        <w:rPr>
          <w:b/>
          <w:sz w:val="28"/>
          <w:szCs w:val="28"/>
          <w:u w:val="single"/>
        </w:rPr>
      </w:pPr>
    </w:p>
    <w:p w:rsidR="00F15959" w:rsidRDefault="00F15959" w:rsidP="00F15959">
      <w:pPr>
        <w:spacing w:line="480" w:lineRule="auto"/>
        <w:rPr>
          <w:b/>
          <w:sz w:val="28"/>
          <w:szCs w:val="28"/>
          <w:u w:val="single"/>
        </w:rPr>
      </w:pPr>
    </w:p>
    <w:p w:rsidR="00EF125B" w:rsidRDefault="00EF125B" w:rsidP="00F15959">
      <w:pPr>
        <w:spacing w:line="480" w:lineRule="auto"/>
        <w:jc w:val="center"/>
        <w:rPr>
          <w:b/>
          <w:sz w:val="28"/>
          <w:szCs w:val="28"/>
          <w:u w:val="single"/>
        </w:rPr>
      </w:pPr>
      <w:r w:rsidRPr="00EF125B">
        <w:rPr>
          <w:b/>
          <w:sz w:val="28"/>
          <w:szCs w:val="28"/>
          <w:u w:val="single"/>
        </w:rPr>
        <w:lastRenderedPageBreak/>
        <w:t>Introduction</w:t>
      </w:r>
    </w:p>
    <w:p w:rsidR="003F06E6" w:rsidRDefault="00EF125B" w:rsidP="003F06E6">
      <w:pPr>
        <w:spacing w:line="480" w:lineRule="auto"/>
        <w:ind w:firstLine="720"/>
        <w:rPr>
          <w:sz w:val="24"/>
          <w:szCs w:val="24"/>
        </w:rPr>
      </w:pPr>
      <w:r>
        <w:rPr>
          <w:sz w:val="24"/>
          <w:szCs w:val="24"/>
        </w:rPr>
        <w:t>In today’s society</w:t>
      </w:r>
      <w:r w:rsidR="0054474B">
        <w:rPr>
          <w:sz w:val="24"/>
          <w:szCs w:val="24"/>
        </w:rPr>
        <w:t>,</w:t>
      </w:r>
      <w:r>
        <w:rPr>
          <w:sz w:val="24"/>
          <w:szCs w:val="24"/>
        </w:rPr>
        <w:t xml:space="preserve"> unsophisticated investors are offered more investment options than ever.  The financial services </w:t>
      </w:r>
      <w:r w:rsidR="00270C4F">
        <w:rPr>
          <w:sz w:val="24"/>
          <w:szCs w:val="24"/>
        </w:rPr>
        <w:t xml:space="preserve">and insurance </w:t>
      </w:r>
      <w:r>
        <w:rPr>
          <w:sz w:val="24"/>
          <w:szCs w:val="24"/>
        </w:rPr>
        <w:t xml:space="preserve">industry </w:t>
      </w:r>
      <w:r w:rsidR="00270C4F">
        <w:rPr>
          <w:sz w:val="24"/>
          <w:szCs w:val="24"/>
        </w:rPr>
        <w:t>accounted for 7.2% of the United States gross domestic product in 2015 and this industry is expected to experience rapid growth due to the retirement of the baby boomer generation</w:t>
      </w:r>
      <w:r w:rsidR="00751DA2">
        <w:rPr>
          <w:sz w:val="24"/>
          <w:szCs w:val="24"/>
        </w:rPr>
        <w:t xml:space="preserve"> (</w:t>
      </w:r>
      <w:r w:rsidR="00FD094B">
        <w:rPr>
          <w:sz w:val="24"/>
          <w:szCs w:val="24"/>
        </w:rPr>
        <w:t>“Financial” 1</w:t>
      </w:r>
      <w:r w:rsidR="00751DA2">
        <w:rPr>
          <w:sz w:val="24"/>
          <w:szCs w:val="24"/>
        </w:rPr>
        <w:t>)</w:t>
      </w:r>
      <w:r w:rsidR="00270C4F">
        <w:rPr>
          <w:sz w:val="24"/>
          <w:szCs w:val="24"/>
        </w:rPr>
        <w:t xml:space="preserve">.  It is an extremely important industry that affects all individuals, not only those pursuing careers in finance.  With the increase of investment </w:t>
      </w:r>
      <w:r w:rsidR="007D4A45">
        <w:rPr>
          <w:sz w:val="24"/>
          <w:szCs w:val="24"/>
        </w:rPr>
        <w:t>vehicles</w:t>
      </w:r>
      <w:r w:rsidR="00270C4F">
        <w:rPr>
          <w:sz w:val="24"/>
          <w:szCs w:val="24"/>
        </w:rPr>
        <w:t xml:space="preserve"> available to all individuals</w:t>
      </w:r>
      <w:r w:rsidR="00F15959">
        <w:rPr>
          <w:sz w:val="24"/>
          <w:szCs w:val="24"/>
        </w:rPr>
        <w:t>,</w:t>
      </w:r>
      <w:r w:rsidR="00270C4F">
        <w:rPr>
          <w:sz w:val="24"/>
          <w:szCs w:val="24"/>
        </w:rPr>
        <w:t xml:space="preserve"> it is increasingly important for all working professionals to understand their options when it comes to investing their </w:t>
      </w:r>
      <w:r w:rsidR="00AC6F80">
        <w:rPr>
          <w:sz w:val="24"/>
          <w:szCs w:val="24"/>
        </w:rPr>
        <w:t>hard-earned</w:t>
      </w:r>
      <w:r w:rsidR="00270C4F">
        <w:rPr>
          <w:sz w:val="24"/>
          <w:szCs w:val="24"/>
        </w:rPr>
        <w:t xml:space="preserve"> money.  </w:t>
      </w:r>
    </w:p>
    <w:p w:rsidR="00F66B43" w:rsidRDefault="00270C4F" w:rsidP="003F06E6">
      <w:pPr>
        <w:spacing w:line="480" w:lineRule="auto"/>
        <w:ind w:firstLine="720"/>
        <w:rPr>
          <w:sz w:val="24"/>
          <w:szCs w:val="24"/>
        </w:rPr>
      </w:pPr>
      <w:r>
        <w:rPr>
          <w:sz w:val="24"/>
          <w:szCs w:val="24"/>
        </w:rPr>
        <w:t>Broadly speaking</w:t>
      </w:r>
      <w:r w:rsidR="0054474B">
        <w:rPr>
          <w:sz w:val="24"/>
          <w:szCs w:val="24"/>
        </w:rPr>
        <w:t>,</w:t>
      </w:r>
      <w:r>
        <w:rPr>
          <w:sz w:val="24"/>
          <w:szCs w:val="24"/>
        </w:rPr>
        <w:t xml:space="preserve"> there are two </w:t>
      </w:r>
      <w:r w:rsidR="007E058A">
        <w:rPr>
          <w:sz w:val="24"/>
          <w:szCs w:val="24"/>
        </w:rPr>
        <w:t>basic investment strategies tha</w:t>
      </w:r>
      <w:r w:rsidR="00BC2873">
        <w:rPr>
          <w:sz w:val="24"/>
          <w:szCs w:val="24"/>
        </w:rPr>
        <w:t>t investors must decide between;</w:t>
      </w:r>
      <w:r w:rsidR="007E058A">
        <w:rPr>
          <w:sz w:val="24"/>
          <w:szCs w:val="24"/>
        </w:rPr>
        <w:t xml:space="preserve"> active </w:t>
      </w:r>
      <w:r w:rsidR="0054474B">
        <w:rPr>
          <w:sz w:val="24"/>
          <w:szCs w:val="24"/>
        </w:rPr>
        <w:t xml:space="preserve">and </w:t>
      </w:r>
      <w:r w:rsidR="007E058A">
        <w:rPr>
          <w:sz w:val="24"/>
          <w:szCs w:val="24"/>
        </w:rPr>
        <w:t>passive</w:t>
      </w:r>
      <w:r w:rsidR="0054474B">
        <w:rPr>
          <w:sz w:val="24"/>
          <w:szCs w:val="24"/>
        </w:rPr>
        <w:t xml:space="preserve"> portfolio</w:t>
      </w:r>
      <w:r w:rsidR="007E058A">
        <w:rPr>
          <w:sz w:val="24"/>
          <w:szCs w:val="24"/>
        </w:rPr>
        <w:t xml:space="preserve"> management.  Some individuals choose to invest their capital in actively managed mutual funds</w:t>
      </w:r>
      <w:r w:rsidR="0048232F">
        <w:rPr>
          <w:sz w:val="24"/>
          <w:szCs w:val="24"/>
        </w:rPr>
        <w:t>,</w:t>
      </w:r>
      <w:r w:rsidR="007E058A">
        <w:rPr>
          <w:sz w:val="24"/>
          <w:szCs w:val="24"/>
        </w:rPr>
        <w:t xml:space="preserve"> while others invest in passively managed index funds.  These strategies are fundamentally different in their views of market efficiency.</w:t>
      </w:r>
      <w:r w:rsidR="00BC2873">
        <w:rPr>
          <w:sz w:val="24"/>
          <w:szCs w:val="24"/>
        </w:rPr>
        <w:t xml:space="preserve">  A</w:t>
      </w:r>
      <w:r w:rsidR="00F15959">
        <w:rPr>
          <w:sz w:val="24"/>
          <w:szCs w:val="24"/>
        </w:rPr>
        <w:t>ctive management</w:t>
      </w:r>
      <w:r w:rsidR="00BC2873">
        <w:rPr>
          <w:sz w:val="24"/>
          <w:szCs w:val="24"/>
        </w:rPr>
        <w:t xml:space="preserve"> commonly</w:t>
      </w:r>
      <w:r w:rsidR="00F15959">
        <w:rPr>
          <w:sz w:val="24"/>
          <w:szCs w:val="24"/>
        </w:rPr>
        <w:t xml:space="preserve"> occurs when an individual gives control of their capital to someone, such as a portfolio manager or financial advisor, who charges a fee to invest t</w:t>
      </w:r>
      <w:r w:rsidR="00BC2873">
        <w:rPr>
          <w:sz w:val="24"/>
          <w:szCs w:val="24"/>
        </w:rPr>
        <w:t>heir capital and manage the</w:t>
      </w:r>
      <w:r w:rsidR="00F15959">
        <w:rPr>
          <w:sz w:val="24"/>
          <w:szCs w:val="24"/>
        </w:rPr>
        <w:t xml:space="preserve"> investments.  Inherently, </w:t>
      </w:r>
      <w:r w:rsidR="00BC2873">
        <w:rPr>
          <w:sz w:val="24"/>
          <w:szCs w:val="24"/>
        </w:rPr>
        <w:t>investors utilizin</w:t>
      </w:r>
      <w:r w:rsidR="00F15959">
        <w:rPr>
          <w:sz w:val="24"/>
          <w:szCs w:val="24"/>
        </w:rPr>
        <w:t>g such a strategy should view markets as inefficient, as they are paying a fee for managers to find alpha, or excess r</w:t>
      </w:r>
      <w:r w:rsidR="00473BCD">
        <w:rPr>
          <w:sz w:val="24"/>
          <w:szCs w:val="24"/>
        </w:rPr>
        <w:t>eturn compared to the expected return on the market for securities with equal risk.  Individuals who passively invest in index funds have a different view of market efficiency.  They perceive markets as efficient</w:t>
      </w:r>
      <w:r w:rsidR="0048232F">
        <w:rPr>
          <w:sz w:val="24"/>
          <w:szCs w:val="24"/>
        </w:rPr>
        <w:t>,</w:t>
      </w:r>
      <w:r w:rsidR="00473BCD">
        <w:rPr>
          <w:sz w:val="24"/>
          <w:szCs w:val="24"/>
        </w:rPr>
        <w:t xml:space="preserve"> and therefore do not believe there is excess return to be found.  Because of this</w:t>
      </w:r>
      <w:r w:rsidR="00BC2873">
        <w:rPr>
          <w:sz w:val="24"/>
          <w:szCs w:val="24"/>
        </w:rPr>
        <w:t>,</w:t>
      </w:r>
      <w:r w:rsidR="00473BCD">
        <w:rPr>
          <w:sz w:val="24"/>
          <w:szCs w:val="24"/>
        </w:rPr>
        <w:t xml:space="preserve"> they invest in index funds that mirror specific market indexes, such as the S&amp;P 500 or the Russell </w:t>
      </w:r>
      <w:r w:rsidR="00473BCD">
        <w:rPr>
          <w:sz w:val="24"/>
          <w:szCs w:val="24"/>
        </w:rPr>
        <w:lastRenderedPageBreak/>
        <w:t xml:space="preserve">1000.  As a result, their </w:t>
      </w:r>
      <w:r w:rsidR="00BC2873">
        <w:rPr>
          <w:sz w:val="24"/>
          <w:szCs w:val="24"/>
        </w:rPr>
        <w:t>return is equal to the return of</w:t>
      </w:r>
      <w:r w:rsidR="00473BCD">
        <w:rPr>
          <w:sz w:val="24"/>
          <w:szCs w:val="24"/>
        </w:rPr>
        <w:t xml:space="preserve"> the market index</w:t>
      </w:r>
      <w:r w:rsidR="0048232F">
        <w:rPr>
          <w:sz w:val="24"/>
          <w:szCs w:val="24"/>
        </w:rPr>
        <w:t>,</w:t>
      </w:r>
      <w:r w:rsidR="00473BCD">
        <w:rPr>
          <w:sz w:val="24"/>
          <w:szCs w:val="24"/>
        </w:rPr>
        <w:t xml:space="preserve"> and </w:t>
      </w:r>
      <w:r w:rsidR="00BC2873">
        <w:rPr>
          <w:sz w:val="24"/>
          <w:szCs w:val="24"/>
        </w:rPr>
        <w:t>their</w:t>
      </w:r>
      <w:r w:rsidR="00B1762B">
        <w:rPr>
          <w:sz w:val="24"/>
          <w:szCs w:val="24"/>
        </w:rPr>
        <w:t xml:space="preserve"> </w:t>
      </w:r>
      <w:r w:rsidR="00473BCD">
        <w:rPr>
          <w:sz w:val="24"/>
          <w:szCs w:val="24"/>
        </w:rPr>
        <w:t>risk profile mimics that of the market index.  This strategy yields a higher return if markets are efficient</w:t>
      </w:r>
      <w:r w:rsidR="00D97A84">
        <w:rPr>
          <w:sz w:val="24"/>
          <w:szCs w:val="24"/>
        </w:rPr>
        <w:t>,</w:t>
      </w:r>
      <w:r w:rsidR="00473BCD">
        <w:rPr>
          <w:sz w:val="24"/>
          <w:szCs w:val="24"/>
        </w:rPr>
        <w:t xml:space="preserve"> </w:t>
      </w:r>
      <w:r w:rsidR="00D97A84">
        <w:rPr>
          <w:sz w:val="24"/>
          <w:szCs w:val="24"/>
        </w:rPr>
        <w:t>as passive investments offer the</w:t>
      </w:r>
      <w:r w:rsidR="00473BCD">
        <w:rPr>
          <w:sz w:val="24"/>
          <w:szCs w:val="24"/>
        </w:rPr>
        <w:t xml:space="preserve"> chance to </w:t>
      </w:r>
      <w:r w:rsidR="00D97A84">
        <w:rPr>
          <w:sz w:val="24"/>
          <w:szCs w:val="24"/>
        </w:rPr>
        <w:t>invest for a minimal cost and receive the return of</w:t>
      </w:r>
      <w:r w:rsidR="00473BCD">
        <w:rPr>
          <w:sz w:val="24"/>
          <w:szCs w:val="24"/>
        </w:rPr>
        <w:t xml:space="preserve"> the market index without encountering the considerable fees and expenses associated with actively managed </w:t>
      </w:r>
      <w:r w:rsidR="00D97A84">
        <w:rPr>
          <w:sz w:val="24"/>
          <w:szCs w:val="24"/>
        </w:rPr>
        <w:t xml:space="preserve">mutual </w:t>
      </w:r>
      <w:r w:rsidR="00473BCD">
        <w:rPr>
          <w:sz w:val="24"/>
          <w:szCs w:val="24"/>
        </w:rPr>
        <w:t>funds.</w:t>
      </w:r>
      <w:r w:rsidR="003F06E6">
        <w:rPr>
          <w:sz w:val="24"/>
          <w:szCs w:val="24"/>
        </w:rPr>
        <w:t xml:space="preserve">  In this scenario</w:t>
      </w:r>
      <w:r w:rsidR="00D97A84">
        <w:rPr>
          <w:sz w:val="24"/>
          <w:szCs w:val="24"/>
        </w:rPr>
        <w:t>,</w:t>
      </w:r>
      <w:r w:rsidR="003F06E6">
        <w:rPr>
          <w:sz w:val="24"/>
          <w:szCs w:val="24"/>
        </w:rPr>
        <w:t xml:space="preserve"> actively managed funds would have the same average return as index funds, but the net of fees return would be significantly lower for actively managed funds.  </w:t>
      </w:r>
      <w:r w:rsidR="00D97A84">
        <w:rPr>
          <w:sz w:val="24"/>
          <w:szCs w:val="24"/>
        </w:rPr>
        <w:t>I</w:t>
      </w:r>
      <w:r w:rsidR="003F06E6">
        <w:rPr>
          <w:sz w:val="24"/>
          <w:szCs w:val="24"/>
        </w:rPr>
        <w:t>f markets are inefficient</w:t>
      </w:r>
      <w:r w:rsidR="00D97A84">
        <w:rPr>
          <w:sz w:val="24"/>
          <w:szCs w:val="24"/>
        </w:rPr>
        <w:t>, on the other hand,</w:t>
      </w:r>
      <w:r w:rsidR="003F06E6">
        <w:rPr>
          <w:sz w:val="24"/>
          <w:szCs w:val="24"/>
        </w:rPr>
        <w:t xml:space="preserve"> portfolio managers have the opportunity to deliver alpha by exploiting mispricings and taking advantage of arbitrage opportunities. </w:t>
      </w:r>
      <w:r w:rsidR="00F66B43">
        <w:rPr>
          <w:sz w:val="24"/>
          <w:szCs w:val="24"/>
        </w:rPr>
        <w:t xml:space="preserve"> </w:t>
      </w:r>
      <w:r w:rsidR="00D97A84">
        <w:rPr>
          <w:sz w:val="24"/>
          <w:szCs w:val="24"/>
        </w:rPr>
        <w:t>However, even if portfolio managers are able to outperform their benchmark funds,</w:t>
      </w:r>
      <w:r w:rsidR="00F66B43">
        <w:rPr>
          <w:sz w:val="24"/>
          <w:szCs w:val="24"/>
        </w:rPr>
        <w:t xml:space="preserve"> the alpha </w:t>
      </w:r>
      <w:r w:rsidR="00D97A84">
        <w:rPr>
          <w:sz w:val="24"/>
          <w:szCs w:val="24"/>
        </w:rPr>
        <w:t>of the fund</w:t>
      </w:r>
      <w:r w:rsidR="00F66B43">
        <w:rPr>
          <w:sz w:val="24"/>
          <w:szCs w:val="24"/>
        </w:rPr>
        <w:t xml:space="preserve"> must be greater than the fees and expenses incurred by the investor in order to make the actively managed fund a superior investment.  </w:t>
      </w:r>
    </w:p>
    <w:p w:rsidR="00761084" w:rsidRDefault="00F66B43" w:rsidP="00761084">
      <w:pPr>
        <w:spacing w:line="480" w:lineRule="auto"/>
        <w:ind w:firstLine="720"/>
        <w:rPr>
          <w:sz w:val="24"/>
          <w:szCs w:val="24"/>
        </w:rPr>
      </w:pPr>
      <w:r>
        <w:rPr>
          <w:sz w:val="24"/>
          <w:szCs w:val="24"/>
        </w:rPr>
        <w:t>When deciding between</w:t>
      </w:r>
      <w:r w:rsidR="00D97A84">
        <w:rPr>
          <w:sz w:val="24"/>
          <w:szCs w:val="24"/>
        </w:rPr>
        <w:t xml:space="preserve"> an</w:t>
      </w:r>
      <w:r>
        <w:rPr>
          <w:sz w:val="24"/>
          <w:szCs w:val="24"/>
        </w:rPr>
        <w:t xml:space="preserve"> active and passive investment </w:t>
      </w:r>
      <w:r w:rsidR="00D97A84">
        <w:rPr>
          <w:sz w:val="24"/>
          <w:szCs w:val="24"/>
        </w:rPr>
        <w:t xml:space="preserve">approach, </w:t>
      </w:r>
      <w:r>
        <w:rPr>
          <w:sz w:val="24"/>
          <w:szCs w:val="24"/>
        </w:rPr>
        <w:t xml:space="preserve">there are a number of questions that investors must ask themselves.  The first </w:t>
      </w:r>
      <w:r w:rsidR="00D97A84">
        <w:rPr>
          <w:sz w:val="24"/>
          <w:szCs w:val="24"/>
        </w:rPr>
        <w:t>and most important of these questions is are markets efficient</w:t>
      </w:r>
      <w:r>
        <w:rPr>
          <w:sz w:val="24"/>
          <w:szCs w:val="24"/>
        </w:rPr>
        <w:t>?  As mentioned earlier</w:t>
      </w:r>
      <w:r w:rsidR="00D97A84">
        <w:rPr>
          <w:sz w:val="24"/>
          <w:szCs w:val="24"/>
        </w:rPr>
        <w:t>,</w:t>
      </w:r>
      <w:r>
        <w:rPr>
          <w:sz w:val="24"/>
          <w:szCs w:val="24"/>
        </w:rPr>
        <w:t xml:space="preserve"> investors with an efficient </w:t>
      </w:r>
      <w:r w:rsidR="00F562B9">
        <w:rPr>
          <w:sz w:val="24"/>
          <w:szCs w:val="24"/>
        </w:rPr>
        <w:t>markets view</w:t>
      </w:r>
      <w:r>
        <w:rPr>
          <w:sz w:val="24"/>
          <w:szCs w:val="24"/>
        </w:rPr>
        <w:t xml:space="preserve"> should utilize passive investing strategies, while those who view markets as inefficient should instead consider active management.</w:t>
      </w:r>
      <w:r w:rsidR="00F562B9">
        <w:rPr>
          <w:sz w:val="24"/>
          <w:szCs w:val="24"/>
        </w:rPr>
        <w:t xml:space="preserve">  It may also be important to decide </w:t>
      </w:r>
      <w:r w:rsidR="00D97A84">
        <w:rPr>
          <w:sz w:val="24"/>
          <w:szCs w:val="24"/>
        </w:rPr>
        <w:t>whether you are</w:t>
      </w:r>
      <w:r w:rsidR="00F562B9">
        <w:rPr>
          <w:sz w:val="24"/>
          <w:szCs w:val="24"/>
        </w:rPr>
        <w:t xml:space="preserve"> interested in investing </w:t>
      </w:r>
      <w:r w:rsidR="00D97A84">
        <w:rPr>
          <w:sz w:val="24"/>
          <w:szCs w:val="24"/>
        </w:rPr>
        <w:t>domestically or in foreign markets</w:t>
      </w:r>
      <w:r w:rsidR="00F562B9">
        <w:rPr>
          <w:sz w:val="24"/>
          <w:szCs w:val="24"/>
        </w:rPr>
        <w:t>.  Because not all markets are regulated equally, it is possible for markets to be efficient in the United States</w:t>
      </w:r>
      <w:r w:rsidR="00761084">
        <w:rPr>
          <w:sz w:val="24"/>
          <w:szCs w:val="24"/>
        </w:rPr>
        <w:t xml:space="preserve">, but </w:t>
      </w:r>
      <w:r w:rsidR="00F562B9">
        <w:rPr>
          <w:sz w:val="24"/>
          <w:szCs w:val="24"/>
        </w:rPr>
        <w:t>in</w:t>
      </w:r>
      <w:r w:rsidR="00761084">
        <w:rPr>
          <w:sz w:val="24"/>
          <w:szCs w:val="24"/>
        </w:rPr>
        <w:t>efficient</w:t>
      </w:r>
      <w:r w:rsidR="00B1762B">
        <w:rPr>
          <w:sz w:val="24"/>
          <w:szCs w:val="24"/>
        </w:rPr>
        <w:t xml:space="preserve"> in</w:t>
      </w:r>
      <w:r w:rsidR="00F562B9">
        <w:rPr>
          <w:sz w:val="24"/>
          <w:szCs w:val="24"/>
        </w:rPr>
        <w:t xml:space="preserve"> emerging markets.</w:t>
      </w:r>
      <w:r w:rsidR="00761084">
        <w:rPr>
          <w:sz w:val="24"/>
          <w:szCs w:val="24"/>
        </w:rPr>
        <w:t xml:space="preserve">  Under this assumption, active management would be costly in the United States, but would provide a greater net of fees return in emerging markets.</w:t>
      </w:r>
      <w:r w:rsidR="00F562B9">
        <w:rPr>
          <w:sz w:val="24"/>
          <w:szCs w:val="24"/>
        </w:rPr>
        <w:t xml:space="preserve">  Additionally, investors should consider their ideal asset allocation and whether they are interested in investing in specific market sectors or a broad market index.  Those wishing to have specific </w:t>
      </w:r>
      <w:r w:rsidR="00F562B9">
        <w:rPr>
          <w:sz w:val="24"/>
          <w:szCs w:val="24"/>
        </w:rPr>
        <w:lastRenderedPageBreak/>
        <w:t xml:space="preserve">asset class and sector weightings may benefit from active management as it gives them control over the portfolio.  However, investors who want to easily attain a well-diversified portfolio without regard to asset class and sector weightings would be well suited for a passive investing approach.  </w:t>
      </w:r>
      <w:r w:rsidR="00761084">
        <w:rPr>
          <w:sz w:val="24"/>
          <w:szCs w:val="24"/>
        </w:rPr>
        <w:t xml:space="preserve">Finally, you must ask yourself if you have the skillset and time to manage your own money.  It is possible that there are other benefits from active management aside from excess return.  </w:t>
      </w:r>
      <w:r w:rsidR="0048232F">
        <w:rPr>
          <w:sz w:val="24"/>
          <w:szCs w:val="24"/>
        </w:rPr>
        <w:t>The</w:t>
      </w:r>
      <w:r w:rsidR="00761084" w:rsidRPr="00FD094B">
        <w:rPr>
          <w:sz w:val="24"/>
          <w:szCs w:val="24"/>
        </w:rPr>
        <w:t>s</w:t>
      </w:r>
      <w:r w:rsidR="0048232F">
        <w:rPr>
          <w:sz w:val="24"/>
          <w:szCs w:val="24"/>
        </w:rPr>
        <w:t>e</w:t>
      </w:r>
      <w:r w:rsidR="00761084" w:rsidRPr="00FD094B">
        <w:rPr>
          <w:sz w:val="24"/>
          <w:szCs w:val="24"/>
        </w:rPr>
        <w:t xml:space="preserve"> could include help with</w:t>
      </w:r>
      <w:r w:rsidR="009D672C" w:rsidRPr="00FD094B">
        <w:rPr>
          <w:sz w:val="24"/>
          <w:szCs w:val="24"/>
        </w:rPr>
        <w:t xml:space="preserve"> financial planning, achieving</w:t>
      </w:r>
      <w:r w:rsidR="00761084" w:rsidRPr="00FD094B">
        <w:rPr>
          <w:sz w:val="24"/>
          <w:szCs w:val="24"/>
        </w:rPr>
        <w:t xml:space="preserve"> target asse</w:t>
      </w:r>
      <w:r w:rsidR="009D672C" w:rsidRPr="00FD094B">
        <w:rPr>
          <w:sz w:val="24"/>
          <w:szCs w:val="24"/>
        </w:rPr>
        <w:t>t allocations,</w:t>
      </w:r>
      <w:r w:rsidR="00761084" w:rsidRPr="00FD094B">
        <w:rPr>
          <w:sz w:val="24"/>
          <w:szCs w:val="24"/>
        </w:rPr>
        <w:t xml:space="preserve"> </w:t>
      </w:r>
      <w:r w:rsidR="00FD094B" w:rsidRPr="00FD094B">
        <w:rPr>
          <w:sz w:val="24"/>
          <w:szCs w:val="24"/>
        </w:rPr>
        <w:t>managing risk</w:t>
      </w:r>
      <w:r w:rsidR="009D672C" w:rsidRPr="00FD094B">
        <w:rPr>
          <w:sz w:val="24"/>
          <w:szCs w:val="24"/>
        </w:rPr>
        <w:t>, and estate planning</w:t>
      </w:r>
      <w:r w:rsidR="00761084" w:rsidRPr="00FD094B">
        <w:rPr>
          <w:sz w:val="24"/>
          <w:szCs w:val="24"/>
        </w:rPr>
        <w:t>.</w:t>
      </w:r>
    </w:p>
    <w:p w:rsidR="00761084" w:rsidRDefault="00761084" w:rsidP="00761084">
      <w:pPr>
        <w:spacing w:line="480" w:lineRule="auto"/>
        <w:ind w:firstLine="720"/>
        <w:rPr>
          <w:sz w:val="24"/>
          <w:szCs w:val="24"/>
        </w:rPr>
      </w:pPr>
      <w:r>
        <w:rPr>
          <w:sz w:val="24"/>
          <w:szCs w:val="24"/>
        </w:rPr>
        <w:t>In this paper</w:t>
      </w:r>
      <w:r w:rsidR="009D672C">
        <w:rPr>
          <w:sz w:val="24"/>
          <w:szCs w:val="24"/>
        </w:rPr>
        <w:t>,</w:t>
      </w:r>
      <w:r>
        <w:rPr>
          <w:sz w:val="24"/>
          <w:szCs w:val="24"/>
        </w:rPr>
        <w:t xml:space="preserve"> I will analyze the role of active and passive investment stra</w:t>
      </w:r>
      <w:r w:rsidR="00F013A9">
        <w:rPr>
          <w:sz w:val="24"/>
          <w:szCs w:val="24"/>
        </w:rPr>
        <w:t>tegies in the United States.  T</w:t>
      </w:r>
      <w:r>
        <w:rPr>
          <w:sz w:val="24"/>
          <w:szCs w:val="24"/>
        </w:rPr>
        <w:t>he increased role of passive investments over time and the corresponding decrease in management fees and expenses associated with actively managed mutual funds</w:t>
      </w:r>
      <w:r w:rsidR="00F013A9">
        <w:rPr>
          <w:sz w:val="24"/>
          <w:szCs w:val="24"/>
        </w:rPr>
        <w:t xml:space="preserve"> will also be addressed</w:t>
      </w:r>
      <w:r>
        <w:rPr>
          <w:sz w:val="24"/>
          <w:szCs w:val="24"/>
        </w:rPr>
        <w:t>.  Additionally</w:t>
      </w:r>
      <w:r w:rsidR="00BD134F">
        <w:rPr>
          <w:sz w:val="24"/>
          <w:szCs w:val="24"/>
        </w:rPr>
        <w:t>, I will compare the returns and net of fees returns of actively managed mutual fund</w:t>
      </w:r>
      <w:r w:rsidR="00F013A9">
        <w:rPr>
          <w:sz w:val="24"/>
          <w:szCs w:val="24"/>
        </w:rPr>
        <w:t>s and their benchmarks</w:t>
      </w:r>
      <w:r w:rsidR="009D672C">
        <w:rPr>
          <w:sz w:val="24"/>
          <w:szCs w:val="24"/>
        </w:rPr>
        <w:t>,</w:t>
      </w:r>
      <w:r w:rsidR="00F013A9">
        <w:rPr>
          <w:sz w:val="24"/>
          <w:szCs w:val="24"/>
        </w:rPr>
        <w:t xml:space="preserve"> and I will</w:t>
      </w:r>
      <w:r w:rsidR="00BD134F">
        <w:rPr>
          <w:sz w:val="24"/>
          <w:szCs w:val="24"/>
        </w:rPr>
        <w:t xml:space="preserve"> look at the fee structures of these funds to determine which fees and expenses are the most costly to individuals utilizing active investment strategies.  </w:t>
      </w:r>
      <w:r w:rsidR="00F013A9">
        <w:rPr>
          <w:sz w:val="24"/>
          <w:szCs w:val="24"/>
        </w:rPr>
        <w:t xml:space="preserve">The asset allocation of the funds will also be analyzed in order to determine the optimal characteristics for a high performing actively managed mutual fund.  </w:t>
      </w:r>
      <w:r w:rsidR="00B1762B" w:rsidRPr="00FD094B">
        <w:rPr>
          <w:sz w:val="24"/>
          <w:szCs w:val="24"/>
        </w:rPr>
        <w:t>Furthermore</w:t>
      </w:r>
      <w:r w:rsidR="00F013A9" w:rsidRPr="00FD094B">
        <w:rPr>
          <w:sz w:val="24"/>
          <w:szCs w:val="24"/>
        </w:rPr>
        <w:t xml:space="preserve">, I will analyze the degree of market efficiency in the United States compared to </w:t>
      </w:r>
      <w:r w:rsidR="00FD094B" w:rsidRPr="00FD094B">
        <w:rPr>
          <w:sz w:val="24"/>
          <w:szCs w:val="24"/>
        </w:rPr>
        <w:t xml:space="preserve">EAFE and </w:t>
      </w:r>
      <w:r w:rsidR="00F013A9" w:rsidRPr="00FD094B">
        <w:rPr>
          <w:sz w:val="24"/>
          <w:szCs w:val="24"/>
        </w:rPr>
        <w:t>eme</w:t>
      </w:r>
      <w:r w:rsidR="00FD094B" w:rsidRPr="00FD094B">
        <w:rPr>
          <w:sz w:val="24"/>
          <w:szCs w:val="24"/>
        </w:rPr>
        <w:t>rging markets by comparing the benefits</w:t>
      </w:r>
      <w:r w:rsidR="00F013A9" w:rsidRPr="00FD094B">
        <w:rPr>
          <w:sz w:val="24"/>
          <w:szCs w:val="24"/>
        </w:rPr>
        <w:t xml:space="preserve"> of active mana</w:t>
      </w:r>
      <w:r w:rsidR="00FD094B" w:rsidRPr="00FD094B">
        <w:rPr>
          <w:sz w:val="24"/>
          <w:szCs w:val="24"/>
        </w:rPr>
        <w:t>gement in different geographic markets</w:t>
      </w:r>
      <w:r w:rsidR="00F013A9" w:rsidRPr="00FD094B">
        <w:rPr>
          <w:sz w:val="24"/>
          <w:szCs w:val="24"/>
        </w:rPr>
        <w:t>.</w:t>
      </w:r>
      <w:r w:rsidR="00B1762B">
        <w:rPr>
          <w:sz w:val="24"/>
          <w:szCs w:val="24"/>
        </w:rPr>
        <w:t xml:space="preserve">  Finally, through my analysis</w:t>
      </w:r>
      <w:r w:rsidR="009D672C">
        <w:rPr>
          <w:sz w:val="24"/>
          <w:szCs w:val="24"/>
        </w:rPr>
        <w:t>,</w:t>
      </w:r>
      <w:r w:rsidR="00B1762B">
        <w:rPr>
          <w:sz w:val="24"/>
          <w:szCs w:val="24"/>
        </w:rPr>
        <w:t xml:space="preserve"> I will answer the question that </w:t>
      </w:r>
      <w:r w:rsidR="00AC5D37">
        <w:rPr>
          <w:sz w:val="24"/>
          <w:szCs w:val="24"/>
        </w:rPr>
        <w:t>should be</w:t>
      </w:r>
      <w:r w:rsidR="00B1762B">
        <w:rPr>
          <w:sz w:val="24"/>
          <w:szCs w:val="24"/>
        </w:rPr>
        <w:t xml:space="preserve"> most important to all unsophisticated </w:t>
      </w:r>
      <w:r w:rsidR="00AC5D37">
        <w:rPr>
          <w:sz w:val="24"/>
          <w:szCs w:val="24"/>
        </w:rPr>
        <w:t>investors: Is it truly more beneficial to pay a fee to an advisor or portfolio manager to invest your capital than it is to invest in index funds and receive the market return?</w:t>
      </w:r>
    </w:p>
    <w:p w:rsidR="00AC5D37" w:rsidRDefault="00AC5D37" w:rsidP="00AC5D37">
      <w:pPr>
        <w:spacing w:line="480" w:lineRule="auto"/>
        <w:ind w:firstLine="720"/>
        <w:jc w:val="center"/>
        <w:rPr>
          <w:b/>
          <w:sz w:val="28"/>
          <w:szCs w:val="28"/>
          <w:u w:val="single"/>
        </w:rPr>
      </w:pPr>
      <w:r>
        <w:rPr>
          <w:b/>
          <w:sz w:val="28"/>
          <w:szCs w:val="28"/>
          <w:u w:val="single"/>
        </w:rPr>
        <w:lastRenderedPageBreak/>
        <w:t>Background</w:t>
      </w:r>
    </w:p>
    <w:p w:rsidR="00C54D2A" w:rsidRDefault="00AC5D37" w:rsidP="00C54D2A">
      <w:pPr>
        <w:spacing w:line="480" w:lineRule="auto"/>
        <w:ind w:firstLine="720"/>
        <w:rPr>
          <w:sz w:val="24"/>
          <w:szCs w:val="24"/>
        </w:rPr>
      </w:pPr>
      <w:r>
        <w:rPr>
          <w:sz w:val="24"/>
          <w:szCs w:val="24"/>
        </w:rPr>
        <w:t>Before proceeding to the analysis, it is important to have an understanding of what past research and studies have shown us regarding this topic.  The general consensus</w:t>
      </w:r>
      <w:r w:rsidR="00D524FF">
        <w:rPr>
          <w:sz w:val="24"/>
          <w:szCs w:val="24"/>
        </w:rPr>
        <w:t xml:space="preserve"> reached by past studies </w:t>
      </w:r>
      <w:r w:rsidR="007042E6">
        <w:rPr>
          <w:sz w:val="24"/>
          <w:szCs w:val="24"/>
        </w:rPr>
        <w:t>is</w:t>
      </w:r>
      <w:r w:rsidR="00D524FF">
        <w:rPr>
          <w:sz w:val="24"/>
          <w:szCs w:val="24"/>
        </w:rPr>
        <w:t xml:space="preserve"> that </w:t>
      </w:r>
      <w:r w:rsidR="007042E6">
        <w:rPr>
          <w:sz w:val="24"/>
          <w:szCs w:val="24"/>
        </w:rPr>
        <w:t xml:space="preserve">utilizing an </w:t>
      </w:r>
      <w:r w:rsidR="00D524FF">
        <w:rPr>
          <w:sz w:val="24"/>
          <w:szCs w:val="24"/>
        </w:rPr>
        <w:t>active management</w:t>
      </w:r>
      <w:r w:rsidR="007042E6">
        <w:rPr>
          <w:sz w:val="24"/>
          <w:szCs w:val="24"/>
        </w:rPr>
        <w:t xml:space="preserve"> strategy</w:t>
      </w:r>
      <w:r w:rsidR="00D524FF">
        <w:rPr>
          <w:sz w:val="24"/>
          <w:szCs w:val="24"/>
        </w:rPr>
        <w:t xml:space="preserve"> does not </w:t>
      </w:r>
      <w:r w:rsidR="007042E6">
        <w:rPr>
          <w:sz w:val="24"/>
          <w:szCs w:val="24"/>
        </w:rPr>
        <w:t xml:space="preserve">provide a superior payoff </w:t>
      </w:r>
      <w:r w:rsidR="00793B5B">
        <w:rPr>
          <w:sz w:val="24"/>
          <w:szCs w:val="24"/>
        </w:rPr>
        <w:t xml:space="preserve">compared to </w:t>
      </w:r>
      <w:r w:rsidR="007042E6">
        <w:rPr>
          <w:sz w:val="24"/>
          <w:szCs w:val="24"/>
        </w:rPr>
        <w:t>investing passively</w:t>
      </w:r>
      <w:r w:rsidR="00D524FF">
        <w:rPr>
          <w:sz w:val="24"/>
          <w:szCs w:val="24"/>
        </w:rPr>
        <w:t xml:space="preserve">.  A previous study by Eugene Fama and Kenneth French showed that very few portfolio managers are able to consistently produce greater net of </w:t>
      </w:r>
      <w:r w:rsidR="00793B5B">
        <w:rPr>
          <w:sz w:val="24"/>
          <w:szCs w:val="24"/>
        </w:rPr>
        <w:t xml:space="preserve">fees </w:t>
      </w:r>
      <w:r w:rsidR="00D524FF">
        <w:rPr>
          <w:sz w:val="24"/>
          <w:szCs w:val="24"/>
        </w:rPr>
        <w:t>returns th</w:t>
      </w:r>
      <w:r w:rsidR="009D672C">
        <w:rPr>
          <w:sz w:val="24"/>
          <w:szCs w:val="24"/>
        </w:rPr>
        <w:t>an that of their benchmark indic</w:t>
      </w:r>
      <w:r w:rsidR="00D524FF">
        <w:rPr>
          <w:sz w:val="24"/>
          <w:szCs w:val="24"/>
        </w:rPr>
        <w:t>es.</w:t>
      </w:r>
      <w:r w:rsidR="007042E6">
        <w:rPr>
          <w:sz w:val="24"/>
          <w:szCs w:val="24"/>
        </w:rPr>
        <w:t xml:space="preserve">  They concluded that when fees and expenses were not considered in mutual fund returns</w:t>
      </w:r>
      <w:r w:rsidR="009D672C">
        <w:rPr>
          <w:sz w:val="24"/>
          <w:szCs w:val="24"/>
        </w:rPr>
        <w:t>,</w:t>
      </w:r>
      <w:r w:rsidR="007042E6">
        <w:rPr>
          <w:sz w:val="24"/>
          <w:szCs w:val="24"/>
        </w:rPr>
        <w:t xml:space="preserve"> the return is equal to the market return.  However, the return to investors is significantly lower than the market return due to fees and expenses (Fama 1</w:t>
      </w:r>
      <w:r w:rsidR="00FD094B">
        <w:rPr>
          <w:sz w:val="24"/>
          <w:szCs w:val="24"/>
        </w:rPr>
        <w:t>921</w:t>
      </w:r>
      <w:r w:rsidR="007042E6">
        <w:rPr>
          <w:sz w:val="24"/>
          <w:szCs w:val="24"/>
        </w:rPr>
        <w:t xml:space="preserve">).  </w:t>
      </w:r>
      <w:r w:rsidR="00E611D9">
        <w:rPr>
          <w:sz w:val="24"/>
          <w:szCs w:val="24"/>
        </w:rPr>
        <w:t>D</w:t>
      </w:r>
      <w:r w:rsidR="00E611D9" w:rsidRPr="00E611D9">
        <w:rPr>
          <w:sz w:val="24"/>
          <w:szCs w:val="24"/>
        </w:rPr>
        <w:t>uring this study they discovered that from 1984 to 2006 “mutual fund investors in aggregate realize net returns that underperform CAPM, three-factor, and four-factor benchmarks by about the costs in expense ratios</w:t>
      </w:r>
      <w:r w:rsidR="00E611D9">
        <w:rPr>
          <w:sz w:val="24"/>
          <w:szCs w:val="24"/>
        </w:rPr>
        <w:t>” (</w:t>
      </w:r>
      <w:r w:rsidR="00E611D9" w:rsidRPr="008A42C2">
        <w:rPr>
          <w:sz w:val="24"/>
          <w:szCs w:val="24"/>
        </w:rPr>
        <w:t>Fama</w:t>
      </w:r>
      <w:r w:rsidR="008A42C2">
        <w:rPr>
          <w:sz w:val="24"/>
          <w:szCs w:val="24"/>
        </w:rPr>
        <w:t xml:space="preserve"> 19</w:t>
      </w:r>
      <w:r w:rsidR="00176746">
        <w:rPr>
          <w:sz w:val="24"/>
          <w:szCs w:val="24"/>
        </w:rPr>
        <w:t>4</w:t>
      </w:r>
      <w:r w:rsidR="008A42C2">
        <w:rPr>
          <w:sz w:val="24"/>
          <w:szCs w:val="24"/>
        </w:rPr>
        <w:t>1</w:t>
      </w:r>
      <w:r w:rsidR="00E611D9">
        <w:rPr>
          <w:sz w:val="24"/>
          <w:szCs w:val="24"/>
        </w:rPr>
        <w:t>).  This showed that there is very little alpha delivered by port</w:t>
      </w:r>
      <w:r w:rsidR="008A42C2">
        <w:rPr>
          <w:sz w:val="24"/>
          <w:szCs w:val="24"/>
        </w:rPr>
        <w:t>f</w:t>
      </w:r>
      <w:r w:rsidR="00E611D9">
        <w:rPr>
          <w:sz w:val="24"/>
          <w:szCs w:val="24"/>
        </w:rPr>
        <w:t>olio managers even before fees or expenses are considered.  Additionally, they concluded that the few portfolio managers who do beat the market in net of fees returns are overwhelmed by the vast majority of managers who fail to do so</w:t>
      </w:r>
      <w:r w:rsidR="00793B5B">
        <w:rPr>
          <w:sz w:val="24"/>
          <w:szCs w:val="24"/>
        </w:rPr>
        <w:t>.  They also show</w:t>
      </w:r>
      <w:r w:rsidR="008A42C2">
        <w:rPr>
          <w:sz w:val="24"/>
          <w:szCs w:val="24"/>
        </w:rPr>
        <w:t>ed</w:t>
      </w:r>
      <w:r w:rsidR="00E611D9">
        <w:rPr>
          <w:sz w:val="24"/>
          <w:szCs w:val="24"/>
        </w:rPr>
        <w:t xml:space="preserve"> </w:t>
      </w:r>
      <w:r w:rsidR="00793B5B">
        <w:rPr>
          <w:sz w:val="24"/>
          <w:szCs w:val="24"/>
        </w:rPr>
        <w:t>that many of the portfolio managers who beat the market return do so as a res</w:t>
      </w:r>
      <w:r w:rsidR="009D672C">
        <w:rPr>
          <w:sz w:val="24"/>
          <w:szCs w:val="24"/>
        </w:rPr>
        <w:t>ult of chance variation</w:t>
      </w:r>
      <w:r w:rsidR="008A42C2">
        <w:rPr>
          <w:sz w:val="24"/>
          <w:szCs w:val="24"/>
        </w:rPr>
        <w:t>,</w:t>
      </w:r>
      <w:r w:rsidR="009D672C">
        <w:rPr>
          <w:sz w:val="24"/>
          <w:szCs w:val="24"/>
        </w:rPr>
        <w:t xml:space="preserve"> and</w:t>
      </w:r>
      <w:r w:rsidR="00793B5B">
        <w:rPr>
          <w:sz w:val="24"/>
          <w:szCs w:val="24"/>
        </w:rPr>
        <w:t xml:space="preserve"> very few managers possess enough skill to consistently provide net of fees returns that exceed the return on the market (</w:t>
      </w:r>
      <w:r w:rsidR="00793B5B" w:rsidRPr="00176746">
        <w:rPr>
          <w:sz w:val="24"/>
          <w:szCs w:val="24"/>
        </w:rPr>
        <w:t>Fama</w:t>
      </w:r>
      <w:r w:rsidR="00176746">
        <w:rPr>
          <w:sz w:val="24"/>
          <w:szCs w:val="24"/>
        </w:rPr>
        <w:t xml:space="preserve"> 1941</w:t>
      </w:r>
      <w:r w:rsidR="00793B5B">
        <w:rPr>
          <w:sz w:val="24"/>
          <w:szCs w:val="24"/>
        </w:rPr>
        <w:t>).</w:t>
      </w:r>
      <w:r w:rsidR="00E611D9">
        <w:rPr>
          <w:sz w:val="24"/>
          <w:szCs w:val="24"/>
        </w:rPr>
        <w:t xml:space="preserve"> </w:t>
      </w:r>
    </w:p>
    <w:p w:rsidR="00C54D2A" w:rsidRDefault="00647432" w:rsidP="00C54D2A">
      <w:pPr>
        <w:spacing w:line="480" w:lineRule="auto"/>
        <w:ind w:firstLine="720"/>
        <w:rPr>
          <w:sz w:val="24"/>
          <w:szCs w:val="24"/>
        </w:rPr>
      </w:pPr>
      <w:r>
        <w:rPr>
          <w:sz w:val="24"/>
          <w:szCs w:val="24"/>
        </w:rPr>
        <w:t>In an earlier research paper</w:t>
      </w:r>
      <w:r w:rsidR="00C54D2A">
        <w:rPr>
          <w:sz w:val="24"/>
          <w:szCs w:val="24"/>
        </w:rPr>
        <w:t xml:space="preserve"> titled </w:t>
      </w:r>
      <w:r w:rsidR="00C54D2A" w:rsidRPr="00C54D2A">
        <w:rPr>
          <w:sz w:val="24"/>
          <w:szCs w:val="24"/>
        </w:rPr>
        <w:t>“Presidential Address: The Cost of Active Investing”</w:t>
      </w:r>
      <w:r w:rsidR="00C54D2A">
        <w:rPr>
          <w:sz w:val="24"/>
          <w:szCs w:val="24"/>
        </w:rPr>
        <w:t>,</w:t>
      </w:r>
      <w:r w:rsidR="00C54D2A">
        <w:rPr>
          <w:sz w:val="24"/>
          <w:szCs w:val="24"/>
          <w:u w:val="single"/>
        </w:rPr>
        <w:t xml:space="preserve"> </w:t>
      </w:r>
      <w:r>
        <w:rPr>
          <w:sz w:val="24"/>
          <w:szCs w:val="24"/>
        </w:rPr>
        <w:t>Kenneth French addressed this same topic and provided a theory that</w:t>
      </w:r>
      <w:r w:rsidR="009C6E79">
        <w:rPr>
          <w:sz w:val="24"/>
          <w:szCs w:val="24"/>
        </w:rPr>
        <w:t xml:space="preserve"> explained why active investors receive less return on investment than passive investors and</w:t>
      </w:r>
      <w:r>
        <w:rPr>
          <w:sz w:val="24"/>
          <w:szCs w:val="24"/>
        </w:rPr>
        <w:t xml:space="preserve"> suggested that it is </w:t>
      </w:r>
      <w:r>
        <w:rPr>
          <w:sz w:val="24"/>
          <w:szCs w:val="24"/>
        </w:rPr>
        <w:lastRenderedPageBreak/>
        <w:t>impossible for portfolio managers in aggregate to produce net of fees re</w:t>
      </w:r>
      <w:r w:rsidR="00793B5B">
        <w:rPr>
          <w:sz w:val="24"/>
          <w:szCs w:val="24"/>
        </w:rPr>
        <w:t>turns greater than the return on</w:t>
      </w:r>
      <w:r>
        <w:rPr>
          <w:sz w:val="24"/>
          <w:szCs w:val="24"/>
        </w:rPr>
        <w:t xml:space="preserve"> the market.  He refers to this theory as the no net-of-transfer assumption</w:t>
      </w:r>
      <w:r w:rsidR="009C6E79">
        <w:rPr>
          <w:sz w:val="24"/>
          <w:szCs w:val="24"/>
        </w:rPr>
        <w:t xml:space="preserve"> </w:t>
      </w:r>
      <w:r w:rsidR="009C6E79" w:rsidRPr="00176746">
        <w:rPr>
          <w:sz w:val="24"/>
          <w:szCs w:val="24"/>
        </w:rPr>
        <w:t>(French</w:t>
      </w:r>
      <w:r w:rsidR="00176746">
        <w:rPr>
          <w:sz w:val="24"/>
          <w:szCs w:val="24"/>
        </w:rPr>
        <w:t xml:space="preserve"> 1538</w:t>
      </w:r>
      <w:r w:rsidR="009C6E79">
        <w:rPr>
          <w:sz w:val="24"/>
          <w:szCs w:val="24"/>
        </w:rPr>
        <w:t>)</w:t>
      </w:r>
      <w:r>
        <w:rPr>
          <w:sz w:val="24"/>
          <w:szCs w:val="24"/>
        </w:rPr>
        <w:t>.  This assumption states that passive investors receive returns equal to that of the market</w:t>
      </w:r>
      <w:r w:rsidR="009D672C">
        <w:rPr>
          <w:sz w:val="24"/>
          <w:szCs w:val="24"/>
        </w:rPr>
        <w:t xml:space="preserve"> index</w:t>
      </w:r>
      <w:r w:rsidR="00CD335D">
        <w:rPr>
          <w:sz w:val="24"/>
          <w:szCs w:val="24"/>
        </w:rPr>
        <w:t>,</w:t>
      </w:r>
      <w:r>
        <w:rPr>
          <w:sz w:val="24"/>
          <w:szCs w:val="24"/>
        </w:rPr>
        <w:t xml:space="preserve"> and therefore receive no alpha.</w:t>
      </w:r>
      <w:r w:rsidR="009C6E79">
        <w:rPr>
          <w:sz w:val="24"/>
          <w:szCs w:val="24"/>
        </w:rPr>
        <w:t xml:space="preserve">  </w:t>
      </w:r>
      <w:r w:rsidR="00793B5B">
        <w:rPr>
          <w:sz w:val="24"/>
          <w:szCs w:val="24"/>
        </w:rPr>
        <w:t xml:space="preserve">Additionally, </w:t>
      </w:r>
      <w:r w:rsidR="009D672C">
        <w:rPr>
          <w:sz w:val="24"/>
          <w:szCs w:val="24"/>
        </w:rPr>
        <w:t xml:space="preserve">it states that </w:t>
      </w:r>
      <w:r w:rsidR="00793B5B">
        <w:rPr>
          <w:sz w:val="24"/>
          <w:szCs w:val="24"/>
        </w:rPr>
        <w:t>any gain from active investments for one investor must result in a</w:t>
      </w:r>
      <w:r w:rsidR="009D672C">
        <w:rPr>
          <w:sz w:val="24"/>
          <w:szCs w:val="24"/>
        </w:rPr>
        <w:t>n equal</w:t>
      </w:r>
      <w:r w:rsidR="00793B5B">
        <w:rPr>
          <w:sz w:val="24"/>
          <w:szCs w:val="24"/>
        </w:rPr>
        <w:t xml:space="preserve"> loss for </w:t>
      </w:r>
      <w:r w:rsidR="00CD335D">
        <w:rPr>
          <w:sz w:val="24"/>
          <w:szCs w:val="24"/>
        </w:rPr>
        <w:t>other</w:t>
      </w:r>
      <w:r w:rsidR="00793B5B">
        <w:rPr>
          <w:sz w:val="24"/>
          <w:szCs w:val="24"/>
        </w:rPr>
        <w:t xml:space="preserve"> investor</w:t>
      </w:r>
      <w:r w:rsidR="00CD335D">
        <w:rPr>
          <w:sz w:val="24"/>
          <w:szCs w:val="24"/>
        </w:rPr>
        <w:t>s</w:t>
      </w:r>
      <w:r w:rsidR="00793B5B">
        <w:rPr>
          <w:sz w:val="24"/>
          <w:szCs w:val="24"/>
        </w:rPr>
        <w:t xml:space="preserve">.  </w:t>
      </w:r>
      <w:r w:rsidR="009C6E79">
        <w:rPr>
          <w:sz w:val="24"/>
          <w:szCs w:val="24"/>
        </w:rPr>
        <w:t xml:space="preserve">This in turn means that active investors are </w:t>
      </w:r>
      <w:r w:rsidR="009D672C">
        <w:rPr>
          <w:sz w:val="24"/>
          <w:szCs w:val="24"/>
        </w:rPr>
        <w:t>playing a zero sum game and</w:t>
      </w:r>
      <w:r w:rsidR="009C6E79">
        <w:rPr>
          <w:sz w:val="24"/>
          <w:szCs w:val="24"/>
        </w:rPr>
        <w:t xml:space="preserve"> the aggregate portfolio of all active investors must also have alpha equal to zero</w:t>
      </w:r>
      <w:r w:rsidR="00373F6E">
        <w:rPr>
          <w:sz w:val="24"/>
          <w:szCs w:val="24"/>
        </w:rPr>
        <w:t xml:space="preserve"> before</w:t>
      </w:r>
      <w:r w:rsidR="00793B5B">
        <w:rPr>
          <w:sz w:val="24"/>
          <w:szCs w:val="24"/>
        </w:rPr>
        <w:t xml:space="preserve"> fees and expenses</w:t>
      </w:r>
      <w:r w:rsidR="009C6E79">
        <w:rPr>
          <w:sz w:val="24"/>
          <w:szCs w:val="24"/>
        </w:rPr>
        <w:t>.  When you then consider the effects of fees and expenses</w:t>
      </w:r>
      <w:r w:rsidR="009D672C">
        <w:rPr>
          <w:sz w:val="24"/>
          <w:szCs w:val="24"/>
        </w:rPr>
        <w:t>,</w:t>
      </w:r>
      <w:r w:rsidR="009C6E79">
        <w:rPr>
          <w:sz w:val="24"/>
          <w:szCs w:val="24"/>
        </w:rPr>
        <w:t xml:space="preserve"> active investors </w:t>
      </w:r>
      <w:r w:rsidR="00373F6E">
        <w:rPr>
          <w:sz w:val="24"/>
          <w:szCs w:val="24"/>
        </w:rPr>
        <w:t xml:space="preserve">are playing a negative sum game and </w:t>
      </w:r>
      <w:r w:rsidR="009C6E79">
        <w:rPr>
          <w:sz w:val="24"/>
          <w:szCs w:val="24"/>
        </w:rPr>
        <w:t>receive</w:t>
      </w:r>
      <w:r w:rsidR="00CD335D">
        <w:rPr>
          <w:sz w:val="24"/>
          <w:szCs w:val="24"/>
        </w:rPr>
        <w:t xml:space="preserve"> net of fees returns that equal</w:t>
      </w:r>
      <w:r w:rsidR="009C6E79">
        <w:rPr>
          <w:sz w:val="24"/>
          <w:szCs w:val="24"/>
        </w:rPr>
        <w:t xml:space="preserve"> the market return minus fees and expenses</w:t>
      </w:r>
      <w:r w:rsidR="0016506A">
        <w:rPr>
          <w:sz w:val="24"/>
          <w:szCs w:val="24"/>
        </w:rPr>
        <w:t xml:space="preserve"> (</w:t>
      </w:r>
      <w:r w:rsidR="0016506A" w:rsidRPr="00176746">
        <w:rPr>
          <w:sz w:val="24"/>
          <w:szCs w:val="24"/>
        </w:rPr>
        <w:t>French</w:t>
      </w:r>
      <w:r w:rsidR="00176746">
        <w:rPr>
          <w:sz w:val="24"/>
          <w:szCs w:val="24"/>
        </w:rPr>
        <w:t xml:space="preserve"> 1538</w:t>
      </w:r>
      <w:r w:rsidR="0016506A">
        <w:rPr>
          <w:sz w:val="24"/>
          <w:szCs w:val="24"/>
        </w:rPr>
        <w:t>)</w:t>
      </w:r>
      <w:r w:rsidR="009C6E79">
        <w:rPr>
          <w:sz w:val="24"/>
          <w:szCs w:val="24"/>
        </w:rPr>
        <w:t>.</w:t>
      </w:r>
      <w:r w:rsidR="00F12A77">
        <w:rPr>
          <w:sz w:val="24"/>
          <w:szCs w:val="24"/>
        </w:rPr>
        <w:t xml:space="preserve">  French is careful to point out that </w:t>
      </w:r>
      <w:r w:rsidR="00373F6E">
        <w:rPr>
          <w:sz w:val="24"/>
          <w:szCs w:val="24"/>
        </w:rPr>
        <w:t>the fact that active investments are a negative sum game does not necessarily mean “that the cost of active investing is a pure loss to society” (</w:t>
      </w:r>
      <w:r w:rsidR="00373F6E" w:rsidRPr="00176746">
        <w:rPr>
          <w:sz w:val="24"/>
          <w:szCs w:val="24"/>
        </w:rPr>
        <w:t>French</w:t>
      </w:r>
      <w:r w:rsidR="00176746">
        <w:rPr>
          <w:sz w:val="24"/>
          <w:szCs w:val="24"/>
        </w:rPr>
        <w:t xml:space="preserve"> 1538</w:t>
      </w:r>
      <w:r w:rsidR="00373F6E">
        <w:rPr>
          <w:sz w:val="24"/>
          <w:szCs w:val="24"/>
        </w:rPr>
        <w:t xml:space="preserve">).  This is because active investors help to improve the accuracy of financial pricings.  He goes on to state that the cost of active investing is equal to society’s cost of price discovery and that this cost allows us to discover the optimal allocation of resources in society </w:t>
      </w:r>
      <w:r w:rsidR="00373F6E" w:rsidRPr="00176746">
        <w:rPr>
          <w:sz w:val="24"/>
          <w:szCs w:val="24"/>
        </w:rPr>
        <w:t>(French</w:t>
      </w:r>
      <w:r w:rsidR="00176746">
        <w:rPr>
          <w:sz w:val="24"/>
          <w:szCs w:val="24"/>
        </w:rPr>
        <w:t xml:space="preserve"> 1538</w:t>
      </w:r>
      <w:r w:rsidR="00373F6E">
        <w:rPr>
          <w:sz w:val="24"/>
          <w:szCs w:val="24"/>
        </w:rPr>
        <w:t>).</w:t>
      </w:r>
      <w:r w:rsidR="00F12A77">
        <w:rPr>
          <w:sz w:val="24"/>
          <w:szCs w:val="24"/>
        </w:rPr>
        <w:t xml:space="preserve"> </w:t>
      </w:r>
      <w:r w:rsidR="0016506A">
        <w:rPr>
          <w:sz w:val="24"/>
          <w:szCs w:val="24"/>
        </w:rPr>
        <w:t xml:space="preserve">  </w:t>
      </w:r>
      <w:r w:rsidR="009C6E79">
        <w:rPr>
          <w:sz w:val="24"/>
          <w:szCs w:val="24"/>
        </w:rPr>
        <w:t xml:space="preserve">Fama and French also discuss </w:t>
      </w:r>
      <w:r w:rsidR="00373F6E">
        <w:rPr>
          <w:sz w:val="24"/>
          <w:szCs w:val="24"/>
        </w:rPr>
        <w:t>the no net-of-transfer assumption</w:t>
      </w:r>
      <w:r w:rsidR="009C6E79">
        <w:rPr>
          <w:sz w:val="24"/>
          <w:szCs w:val="24"/>
        </w:rPr>
        <w:t xml:space="preserve"> in their joint research, but refer to it instead as equilibrium accounting (</w:t>
      </w:r>
      <w:r w:rsidR="009C6E79" w:rsidRPr="00176746">
        <w:rPr>
          <w:sz w:val="24"/>
          <w:szCs w:val="24"/>
        </w:rPr>
        <w:t>Fama</w:t>
      </w:r>
      <w:r w:rsidR="00176746">
        <w:rPr>
          <w:sz w:val="24"/>
          <w:szCs w:val="24"/>
        </w:rPr>
        <w:t xml:space="preserve"> 1915</w:t>
      </w:r>
      <w:r w:rsidR="009C6E79">
        <w:rPr>
          <w:sz w:val="24"/>
          <w:szCs w:val="24"/>
        </w:rPr>
        <w:t>).</w:t>
      </w:r>
      <w:r w:rsidR="0016506A">
        <w:rPr>
          <w:sz w:val="24"/>
          <w:szCs w:val="24"/>
        </w:rPr>
        <w:t xml:space="preserve">  </w:t>
      </w:r>
    </w:p>
    <w:p w:rsidR="004C6E14" w:rsidRPr="00504B74" w:rsidRDefault="0016506A" w:rsidP="004C6E14">
      <w:pPr>
        <w:spacing w:line="480" w:lineRule="auto"/>
        <w:ind w:firstLine="720"/>
        <w:rPr>
          <w:sz w:val="24"/>
          <w:szCs w:val="24"/>
        </w:rPr>
      </w:pPr>
      <w:r>
        <w:rPr>
          <w:sz w:val="24"/>
          <w:szCs w:val="24"/>
        </w:rPr>
        <w:t>Research such as that provide</w:t>
      </w:r>
      <w:r w:rsidR="003F2101">
        <w:rPr>
          <w:sz w:val="24"/>
          <w:szCs w:val="24"/>
        </w:rPr>
        <w:t>d</w:t>
      </w:r>
      <w:r>
        <w:rPr>
          <w:sz w:val="24"/>
          <w:szCs w:val="24"/>
        </w:rPr>
        <w:t xml:space="preserve"> by Fama and French help</w:t>
      </w:r>
      <w:r w:rsidR="003F2101">
        <w:rPr>
          <w:sz w:val="24"/>
          <w:szCs w:val="24"/>
        </w:rPr>
        <w:t>s</w:t>
      </w:r>
      <w:r>
        <w:rPr>
          <w:sz w:val="24"/>
          <w:szCs w:val="24"/>
        </w:rPr>
        <w:t xml:space="preserve"> to educate </w:t>
      </w:r>
      <w:r w:rsidR="003F2101">
        <w:rPr>
          <w:sz w:val="24"/>
          <w:szCs w:val="24"/>
        </w:rPr>
        <w:t xml:space="preserve">investors and provides evidence of the benefits of passive investing.  There are two important consequences that can be expected as a result of such research and evidence.  Firstly, one would expect an increase in the use of passive investment </w:t>
      </w:r>
      <w:r w:rsidR="002B76CD">
        <w:rPr>
          <w:sz w:val="24"/>
          <w:szCs w:val="24"/>
        </w:rPr>
        <w:t>vehicles</w:t>
      </w:r>
      <w:r w:rsidR="003F2101">
        <w:rPr>
          <w:sz w:val="24"/>
          <w:szCs w:val="24"/>
        </w:rPr>
        <w:t>.  Secondly, under the theory of market efficiency</w:t>
      </w:r>
      <w:r w:rsidR="002B76CD">
        <w:rPr>
          <w:sz w:val="24"/>
          <w:szCs w:val="24"/>
        </w:rPr>
        <w:t>,</w:t>
      </w:r>
      <w:r w:rsidR="003F2101">
        <w:rPr>
          <w:sz w:val="24"/>
          <w:szCs w:val="24"/>
        </w:rPr>
        <w:t xml:space="preserve"> fees and expenses for mutual funds </w:t>
      </w:r>
      <w:r w:rsidR="002B76CD">
        <w:rPr>
          <w:sz w:val="24"/>
          <w:szCs w:val="24"/>
        </w:rPr>
        <w:t>should</w:t>
      </w:r>
      <w:r w:rsidR="003F2101">
        <w:rPr>
          <w:sz w:val="24"/>
          <w:szCs w:val="24"/>
        </w:rPr>
        <w:t xml:space="preserve"> be lowered until they are equal to the alpha provi</w:t>
      </w:r>
      <w:r w:rsidR="002B76CD">
        <w:rPr>
          <w:sz w:val="24"/>
          <w:szCs w:val="24"/>
        </w:rPr>
        <w:t>ded, so mutual funds</w:t>
      </w:r>
      <w:r w:rsidR="003F2101">
        <w:rPr>
          <w:sz w:val="24"/>
          <w:szCs w:val="24"/>
        </w:rPr>
        <w:t xml:space="preserve"> provide a return equal to that of passive investments.  </w:t>
      </w:r>
      <w:r w:rsidR="00C54D2A">
        <w:rPr>
          <w:sz w:val="24"/>
          <w:szCs w:val="24"/>
        </w:rPr>
        <w:lastRenderedPageBreak/>
        <w:t xml:space="preserve">French’s research provides evidence </w:t>
      </w:r>
      <w:r w:rsidR="002B76CD">
        <w:rPr>
          <w:sz w:val="24"/>
          <w:szCs w:val="24"/>
        </w:rPr>
        <w:t>that this is occurring</w:t>
      </w:r>
      <w:r w:rsidR="00C54D2A">
        <w:rPr>
          <w:sz w:val="24"/>
          <w:szCs w:val="24"/>
        </w:rPr>
        <w:t>.  He concludes that over time</w:t>
      </w:r>
      <w:r w:rsidR="002B76CD">
        <w:rPr>
          <w:sz w:val="24"/>
          <w:szCs w:val="24"/>
        </w:rPr>
        <w:t>,</w:t>
      </w:r>
      <w:r w:rsidR="00C54D2A">
        <w:rPr>
          <w:sz w:val="24"/>
          <w:szCs w:val="24"/>
        </w:rPr>
        <w:t xml:space="preserve"> institutions have increasingly started using passive strategies for more of their U.S. equity holdings and states </w:t>
      </w:r>
      <w:r w:rsidR="00C54D2A" w:rsidRPr="00C54D2A">
        <w:rPr>
          <w:sz w:val="24"/>
          <w:szCs w:val="24"/>
        </w:rPr>
        <w:t xml:space="preserve">that “the fees and expenses for </w:t>
      </w:r>
      <w:r w:rsidR="00C54D2A" w:rsidRPr="00C25FF4">
        <w:rPr>
          <w:sz w:val="24"/>
          <w:szCs w:val="24"/>
        </w:rPr>
        <w:t>mutual funds fall from 2.08</w:t>
      </w:r>
      <w:r w:rsidR="00C54D2A" w:rsidRPr="00C54D2A">
        <w:rPr>
          <w:sz w:val="24"/>
          <w:szCs w:val="24"/>
        </w:rPr>
        <w:t xml:space="preserve">% of assets </w:t>
      </w:r>
      <w:r w:rsidR="00C54D2A" w:rsidRPr="00504B74">
        <w:rPr>
          <w:sz w:val="24"/>
          <w:szCs w:val="24"/>
        </w:rPr>
        <w:t xml:space="preserve">under management in 1980 to 0.95% in 2006” </w:t>
      </w:r>
      <w:r w:rsidR="00C54D2A" w:rsidRPr="00C25FF4">
        <w:rPr>
          <w:sz w:val="24"/>
          <w:szCs w:val="24"/>
        </w:rPr>
        <w:t>(French</w:t>
      </w:r>
      <w:r w:rsidR="00C25FF4">
        <w:rPr>
          <w:sz w:val="24"/>
          <w:szCs w:val="24"/>
        </w:rPr>
        <w:t xml:space="preserve"> 1539</w:t>
      </w:r>
      <w:r w:rsidR="00C54D2A" w:rsidRPr="00504B74">
        <w:rPr>
          <w:sz w:val="24"/>
          <w:szCs w:val="24"/>
        </w:rPr>
        <w:t xml:space="preserve">).  A 2016 study published in the Journal of Financial Economics also backs up this evidence.  </w:t>
      </w:r>
      <w:r w:rsidR="00F12A77" w:rsidRPr="00504B74">
        <w:rPr>
          <w:sz w:val="24"/>
          <w:szCs w:val="24"/>
        </w:rPr>
        <w:t>It showed that “much of the recent growth in assets in the mutual fund industry</w:t>
      </w:r>
      <w:r w:rsidR="00C54D2A" w:rsidRPr="00504B74">
        <w:rPr>
          <w:sz w:val="24"/>
          <w:szCs w:val="24"/>
        </w:rPr>
        <w:t xml:space="preserve"> </w:t>
      </w:r>
      <w:r w:rsidR="00F12A77" w:rsidRPr="00504B74">
        <w:rPr>
          <w:sz w:val="24"/>
          <w:szCs w:val="24"/>
        </w:rPr>
        <w:t>has been in explicitly indexed equity funds [index funds and exchange-traded funds (ETFs)], which have grown from constituting about 14% of assets under management in 2002 to about 22% in 2010” (Cremers</w:t>
      </w:r>
      <w:r w:rsidR="00B3346A" w:rsidRPr="00504B74">
        <w:rPr>
          <w:sz w:val="24"/>
          <w:szCs w:val="24"/>
        </w:rPr>
        <w:t xml:space="preserve"> 2</w:t>
      </w:r>
      <w:r w:rsidR="00F12A77" w:rsidRPr="00504B74">
        <w:rPr>
          <w:sz w:val="24"/>
          <w:szCs w:val="24"/>
        </w:rPr>
        <w:t>).</w:t>
      </w:r>
      <w:r w:rsidR="009D3B46" w:rsidRPr="00504B74">
        <w:rPr>
          <w:sz w:val="24"/>
          <w:szCs w:val="24"/>
        </w:rPr>
        <w:t xml:space="preserve">  However, this paper also shows that there is more passive investing going on than initially meets the eye.  They state that many “actively managed mutual funds” are in fact utilizing passive investing strategies by holding a portfolio that is very similar to that of the benchmark index.</w:t>
      </w:r>
      <w:r w:rsidR="00B3346A" w:rsidRPr="00504B74">
        <w:rPr>
          <w:sz w:val="24"/>
          <w:szCs w:val="24"/>
        </w:rPr>
        <w:t xml:space="preserve">  They refer to this as closet indexing and define “closet indexers as funds with an active share below 60%” (Cremers 3).</w:t>
      </w:r>
      <w:r w:rsidR="005C6CFD" w:rsidRPr="00504B74">
        <w:rPr>
          <w:sz w:val="24"/>
          <w:szCs w:val="24"/>
        </w:rPr>
        <w:t xml:space="preserve">  Portfolio managers utilize this strategy to avoid significantly underperforming their benchmark indices by tying the performance of the mutual fund to that of the benchmark.  This strategy also allows managers to keep management expenses down because it does not require them to spend as much time gathering information to find alpha</w:t>
      </w:r>
      <w:r w:rsidR="00B3346A" w:rsidRPr="00504B74">
        <w:rPr>
          <w:sz w:val="24"/>
          <w:szCs w:val="24"/>
        </w:rPr>
        <w:t xml:space="preserve"> </w:t>
      </w:r>
      <w:r w:rsidR="005C6CFD" w:rsidRPr="00504B74">
        <w:rPr>
          <w:sz w:val="24"/>
          <w:szCs w:val="24"/>
        </w:rPr>
        <w:t>(Cremers 2).</w:t>
      </w:r>
      <w:r w:rsidR="00B3346A" w:rsidRPr="00504B74">
        <w:rPr>
          <w:sz w:val="24"/>
          <w:szCs w:val="24"/>
        </w:rPr>
        <w:t xml:space="preserve">  Their research showed</w:t>
      </w:r>
      <w:r w:rsidR="009D3B46" w:rsidRPr="00504B74">
        <w:rPr>
          <w:sz w:val="24"/>
          <w:szCs w:val="24"/>
        </w:rPr>
        <w:t xml:space="preserve"> “that about 20% of the worldwide mutual fund assets are managed by closet indexers” (Cremers 3). </w:t>
      </w:r>
    </w:p>
    <w:p w:rsidR="004C6E14" w:rsidRDefault="00C351EA" w:rsidP="004C6E14">
      <w:pPr>
        <w:spacing w:line="480" w:lineRule="auto"/>
        <w:ind w:firstLine="720"/>
        <w:rPr>
          <w:sz w:val="24"/>
          <w:szCs w:val="24"/>
        </w:rPr>
      </w:pPr>
      <w:r w:rsidRPr="00504B74">
        <w:rPr>
          <w:sz w:val="24"/>
          <w:szCs w:val="24"/>
        </w:rPr>
        <w:t xml:space="preserve">While the overwhelming majority of studies have shown that active management does not provide greater than net of fees return, a paper published by Alexander Dyck, Karl </w:t>
      </w:r>
      <w:proofErr w:type="spellStart"/>
      <w:r w:rsidRPr="00504B74">
        <w:rPr>
          <w:sz w:val="24"/>
          <w:szCs w:val="24"/>
        </w:rPr>
        <w:t>Lins</w:t>
      </w:r>
      <w:proofErr w:type="spellEnd"/>
      <w:r w:rsidRPr="00504B74">
        <w:rPr>
          <w:sz w:val="24"/>
          <w:szCs w:val="24"/>
        </w:rPr>
        <w:t xml:space="preserve">, and </w:t>
      </w:r>
      <w:proofErr w:type="spellStart"/>
      <w:r w:rsidRPr="00504B74">
        <w:rPr>
          <w:sz w:val="24"/>
          <w:szCs w:val="24"/>
        </w:rPr>
        <w:t>Lukasv</w:t>
      </w:r>
      <w:proofErr w:type="spellEnd"/>
      <w:r w:rsidRPr="00504B74">
        <w:rPr>
          <w:sz w:val="24"/>
          <w:szCs w:val="24"/>
        </w:rPr>
        <w:t xml:space="preserve"> </w:t>
      </w:r>
      <w:proofErr w:type="spellStart"/>
      <w:r w:rsidRPr="00504B74">
        <w:rPr>
          <w:sz w:val="24"/>
          <w:szCs w:val="24"/>
        </w:rPr>
        <w:t>Pomorski</w:t>
      </w:r>
      <w:proofErr w:type="spellEnd"/>
      <w:r w:rsidRPr="00504B74">
        <w:rPr>
          <w:sz w:val="24"/>
          <w:szCs w:val="24"/>
        </w:rPr>
        <w:t xml:space="preserve"> offers a different take.  Many of the previous studies on this topic focused on U.S. funds that</w:t>
      </w:r>
      <w:r w:rsidR="00F8109C">
        <w:rPr>
          <w:sz w:val="24"/>
          <w:szCs w:val="24"/>
        </w:rPr>
        <w:t xml:space="preserve"> are</w:t>
      </w:r>
      <w:r w:rsidRPr="00504B74">
        <w:rPr>
          <w:sz w:val="24"/>
          <w:szCs w:val="24"/>
        </w:rPr>
        <w:t xml:space="preserve"> predominantly made up of U.S. holdings</w:t>
      </w:r>
      <w:r w:rsidR="004C6E14" w:rsidRPr="00504B74">
        <w:rPr>
          <w:sz w:val="24"/>
          <w:szCs w:val="24"/>
        </w:rPr>
        <w:t>.  Their research</w:t>
      </w:r>
      <w:r w:rsidR="002B76CD">
        <w:rPr>
          <w:sz w:val="24"/>
          <w:szCs w:val="24"/>
        </w:rPr>
        <w:t>,</w:t>
      </w:r>
      <w:r w:rsidR="004C6E14" w:rsidRPr="00504B74">
        <w:rPr>
          <w:sz w:val="24"/>
          <w:szCs w:val="24"/>
        </w:rPr>
        <w:t xml:space="preserve"> on the other hand</w:t>
      </w:r>
      <w:r w:rsidR="002B76CD">
        <w:rPr>
          <w:sz w:val="24"/>
          <w:szCs w:val="24"/>
        </w:rPr>
        <w:t>,</w:t>
      </w:r>
      <w:r w:rsidR="004C6E14" w:rsidRPr="00504B74">
        <w:rPr>
          <w:sz w:val="24"/>
          <w:szCs w:val="24"/>
        </w:rPr>
        <w:t xml:space="preserve"> </w:t>
      </w:r>
      <w:r w:rsidR="004C6E14" w:rsidRPr="00504B74">
        <w:rPr>
          <w:sz w:val="24"/>
          <w:szCs w:val="24"/>
        </w:rPr>
        <w:lastRenderedPageBreak/>
        <w:t xml:space="preserve">was broader and took on an international perspective.  Their results were consistent with previous studies when it comes to U.S. equity markets.  They found that “after costs, active management underperforms by 28 bps per year, an amount roughly equal to the difference in active and passive fees of 35 bps per year that the database reports” </w:t>
      </w:r>
      <w:r w:rsidR="004C6E14" w:rsidRPr="00C25FF4">
        <w:rPr>
          <w:sz w:val="24"/>
          <w:szCs w:val="24"/>
        </w:rPr>
        <w:t>(Dyck</w:t>
      </w:r>
      <w:r w:rsidR="004C6E14" w:rsidRPr="00504B74">
        <w:rPr>
          <w:sz w:val="24"/>
          <w:szCs w:val="24"/>
        </w:rPr>
        <w:t xml:space="preserve"> </w:t>
      </w:r>
      <w:r w:rsidR="00C25FF4">
        <w:rPr>
          <w:sz w:val="24"/>
          <w:szCs w:val="24"/>
        </w:rPr>
        <w:t>202</w:t>
      </w:r>
      <w:r w:rsidR="004C6E14" w:rsidRPr="00504B74">
        <w:rPr>
          <w:sz w:val="24"/>
          <w:szCs w:val="24"/>
        </w:rPr>
        <w:t>).</w:t>
      </w:r>
      <w:r w:rsidR="004A0F90" w:rsidRPr="00504B74">
        <w:rPr>
          <w:sz w:val="24"/>
          <w:szCs w:val="24"/>
        </w:rPr>
        <w:t xml:space="preserve">  However, they also analyzed the performance of active management in EAFE and emerging markets.  Their results showed that there is a benefit to active management in these markets.  They stated that the degree of the payoff in international markets varies and is dependent on the efficiency of the market.  They found that active management in EAFE markets outperformed their benchmarks by an average of 49 basis points after fees and expense.  They also found that in less efficient emerging markets</w:t>
      </w:r>
      <w:r w:rsidR="006673DB">
        <w:rPr>
          <w:sz w:val="24"/>
          <w:szCs w:val="24"/>
        </w:rPr>
        <w:t>,</w:t>
      </w:r>
      <w:r w:rsidR="004A0F90" w:rsidRPr="00504B74">
        <w:rPr>
          <w:sz w:val="24"/>
          <w:szCs w:val="24"/>
        </w:rPr>
        <w:t xml:space="preserve"> net of fees returns for active management were a considerable 246 basis p</w:t>
      </w:r>
      <w:r w:rsidR="00504B74" w:rsidRPr="00504B74">
        <w:rPr>
          <w:sz w:val="24"/>
          <w:szCs w:val="24"/>
        </w:rPr>
        <w:t>oints higher than that the returns of their benchmarks (</w:t>
      </w:r>
      <w:r w:rsidR="00504B74" w:rsidRPr="00C25FF4">
        <w:rPr>
          <w:sz w:val="24"/>
          <w:szCs w:val="24"/>
        </w:rPr>
        <w:t>Dyck</w:t>
      </w:r>
      <w:r w:rsidR="00504B74" w:rsidRPr="00504B74">
        <w:rPr>
          <w:sz w:val="24"/>
          <w:szCs w:val="24"/>
        </w:rPr>
        <w:t xml:space="preserve"> </w:t>
      </w:r>
      <w:r w:rsidR="00C25FF4">
        <w:rPr>
          <w:sz w:val="24"/>
          <w:szCs w:val="24"/>
        </w:rPr>
        <w:t>211</w:t>
      </w:r>
      <w:r w:rsidR="00504B74" w:rsidRPr="00504B74">
        <w:rPr>
          <w:sz w:val="24"/>
          <w:szCs w:val="24"/>
        </w:rPr>
        <w:t xml:space="preserve">).  Their conclusion from their research was “that the value of active management depends on the efﬁciency of the underlying market and the sophistication of the investor” </w:t>
      </w:r>
      <w:r w:rsidR="00504B74" w:rsidRPr="00C25FF4">
        <w:rPr>
          <w:sz w:val="24"/>
          <w:szCs w:val="24"/>
        </w:rPr>
        <w:t xml:space="preserve">(Dyck </w:t>
      </w:r>
      <w:r w:rsidR="00C25FF4" w:rsidRPr="00C25FF4">
        <w:rPr>
          <w:sz w:val="24"/>
          <w:szCs w:val="24"/>
        </w:rPr>
        <w:t>226</w:t>
      </w:r>
      <w:r w:rsidR="00504B74" w:rsidRPr="00504B74">
        <w:rPr>
          <w:sz w:val="24"/>
          <w:szCs w:val="24"/>
        </w:rPr>
        <w:t>).</w:t>
      </w:r>
    </w:p>
    <w:p w:rsidR="00504B74" w:rsidRDefault="00504B74" w:rsidP="00504B74">
      <w:pPr>
        <w:spacing w:line="480" w:lineRule="auto"/>
        <w:jc w:val="center"/>
        <w:rPr>
          <w:b/>
          <w:sz w:val="28"/>
          <w:szCs w:val="28"/>
          <w:u w:val="single"/>
        </w:rPr>
      </w:pPr>
      <w:r>
        <w:rPr>
          <w:b/>
          <w:sz w:val="28"/>
          <w:szCs w:val="28"/>
          <w:u w:val="single"/>
        </w:rPr>
        <w:t>Methodology and Expectations of the Data</w:t>
      </w:r>
    </w:p>
    <w:p w:rsidR="00F805F3" w:rsidRDefault="00DB0C30" w:rsidP="00DB0C30">
      <w:pPr>
        <w:spacing w:line="480" w:lineRule="auto"/>
        <w:rPr>
          <w:sz w:val="24"/>
          <w:szCs w:val="24"/>
        </w:rPr>
      </w:pPr>
      <w:r>
        <w:rPr>
          <w:sz w:val="28"/>
          <w:szCs w:val="28"/>
        </w:rPr>
        <w:tab/>
      </w:r>
      <w:r>
        <w:rPr>
          <w:sz w:val="24"/>
          <w:szCs w:val="24"/>
        </w:rPr>
        <w:t xml:space="preserve">All data used for </w:t>
      </w:r>
      <w:r w:rsidR="00CB4DFF">
        <w:rPr>
          <w:sz w:val="24"/>
          <w:szCs w:val="24"/>
        </w:rPr>
        <w:t xml:space="preserve">the analysis section of this paper has been gathered from </w:t>
      </w:r>
      <w:r w:rsidR="002B76CD">
        <w:rPr>
          <w:sz w:val="24"/>
          <w:szCs w:val="24"/>
        </w:rPr>
        <w:t xml:space="preserve">the Bloomberg Professional Service via the Bloomberg terminal and </w:t>
      </w:r>
      <w:r w:rsidR="00CB4DFF">
        <w:rPr>
          <w:sz w:val="24"/>
          <w:szCs w:val="24"/>
        </w:rPr>
        <w:t>the</w:t>
      </w:r>
      <w:r w:rsidR="00295E54">
        <w:rPr>
          <w:sz w:val="24"/>
          <w:szCs w:val="24"/>
        </w:rPr>
        <w:t xml:space="preserve"> 2017 Investment Company Fact Book</w:t>
      </w:r>
      <w:r w:rsidR="002B76CD">
        <w:rPr>
          <w:sz w:val="24"/>
          <w:szCs w:val="24"/>
        </w:rPr>
        <w:t>.</w:t>
      </w:r>
      <w:r w:rsidR="00CB4DFF">
        <w:rPr>
          <w:sz w:val="24"/>
          <w:szCs w:val="24"/>
        </w:rPr>
        <w:t xml:space="preserve">  </w:t>
      </w:r>
      <w:r w:rsidR="00561D99">
        <w:rPr>
          <w:sz w:val="24"/>
          <w:szCs w:val="24"/>
        </w:rPr>
        <w:t xml:space="preserve">I will be analyzing the results of the performance of </w:t>
      </w:r>
      <w:r w:rsidR="0038488E">
        <w:rPr>
          <w:sz w:val="24"/>
          <w:szCs w:val="24"/>
        </w:rPr>
        <w:t xml:space="preserve">a random sample of </w:t>
      </w:r>
      <w:r w:rsidR="00561D99">
        <w:rPr>
          <w:sz w:val="24"/>
          <w:szCs w:val="24"/>
        </w:rPr>
        <w:t>10 U.S. based, mixed allocation, large-cap mutual funds compared to their benchmark funds.</w:t>
      </w:r>
      <w:r w:rsidR="00295E54">
        <w:rPr>
          <w:sz w:val="24"/>
          <w:szCs w:val="24"/>
        </w:rPr>
        <w:t xml:space="preserve">  In the case where multip</w:t>
      </w:r>
      <w:r w:rsidR="00E56424">
        <w:rPr>
          <w:sz w:val="24"/>
          <w:szCs w:val="24"/>
        </w:rPr>
        <w:t>le benchmarks are given, I will combine the</w:t>
      </w:r>
      <w:r w:rsidR="00295E54">
        <w:rPr>
          <w:sz w:val="24"/>
          <w:szCs w:val="24"/>
        </w:rPr>
        <w:t xml:space="preserve"> </w:t>
      </w:r>
      <w:r w:rsidR="00E56424">
        <w:rPr>
          <w:sz w:val="24"/>
          <w:szCs w:val="24"/>
        </w:rPr>
        <w:t xml:space="preserve">benchmarks according to the </w:t>
      </w:r>
      <w:r w:rsidR="00295E54">
        <w:rPr>
          <w:sz w:val="24"/>
          <w:szCs w:val="24"/>
        </w:rPr>
        <w:t>weightings described in the prospectus to compute the return of the blended benchmark.</w:t>
      </w:r>
      <w:r w:rsidR="00E56424">
        <w:rPr>
          <w:sz w:val="24"/>
          <w:szCs w:val="24"/>
        </w:rPr>
        <w:t xml:space="preserve">  When no benchmark weightings are given in the prospectus, I will assign weightings to the </w:t>
      </w:r>
      <w:r w:rsidR="00E56424">
        <w:rPr>
          <w:sz w:val="24"/>
          <w:szCs w:val="24"/>
        </w:rPr>
        <w:lastRenderedPageBreak/>
        <w:t>benchmarks that cause the blended benchmark to mirror the asset allocation of the original fund as closely as possible.</w:t>
      </w:r>
      <w:r w:rsidR="00561D99">
        <w:rPr>
          <w:sz w:val="24"/>
          <w:szCs w:val="24"/>
        </w:rPr>
        <w:t xml:space="preserve">  </w:t>
      </w:r>
    </w:p>
    <w:p w:rsidR="00F805F3" w:rsidRDefault="00561D99" w:rsidP="00F805F3">
      <w:pPr>
        <w:spacing w:line="480" w:lineRule="auto"/>
        <w:ind w:firstLine="720"/>
        <w:rPr>
          <w:sz w:val="24"/>
          <w:szCs w:val="24"/>
        </w:rPr>
      </w:pPr>
      <w:r>
        <w:rPr>
          <w:sz w:val="24"/>
          <w:szCs w:val="24"/>
        </w:rPr>
        <w:t xml:space="preserve">Daily historical return data has been pulled for each of the funds and their benchmarks from 3/1/2007 to 3/1/2017 along with their fee structures. </w:t>
      </w:r>
      <w:r w:rsidR="002B76CD">
        <w:rPr>
          <w:sz w:val="24"/>
          <w:szCs w:val="24"/>
        </w:rPr>
        <w:t xml:space="preserve"> </w:t>
      </w:r>
      <w:r>
        <w:rPr>
          <w:sz w:val="24"/>
          <w:szCs w:val="24"/>
        </w:rPr>
        <w:t>Fee structures used for this paper will be the current fee structure of the fund as of 3/1/2017.</w:t>
      </w:r>
      <w:r w:rsidR="00C72A48">
        <w:rPr>
          <w:sz w:val="24"/>
          <w:szCs w:val="24"/>
        </w:rPr>
        <w:t xml:space="preserve">  For the benchmark funds, I will assume an expense ratio of 0.25%, as this is the average expense rat</w:t>
      </w:r>
      <w:r w:rsidR="006673DB">
        <w:rPr>
          <w:sz w:val="24"/>
          <w:szCs w:val="24"/>
        </w:rPr>
        <w:t xml:space="preserve">io associated with index </w:t>
      </w:r>
      <w:r w:rsidR="00C72A48">
        <w:rPr>
          <w:sz w:val="24"/>
          <w:szCs w:val="24"/>
        </w:rPr>
        <w:t>funds (Schwartz 1).</w:t>
      </w:r>
      <w:r>
        <w:rPr>
          <w:sz w:val="24"/>
          <w:szCs w:val="24"/>
        </w:rPr>
        <w:t xml:space="preserve">  </w:t>
      </w:r>
      <w:r w:rsidR="00295E54">
        <w:rPr>
          <w:sz w:val="24"/>
          <w:szCs w:val="24"/>
        </w:rPr>
        <w:t>The annualized fund returns will be calculated using the geometric average approach in order to accurately reflect the r</w:t>
      </w:r>
      <w:r w:rsidR="006673DB">
        <w:rPr>
          <w:sz w:val="24"/>
          <w:szCs w:val="24"/>
        </w:rPr>
        <w:t xml:space="preserve">eturns of the funds over the 10 </w:t>
      </w:r>
      <w:r w:rsidR="00295E54">
        <w:rPr>
          <w:sz w:val="24"/>
          <w:szCs w:val="24"/>
        </w:rPr>
        <w:t xml:space="preserve">year period.  </w:t>
      </w:r>
      <w:r>
        <w:rPr>
          <w:sz w:val="24"/>
          <w:szCs w:val="24"/>
        </w:rPr>
        <w:t>Net of fees returns will be calculated as the return an investor would have received had they invested in the fund</w:t>
      </w:r>
      <w:r w:rsidR="0038488E">
        <w:rPr>
          <w:sz w:val="24"/>
          <w:szCs w:val="24"/>
        </w:rPr>
        <w:t xml:space="preserve"> or its benchmark</w:t>
      </w:r>
      <w:r>
        <w:rPr>
          <w:sz w:val="24"/>
          <w:szCs w:val="24"/>
        </w:rPr>
        <w:t xml:space="preserve"> on 3/1/2007</w:t>
      </w:r>
      <w:r w:rsidR="000714CB">
        <w:rPr>
          <w:sz w:val="24"/>
          <w:szCs w:val="24"/>
        </w:rPr>
        <w:t xml:space="preserve"> and pulled their money out of the fund on 3/1/2017</w:t>
      </w:r>
      <w:r>
        <w:rPr>
          <w:sz w:val="24"/>
          <w:szCs w:val="24"/>
        </w:rPr>
        <w:t>.</w:t>
      </w:r>
      <w:r w:rsidR="00295E54">
        <w:rPr>
          <w:sz w:val="24"/>
          <w:szCs w:val="24"/>
        </w:rPr>
        <w:t xml:space="preserve">  </w:t>
      </w:r>
      <w:r>
        <w:rPr>
          <w:sz w:val="24"/>
          <w:szCs w:val="24"/>
        </w:rPr>
        <w:t xml:space="preserve">It is important to note that this will be slightly different than the actual net of fees </w:t>
      </w:r>
      <w:r w:rsidR="0038488E">
        <w:rPr>
          <w:sz w:val="24"/>
          <w:szCs w:val="24"/>
        </w:rPr>
        <w:t>return a</w:t>
      </w:r>
      <w:r>
        <w:rPr>
          <w:sz w:val="24"/>
          <w:szCs w:val="24"/>
        </w:rPr>
        <w:t>n investor would have realized because</w:t>
      </w:r>
      <w:r w:rsidR="0038488E">
        <w:rPr>
          <w:sz w:val="24"/>
          <w:szCs w:val="24"/>
        </w:rPr>
        <w:t xml:space="preserve"> fee structures change over time</w:t>
      </w:r>
      <w:r w:rsidR="00F805F3">
        <w:rPr>
          <w:sz w:val="24"/>
          <w:szCs w:val="24"/>
        </w:rPr>
        <w:t>,</w:t>
      </w:r>
      <w:r w:rsidR="0038488E">
        <w:rPr>
          <w:sz w:val="24"/>
          <w:szCs w:val="24"/>
        </w:rPr>
        <w:t xml:space="preserve"> and</w:t>
      </w:r>
      <w:r>
        <w:rPr>
          <w:sz w:val="24"/>
          <w:szCs w:val="24"/>
        </w:rPr>
        <w:t xml:space="preserve"> I am using the</w:t>
      </w:r>
      <w:r w:rsidR="0038488E">
        <w:rPr>
          <w:sz w:val="24"/>
          <w:szCs w:val="24"/>
        </w:rPr>
        <w:t xml:space="preserve"> </w:t>
      </w:r>
      <w:r w:rsidR="00F805F3">
        <w:rPr>
          <w:sz w:val="24"/>
          <w:szCs w:val="24"/>
        </w:rPr>
        <w:t xml:space="preserve">current </w:t>
      </w:r>
      <w:r w:rsidR="0038488E">
        <w:rPr>
          <w:sz w:val="24"/>
          <w:szCs w:val="24"/>
        </w:rPr>
        <w:t>fee structure as of 3/1/2017.</w:t>
      </w:r>
      <w:r w:rsidR="00B0253C">
        <w:rPr>
          <w:sz w:val="24"/>
          <w:szCs w:val="24"/>
        </w:rPr>
        <w:t xml:space="preserve">  </w:t>
      </w:r>
    </w:p>
    <w:p w:rsidR="00B0253C" w:rsidRDefault="00B0253C" w:rsidP="00F805F3">
      <w:pPr>
        <w:spacing w:line="480" w:lineRule="auto"/>
        <w:ind w:firstLine="720"/>
        <w:rPr>
          <w:sz w:val="24"/>
          <w:szCs w:val="24"/>
        </w:rPr>
      </w:pPr>
      <w:r>
        <w:rPr>
          <w:sz w:val="24"/>
          <w:szCs w:val="24"/>
        </w:rPr>
        <w:t>After calculating the returns of the funds, I will quantify the value delivered by each of the fund managers by computing the alpha that was delivered.  I will compute alpha using the capital asset pricing model.  Because the holding period for this research is 10 years, I will use the 10 year Treasury bond rate as the risk-free rate.  The market risk premium</w:t>
      </w:r>
      <w:r w:rsidR="005932CC">
        <w:rPr>
          <w:sz w:val="24"/>
          <w:szCs w:val="24"/>
        </w:rPr>
        <w:t xml:space="preserve"> for each fund will be calc</w:t>
      </w:r>
      <w:r w:rsidR="00F805F3">
        <w:rPr>
          <w:sz w:val="24"/>
          <w:szCs w:val="24"/>
        </w:rPr>
        <w:t>ulated as the rate of return of</w:t>
      </w:r>
      <w:r w:rsidR="005932CC">
        <w:rPr>
          <w:sz w:val="24"/>
          <w:szCs w:val="24"/>
        </w:rPr>
        <w:t xml:space="preserve"> the fund’s benchmark minus the risk-free rate</w:t>
      </w:r>
      <w:r w:rsidR="00F805F3">
        <w:rPr>
          <w:sz w:val="24"/>
          <w:szCs w:val="24"/>
        </w:rPr>
        <w:t>,</w:t>
      </w:r>
      <w:r w:rsidR="005932CC">
        <w:rPr>
          <w:sz w:val="24"/>
          <w:szCs w:val="24"/>
        </w:rPr>
        <w:t xml:space="preserve"> and alpha will be defined as the actual annualized return realized by the fund minus the expected annualized return computed from the capital asset pricing model.</w:t>
      </w:r>
      <w:r>
        <w:rPr>
          <w:sz w:val="24"/>
          <w:szCs w:val="24"/>
        </w:rPr>
        <w:t xml:space="preserve">     </w:t>
      </w:r>
    </w:p>
    <w:p w:rsidR="00106D1A" w:rsidRDefault="00847010" w:rsidP="00B0253C">
      <w:pPr>
        <w:spacing w:line="480" w:lineRule="auto"/>
        <w:ind w:firstLine="720"/>
        <w:rPr>
          <w:sz w:val="24"/>
          <w:szCs w:val="24"/>
        </w:rPr>
      </w:pPr>
      <w:r>
        <w:rPr>
          <w:sz w:val="24"/>
          <w:szCs w:val="24"/>
        </w:rPr>
        <w:lastRenderedPageBreak/>
        <w:t xml:space="preserve">I will also determine the risk associated with both active and passive investment strategies by determining the </w:t>
      </w:r>
      <w:r w:rsidR="005631E1">
        <w:rPr>
          <w:sz w:val="24"/>
          <w:szCs w:val="24"/>
        </w:rPr>
        <w:t>volatility</w:t>
      </w:r>
      <w:r>
        <w:rPr>
          <w:sz w:val="24"/>
          <w:szCs w:val="24"/>
        </w:rPr>
        <w:t xml:space="preserve"> of returns for the funds and their benchmarks</w:t>
      </w:r>
      <w:r w:rsidR="005631E1">
        <w:rPr>
          <w:sz w:val="24"/>
          <w:szCs w:val="24"/>
        </w:rPr>
        <w:t xml:space="preserve"> using the standard deviation method</w:t>
      </w:r>
      <w:r>
        <w:rPr>
          <w:sz w:val="24"/>
          <w:szCs w:val="24"/>
        </w:rPr>
        <w:t>.</w:t>
      </w:r>
      <w:r w:rsidR="002E3241">
        <w:rPr>
          <w:sz w:val="24"/>
          <w:szCs w:val="24"/>
        </w:rPr>
        <w:t xml:space="preserve">  In order to make the standard deviations comparable for funds with drastically different net asset values, I will divide the standard deviation by the average closing price in the period.</w:t>
      </w:r>
      <w:r w:rsidR="0072216A">
        <w:rPr>
          <w:sz w:val="24"/>
          <w:szCs w:val="24"/>
        </w:rPr>
        <w:t xml:space="preserve">  The result of this will be</w:t>
      </w:r>
      <w:r w:rsidR="005631E1">
        <w:rPr>
          <w:sz w:val="24"/>
          <w:szCs w:val="24"/>
        </w:rPr>
        <w:t xml:space="preserve"> the</w:t>
      </w:r>
      <w:r w:rsidR="00F805F3">
        <w:rPr>
          <w:sz w:val="24"/>
          <w:szCs w:val="24"/>
        </w:rPr>
        <w:t xml:space="preserve"> annualized</w:t>
      </w:r>
      <w:r w:rsidR="005631E1">
        <w:rPr>
          <w:sz w:val="24"/>
          <w:szCs w:val="24"/>
        </w:rPr>
        <w:t xml:space="preserve"> volatility associated with each fund.</w:t>
      </w:r>
      <w:r w:rsidR="002E3241">
        <w:rPr>
          <w:sz w:val="24"/>
          <w:szCs w:val="24"/>
        </w:rPr>
        <w:t xml:space="preserve"> </w:t>
      </w:r>
      <w:r w:rsidR="005A1FCF">
        <w:rPr>
          <w:sz w:val="24"/>
          <w:szCs w:val="24"/>
        </w:rPr>
        <w:t xml:space="preserve"> The i</w:t>
      </w:r>
      <w:r w:rsidR="00C72A48">
        <w:rPr>
          <w:sz w:val="24"/>
          <w:szCs w:val="24"/>
        </w:rPr>
        <w:t>mpact of specific fees will</w:t>
      </w:r>
      <w:r w:rsidR="005A1FCF">
        <w:rPr>
          <w:sz w:val="24"/>
          <w:szCs w:val="24"/>
        </w:rPr>
        <w:t xml:space="preserve"> be determined </w:t>
      </w:r>
      <w:r w:rsidR="00C72A48">
        <w:rPr>
          <w:sz w:val="24"/>
          <w:szCs w:val="24"/>
        </w:rPr>
        <w:t xml:space="preserve">as well </w:t>
      </w:r>
      <w:r w:rsidR="005A1FCF">
        <w:rPr>
          <w:sz w:val="24"/>
          <w:szCs w:val="24"/>
        </w:rPr>
        <w:t>by running a regression on each of the funds’ fee structures and determining the impact of different fees on total returns.</w:t>
      </w:r>
      <w:r>
        <w:rPr>
          <w:sz w:val="24"/>
          <w:szCs w:val="24"/>
        </w:rPr>
        <w:t xml:space="preserve">  </w:t>
      </w:r>
      <w:r w:rsidR="00634ECA" w:rsidRPr="00B0253C">
        <w:rPr>
          <w:sz w:val="24"/>
          <w:szCs w:val="24"/>
        </w:rPr>
        <w:t xml:space="preserve">I have also pulled the asset allocation </w:t>
      </w:r>
      <w:r w:rsidR="00741823" w:rsidRPr="00B0253C">
        <w:rPr>
          <w:sz w:val="24"/>
          <w:szCs w:val="24"/>
        </w:rPr>
        <w:t>for</w:t>
      </w:r>
      <w:r w:rsidR="00B0253C" w:rsidRPr="00B0253C">
        <w:rPr>
          <w:sz w:val="24"/>
          <w:szCs w:val="24"/>
        </w:rPr>
        <w:t xml:space="preserve"> each of the funds and</w:t>
      </w:r>
      <w:r w:rsidR="00F805F3">
        <w:rPr>
          <w:sz w:val="24"/>
          <w:szCs w:val="24"/>
        </w:rPr>
        <w:t xml:space="preserve"> will develop </w:t>
      </w:r>
      <w:r w:rsidRPr="00B0253C">
        <w:rPr>
          <w:sz w:val="24"/>
          <w:szCs w:val="24"/>
        </w:rPr>
        <w:t xml:space="preserve">a </w:t>
      </w:r>
      <w:r w:rsidRPr="00603B14">
        <w:rPr>
          <w:sz w:val="24"/>
          <w:szCs w:val="24"/>
        </w:rPr>
        <w:t>regression</w:t>
      </w:r>
      <w:r w:rsidR="00F805F3" w:rsidRPr="00603B14">
        <w:rPr>
          <w:sz w:val="24"/>
          <w:szCs w:val="24"/>
        </w:rPr>
        <w:t xml:space="preserve"> model</w:t>
      </w:r>
      <w:r w:rsidRPr="00603B14">
        <w:rPr>
          <w:sz w:val="24"/>
          <w:szCs w:val="24"/>
        </w:rPr>
        <w:t xml:space="preserve"> to determine the optimal asset </w:t>
      </w:r>
      <w:r w:rsidR="005A1FCF" w:rsidRPr="00603B14">
        <w:rPr>
          <w:sz w:val="24"/>
          <w:szCs w:val="24"/>
        </w:rPr>
        <w:t>allocation</w:t>
      </w:r>
      <w:r w:rsidRPr="00603B14">
        <w:rPr>
          <w:sz w:val="24"/>
          <w:szCs w:val="24"/>
        </w:rPr>
        <w:t xml:space="preserve"> </w:t>
      </w:r>
      <w:r w:rsidR="00F805F3" w:rsidRPr="00603B14">
        <w:rPr>
          <w:sz w:val="24"/>
          <w:szCs w:val="24"/>
        </w:rPr>
        <w:t>for maximizing</w:t>
      </w:r>
      <w:r w:rsidR="00B0253C" w:rsidRPr="00603B14">
        <w:rPr>
          <w:sz w:val="24"/>
          <w:szCs w:val="24"/>
        </w:rPr>
        <w:t xml:space="preserve"> return on investment</w:t>
      </w:r>
      <w:r w:rsidRPr="00603B14">
        <w:rPr>
          <w:sz w:val="24"/>
          <w:szCs w:val="24"/>
        </w:rPr>
        <w:t>.  Furthermore, I will look at the percentage of the investments from each fund in U.S. markets</w:t>
      </w:r>
      <w:r w:rsidR="00766CCF" w:rsidRPr="00603B14">
        <w:rPr>
          <w:sz w:val="24"/>
          <w:szCs w:val="24"/>
        </w:rPr>
        <w:t>, EAFE markets, and emerging</w:t>
      </w:r>
      <w:r w:rsidRPr="00603B14">
        <w:rPr>
          <w:sz w:val="24"/>
          <w:szCs w:val="24"/>
        </w:rPr>
        <w:t xml:space="preserve"> markets and perform a regression analy</w:t>
      </w:r>
      <w:r w:rsidR="00AB447A" w:rsidRPr="00603B14">
        <w:rPr>
          <w:sz w:val="24"/>
          <w:szCs w:val="24"/>
        </w:rPr>
        <w:t xml:space="preserve">sis to determine whether </w:t>
      </w:r>
      <w:r w:rsidRPr="00603B14">
        <w:rPr>
          <w:sz w:val="24"/>
          <w:szCs w:val="24"/>
        </w:rPr>
        <w:t xml:space="preserve">funds that have a greater percentage of their investments in </w:t>
      </w:r>
      <w:r w:rsidR="00766CCF" w:rsidRPr="00603B14">
        <w:rPr>
          <w:sz w:val="24"/>
          <w:szCs w:val="24"/>
        </w:rPr>
        <w:t>EAFE or emerging</w:t>
      </w:r>
      <w:r w:rsidRPr="00603B14">
        <w:rPr>
          <w:sz w:val="24"/>
          <w:szCs w:val="24"/>
        </w:rPr>
        <w:t xml:space="preserve"> markets realize greater returns.</w:t>
      </w:r>
      <w:r w:rsidR="002D52C0">
        <w:rPr>
          <w:sz w:val="24"/>
          <w:szCs w:val="24"/>
        </w:rPr>
        <w:t xml:space="preserve">  </w:t>
      </w:r>
    </w:p>
    <w:p w:rsidR="00900EDC" w:rsidRDefault="002D52C0" w:rsidP="00106D1A">
      <w:pPr>
        <w:spacing w:line="480" w:lineRule="auto"/>
        <w:ind w:firstLine="720"/>
        <w:rPr>
          <w:sz w:val="24"/>
          <w:szCs w:val="24"/>
        </w:rPr>
      </w:pPr>
      <w:r>
        <w:rPr>
          <w:sz w:val="24"/>
          <w:szCs w:val="24"/>
        </w:rPr>
        <w:t>Due to the limited scope of this pa</w:t>
      </w:r>
      <w:r w:rsidR="00106D1A">
        <w:rPr>
          <w:sz w:val="24"/>
          <w:szCs w:val="24"/>
        </w:rPr>
        <w:t>per, I expect the power of the</w:t>
      </w:r>
      <w:r>
        <w:rPr>
          <w:sz w:val="24"/>
          <w:szCs w:val="24"/>
        </w:rPr>
        <w:t xml:space="preserve"> tests</w:t>
      </w:r>
      <w:r w:rsidR="00106D1A">
        <w:rPr>
          <w:sz w:val="24"/>
          <w:szCs w:val="24"/>
        </w:rPr>
        <w:t xml:space="preserve"> performed</w:t>
      </w:r>
      <w:r>
        <w:rPr>
          <w:sz w:val="24"/>
          <w:szCs w:val="24"/>
        </w:rPr>
        <w:t xml:space="preserve"> to be low.  However, using this methodology </w:t>
      </w:r>
      <w:r w:rsidR="00900EDC">
        <w:rPr>
          <w:sz w:val="24"/>
          <w:szCs w:val="24"/>
        </w:rPr>
        <w:t>my</w:t>
      </w:r>
      <w:r>
        <w:rPr>
          <w:sz w:val="24"/>
          <w:szCs w:val="24"/>
        </w:rPr>
        <w:t xml:space="preserve"> </w:t>
      </w:r>
      <w:r w:rsidR="00900EDC">
        <w:rPr>
          <w:sz w:val="24"/>
          <w:szCs w:val="24"/>
        </w:rPr>
        <w:t>analysis</w:t>
      </w:r>
      <w:r>
        <w:rPr>
          <w:sz w:val="24"/>
          <w:szCs w:val="24"/>
        </w:rPr>
        <w:t xml:space="preserve"> could easily be scaled to include a greater number and wider variety of funds</w:t>
      </w:r>
      <w:r w:rsidR="00924849">
        <w:rPr>
          <w:sz w:val="24"/>
          <w:szCs w:val="24"/>
        </w:rPr>
        <w:t xml:space="preserve"> besides just U.S. based, mixed allocation, large-cap mutual funds.  This would strengthen the power of the tests and yield more significant results than the analysis in this paper.</w:t>
      </w:r>
      <w:r w:rsidR="005A1FCF">
        <w:rPr>
          <w:sz w:val="24"/>
          <w:szCs w:val="24"/>
        </w:rPr>
        <w:t xml:space="preserve">  </w:t>
      </w:r>
      <w:r w:rsidR="00847010">
        <w:rPr>
          <w:sz w:val="24"/>
          <w:szCs w:val="24"/>
        </w:rPr>
        <w:t xml:space="preserve"> </w:t>
      </w:r>
      <w:r w:rsidR="005A1FCF">
        <w:rPr>
          <w:sz w:val="24"/>
          <w:szCs w:val="24"/>
        </w:rPr>
        <w:t xml:space="preserve"> </w:t>
      </w:r>
    </w:p>
    <w:p w:rsidR="002E3241" w:rsidRDefault="009D7C5B" w:rsidP="002E3241">
      <w:pPr>
        <w:spacing w:line="480" w:lineRule="auto"/>
        <w:jc w:val="center"/>
        <w:rPr>
          <w:b/>
          <w:sz w:val="28"/>
          <w:szCs w:val="28"/>
          <w:u w:val="single"/>
        </w:rPr>
      </w:pPr>
      <w:r>
        <w:rPr>
          <w:b/>
          <w:sz w:val="28"/>
          <w:szCs w:val="28"/>
          <w:u w:val="single"/>
        </w:rPr>
        <w:t xml:space="preserve">Results and </w:t>
      </w:r>
      <w:r w:rsidR="00900EDC">
        <w:rPr>
          <w:b/>
          <w:sz w:val="28"/>
          <w:szCs w:val="28"/>
          <w:u w:val="single"/>
        </w:rPr>
        <w:t>Analysis</w:t>
      </w:r>
      <w:bookmarkStart w:id="0" w:name="_Hlk481409561"/>
    </w:p>
    <w:p w:rsidR="001D6BF6" w:rsidRDefault="002E3241" w:rsidP="00AB5690">
      <w:pPr>
        <w:spacing w:line="480" w:lineRule="auto"/>
        <w:rPr>
          <w:sz w:val="24"/>
          <w:szCs w:val="24"/>
        </w:rPr>
      </w:pPr>
      <w:r>
        <w:rPr>
          <w:sz w:val="24"/>
          <w:szCs w:val="24"/>
        </w:rPr>
        <w:tab/>
        <w:t>As mentioned in the methodology section</w:t>
      </w:r>
      <w:r w:rsidR="00AB5690">
        <w:rPr>
          <w:sz w:val="24"/>
          <w:szCs w:val="24"/>
        </w:rPr>
        <w:t>,</w:t>
      </w:r>
      <w:r>
        <w:rPr>
          <w:sz w:val="24"/>
          <w:szCs w:val="24"/>
        </w:rPr>
        <w:t xml:space="preserve"> I have taken a random sample of 10 U.S. based, mixed allocation, large-cap mutual funds and assessed their performance compared to </w:t>
      </w:r>
      <w:r>
        <w:rPr>
          <w:sz w:val="24"/>
          <w:szCs w:val="24"/>
        </w:rPr>
        <w:lastRenderedPageBreak/>
        <w:t>their</w:t>
      </w:r>
      <w:r w:rsidR="005B7715">
        <w:rPr>
          <w:sz w:val="24"/>
          <w:szCs w:val="24"/>
        </w:rPr>
        <w:t xml:space="preserve"> passive</w:t>
      </w:r>
      <w:r>
        <w:rPr>
          <w:sz w:val="24"/>
          <w:szCs w:val="24"/>
        </w:rPr>
        <w:t xml:space="preserve"> benchmarks.  </w:t>
      </w:r>
      <w:r w:rsidR="00866FAE">
        <w:rPr>
          <w:sz w:val="24"/>
          <w:szCs w:val="24"/>
        </w:rPr>
        <w:t>The returns of these funds</w:t>
      </w:r>
      <w:r w:rsidR="00AB5690">
        <w:rPr>
          <w:sz w:val="24"/>
          <w:szCs w:val="24"/>
        </w:rPr>
        <w:t xml:space="preserve"> and their annualized volatility</w:t>
      </w:r>
      <w:r w:rsidR="00866FAE">
        <w:rPr>
          <w:sz w:val="24"/>
          <w:szCs w:val="24"/>
        </w:rPr>
        <w:t>, along with the returns</w:t>
      </w:r>
      <w:r w:rsidR="00AB5690">
        <w:rPr>
          <w:sz w:val="24"/>
          <w:szCs w:val="24"/>
        </w:rPr>
        <w:t xml:space="preserve"> and volatility</w:t>
      </w:r>
      <w:r w:rsidR="00866FAE">
        <w:rPr>
          <w:sz w:val="24"/>
          <w:szCs w:val="24"/>
        </w:rPr>
        <w:t xml:space="preserve"> of their corresponding benchmarks, </w:t>
      </w:r>
      <w:r w:rsidR="00866FAE" w:rsidRPr="001D6BF6">
        <w:rPr>
          <w:sz w:val="24"/>
          <w:szCs w:val="24"/>
        </w:rPr>
        <w:t xml:space="preserve">can be found </w:t>
      </w:r>
      <w:r w:rsidR="00F805F3" w:rsidRPr="001D6BF6">
        <w:rPr>
          <w:sz w:val="24"/>
          <w:szCs w:val="24"/>
        </w:rPr>
        <w:t>below</w:t>
      </w:r>
      <w:r w:rsidR="00D5111C" w:rsidRPr="001D6BF6">
        <w:rPr>
          <w:sz w:val="24"/>
          <w:szCs w:val="24"/>
        </w:rPr>
        <w:t xml:space="preserve"> </w:t>
      </w:r>
      <w:r w:rsidR="00866FAE" w:rsidRPr="001D6BF6">
        <w:rPr>
          <w:sz w:val="24"/>
          <w:szCs w:val="24"/>
        </w:rPr>
        <w:t>in Figure 1.</w:t>
      </w:r>
      <w:r w:rsidR="00AB5690">
        <w:rPr>
          <w:sz w:val="24"/>
          <w:szCs w:val="24"/>
        </w:rPr>
        <w:t xml:space="preserve">  </w:t>
      </w:r>
    </w:p>
    <w:p w:rsidR="00F025F4" w:rsidRDefault="00F025F4" w:rsidP="00AB5690">
      <w:pPr>
        <w:spacing w:line="480" w:lineRule="auto"/>
        <w:rPr>
          <w:b/>
          <w:sz w:val="24"/>
          <w:szCs w:val="24"/>
        </w:rPr>
      </w:pPr>
      <w:r w:rsidRPr="00F025F4">
        <w:drawing>
          <wp:inline distT="0" distB="0" distL="0" distR="0">
            <wp:extent cx="6879279" cy="5332994"/>
            <wp:effectExtent l="0" t="7937" r="9207" b="9208"/>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rot="5400000">
                      <a:off x="0" y="0"/>
                      <a:ext cx="6911911" cy="5358291"/>
                    </a:xfrm>
                    <a:prstGeom prst="rect">
                      <a:avLst/>
                    </a:prstGeom>
                    <a:noFill/>
                    <a:ln>
                      <a:noFill/>
                    </a:ln>
                  </pic:spPr>
                </pic:pic>
              </a:graphicData>
            </a:graphic>
          </wp:inline>
        </w:drawing>
      </w:r>
    </w:p>
    <w:p w:rsidR="001D6BF6" w:rsidRDefault="001D6BF6" w:rsidP="00AB5690">
      <w:pPr>
        <w:spacing w:line="480" w:lineRule="auto"/>
        <w:rPr>
          <w:sz w:val="24"/>
          <w:szCs w:val="24"/>
        </w:rPr>
      </w:pPr>
      <w:r>
        <w:rPr>
          <w:b/>
          <w:sz w:val="24"/>
          <w:szCs w:val="24"/>
        </w:rPr>
        <w:t>Figure 1</w:t>
      </w:r>
      <w:r w:rsidRPr="00797AB5">
        <w:rPr>
          <w:sz w:val="24"/>
          <w:szCs w:val="24"/>
        </w:rPr>
        <w:t xml:space="preserve"> </w:t>
      </w:r>
    </w:p>
    <w:p w:rsidR="00DD723A" w:rsidRDefault="00AB5690" w:rsidP="00DD723A">
      <w:pPr>
        <w:spacing w:line="480" w:lineRule="auto"/>
        <w:rPr>
          <w:sz w:val="24"/>
          <w:szCs w:val="24"/>
        </w:rPr>
      </w:pPr>
      <w:r>
        <w:rPr>
          <w:sz w:val="24"/>
          <w:szCs w:val="24"/>
        </w:rPr>
        <w:lastRenderedPageBreak/>
        <w:t xml:space="preserve">The average gross </w:t>
      </w:r>
      <w:r w:rsidR="00D5111C">
        <w:rPr>
          <w:sz w:val="24"/>
          <w:szCs w:val="24"/>
        </w:rPr>
        <w:t xml:space="preserve">return before fees and expenses for the actively managed funds in the random sample is only 7.10% over the 10 year period.  This gives us an </w:t>
      </w:r>
      <w:r w:rsidR="00A07E9B">
        <w:rPr>
          <w:sz w:val="24"/>
          <w:szCs w:val="24"/>
        </w:rPr>
        <w:t xml:space="preserve">average </w:t>
      </w:r>
      <w:r w:rsidR="00D5111C">
        <w:rPr>
          <w:sz w:val="24"/>
          <w:szCs w:val="24"/>
        </w:rPr>
        <w:t>annualized return of 0.60%.  The performance of these funds was extremely poor compared to the benchmark</w:t>
      </w:r>
      <w:r w:rsidR="005B7715">
        <w:rPr>
          <w:sz w:val="24"/>
          <w:szCs w:val="24"/>
        </w:rPr>
        <w:t xml:space="preserve"> index</w:t>
      </w:r>
      <w:r w:rsidR="00D5111C">
        <w:rPr>
          <w:sz w:val="24"/>
          <w:szCs w:val="24"/>
        </w:rPr>
        <w:t xml:space="preserve"> funds, which realized a</w:t>
      </w:r>
      <w:r w:rsidR="00A07E9B">
        <w:rPr>
          <w:sz w:val="24"/>
          <w:szCs w:val="24"/>
        </w:rPr>
        <w:t>n average</w:t>
      </w:r>
      <w:r w:rsidR="00D5111C">
        <w:rPr>
          <w:sz w:val="24"/>
          <w:szCs w:val="24"/>
        </w:rPr>
        <w:t xml:space="preserve"> gross return of 52.77%</w:t>
      </w:r>
      <w:r w:rsidR="00A07E9B">
        <w:rPr>
          <w:sz w:val="24"/>
          <w:szCs w:val="24"/>
        </w:rPr>
        <w:t xml:space="preserve"> and</w:t>
      </w:r>
      <w:r w:rsidR="00D5111C">
        <w:rPr>
          <w:sz w:val="24"/>
          <w:szCs w:val="24"/>
        </w:rPr>
        <w:t xml:space="preserve"> </w:t>
      </w:r>
      <w:r w:rsidR="00A07E9B">
        <w:rPr>
          <w:sz w:val="24"/>
          <w:szCs w:val="24"/>
        </w:rPr>
        <w:t xml:space="preserve">average </w:t>
      </w:r>
      <w:r w:rsidR="00D5111C">
        <w:rPr>
          <w:sz w:val="24"/>
          <w:szCs w:val="24"/>
        </w:rPr>
        <w:t>annualized return of 4.26% before fees and expenses.</w:t>
      </w:r>
      <w:r w:rsidR="00A07E9B">
        <w:rPr>
          <w:sz w:val="24"/>
          <w:szCs w:val="24"/>
        </w:rPr>
        <w:t xml:space="preserve">  When I add in fees and expenses, the actively managed mutual funds underperform to an even greater degree.  The average net of fees gross return and the average net of fees annualized return for the active funds were</w:t>
      </w:r>
      <w:r w:rsidR="00B4523D">
        <w:rPr>
          <w:sz w:val="24"/>
          <w:szCs w:val="24"/>
        </w:rPr>
        <w:t xml:space="preserve"> </w:t>
      </w:r>
      <w:r w:rsidR="009D7C5B">
        <w:rPr>
          <w:sz w:val="24"/>
          <w:szCs w:val="24"/>
        </w:rPr>
        <w:t>-</w:t>
      </w:r>
      <w:r w:rsidR="00797AB5">
        <w:rPr>
          <w:sz w:val="24"/>
          <w:szCs w:val="24"/>
        </w:rPr>
        <w:t>6.86% and -</w:t>
      </w:r>
      <w:r w:rsidR="00A07E9B">
        <w:rPr>
          <w:sz w:val="24"/>
          <w:szCs w:val="24"/>
        </w:rPr>
        <w:t>0.81% respectively.</w:t>
      </w:r>
      <w:r w:rsidR="00797AB5">
        <w:rPr>
          <w:sz w:val="24"/>
          <w:szCs w:val="24"/>
        </w:rPr>
        <w:t xml:space="preserve">  An investor who holds all of these funds in their portfolio for </w:t>
      </w:r>
      <w:r w:rsidR="005B7715">
        <w:rPr>
          <w:sz w:val="24"/>
          <w:szCs w:val="24"/>
        </w:rPr>
        <w:t xml:space="preserve">the 10 year period would have been better off not investing their money in the first place.  In fact, only 40% </w:t>
      </w:r>
      <w:r w:rsidR="00797AB5">
        <w:rPr>
          <w:sz w:val="24"/>
          <w:szCs w:val="24"/>
        </w:rPr>
        <w:t>of the active funds realized positive net of fees returns over the sample period.  The passively m</w:t>
      </w:r>
      <w:r w:rsidR="00A01A8E">
        <w:rPr>
          <w:sz w:val="24"/>
          <w:szCs w:val="24"/>
        </w:rPr>
        <w:t>anaged benchmark funds, however, realized an average net of fees gross return of 49.00%</w:t>
      </w:r>
      <w:r w:rsidR="00244EF3">
        <w:rPr>
          <w:sz w:val="24"/>
          <w:szCs w:val="24"/>
        </w:rPr>
        <w:t xml:space="preserve"> over the 10 year period</w:t>
      </w:r>
      <w:r w:rsidR="00A01A8E">
        <w:rPr>
          <w:sz w:val="24"/>
          <w:szCs w:val="24"/>
        </w:rPr>
        <w:t xml:space="preserve"> and an average annualized net of fees return of 4.00%.</w:t>
      </w:r>
    </w:p>
    <w:p w:rsidR="001D6BF6" w:rsidRDefault="00244EF3" w:rsidP="00DD723A">
      <w:pPr>
        <w:spacing w:line="480" w:lineRule="auto"/>
        <w:ind w:firstLine="720"/>
        <w:rPr>
          <w:sz w:val="24"/>
          <w:szCs w:val="24"/>
        </w:rPr>
      </w:pPr>
      <w:r>
        <w:rPr>
          <w:sz w:val="24"/>
          <w:szCs w:val="24"/>
        </w:rPr>
        <w:t>Because the returns of the benchmark funds unanimously exceeded the returns of their actively managed counterparts</w:t>
      </w:r>
      <w:r w:rsidR="00DD723A">
        <w:rPr>
          <w:sz w:val="24"/>
          <w:szCs w:val="24"/>
        </w:rPr>
        <w:t>,</w:t>
      </w:r>
      <w:r>
        <w:rPr>
          <w:sz w:val="24"/>
          <w:szCs w:val="24"/>
        </w:rPr>
        <w:t xml:space="preserve"> as shown in Figure 1, it is clear that there was no positive alpha delivered by the portfolio managers.  In fact</w:t>
      </w:r>
      <w:r w:rsidR="0032760D">
        <w:rPr>
          <w:sz w:val="24"/>
          <w:szCs w:val="24"/>
        </w:rPr>
        <w:t>,</w:t>
      </w:r>
      <w:r>
        <w:rPr>
          <w:sz w:val="24"/>
          <w:szCs w:val="24"/>
        </w:rPr>
        <w:t xml:space="preserve"> the average value of alpha for these funds was</w:t>
      </w:r>
      <w:r w:rsidR="00B4523D">
        <w:rPr>
          <w:sz w:val="24"/>
          <w:szCs w:val="24"/>
        </w:rPr>
        <w:t xml:space="preserve"> -</w:t>
      </w:r>
      <w:r w:rsidR="001C431B">
        <w:rPr>
          <w:sz w:val="24"/>
          <w:szCs w:val="24"/>
        </w:rPr>
        <w:t>0.0378.  This means that on average</w:t>
      </w:r>
      <w:r w:rsidR="00B4523D">
        <w:rPr>
          <w:sz w:val="24"/>
          <w:szCs w:val="24"/>
        </w:rPr>
        <w:t>,</w:t>
      </w:r>
      <w:r w:rsidR="001C431B">
        <w:rPr>
          <w:sz w:val="24"/>
          <w:szCs w:val="24"/>
        </w:rPr>
        <w:t xml:space="preserve"> each actively managed fund underperformed its expected return by 3.78% before expenses and fees were even included.</w:t>
      </w:r>
      <w:r w:rsidR="00DD723A">
        <w:rPr>
          <w:sz w:val="24"/>
          <w:szCs w:val="24"/>
        </w:rPr>
        <w:t xml:space="preserve">  The computation of alpha for each of the funds in the sample data can be found below in Figure 2.</w:t>
      </w:r>
      <w:r w:rsidR="001C431B">
        <w:rPr>
          <w:sz w:val="24"/>
          <w:szCs w:val="24"/>
        </w:rPr>
        <w:t xml:space="preserve">  Using this information, it is easy to conclude that the portfolio managers of the active funds in this sample data were not able to generate enough excess return to compensate for the fees they charge</w:t>
      </w:r>
      <w:r w:rsidR="00717518">
        <w:rPr>
          <w:sz w:val="24"/>
          <w:szCs w:val="24"/>
        </w:rPr>
        <w:t>,</w:t>
      </w:r>
      <w:r w:rsidR="001C431B">
        <w:rPr>
          <w:sz w:val="24"/>
          <w:szCs w:val="24"/>
        </w:rPr>
        <w:t xml:space="preserve"> an</w:t>
      </w:r>
      <w:r w:rsidR="00DD723A">
        <w:rPr>
          <w:sz w:val="24"/>
          <w:szCs w:val="24"/>
        </w:rPr>
        <w:t>d</w:t>
      </w:r>
      <w:r w:rsidR="001C431B">
        <w:rPr>
          <w:sz w:val="24"/>
          <w:szCs w:val="24"/>
        </w:rPr>
        <w:t xml:space="preserve"> investors will realize a greater net of fees return if they instead invest in low cost index funds.</w:t>
      </w:r>
    </w:p>
    <w:tbl>
      <w:tblPr>
        <w:tblW w:w="9441" w:type="dxa"/>
        <w:tblInd w:w="-5" w:type="dxa"/>
        <w:tblLook w:val="04A0" w:firstRow="1" w:lastRow="0" w:firstColumn="1" w:lastColumn="0" w:noHBand="0" w:noVBand="1"/>
      </w:tblPr>
      <w:tblGrid>
        <w:gridCol w:w="1590"/>
        <w:gridCol w:w="1448"/>
        <w:gridCol w:w="635"/>
        <w:gridCol w:w="1563"/>
        <w:gridCol w:w="1726"/>
        <w:gridCol w:w="1579"/>
        <w:gridCol w:w="900"/>
      </w:tblGrid>
      <w:tr w:rsidR="001D6BF6" w:rsidRPr="001D6BF6" w:rsidTr="00632952">
        <w:trPr>
          <w:trHeight w:val="935"/>
        </w:trPr>
        <w:tc>
          <w:tcPr>
            <w:tcW w:w="0" w:type="auto"/>
            <w:tcBorders>
              <w:top w:val="single" w:sz="4" w:space="0" w:color="auto"/>
              <w:left w:val="single" w:sz="4" w:space="0" w:color="auto"/>
              <w:bottom w:val="single" w:sz="4" w:space="0" w:color="auto"/>
              <w:right w:val="single" w:sz="4" w:space="0" w:color="auto"/>
            </w:tcBorders>
            <w:shd w:val="clear" w:color="000000" w:fill="A9D08E"/>
            <w:vAlign w:val="bottom"/>
            <w:hideMark/>
          </w:tcPr>
          <w:p w:rsidR="001D6BF6" w:rsidRPr="001D6BF6" w:rsidRDefault="001D6BF6" w:rsidP="00632952">
            <w:pPr>
              <w:spacing w:after="0" w:line="240" w:lineRule="auto"/>
              <w:rPr>
                <w:rFonts w:ascii="Calibri" w:eastAsia="Times New Roman" w:hAnsi="Calibri" w:cs="Calibri"/>
                <w:b/>
                <w:bCs/>
                <w:color w:val="000000"/>
              </w:rPr>
            </w:pPr>
            <w:r w:rsidRPr="001D6BF6">
              <w:rPr>
                <w:rFonts w:ascii="Calibri" w:eastAsia="Times New Roman" w:hAnsi="Calibri" w:cs="Calibri"/>
                <w:b/>
                <w:bCs/>
                <w:color w:val="000000"/>
              </w:rPr>
              <w:lastRenderedPageBreak/>
              <w:t>Actively Managed Mutual Funds</w:t>
            </w:r>
          </w:p>
        </w:tc>
        <w:tc>
          <w:tcPr>
            <w:tcW w:w="0" w:type="auto"/>
            <w:tcBorders>
              <w:top w:val="single" w:sz="4" w:space="0" w:color="auto"/>
              <w:left w:val="nil"/>
              <w:bottom w:val="single" w:sz="4" w:space="0" w:color="auto"/>
              <w:right w:val="single" w:sz="4" w:space="0" w:color="auto"/>
            </w:tcBorders>
            <w:shd w:val="clear" w:color="000000" w:fill="A9D08E"/>
            <w:noWrap/>
            <w:vAlign w:val="bottom"/>
            <w:hideMark/>
          </w:tcPr>
          <w:p w:rsidR="001D6BF6" w:rsidRPr="001D6BF6" w:rsidRDefault="001D6BF6" w:rsidP="00632952">
            <w:pPr>
              <w:spacing w:after="0" w:line="240" w:lineRule="auto"/>
              <w:rPr>
                <w:rFonts w:ascii="Calibri" w:eastAsia="Times New Roman" w:hAnsi="Calibri" w:cs="Calibri"/>
                <w:b/>
                <w:bCs/>
                <w:color w:val="000000"/>
              </w:rPr>
            </w:pPr>
            <w:r w:rsidRPr="001D6BF6">
              <w:rPr>
                <w:rFonts w:ascii="Calibri" w:eastAsia="Times New Roman" w:hAnsi="Calibri" w:cs="Calibri"/>
                <w:b/>
                <w:bCs/>
                <w:color w:val="000000"/>
              </w:rPr>
              <w:t>Risk-free rate</w:t>
            </w:r>
          </w:p>
        </w:tc>
        <w:tc>
          <w:tcPr>
            <w:tcW w:w="0" w:type="auto"/>
            <w:tcBorders>
              <w:top w:val="single" w:sz="4" w:space="0" w:color="auto"/>
              <w:left w:val="nil"/>
              <w:bottom w:val="single" w:sz="4" w:space="0" w:color="auto"/>
              <w:right w:val="single" w:sz="4" w:space="0" w:color="auto"/>
            </w:tcBorders>
            <w:shd w:val="clear" w:color="000000" w:fill="A9D08E"/>
            <w:noWrap/>
            <w:vAlign w:val="bottom"/>
            <w:hideMark/>
          </w:tcPr>
          <w:p w:rsidR="001D6BF6" w:rsidRPr="001D6BF6" w:rsidRDefault="001D6BF6" w:rsidP="00632952">
            <w:pPr>
              <w:spacing w:after="0" w:line="240" w:lineRule="auto"/>
              <w:rPr>
                <w:rFonts w:ascii="Calibri" w:eastAsia="Times New Roman" w:hAnsi="Calibri" w:cs="Calibri"/>
                <w:b/>
                <w:bCs/>
                <w:color w:val="000000"/>
              </w:rPr>
            </w:pPr>
            <w:r w:rsidRPr="001D6BF6">
              <w:rPr>
                <w:rFonts w:ascii="Calibri" w:eastAsia="Times New Roman" w:hAnsi="Calibri" w:cs="Calibri"/>
                <w:b/>
                <w:bCs/>
                <w:color w:val="000000"/>
              </w:rPr>
              <w:t>Beta</w:t>
            </w:r>
          </w:p>
        </w:tc>
        <w:tc>
          <w:tcPr>
            <w:tcW w:w="0" w:type="auto"/>
            <w:tcBorders>
              <w:top w:val="single" w:sz="4" w:space="0" w:color="auto"/>
              <w:left w:val="nil"/>
              <w:bottom w:val="single" w:sz="4" w:space="0" w:color="auto"/>
              <w:right w:val="single" w:sz="4" w:space="0" w:color="auto"/>
            </w:tcBorders>
            <w:shd w:val="clear" w:color="000000" w:fill="A9D08E"/>
            <w:noWrap/>
            <w:vAlign w:val="bottom"/>
            <w:hideMark/>
          </w:tcPr>
          <w:p w:rsidR="001D6BF6" w:rsidRPr="001D6BF6" w:rsidRDefault="001D6BF6" w:rsidP="00632952">
            <w:pPr>
              <w:spacing w:after="0" w:line="240" w:lineRule="auto"/>
              <w:rPr>
                <w:rFonts w:ascii="Calibri" w:eastAsia="Times New Roman" w:hAnsi="Calibri" w:cs="Calibri"/>
                <w:b/>
                <w:bCs/>
                <w:color w:val="000000"/>
              </w:rPr>
            </w:pPr>
            <w:r w:rsidRPr="001D6BF6">
              <w:rPr>
                <w:rFonts w:ascii="Calibri" w:eastAsia="Times New Roman" w:hAnsi="Calibri" w:cs="Calibri"/>
                <w:b/>
                <w:bCs/>
                <w:color w:val="000000"/>
              </w:rPr>
              <w:t>Market Return</w:t>
            </w:r>
          </w:p>
        </w:tc>
        <w:tc>
          <w:tcPr>
            <w:tcW w:w="0" w:type="auto"/>
            <w:tcBorders>
              <w:top w:val="single" w:sz="4" w:space="0" w:color="auto"/>
              <w:left w:val="nil"/>
              <w:bottom w:val="single" w:sz="4" w:space="0" w:color="auto"/>
              <w:right w:val="single" w:sz="4" w:space="0" w:color="auto"/>
            </w:tcBorders>
            <w:shd w:val="clear" w:color="000000" w:fill="A9D08E"/>
            <w:noWrap/>
            <w:vAlign w:val="bottom"/>
            <w:hideMark/>
          </w:tcPr>
          <w:p w:rsidR="001D6BF6" w:rsidRPr="001D6BF6" w:rsidRDefault="001D6BF6" w:rsidP="00632952">
            <w:pPr>
              <w:spacing w:after="0" w:line="240" w:lineRule="auto"/>
              <w:rPr>
                <w:rFonts w:ascii="Calibri" w:eastAsia="Times New Roman" w:hAnsi="Calibri" w:cs="Calibri"/>
                <w:b/>
                <w:bCs/>
                <w:color w:val="000000"/>
              </w:rPr>
            </w:pPr>
            <w:r w:rsidRPr="001D6BF6">
              <w:rPr>
                <w:rFonts w:ascii="Calibri" w:eastAsia="Times New Roman" w:hAnsi="Calibri" w:cs="Calibri"/>
                <w:b/>
                <w:bCs/>
                <w:color w:val="000000"/>
              </w:rPr>
              <w:t>Expected Return</w:t>
            </w:r>
          </w:p>
        </w:tc>
        <w:tc>
          <w:tcPr>
            <w:tcW w:w="0" w:type="auto"/>
            <w:tcBorders>
              <w:top w:val="single" w:sz="4" w:space="0" w:color="auto"/>
              <w:left w:val="nil"/>
              <w:bottom w:val="single" w:sz="4" w:space="0" w:color="auto"/>
              <w:right w:val="single" w:sz="4" w:space="0" w:color="auto"/>
            </w:tcBorders>
            <w:shd w:val="clear" w:color="000000" w:fill="A9D08E"/>
            <w:vAlign w:val="bottom"/>
            <w:hideMark/>
          </w:tcPr>
          <w:p w:rsidR="001D6BF6" w:rsidRPr="001D6BF6" w:rsidRDefault="001D6BF6" w:rsidP="00632952">
            <w:pPr>
              <w:spacing w:after="0" w:line="240" w:lineRule="auto"/>
              <w:rPr>
                <w:rFonts w:ascii="Calibri" w:eastAsia="Times New Roman" w:hAnsi="Calibri" w:cs="Calibri"/>
                <w:b/>
                <w:bCs/>
                <w:color w:val="000000"/>
              </w:rPr>
            </w:pPr>
            <w:r w:rsidRPr="001D6BF6">
              <w:rPr>
                <w:rFonts w:ascii="Calibri" w:eastAsia="Times New Roman" w:hAnsi="Calibri" w:cs="Calibri"/>
                <w:b/>
                <w:bCs/>
                <w:color w:val="000000"/>
              </w:rPr>
              <w:t>Actual Annualized Returns</w:t>
            </w:r>
          </w:p>
        </w:tc>
        <w:tc>
          <w:tcPr>
            <w:tcW w:w="0" w:type="auto"/>
            <w:tcBorders>
              <w:top w:val="single" w:sz="4" w:space="0" w:color="auto"/>
              <w:left w:val="nil"/>
              <w:bottom w:val="single" w:sz="4" w:space="0" w:color="auto"/>
              <w:right w:val="single" w:sz="4" w:space="0" w:color="auto"/>
            </w:tcBorders>
            <w:shd w:val="clear" w:color="000000" w:fill="A9D08E"/>
            <w:noWrap/>
            <w:vAlign w:val="bottom"/>
            <w:hideMark/>
          </w:tcPr>
          <w:p w:rsidR="001D6BF6" w:rsidRPr="001D6BF6" w:rsidRDefault="001D6BF6" w:rsidP="00632952">
            <w:pPr>
              <w:spacing w:after="0" w:line="240" w:lineRule="auto"/>
              <w:rPr>
                <w:rFonts w:ascii="Calibri" w:eastAsia="Times New Roman" w:hAnsi="Calibri" w:cs="Calibri"/>
                <w:b/>
                <w:bCs/>
                <w:color w:val="000000"/>
              </w:rPr>
            </w:pPr>
            <w:r w:rsidRPr="001D6BF6">
              <w:rPr>
                <w:rFonts w:ascii="Calibri" w:eastAsia="Times New Roman" w:hAnsi="Calibri" w:cs="Calibri"/>
                <w:b/>
                <w:bCs/>
                <w:color w:val="000000"/>
              </w:rPr>
              <w:t>Alpha</w:t>
            </w:r>
          </w:p>
        </w:tc>
      </w:tr>
      <w:tr w:rsidR="001D6BF6" w:rsidRPr="001D6BF6" w:rsidTr="00632952">
        <w:trPr>
          <w:trHeight w:val="467"/>
        </w:trPr>
        <w:tc>
          <w:tcPr>
            <w:tcW w:w="0" w:type="auto"/>
            <w:tcBorders>
              <w:top w:val="nil"/>
              <w:left w:val="single" w:sz="4" w:space="0" w:color="auto"/>
              <w:bottom w:val="single" w:sz="4" w:space="0" w:color="auto"/>
              <w:right w:val="single" w:sz="4" w:space="0" w:color="auto"/>
            </w:tcBorders>
            <w:shd w:val="clear" w:color="000000" w:fill="B4C6E7"/>
            <w:noWrap/>
            <w:vAlign w:val="bottom"/>
            <w:hideMark/>
          </w:tcPr>
          <w:p w:rsidR="001D6BF6" w:rsidRPr="001D6BF6" w:rsidRDefault="001D6BF6" w:rsidP="00632952">
            <w:pPr>
              <w:spacing w:after="0" w:line="240" w:lineRule="auto"/>
              <w:rPr>
                <w:rFonts w:ascii="Calibri" w:eastAsia="Times New Roman" w:hAnsi="Calibri" w:cs="Calibri"/>
                <w:color w:val="000000"/>
              </w:rPr>
            </w:pPr>
            <w:r w:rsidRPr="001D6BF6">
              <w:rPr>
                <w:rFonts w:ascii="Calibri" w:eastAsia="Times New Roman" w:hAnsi="Calibri" w:cs="Calibri"/>
                <w:color w:val="000000"/>
              </w:rPr>
              <w:t>FPURX</w:t>
            </w:r>
          </w:p>
        </w:tc>
        <w:tc>
          <w:tcPr>
            <w:tcW w:w="0" w:type="auto"/>
            <w:tcBorders>
              <w:top w:val="nil"/>
              <w:left w:val="nil"/>
              <w:bottom w:val="nil"/>
              <w:right w:val="nil"/>
            </w:tcBorders>
            <w:shd w:val="clear" w:color="auto" w:fill="auto"/>
            <w:noWrap/>
            <w:vAlign w:val="bottom"/>
            <w:hideMark/>
          </w:tcPr>
          <w:p w:rsidR="001D6BF6" w:rsidRPr="001D6BF6" w:rsidRDefault="001D6BF6" w:rsidP="00632952">
            <w:pPr>
              <w:spacing w:after="0" w:line="240" w:lineRule="auto"/>
              <w:jc w:val="right"/>
              <w:rPr>
                <w:rFonts w:ascii="Calibri" w:eastAsia="Times New Roman" w:hAnsi="Calibri" w:cs="Calibri"/>
                <w:color w:val="000000"/>
              </w:rPr>
            </w:pPr>
            <w:r w:rsidRPr="001D6BF6">
              <w:rPr>
                <w:rFonts w:ascii="Calibri" w:eastAsia="Times New Roman" w:hAnsi="Calibri" w:cs="Calibri"/>
                <w:color w:val="000000"/>
              </w:rPr>
              <w:t>2.32%</w:t>
            </w:r>
          </w:p>
        </w:tc>
        <w:tc>
          <w:tcPr>
            <w:tcW w:w="0" w:type="auto"/>
            <w:tcBorders>
              <w:top w:val="nil"/>
              <w:left w:val="nil"/>
              <w:bottom w:val="nil"/>
              <w:right w:val="nil"/>
            </w:tcBorders>
            <w:shd w:val="clear" w:color="auto" w:fill="auto"/>
            <w:noWrap/>
            <w:vAlign w:val="bottom"/>
            <w:hideMark/>
          </w:tcPr>
          <w:p w:rsidR="001D6BF6" w:rsidRPr="001D6BF6" w:rsidRDefault="001D6BF6" w:rsidP="00632952">
            <w:pPr>
              <w:spacing w:after="0" w:line="240" w:lineRule="auto"/>
              <w:jc w:val="right"/>
              <w:rPr>
                <w:rFonts w:ascii="Calibri" w:eastAsia="Times New Roman" w:hAnsi="Calibri" w:cs="Calibri"/>
                <w:color w:val="000000"/>
              </w:rPr>
            </w:pPr>
            <w:r w:rsidRPr="001D6BF6">
              <w:rPr>
                <w:rFonts w:ascii="Calibri" w:eastAsia="Times New Roman" w:hAnsi="Calibri" w:cs="Calibri"/>
                <w:color w:val="000000"/>
              </w:rPr>
              <w:t>1.07</w:t>
            </w:r>
          </w:p>
        </w:tc>
        <w:tc>
          <w:tcPr>
            <w:tcW w:w="0" w:type="auto"/>
            <w:tcBorders>
              <w:top w:val="nil"/>
              <w:left w:val="nil"/>
              <w:bottom w:val="nil"/>
              <w:right w:val="nil"/>
            </w:tcBorders>
            <w:shd w:val="clear" w:color="auto" w:fill="auto"/>
            <w:noWrap/>
            <w:vAlign w:val="bottom"/>
            <w:hideMark/>
          </w:tcPr>
          <w:p w:rsidR="001D6BF6" w:rsidRPr="001D6BF6" w:rsidRDefault="001D6BF6" w:rsidP="00632952">
            <w:pPr>
              <w:spacing w:after="0" w:line="240" w:lineRule="auto"/>
              <w:jc w:val="right"/>
              <w:rPr>
                <w:rFonts w:ascii="Calibri" w:eastAsia="Times New Roman" w:hAnsi="Calibri" w:cs="Calibri"/>
                <w:color w:val="000000"/>
              </w:rPr>
            </w:pPr>
            <w:r w:rsidRPr="001D6BF6">
              <w:rPr>
                <w:rFonts w:ascii="Calibri" w:eastAsia="Times New Roman" w:hAnsi="Calibri" w:cs="Calibri"/>
                <w:color w:val="000000"/>
              </w:rPr>
              <w:t>4.99%</w:t>
            </w:r>
          </w:p>
        </w:tc>
        <w:tc>
          <w:tcPr>
            <w:tcW w:w="0" w:type="auto"/>
            <w:tcBorders>
              <w:top w:val="nil"/>
              <w:left w:val="nil"/>
              <w:bottom w:val="nil"/>
              <w:right w:val="nil"/>
            </w:tcBorders>
            <w:shd w:val="clear" w:color="auto" w:fill="auto"/>
            <w:noWrap/>
            <w:vAlign w:val="bottom"/>
            <w:hideMark/>
          </w:tcPr>
          <w:p w:rsidR="001D6BF6" w:rsidRPr="001D6BF6" w:rsidRDefault="001D6BF6" w:rsidP="00632952">
            <w:pPr>
              <w:spacing w:after="0" w:line="240" w:lineRule="auto"/>
              <w:jc w:val="right"/>
              <w:rPr>
                <w:rFonts w:ascii="Calibri" w:eastAsia="Times New Roman" w:hAnsi="Calibri" w:cs="Calibri"/>
                <w:color w:val="000000"/>
              </w:rPr>
            </w:pPr>
            <w:r w:rsidRPr="001D6BF6">
              <w:rPr>
                <w:rFonts w:ascii="Calibri" w:eastAsia="Times New Roman" w:hAnsi="Calibri" w:cs="Calibri"/>
                <w:color w:val="000000"/>
              </w:rPr>
              <w:t>5.17%</w:t>
            </w:r>
          </w:p>
        </w:tc>
        <w:tc>
          <w:tcPr>
            <w:tcW w:w="0" w:type="auto"/>
            <w:tcBorders>
              <w:top w:val="nil"/>
              <w:left w:val="nil"/>
              <w:bottom w:val="nil"/>
              <w:right w:val="nil"/>
            </w:tcBorders>
            <w:shd w:val="clear" w:color="auto" w:fill="auto"/>
            <w:noWrap/>
            <w:vAlign w:val="bottom"/>
            <w:hideMark/>
          </w:tcPr>
          <w:p w:rsidR="001D6BF6" w:rsidRPr="001D6BF6" w:rsidRDefault="001D6BF6" w:rsidP="00632952">
            <w:pPr>
              <w:spacing w:after="0" w:line="240" w:lineRule="auto"/>
              <w:jc w:val="right"/>
              <w:rPr>
                <w:rFonts w:ascii="Calibri" w:eastAsia="Times New Roman" w:hAnsi="Calibri" w:cs="Calibri"/>
                <w:color w:val="000000"/>
              </w:rPr>
            </w:pPr>
            <w:r w:rsidRPr="001D6BF6">
              <w:rPr>
                <w:rFonts w:ascii="Calibri" w:eastAsia="Times New Roman" w:hAnsi="Calibri" w:cs="Calibri"/>
                <w:color w:val="000000"/>
              </w:rPr>
              <w:t>0.88%</w:t>
            </w:r>
          </w:p>
        </w:tc>
        <w:tc>
          <w:tcPr>
            <w:tcW w:w="0" w:type="auto"/>
            <w:tcBorders>
              <w:top w:val="nil"/>
              <w:left w:val="nil"/>
              <w:bottom w:val="nil"/>
              <w:right w:val="single" w:sz="4" w:space="0" w:color="auto"/>
            </w:tcBorders>
            <w:shd w:val="clear" w:color="auto" w:fill="auto"/>
            <w:noWrap/>
            <w:vAlign w:val="bottom"/>
            <w:hideMark/>
          </w:tcPr>
          <w:p w:rsidR="001D6BF6" w:rsidRPr="001D6BF6" w:rsidRDefault="001D6BF6" w:rsidP="00632952">
            <w:pPr>
              <w:spacing w:after="0" w:line="240" w:lineRule="auto"/>
              <w:jc w:val="right"/>
              <w:rPr>
                <w:rFonts w:ascii="Calibri" w:eastAsia="Times New Roman" w:hAnsi="Calibri" w:cs="Calibri"/>
                <w:color w:val="000000"/>
              </w:rPr>
            </w:pPr>
            <w:r w:rsidRPr="001D6BF6">
              <w:rPr>
                <w:rFonts w:ascii="Calibri" w:eastAsia="Times New Roman" w:hAnsi="Calibri" w:cs="Calibri"/>
                <w:color w:val="000000"/>
              </w:rPr>
              <w:t>-0.0430</w:t>
            </w:r>
          </w:p>
        </w:tc>
      </w:tr>
      <w:tr w:rsidR="001D6BF6" w:rsidRPr="001D6BF6" w:rsidTr="00632952">
        <w:trPr>
          <w:trHeight w:val="467"/>
        </w:trPr>
        <w:tc>
          <w:tcPr>
            <w:tcW w:w="0" w:type="auto"/>
            <w:tcBorders>
              <w:top w:val="nil"/>
              <w:left w:val="single" w:sz="4" w:space="0" w:color="auto"/>
              <w:bottom w:val="single" w:sz="4" w:space="0" w:color="auto"/>
              <w:right w:val="single" w:sz="4" w:space="0" w:color="auto"/>
            </w:tcBorders>
            <w:shd w:val="clear" w:color="000000" w:fill="B4C6E7"/>
            <w:noWrap/>
            <w:vAlign w:val="bottom"/>
            <w:hideMark/>
          </w:tcPr>
          <w:p w:rsidR="001D6BF6" w:rsidRPr="001D6BF6" w:rsidRDefault="001D6BF6" w:rsidP="00632952">
            <w:pPr>
              <w:spacing w:after="0" w:line="240" w:lineRule="auto"/>
              <w:rPr>
                <w:rFonts w:ascii="Calibri" w:eastAsia="Times New Roman" w:hAnsi="Calibri" w:cs="Calibri"/>
                <w:color w:val="000000"/>
              </w:rPr>
            </w:pPr>
            <w:r w:rsidRPr="001D6BF6">
              <w:rPr>
                <w:rFonts w:ascii="Calibri" w:eastAsia="Times New Roman" w:hAnsi="Calibri" w:cs="Calibri"/>
                <w:color w:val="000000"/>
              </w:rPr>
              <w:t>IIFBX</w:t>
            </w:r>
          </w:p>
        </w:tc>
        <w:tc>
          <w:tcPr>
            <w:tcW w:w="0" w:type="auto"/>
            <w:tcBorders>
              <w:top w:val="nil"/>
              <w:left w:val="nil"/>
              <w:bottom w:val="nil"/>
              <w:right w:val="nil"/>
            </w:tcBorders>
            <w:shd w:val="clear" w:color="auto" w:fill="auto"/>
            <w:noWrap/>
            <w:vAlign w:val="bottom"/>
            <w:hideMark/>
          </w:tcPr>
          <w:p w:rsidR="001D6BF6" w:rsidRPr="001D6BF6" w:rsidRDefault="001D6BF6" w:rsidP="00632952">
            <w:pPr>
              <w:spacing w:after="0" w:line="240" w:lineRule="auto"/>
              <w:jc w:val="right"/>
              <w:rPr>
                <w:rFonts w:ascii="Calibri" w:eastAsia="Times New Roman" w:hAnsi="Calibri" w:cs="Calibri"/>
                <w:color w:val="000000"/>
              </w:rPr>
            </w:pPr>
            <w:r w:rsidRPr="001D6BF6">
              <w:rPr>
                <w:rFonts w:ascii="Calibri" w:eastAsia="Times New Roman" w:hAnsi="Calibri" w:cs="Calibri"/>
                <w:color w:val="000000"/>
              </w:rPr>
              <w:t>2.32%</w:t>
            </w:r>
          </w:p>
        </w:tc>
        <w:tc>
          <w:tcPr>
            <w:tcW w:w="0" w:type="auto"/>
            <w:tcBorders>
              <w:top w:val="nil"/>
              <w:left w:val="nil"/>
              <w:bottom w:val="nil"/>
              <w:right w:val="nil"/>
            </w:tcBorders>
            <w:shd w:val="clear" w:color="auto" w:fill="auto"/>
            <w:noWrap/>
            <w:vAlign w:val="bottom"/>
            <w:hideMark/>
          </w:tcPr>
          <w:p w:rsidR="001D6BF6" w:rsidRPr="001D6BF6" w:rsidRDefault="001D6BF6" w:rsidP="00632952">
            <w:pPr>
              <w:spacing w:after="0" w:line="240" w:lineRule="auto"/>
              <w:jc w:val="right"/>
              <w:rPr>
                <w:rFonts w:ascii="Calibri" w:eastAsia="Times New Roman" w:hAnsi="Calibri" w:cs="Calibri"/>
                <w:color w:val="000000"/>
              </w:rPr>
            </w:pPr>
            <w:r w:rsidRPr="001D6BF6">
              <w:rPr>
                <w:rFonts w:ascii="Calibri" w:eastAsia="Times New Roman" w:hAnsi="Calibri" w:cs="Calibri"/>
                <w:color w:val="000000"/>
              </w:rPr>
              <w:t>0.96</w:t>
            </w:r>
          </w:p>
        </w:tc>
        <w:tc>
          <w:tcPr>
            <w:tcW w:w="0" w:type="auto"/>
            <w:tcBorders>
              <w:top w:val="nil"/>
              <w:left w:val="nil"/>
              <w:bottom w:val="nil"/>
              <w:right w:val="nil"/>
            </w:tcBorders>
            <w:shd w:val="clear" w:color="auto" w:fill="auto"/>
            <w:noWrap/>
            <w:vAlign w:val="bottom"/>
            <w:hideMark/>
          </w:tcPr>
          <w:p w:rsidR="001D6BF6" w:rsidRPr="001D6BF6" w:rsidRDefault="001D6BF6" w:rsidP="00632952">
            <w:pPr>
              <w:spacing w:after="0" w:line="240" w:lineRule="auto"/>
              <w:jc w:val="right"/>
              <w:rPr>
                <w:rFonts w:ascii="Calibri" w:eastAsia="Times New Roman" w:hAnsi="Calibri" w:cs="Calibri"/>
                <w:color w:val="000000"/>
              </w:rPr>
            </w:pPr>
            <w:r w:rsidRPr="001D6BF6">
              <w:rPr>
                <w:rFonts w:ascii="Calibri" w:eastAsia="Times New Roman" w:hAnsi="Calibri" w:cs="Calibri"/>
                <w:color w:val="000000"/>
              </w:rPr>
              <w:t>5.50%</w:t>
            </w:r>
          </w:p>
        </w:tc>
        <w:tc>
          <w:tcPr>
            <w:tcW w:w="0" w:type="auto"/>
            <w:tcBorders>
              <w:top w:val="nil"/>
              <w:left w:val="nil"/>
              <w:bottom w:val="nil"/>
              <w:right w:val="nil"/>
            </w:tcBorders>
            <w:shd w:val="clear" w:color="auto" w:fill="auto"/>
            <w:noWrap/>
            <w:vAlign w:val="bottom"/>
            <w:hideMark/>
          </w:tcPr>
          <w:p w:rsidR="001D6BF6" w:rsidRPr="001D6BF6" w:rsidRDefault="001D6BF6" w:rsidP="00632952">
            <w:pPr>
              <w:spacing w:after="0" w:line="240" w:lineRule="auto"/>
              <w:jc w:val="right"/>
              <w:rPr>
                <w:rFonts w:ascii="Calibri" w:eastAsia="Times New Roman" w:hAnsi="Calibri" w:cs="Calibri"/>
                <w:color w:val="000000"/>
              </w:rPr>
            </w:pPr>
            <w:r w:rsidRPr="001D6BF6">
              <w:rPr>
                <w:rFonts w:ascii="Calibri" w:eastAsia="Times New Roman" w:hAnsi="Calibri" w:cs="Calibri"/>
                <w:color w:val="000000"/>
              </w:rPr>
              <w:t>5.37%</w:t>
            </w:r>
          </w:p>
        </w:tc>
        <w:tc>
          <w:tcPr>
            <w:tcW w:w="0" w:type="auto"/>
            <w:tcBorders>
              <w:top w:val="nil"/>
              <w:left w:val="nil"/>
              <w:bottom w:val="nil"/>
              <w:right w:val="nil"/>
            </w:tcBorders>
            <w:shd w:val="clear" w:color="auto" w:fill="auto"/>
            <w:noWrap/>
            <w:vAlign w:val="bottom"/>
            <w:hideMark/>
          </w:tcPr>
          <w:p w:rsidR="001D6BF6" w:rsidRPr="001D6BF6" w:rsidRDefault="001D6BF6" w:rsidP="00632952">
            <w:pPr>
              <w:spacing w:after="0" w:line="240" w:lineRule="auto"/>
              <w:jc w:val="right"/>
              <w:rPr>
                <w:rFonts w:ascii="Calibri" w:eastAsia="Times New Roman" w:hAnsi="Calibri" w:cs="Calibri"/>
                <w:color w:val="000000"/>
              </w:rPr>
            </w:pPr>
            <w:r w:rsidRPr="001D6BF6">
              <w:rPr>
                <w:rFonts w:ascii="Calibri" w:eastAsia="Times New Roman" w:hAnsi="Calibri" w:cs="Calibri"/>
                <w:color w:val="000000"/>
              </w:rPr>
              <w:t>0.01%</w:t>
            </w:r>
          </w:p>
        </w:tc>
        <w:tc>
          <w:tcPr>
            <w:tcW w:w="0" w:type="auto"/>
            <w:tcBorders>
              <w:top w:val="nil"/>
              <w:left w:val="nil"/>
              <w:bottom w:val="nil"/>
              <w:right w:val="single" w:sz="4" w:space="0" w:color="auto"/>
            </w:tcBorders>
            <w:shd w:val="clear" w:color="auto" w:fill="auto"/>
            <w:noWrap/>
            <w:vAlign w:val="bottom"/>
            <w:hideMark/>
          </w:tcPr>
          <w:p w:rsidR="001D6BF6" w:rsidRPr="001D6BF6" w:rsidRDefault="001D6BF6" w:rsidP="00632952">
            <w:pPr>
              <w:spacing w:after="0" w:line="240" w:lineRule="auto"/>
              <w:jc w:val="right"/>
              <w:rPr>
                <w:rFonts w:ascii="Calibri" w:eastAsia="Times New Roman" w:hAnsi="Calibri" w:cs="Calibri"/>
                <w:color w:val="000000"/>
              </w:rPr>
            </w:pPr>
            <w:r w:rsidRPr="001D6BF6">
              <w:rPr>
                <w:rFonts w:ascii="Calibri" w:eastAsia="Times New Roman" w:hAnsi="Calibri" w:cs="Calibri"/>
                <w:color w:val="000000"/>
              </w:rPr>
              <w:t>-0.0536</w:t>
            </w:r>
          </w:p>
        </w:tc>
      </w:tr>
      <w:tr w:rsidR="001D6BF6" w:rsidRPr="001D6BF6" w:rsidTr="00632952">
        <w:trPr>
          <w:trHeight w:val="467"/>
        </w:trPr>
        <w:tc>
          <w:tcPr>
            <w:tcW w:w="0" w:type="auto"/>
            <w:tcBorders>
              <w:top w:val="nil"/>
              <w:left w:val="single" w:sz="4" w:space="0" w:color="auto"/>
              <w:bottom w:val="single" w:sz="4" w:space="0" w:color="auto"/>
              <w:right w:val="single" w:sz="4" w:space="0" w:color="auto"/>
            </w:tcBorders>
            <w:shd w:val="clear" w:color="000000" w:fill="B4C6E7"/>
            <w:noWrap/>
            <w:vAlign w:val="bottom"/>
            <w:hideMark/>
          </w:tcPr>
          <w:p w:rsidR="001D6BF6" w:rsidRPr="001D6BF6" w:rsidRDefault="001D6BF6" w:rsidP="00632952">
            <w:pPr>
              <w:spacing w:after="0" w:line="240" w:lineRule="auto"/>
              <w:rPr>
                <w:rFonts w:ascii="Calibri" w:eastAsia="Times New Roman" w:hAnsi="Calibri" w:cs="Calibri"/>
                <w:color w:val="000000"/>
              </w:rPr>
            </w:pPr>
            <w:r w:rsidRPr="001D6BF6">
              <w:rPr>
                <w:rFonts w:ascii="Calibri" w:eastAsia="Times New Roman" w:hAnsi="Calibri" w:cs="Calibri"/>
                <w:color w:val="000000"/>
              </w:rPr>
              <w:t>ITTAX</w:t>
            </w:r>
          </w:p>
        </w:tc>
        <w:tc>
          <w:tcPr>
            <w:tcW w:w="0" w:type="auto"/>
            <w:tcBorders>
              <w:top w:val="nil"/>
              <w:left w:val="nil"/>
              <w:bottom w:val="nil"/>
              <w:right w:val="nil"/>
            </w:tcBorders>
            <w:shd w:val="clear" w:color="auto" w:fill="auto"/>
            <w:noWrap/>
            <w:vAlign w:val="bottom"/>
            <w:hideMark/>
          </w:tcPr>
          <w:p w:rsidR="001D6BF6" w:rsidRPr="001D6BF6" w:rsidRDefault="001D6BF6" w:rsidP="00632952">
            <w:pPr>
              <w:spacing w:after="0" w:line="240" w:lineRule="auto"/>
              <w:jc w:val="right"/>
              <w:rPr>
                <w:rFonts w:ascii="Calibri" w:eastAsia="Times New Roman" w:hAnsi="Calibri" w:cs="Calibri"/>
                <w:color w:val="000000"/>
              </w:rPr>
            </w:pPr>
            <w:r w:rsidRPr="001D6BF6">
              <w:rPr>
                <w:rFonts w:ascii="Calibri" w:eastAsia="Times New Roman" w:hAnsi="Calibri" w:cs="Calibri"/>
                <w:color w:val="000000"/>
              </w:rPr>
              <w:t>2.32%</w:t>
            </w:r>
          </w:p>
        </w:tc>
        <w:tc>
          <w:tcPr>
            <w:tcW w:w="0" w:type="auto"/>
            <w:tcBorders>
              <w:top w:val="nil"/>
              <w:left w:val="nil"/>
              <w:bottom w:val="nil"/>
              <w:right w:val="nil"/>
            </w:tcBorders>
            <w:shd w:val="clear" w:color="auto" w:fill="auto"/>
            <w:noWrap/>
            <w:vAlign w:val="bottom"/>
            <w:hideMark/>
          </w:tcPr>
          <w:p w:rsidR="001D6BF6" w:rsidRPr="001D6BF6" w:rsidRDefault="001D6BF6" w:rsidP="00632952">
            <w:pPr>
              <w:spacing w:after="0" w:line="240" w:lineRule="auto"/>
              <w:jc w:val="right"/>
              <w:rPr>
                <w:rFonts w:ascii="Calibri" w:eastAsia="Times New Roman" w:hAnsi="Calibri" w:cs="Calibri"/>
                <w:color w:val="000000"/>
              </w:rPr>
            </w:pPr>
            <w:r w:rsidRPr="001D6BF6">
              <w:rPr>
                <w:rFonts w:ascii="Calibri" w:eastAsia="Times New Roman" w:hAnsi="Calibri" w:cs="Calibri"/>
                <w:color w:val="000000"/>
              </w:rPr>
              <w:t>1.17</w:t>
            </w:r>
          </w:p>
        </w:tc>
        <w:tc>
          <w:tcPr>
            <w:tcW w:w="0" w:type="auto"/>
            <w:tcBorders>
              <w:top w:val="nil"/>
              <w:left w:val="nil"/>
              <w:bottom w:val="nil"/>
              <w:right w:val="nil"/>
            </w:tcBorders>
            <w:shd w:val="clear" w:color="auto" w:fill="auto"/>
            <w:noWrap/>
            <w:vAlign w:val="bottom"/>
            <w:hideMark/>
          </w:tcPr>
          <w:p w:rsidR="001D6BF6" w:rsidRPr="001D6BF6" w:rsidRDefault="001D6BF6" w:rsidP="00632952">
            <w:pPr>
              <w:spacing w:after="0" w:line="240" w:lineRule="auto"/>
              <w:jc w:val="right"/>
              <w:rPr>
                <w:rFonts w:ascii="Calibri" w:eastAsia="Times New Roman" w:hAnsi="Calibri" w:cs="Calibri"/>
                <w:color w:val="000000"/>
              </w:rPr>
            </w:pPr>
            <w:r w:rsidRPr="001D6BF6">
              <w:rPr>
                <w:rFonts w:ascii="Calibri" w:eastAsia="Times New Roman" w:hAnsi="Calibri" w:cs="Calibri"/>
                <w:color w:val="000000"/>
              </w:rPr>
              <w:t>5.13%</w:t>
            </w:r>
          </w:p>
        </w:tc>
        <w:tc>
          <w:tcPr>
            <w:tcW w:w="0" w:type="auto"/>
            <w:tcBorders>
              <w:top w:val="nil"/>
              <w:left w:val="nil"/>
              <w:bottom w:val="nil"/>
              <w:right w:val="nil"/>
            </w:tcBorders>
            <w:shd w:val="clear" w:color="auto" w:fill="auto"/>
            <w:noWrap/>
            <w:vAlign w:val="bottom"/>
            <w:hideMark/>
          </w:tcPr>
          <w:p w:rsidR="001D6BF6" w:rsidRPr="001D6BF6" w:rsidRDefault="001D6BF6" w:rsidP="00632952">
            <w:pPr>
              <w:spacing w:after="0" w:line="240" w:lineRule="auto"/>
              <w:jc w:val="right"/>
              <w:rPr>
                <w:rFonts w:ascii="Calibri" w:eastAsia="Times New Roman" w:hAnsi="Calibri" w:cs="Calibri"/>
                <w:color w:val="000000"/>
              </w:rPr>
            </w:pPr>
            <w:r w:rsidRPr="001D6BF6">
              <w:rPr>
                <w:rFonts w:ascii="Calibri" w:eastAsia="Times New Roman" w:hAnsi="Calibri" w:cs="Calibri"/>
                <w:color w:val="000000"/>
              </w:rPr>
              <w:t>5.61%</w:t>
            </w:r>
          </w:p>
        </w:tc>
        <w:tc>
          <w:tcPr>
            <w:tcW w:w="0" w:type="auto"/>
            <w:tcBorders>
              <w:top w:val="nil"/>
              <w:left w:val="nil"/>
              <w:bottom w:val="nil"/>
              <w:right w:val="nil"/>
            </w:tcBorders>
            <w:shd w:val="clear" w:color="auto" w:fill="auto"/>
            <w:noWrap/>
            <w:vAlign w:val="bottom"/>
            <w:hideMark/>
          </w:tcPr>
          <w:p w:rsidR="001D6BF6" w:rsidRPr="001D6BF6" w:rsidRDefault="001D6BF6" w:rsidP="00632952">
            <w:pPr>
              <w:spacing w:after="0" w:line="240" w:lineRule="auto"/>
              <w:jc w:val="right"/>
              <w:rPr>
                <w:rFonts w:ascii="Calibri" w:eastAsia="Times New Roman" w:hAnsi="Calibri" w:cs="Calibri"/>
                <w:color w:val="000000"/>
              </w:rPr>
            </w:pPr>
            <w:r w:rsidRPr="001D6BF6">
              <w:rPr>
                <w:rFonts w:ascii="Calibri" w:eastAsia="Times New Roman" w:hAnsi="Calibri" w:cs="Calibri"/>
                <w:color w:val="000000"/>
              </w:rPr>
              <w:t>2.74%</w:t>
            </w:r>
          </w:p>
        </w:tc>
        <w:tc>
          <w:tcPr>
            <w:tcW w:w="0" w:type="auto"/>
            <w:tcBorders>
              <w:top w:val="nil"/>
              <w:left w:val="nil"/>
              <w:bottom w:val="nil"/>
              <w:right w:val="single" w:sz="4" w:space="0" w:color="auto"/>
            </w:tcBorders>
            <w:shd w:val="clear" w:color="auto" w:fill="auto"/>
            <w:noWrap/>
            <w:vAlign w:val="bottom"/>
            <w:hideMark/>
          </w:tcPr>
          <w:p w:rsidR="001D6BF6" w:rsidRPr="001D6BF6" w:rsidRDefault="001D6BF6" w:rsidP="00632952">
            <w:pPr>
              <w:spacing w:after="0" w:line="240" w:lineRule="auto"/>
              <w:jc w:val="right"/>
              <w:rPr>
                <w:rFonts w:ascii="Calibri" w:eastAsia="Times New Roman" w:hAnsi="Calibri" w:cs="Calibri"/>
                <w:color w:val="000000"/>
              </w:rPr>
            </w:pPr>
            <w:r w:rsidRPr="001D6BF6">
              <w:rPr>
                <w:rFonts w:ascii="Calibri" w:eastAsia="Times New Roman" w:hAnsi="Calibri" w:cs="Calibri"/>
                <w:color w:val="000000"/>
              </w:rPr>
              <w:t>-0.0287</w:t>
            </w:r>
          </w:p>
        </w:tc>
      </w:tr>
      <w:tr w:rsidR="001D6BF6" w:rsidRPr="001D6BF6" w:rsidTr="00632952">
        <w:trPr>
          <w:trHeight w:val="467"/>
        </w:trPr>
        <w:tc>
          <w:tcPr>
            <w:tcW w:w="0" w:type="auto"/>
            <w:tcBorders>
              <w:top w:val="nil"/>
              <w:left w:val="single" w:sz="4" w:space="0" w:color="auto"/>
              <w:bottom w:val="single" w:sz="4" w:space="0" w:color="auto"/>
              <w:right w:val="single" w:sz="4" w:space="0" w:color="auto"/>
            </w:tcBorders>
            <w:shd w:val="clear" w:color="000000" w:fill="B4C6E7"/>
            <w:noWrap/>
            <w:vAlign w:val="bottom"/>
            <w:hideMark/>
          </w:tcPr>
          <w:p w:rsidR="001D6BF6" w:rsidRPr="001D6BF6" w:rsidRDefault="001D6BF6" w:rsidP="00632952">
            <w:pPr>
              <w:spacing w:after="0" w:line="240" w:lineRule="auto"/>
              <w:rPr>
                <w:rFonts w:ascii="Calibri" w:eastAsia="Times New Roman" w:hAnsi="Calibri" w:cs="Calibri"/>
                <w:color w:val="000000"/>
              </w:rPr>
            </w:pPr>
            <w:r w:rsidRPr="001D6BF6">
              <w:rPr>
                <w:rFonts w:ascii="Calibri" w:eastAsia="Times New Roman" w:hAnsi="Calibri" w:cs="Calibri"/>
                <w:color w:val="000000"/>
              </w:rPr>
              <w:t>AMECX</w:t>
            </w:r>
          </w:p>
        </w:tc>
        <w:tc>
          <w:tcPr>
            <w:tcW w:w="0" w:type="auto"/>
            <w:tcBorders>
              <w:top w:val="nil"/>
              <w:left w:val="nil"/>
              <w:bottom w:val="nil"/>
              <w:right w:val="nil"/>
            </w:tcBorders>
            <w:shd w:val="clear" w:color="auto" w:fill="auto"/>
            <w:noWrap/>
            <w:vAlign w:val="bottom"/>
            <w:hideMark/>
          </w:tcPr>
          <w:p w:rsidR="001D6BF6" w:rsidRPr="001D6BF6" w:rsidRDefault="001D6BF6" w:rsidP="00632952">
            <w:pPr>
              <w:spacing w:after="0" w:line="240" w:lineRule="auto"/>
              <w:jc w:val="right"/>
              <w:rPr>
                <w:rFonts w:ascii="Calibri" w:eastAsia="Times New Roman" w:hAnsi="Calibri" w:cs="Calibri"/>
                <w:color w:val="000000"/>
              </w:rPr>
            </w:pPr>
            <w:r w:rsidRPr="001D6BF6">
              <w:rPr>
                <w:rFonts w:ascii="Calibri" w:eastAsia="Times New Roman" w:hAnsi="Calibri" w:cs="Calibri"/>
                <w:color w:val="000000"/>
              </w:rPr>
              <w:t>2.32%</w:t>
            </w:r>
          </w:p>
        </w:tc>
        <w:tc>
          <w:tcPr>
            <w:tcW w:w="0" w:type="auto"/>
            <w:tcBorders>
              <w:top w:val="nil"/>
              <w:left w:val="nil"/>
              <w:bottom w:val="nil"/>
              <w:right w:val="nil"/>
            </w:tcBorders>
            <w:shd w:val="clear" w:color="auto" w:fill="auto"/>
            <w:noWrap/>
            <w:vAlign w:val="bottom"/>
            <w:hideMark/>
          </w:tcPr>
          <w:p w:rsidR="001D6BF6" w:rsidRPr="001D6BF6" w:rsidRDefault="001D6BF6" w:rsidP="00632952">
            <w:pPr>
              <w:spacing w:after="0" w:line="240" w:lineRule="auto"/>
              <w:jc w:val="right"/>
              <w:rPr>
                <w:rFonts w:ascii="Calibri" w:eastAsia="Times New Roman" w:hAnsi="Calibri" w:cs="Calibri"/>
                <w:color w:val="000000"/>
              </w:rPr>
            </w:pPr>
            <w:r w:rsidRPr="001D6BF6">
              <w:rPr>
                <w:rFonts w:ascii="Calibri" w:eastAsia="Times New Roman" w:hAnsi="Calibri" w:cs="Calibri"/>
                <w:color w:val="000000"/>
              </w:rPr>
              <w:t>1.08</w:t>
            </w:r>
          </w:p>
        </w:tc>
        <w:tc>
          <w:tcPr>
            <w:tcW w:w="0" w:type="auto"/>
            <w:tcBorders>
              <w:top w:val="nil"/>
              <w:left w:val="nil"/>
              <w:bottom w:val="nil"/>
              <w:right w:val="nil"/>
            </w:tcBorders>
            <w:shd w:val="clear" w:color="auto" w:fill="auto"/>
            <w:noWrap/>
            <w:vAlign w:val="bottom"/>
            <w:hideMark/>
          </w:tcPr>
          <w:p w:rsidR="001D6BF6" w:rsidRPr="001D6BF6" w:rsidRDefault="001D6BF6" w:rsidP="00632952">
            <w:pPr>
              <w:spacing w:after="0" w:line="240" w:lineRule="auto"/>
              <w:jc w:val="right"/>
              <w:rPr>
                <w:rFonts w:ascii="Calibri" w:eastAsia="Times New Roman" w:hAnsi="Calibri" w:cs="Calibri"/>
                <w:color w:val="000000"/>
              </w:rPr>
            </w:pPr>
            <w:r w:rsidRPr="001D6BF6">
              <w:rPr>
                <w:rFonts w:ascii="Calibri" w:eastAsia="Times New Roman" w:hAnsi="Calibri" w:cs="Calibri"/>
                <w:color w:val="000000"/>
              </w:rPr>
              <w:t>5.11%</w:t>
            </w:r>
          </w:p>
        </w:tc>
        <w:tc>
          <w:tcPr>
            <w:tcW w:w="0" w:type="auto"/>
            <w:tcBorders>
              <w:top w:val="nil"/>
              <w:left w:val="nil"/>
              <w:bottom w:val="nil"/>
              <w:right w:val="nil"/>
            </w:tcBorders>
            <w:shd w:val="clear" w:color="auto" w:fill="auto"/>
            <w:noWrap/>
            <w:vAlign w:val="bottom"/>
            <w:hideMark/>
          </w:tcPr>
          <w:p w:rsidR="001D6BF6" w:rsidRPr="001D6BF6" w:rsidRDefault="001D6BF6" w:rsidP="00632952">
            <w:pPr>
              <w:spacing w:after="0" w:line="240" w:lineRule="auto"/>
              <w:jc w:val="right"/>
              <w:rPr>
                <w:rFonts w:ascii="Calibri" w:eastAsia="Times New Roman" w:hAnsi="Calibri" w:cs="Calibri"/>
                <w:color w:val="000000"/>
              </w:rPr>
            </w:pPr>
            <w:r w:rsidRPr="001D6BF6">
              <w:rPr>
                <w:rFonts w:ascii="Calibri" w:eastAsia="Times New Roman" w:hAnsi="Calibri" w:cs="Calibri"/>
                <w:color w:val="000000"/>
              </w:rPr>
              <w:t>5.34%</w:t>
            </w:r>
          </w:p>
        </w:tc>
        <w:tc>
          <w:tcPr>
            <w:tcW w:w="0" w:type="auto"/>
            <w:tcBorders>
              <w:top w:val="nil"/>
              <w:left w:val="nil"/>
              <w:bottom w:val="nil"/>
              <w:right w:val="nil"/>
            </w:tcBorders>
            <w:shd w:val="clear" w:color="auto" w:fill="auto"/>
            <w:noWrap/>
            <w:vAlign w:val="bottom"/>
            <w:hideMark/>
          </w:tcPr>
          <w:p w:rsidR="001D6BF6" w:rsidRPr="001D6BF6" w:rsidRDefault="001D6BF6" w:rsidP="00632952">
            <w:pPr>
              <w:spacing w:after="0" w:line="240" w:lineRule="auto"/>
              <w:jc w:val="right"/>
              <w:rPr>
                <w:rFonts w:ascii="Calibri" w:eastAsia="Times New Roman" w:hAnsi="Calibri" w:cs="Calibri"/>
                <w:color w:val="000000"/>
              </w:rPr>
            </w:pPr>
            <w:r w:rsidRPr="001D6BF6">
              <w:rPr>
                <w:rFonts w:ascii="Calibri" w:eastAsia="Times New Roman" w:hAnsi="Calibri" w:cs="Calibri"/>
                <w:color w:val="000000"/>
              </w:rPr>
              <w:t>1.08%</w:t>
            </w:r>
          </w:p>
        </w:tc>
        <w:tc>
          <w:tcPr>
            <w:tcW w:w="0" w:type="auto"/>
            <w:tcBorders>
              <w:top w:val="nil"/>
              <w:left w:val="nil"/>
              <w:bottom w:val="nil"/>
              <w:right w:val="single" w:sz="4" w:space="0" w:color="auto"/>
            </w:tcBorders>
            <w:shd w:val="clear" w:color="auto" w:fill="auto"/>
            <w:noWrap/>
            <w:vAlign w:val="bottom"/>
            <w:hideMark/>
          </w:tcPr>
          <w:p w:rsidR="001D6BF6" w:rsidRPr="001D6BF6" w:rsidRDefault="001D6BF6" w:rsidP="00632952">
            <w:pPr>
              <w:spacing w:after="0" w:line="240" w:lineRule="auto"/>
              <w:jc w:val="right"/>
              <w:rPr>
                <w:rFonts w:ascii="Calibri" w:eastAsia="Times New Roman" w:hAnsi="Calibri" w:cs="Calibri"/>
                <w:color w:val="000000"/>
              </w:rPr>
            </w:pPr>
            <w:r w:rsidRPr="001D6BF6">
              <w:rPr>
                <w:rFonts w:ascii="Calibri" w:eastAsia="Times New Roman" w:hAnsi="Calibri" w:cs="Calibri"/>
                <w:color w:val="000000"/>
              </w:rPr>
              <w:t>-0.0426</w:t>
            </w:r>
          </w:p>
        </w:tc>
      </w:tr>
      <w:tr w:rsidR="001D6BF6" w:rsidRPr="001D6BF6" w:rsidTr="00632952">
        <w:trPr>
          <w:trHeight w:val="467"/>
        </w:trPr>
        <w:tc>
          <w:tcPr>
            <w:tcW w:w="0" w:type="auto"/>
            <w:tcBorders>
              <w:top w:val="nil"/>
              <w:left w:val="single" w:sz="4" w:space="0" w:color="auto"/>
              <w:bottom w:val="single" w:sz="4" w:space="0" w:color="auto"/>
              <w:right w:val="single" w:sz="4" w:space="0" w:color="auto"/>
            </w:tcBorders>
            <w:shd w:val="clear" w:color="000000" w:fill="B4C6E7"/>
            <w:noWrap/>
            <w:vAlign w:val="bottom"/>
            <w:hideMark/>
          </w:tcPr>
          <w:p w:rsidR="001D6BF6" w:rsidRPr="001D6BF6" w:rsidRDefault="001D6BF6" w:rsidP="00632952">
            <w:pPr>
              <w:spacing w:after="0" w:line="240" w:lineRule="auto"/>
              <w:rPr>
                <w:rFonts w:ascii="Calibri" w:eastAsia="Times New Roman" w:hAnsi="Calibri" w:cs="Calibri"/>
                <w:color w:val="000000"/>
              </w:rPr>
            </w:pPr>
            <w:r w:rsidRPr="001D6BF6">
              <w:rPr>
                <w:rFonts w:ascii="Calibri" w:eastAsia="Times New Roman" w:hAnsi="Calibri" w:cs="Calibri"/>
                <w:color w:val="000000"/>
              </w:rPr>
              <w:t>TINCX</w:t>
            </w:r>
          </w:p>
        </w:tc>
        <w:tc>
          <w:tcPr>
            <w:tcW w:w="0" w:type="auto"/>
            <w:tcBorders>
              <w:top w:val="nil"/>
              <w:left w:val="nil"/>
              <w:bottom w:val="nil"/>
              <w:right w:val="nil"/>
            </w:tcBorders>
            <w:shd w:val="clear" w:color="auto" w:fill="auto"/>
            <w:noWrap/>
            <w:vAlign w:val="bottom"/>
            <w:hideMark/>
          </w:tcPr>
          <w:p w:rsidR="001D6BF6" w:rsidRPr="001D6BF6" w:rsidRDefault="001D6BF6" w:rsidP="00632952">
            <w:pPr>
              <w:spacing w:after="0" w:line="240" w:lineRule="auto"/>
              <w:jc w:val="right"/>
              <w:rPr>
                <w:rFonts w:ascii="Calibri" w:eastAsia="Times New Roman" w:hAnsi="Calibri" w:cs="Calibri"/>
                <w:color w:val="000000"/>
              </w:rPr>
            </w:pPr>
            <w:r w:rsidRPr="001D6BF6">
              <w:rPr>
                <w:rFonts w:ascii="Calibri" w:eastAsia="Times New Roman" w:hAnsi="Calibri" w:cs="Calibri"/>
                <w:color w:val="000000"/>
              </w:rPr>
              <w:t>2.32%</w:t>
            </w:r>
          </w:p>
        </w:tc>
        <w:tc>
          <w:tcPr>
            <w:tcW w:w="0" w:type="auto"/>
            <w:tcBorders>
              <w:top w:val="nil"/>
              <w:left w:val="nil"/>
              <w:bottom w:val="nil"/>
              <w:right w:val="nil"/>
            </w:tcBorders>
            <w:shd w:val="clear" w:color="auto" w:fill="auto"/>
            <w:noWrap/>
            <w:vAlign w:val="bottom"/>
            <w:hideMark/>
          </w:tcPr>
          <w:p w:rsidR="001D6BF6" w:rsidRPr="001D6BF6" w:rsidRDefault="001D6BF6" w:rsidP="00632952">
            <w:pPr>
              <w:spacing w:after="0" w:line="240" w:lineRule="auto"/>
              <w:jc w:val="right"/>
              <w:rPr>
                <w:rFonts w:ascii="Calibri" w:eastAsia="Times New Roman" w:hAnsi="Calibri" w:cs="Calibri"/>
                <w:color w:val="000000"/>
              </w:rPr>
            </w:pPr>
            <w:r w:rsidRPr="001D6BF6">
              <w:rPr>
                <w:rFonts w:ascii="Calibri" w:eastAsia="Times New Roman" w:hAnsi="Calibri" w:cs="Calibri"/>
                <w:color w:val="000000"/>
              </w:rPr>
              <w:t>1.20</w:t>
            </w:r>
          </w:p>
        </w:tc>
        <w:tc>
          <w:tcPr>
            <w:tcW w:w="0" w:type="auto"/>
            <w:tcBorders>
              <w:top w:val="nil"/>
              <w:left w:val="nil"/>
              <w:bottom w:val="nil"/>
              <w:right w:val="nil"/>
            </w:tcBorders>
            <w:shd w:val="clear" w:color="auto" w:fill="auto"/>
            <w:noWrap/>
            <w:vAlign w:val="bottom"/>
            <w:hideMark/>
          </w:tcPr>
          <w:p w:rsidR="001D6BF6" w:rsidRPr="001D6BF6" w:rsidRDefault="001D6BF6" w:rsidP="00632952">
            <w:pPr>
              <w:spacing w:after="0" w:line="240" w:lineRule="auto"/>
              <w:jc w:val="right"/>
              <w:rPr>
                <w:rFonts w:ascii="Calibri" w:eastAsia="Times New Roman" w:hAnsi="Calibri" w:cs="Calibri"/>
                <w:color w:val="000000"/>
              </w:rPr>
            </w:pPr>
            <w:r w:rsidRPr="001D6BF6">
              <w:rPr>
                <w:rFonts w:ascii="Calibri" w:eastAsia="Times New Roman" w:hAnsi="Calibri" w:cs="Calibri"/>
                <w:color w:val="000000"/>
              </w:rPr>
              <w:t>2.73%</w:t>
            </w:r>
          </w:p>
        </w:tc>
        <w:tc>
          <w:tcPr>
            <w:tcW w:w="0" w:type="auto"/>
            <w:tcBorders>
              <w:top w:val="nil"/>
              <w:left w:val="nil"/>
              <w:bottom w:val="nil"/>
              <w:right w:val="nil"/>
            </w:tcBorders>
            <w:shd w:val="clear" w:color="auto" w:fill="auto"/>
            <w:noWrap/>
            <w:vAlign w:val="bottom"/>
            <w:hideMark/>
          </w:tcPr>
          <w:p w:rsidR="001D6BF6" w:rsidRPr="001D6BF6" w:rsidRDefault="001D6BF6" w:rsidP="00632952">
            <w:pPr>
              <w:spacing w:after="0" w:line="240" w:lineRule="auto"/>
              <w:jc w:val="right"/>
              <w:rPr>
                <w:rFonts w:ascii="Calibri" w:eastAsia="Times New Roman" w:hAnsi="Calibri" w:cs="Calibri"/>
                <w:color w:val="000000"/>
              </w:rPr>
            </w:pPr>
            <w:r w:rsidRPr="001D6BF6">
              <w:rPr>
                <w:rFonts w:ascii="Calibri" w:eastAsia="Times New Roman" w:hAnsi="Calibri" w:cs="Calibri"/>
                <w:color w:val="000000"/>
              </w:rPr>
              <w:t>2.81%</w:t>
            </w:r>
          </w:p>
        </w:tc>
        <w:tc>
          <w:tcPr>
            <w:tcW w:w="0" w:type="auto"/>
            <w:tcBorders>
              <w:top w:val="nil"/>
              <w:left w:val="nil"/>
              <w:bottom w:val="nil"/>
              <w:right w:val="nil"/>
            </w:tcBorders>
            <w:shd w:val="clear" w:color="auto" w:fill="auto"/>
            <w:noWrap/>
            <w:vAlign w:val="bottom"/>
            <w:hideMark/>
          </w:tcPr>
          <w:p w:rsidR="001D6BF6" w:rsidRPr="001D6BF6" w:rsidRDefault="001D6BF6" w:rsidP="00632952">
            <w:pPr>
              <w:spacing w:after="0" w:line="240" w:lineRule="auto"/>
              <w:jc w:val="right"/>
              <w:rPr>
                <w:rFonts w:ascii="Calibri" w:eastAsia="Times New Roman" w:hAnsi="Calibri" w:cs="Calibri"/>
                <w:color w:val="000000"/>
              </w:rPr>
            </w:pPr>
            <w:r w:rsidRPr="001D6BF6">
              <w:rPr>
                <w:rFonts w:ascii="Calibri" w:eastAsia="Times New Roman" w:hAnsi="Calibri" w:cs="Calibri"/>
                <w:color w:val="000000"/>
              </w:rPr>
              <w:t>0.34%</w:t>
            </w:r>
          </w:p>
        </w:tc>
        <w:tc>
          <w:tcPr>
            <w:tcW w:w="0" w:type="auto"/>
            <w:tcBorders>
              <w:top w:val="nil"/>
              <w:left w:val="nil"/>
              <w:bottom w:val="nil"/>
              <w:right w:val="single" w:sz="4" w:space="0" w:color="auto"/>
            </w:tcBorders>
            <w:shd w:val="clear" w:color="auto" w:fill="auto"/>
            <w:noWrap/>
            <w:vAlign w:val="bottom"/>
            <w:hideMark/>
          </w:tcPr>
          <w:p w:rsidR="001D6BF6" w:rsidRPr="001D6BF6" w:rsidRDefault="001D6BF6" w:rsidP="00632952">
            <w:pPr>
              <w:spacing w:after="0" w:line="240" w:lineRule="auto"/>
              <w:jc w:val="right"/>
              <w:rPr>
                <w:rFonts w:ascii="Calibri" w:eastAsia="Times New Roman" w:hAnsi="Calibri" w:cs="Calibri"/>
                <w:color w:val="000000"/>
              </w:rPr>
            </w:pPr>
            <w:r w:rsidRPr="001D6BF6">
              <w:rPr>
                <w:rFonts w:ascii="Calibri" w:eastAsia="Times New Roman" w:hAnsi="Calibri" w:cs="Calibri"/>
                <w:color w:val="000000"/>
              </w:rPr>
              <w:t>-0.0247</w:t>
            </w:r>
          </w:p>
        </w:tc>
      </w:tr>
      <w:tr w:rsidR="001D6BF6" w:rsidRPr="001D6BF6" w:rsidTr="00632952">
        <w:trPr>
          <w:trHeight w:val="467"/>
        </w:trPr>
        <w:tc>
          <w:tcPr>
            <w:tcW w:w="0" w:type="auto"/>
            <w:tcBorders>
              <w:top w:val="nil"/>
              <w:left w:val="single" w:sz="4" w:space="0" w:color="auto"/>
              <w:bottom w:val="single" w:sz="4" w:space="0" w:color="auto"/>
              <w:right w:val="single" w:sz="4" w:space="0" w:color="auto"/>
            </w:tcBorders>
            <w:shd w:val="clear" w:color="000000" w:fill="B4C6E7"/>
            <w:noWrap/>
            <w:vAlign w:val="bottom"/>
            <w:hideMark/>
          </w:tcPr>
          <w:p w:rsidR="001D6BF6" w:rsidRPr="001D6BF6" w:rsidRDefault="001D6BF6" w:rsidP="00632952">
            <w:pPr>
              <w:spacing w:after="0" w:line="240" w:lineRule="auto"/>
              <w:rPr>
                <w:rFonts w:ascii="Calibri" w:eastAsia="Times New Roman" w:hAnsi="Calibri" w:cs="Calibri"/>
                <w:color w:val="000000"/>
              </w:rPr>
            </w:pPr>
            <w:r w:rsidRPr="001D6BF6">
              <w:rPr>
                <w:rFonts w:ascii="Calibri" w:eastAsia="Times New Roman" w:hAnsi="Calibri" w:cs="Calibri"/>
                <w:color w:val="000000"/>
              </w:rPr>
              <w:t>SEBLX</w:t>
            </w:r>
          </w:p>
        </w:tc>
        <w:tc>
          <w:tcPr>
            <w:tcW w:w="0" w:type="auto"/>
            <w:tcBorders>
              <w:top w:val="nil"/>
              <w:left w:val="nil"/>
              <w:bottom w:val="nil"/>
              <w:right w:val="nil"/>
            </w:tcBorders>
            <w:shd w:val="clear" w:color="auto" w:fill="auto"/>
            <w:noWrap/>
            <w:vAlign w:val="bottom"/>
            <w:hideMark/>
          </w:tcPr>
          <w:p w:rsidR="001D6BF6" w:rsidRPr="001D6BF6" w:rsidRDefault="001D6BF6" w:rsidP="00632952">
            <w:pPr>
              <w:spacing w:after="0" w:line="240" w:lineRule="auto"/>
              <w:jc w:val="right"/>
              <w:rPr>
                <w:rFonts w:ascii="Calibri" w:eastAsia="Times New Roman" w:hAnsi="Calibri" w:cs="Calibri"/>
                <w:color w:val="000000"/>
              </w:rPr>
            </w:pPr>
            <w:r w:rsidRPr="001D6BF6">
              <w:rPr>
                <w:rFonts w:ascii="Calibri" w:eastAsia="Times New Roman" w:hAnsi="Calibri" w:cs="Calibri"/>
                <w:color w:val="000000"/>
              </w:rPr>
              <w:t>2.32%</w:t>
            </w:r>
          </w:p>
        </w:tc>
        <w:tc>
          <w:tcPr>
            <w:tcW w:w="0" w:type="auto"/>
            <w:tcBorders>
              <w:top w:val="nil"/>
              <w:left w:val="nil"/>
              <w:bottom w:val="nil"/>
              <w:right w:val="nil"/>
            </w:tcBorders>
            <w:shd w:val="clear" w:color="auto" w:fill="auto"/>
            <w:noWrap/>
            <w:vAlign w:val="bottom"/>
            <w:hideMark/>
          </w:tcPr>
          <w:p w:rsidR="001D6BF6" w:rsidRPr="001D6BF6" w:rsidRDefault="001D6BF6" w:rsidP="00632952">
            <w:pPr>
              <w:spacing w:after="0" w:line="240" w:lineRule="auto"/>
              <w:jc w:val="right"/>
              <w:rPr>
                <w:rFonts w:ascii="Calibri" w:eastAsia="Times New Roman" w:hAnsi="Calibri" w:cs="Calibri"/>
                <w:color w:val="000000"/>
              </w:rPr>
            </w:pPr>
            <w:r w:rsidRPr="001D6BF6">
              <w:rPr>
                <w:rFonts w:ascii="Calibri" w:eastAsia="Times New Roman" w:hAnsi="Calibri" w:cs="Calibri"/>
                <w:color w:val="000000"/>
              </w:rPr>
              <w:t>1.00</w:t>
            </w:r>
          </w:p>
        </w:tc>
        <w:tc>
          <w:tcPr>
            <w:tcW w:w="0" w:type="auto"/>
            <w:tcBorders>
              <w:top w:val="nil"/>
              <w:left w:val="nil"/>
              <w:bottom w:val="nil"/>
              <w:right w:val="nil"/>
            </w:tcBorders>
            <w:shd w:val="clear" w:color="auto" w:fill="auto"/>
            <w:noWrap/>
            <w:vAlign w:val="bottom"/>
            <w:hideMark/>
          </w:tcPr>
          <w:p w:rsidR="001D6BF6" w:rsidRPr="001D6BF6" w:rsidRDefault="001D6BF6" w:rsidP="00632952">
            <w:pPr>
              <w:spacing w:after="0" w:line="240" w:lineRule="auto"/>
              <w:jc w:val="right"/>
              <w:rPr>
                <w:rFonts w:ascii="Calibri" w:eastAsia="Times New Roman" w:hAnsi="Calibri" w:cs="Calibri"/>
                <w:color w:val="000000"/>
              </w:rPr>
            </w:pPr>
            <w:r w:rsidRPr="001D6BF6">
              <w:rPr>
                <w:rFonts w:ascii="Calibri" w:eastAsia="Times New Roman" w:hAnsi="Calibri" w:cs="Calibri"/>
                <w:color w:val="000000"/>
              </w:rPr>
              <w:t>5.05%</w:t>
            </w:r>
          </w:p>
        </w:tc>
        <w:tc>
          <w:tcPr>
            <w:tcW w:w="0" w:type="auto"/>
            <w:tcBorders>
              <w:top w:val="nil"/>
              <w:left w:val="nil"/>
              <w:bottom w:val="nil"/>
              <w:right w:val="nil"/>
            </w:tcBorders>
            <w:shd w:val="clear" w:color="auto" w:fill="auto"/>
            <w:noWrap/>
            <w:vAlign w:val="bottom"/>
            <w:hideMark/>
          </w:tcPr>
          <w:p w:rsidR="001D6BF6" w:rsidRPr="001D6BF6" w:rsidRDefault="001D6BF6" w:rsidP="00632952">
            <w:pPr>
              <w:spacing w:after="0" w:line="240" w:lineRule="auto"/>
              <w:jc w:val="right"/>
              <w:rPr>
                <w:rFonts w:ascii="Calibri" w:eastAsia="Times New Roman" w:hAnsi="Calibri" w:cs="Calibri"/>
                <w:color w:val="000000"/>
              </w:rPr>
            </w:pPr>
            <w:r w:rsidRPr="001D6BF6">
              <w:rPr>
                <w:rFonts w:ascii="Calibri" w:eastAsia="Times New Roman" w:hAnsi="Calibri" w:cs="Calibri"/>
                <w:color w:val="000000"/>
              </w:rPr>
              <w:t>5.05%</w:t>
            </w:r>
          </w:p>
        </w:tc>
        <w:tc>
          <w:tcPr>
            <w:tcW w:w="0" w:type="auto"/>
            <w:tcBorders>
              <w:top w:val="nil"/>
              <w:left w:val="nil"/>
              <w:bottom w:val="nil"/>
              <w:right w:val="nil"/>
            </w:tcBorders>
            <w:shd w:val="clear" w:color="auto" w:fill="auto"/>
            <w:noWrap/>
            <w:vAlign w:val="bottom"/>
            <w:hideMark/>
          </w:tcPr>
          <w:p w:rsidR="001D6BF6" w:rsidRPr="001D6BF6" w:rsidRDefault="001D6BF6" w:rsidP="00632952">
            <w:pPr>
              <w:spacing w:after="0" w:line="240" w:lineRule="auto"/>
              <w:jc w:val="right"/>
              <w:rPr>
                <w:rFonts w:ascii="Calibri" w:eastAsia="Times New Roman" w:hAnsi="Calibri" w:cs="Calibri"/>
                <w:color w:val="000000"/>
              </w:rPr>
            </w:pPr>
            <w:r w:rsidRPr="001D6BF6">
              <w:rPr>
                <w:rFonts w:ascii="Calibri" w:eastAsia="Times New Roman" w:hAnsi="Calibri" w:cs="Calibri"/>
                <w:color w:val="000000"/>
              </w:rPr>
              <w:t>1.66%</w:t>
            </w:r>
          </w:p>
        </w:tc>
        <w:tc>
          <w:tcPr>
            <w:tcW w:w="0" w:type="auto"/>
            <w:tcBorders>
              <w:top w:val="nil"/>
              <w:left w:val="nil"/>
              <w:bottom w:val="nil"/>
              <w:right w:val="single" w:sz="4" w:space="0" w:color="auto"/>
            </w:tcBorders>
            <w:shd w:val="clear" w:color="auto" w:fill="auto"/>
            <w:noWrap/>
            <w:vAlign w:val="bottom"/>
            <w:hideMark/>
          </w:tcPr>
          <w:p w:rsidR="001D6BF6" w:rsidRPr="001D6BF6" w:rsidRDefault="001D6BF6" w:rsidP="00632952">
            <w:pPr>
              <w:spacing w:after="0" w:line="240" w:lineRule="auto"/>
              <w:jc w:val="right"/>
              <w:rPr>
                <w:rFonts w:ascii="Calibri" w:eastAsia="Times New Roman" w:hAnsi="Calibri" w:cs="Calibri"/>
                <w:color w:val="000000"/>
              </w:rPr>
            </w:pPr>
            <w:r w:rsidRPr="001D6BF6">
              <w:rPr>
                <w:rFonts w:ascii="Calibri" w:eastAsia="Times New Roman" w:hAnsi="Calibri" w:cs="Calibri"/>
                <w:color w:val="000000"/>
              </w:rPr>
              <w:t>-0.0339</w:t>
            </w:r>
          </w:p>
        </w:tc>
      </w:tr>
      <w:tr w:rsidR="001D6BF6" w:rsidRPr="001D6BF6" w:rsidTr="00632952">
        <w:trPr>
          <w:trHeight w:val="467"/>
        </w:trPr>
        <w:tc>
          <w:tcPr>
            <w:tcW w:w="0" w:type="auto"/>
            <w:tcBorders>
              <w:top w:val="nil"/>
              <w:left w:val="single" w:sz="4" w:space="0" w:color="auto"/>
              <w:bottom w:val="single" w:sz="4" w:space="0" w:color="auto"/>
              <w:right w:val="single" w:sz="4" w:space="0" w:color="auto"/>
            </w:tcBorders>
            <w:shd w:val="clear" w:color="000000" w:fill="B4C6E7"/>
            <w:noWrap/>
            <w:vAlign w:val="bottom"/>
            <w:hideMark/>
          </w:tcPr>
          <w:p w:rsidR="001D6BF6" w:rsidRPr="001D6BF6" w:rsidRDefault="001D6BF6" w:rsidP="00632952">
            <w:pPr>
              <w:spacing w:after="0" w:line="240" w:lineRule="auto"/>
              <w:rPr>
                <w:rFonts w:ascii="Calibri" w:eastAsia="Times New Roman" w:hAnsi="Calibri" w:cs="Calibri"/>
                <w:color w:val="000000"/>
              </w:rPr>
            </w:pPr>
            <w:r w:rsidRPr="001D6BF6">
              <w:rPr>
                <w:rFonts w:ascii="Calibri" w:eastAsia="Times New Roman" w:hAnsi="Calibri" w:cs="Calibri"/>
                <w:color w:val="000000"/>
              </w:rPr>
              <w:t>SSIAX</w:t>
            </w:r>
          </w:p>
        </w:tc>
        <w:tc>
          <w:tcPr>
            <w:tcW w:w="0" w:type="auto"/>
            <w:tcBorders>
              <w:top w:val="nil"/>
              <w:left w:val="nil"/>
              <w:bottom w:val="nil"/>
              <w:right w:val="nil"/>
            </w:tcBorders>
            <w:shd w:val="clear" w:color="auto" w:fill="auto"/>
            <w:noWrap/>
            <w:vAlign w:val="bottom"/>
            <w:hideMark/>
          </w:tcPr>
          <w:p w:rsidR="001D6BF6" w:rsidRPr="001D6BF6" w:rsidRDefault="001D6BF6" w:rsidP="00632952">
            <w:pPr>
              <w:spacing w:after="0" w:line="240" w:lineRule="auto"/>
              <w:jc w:val="right"/>
              <w:rPr>
                <w:rFonts w:ascii="Calibri" w:eastAsia="Times New Roman" w:hAnsi="Calibri" w:cs="Calibri"/>
                <w:color w:val="000000"/>
              </w:rPr>
            </w:pPr>
            <w:r w:rsidRPr="001D6BF6">
              <w:rPr>
                <w:rFonts w:ascii="Calibri" w:eastAsia="Times New Roman" w:hAnsi="Calibri" w:cs="Calibri"/>
                <w:color w:val="000000"/>
              </w:rPr>
              <w:t>2.32%</w:t>
            </w:r>
          </w:p>
        </w:tc>
        <w:tc>
          <w:tcPr>
            <w:tcW w:w="0" w:type="auto"/>
            <w:tcBorders>
              <w:top w:val="nil"/>
              <w:left w:val="nil"/>
              <w:bottom w:val="nil"/>
              <w:right w:val="nil"/>
            </w:tcBorders>
            <w:shd w:val="clear" w:color="auto" w:fill="auto"/>
            <w:noWrap/>
            <w:vAlign w:val="bottom"/>
            <w:hideMark/>
          </w:tcPr>
          <w:p w:rsidR="001D6BF6" w:rsidRPr="001D6BF6" w:rsidRDefault="001D6BF6" w:rsidP="00632952">
            <w:pPr>
              <w:spacing w:after="0" w:line="240" w:lineRule="auto"/>
              <w:jc w:val="right"/>
              <w:rPr>
                <w:rFonts w:ascii="Calibri" w:eastAsia="Times New Roman" w:hAnsi="Calibri" w:cs="Calibri"/>
                <w:color w:val="000000"/>
              </w:rPr>
            </w:pPr>
            <w:r w:rsidRPr="001D6BF6">
              <w:rPr>
                <w:rFonts w:ascii="Calibri" w:eastAsia="Times New Roman" w:hAnsi="Calibri" w:cs="Calibri"/>
                <w:color w:val="000000"/>
              </w:rPr>
              <w:t>1.08</w:t>
            </w:r>
          </w:p>
        </w:tc>
        <w:tc>
          <w:tcPr>
            <w:tcW w:w="0" w:type="auto"/>
            <w:tcBorders>
              <w:top w:val="nil"/>
              <w:left w:val="nil"/>
              <w:bottom w:val="nil"/>
              <w:right w:val="nil"/>
            </w:tcBorders>
            <w:shd w:val="clear" w:color="auto" w:fill="auto"/>
            <w:noWrap/>
            <w:vAlign w:val="bottom"/>
            <w:hideMark/>
          </w:tcPr>
          <w:p w:rsidR="001D6BF6" w:rsidRPr="001D6BF6" w:rsidRDefault="001D6BF6" w:rsidP="00632952">
            <w:pPr>
              <w:spacing w:after="0" w:line="240" w:lineRule="auto"/>
              <w:jc w:val="right"/>
              <w:rPr>
                <w:rFonts w:ascii="Calibri" w:eastAsia="Times New Roman" w:hAnsi="Calibri" w:cs="Calibri"/>
                <w:color w:val="000000"/>
              </w:rPr>
            </w:pPr>
            <w:r w:rsidRPr="001D6BF6">
              <w:rPr>
                <w:rFonts w:ascii="Calibri" w:eastAsia="Times New Roman" w:hAnsi="Calibri" w:cs="Calibri"/>
                <w:color w:val="000000"/>
              </w:rPr>
              <w:t>4.99%</w:t>
            </w:r>
          </w:p>
        </w:tc>
        <w:tc>
          <w:tcPr>
            <w:tcW w:w="0" w:type="auto"/>
            <w:tcBorders>
              <w:top w:val="nil"/>
              <w:left w:val="nil"/>
              <w:bottom w:val="nil"/>
              <w:right w:val="nil"/>
            </w:tcBorders>
            <w:shd w:val="clear" w:color="auto" w:fill="auto"/>
            <w:noWrap/>
            <w:vAlign w:val="bottom"/>
            <w:hideMark/>
          </w:tcPr>
          <w:p w:rsidR="001D6BF6" w:rsidRPr="001D6BF6" w:rsidRDefault="001D6BF6" w:rsidP="00632952">
            <w:pPr>
              <w:spacing w:after="0" w:line="240" w:lineRule="auto"/>
              <w:jc w:val="right"/>
              <w:rPr>
                <w:rFonts w:ascii="Calibri" w:eastAsia="Times New Roman" w:hAnsi="Calibri" w:cs="Calibri"/>
                <w:color w:val="000000"/>
              </w:rPr>
            </w:pPr>
            <w:r w:rsidRPr="001D6BF6">
              <w:rPr>
                <w:rFonts w:ascii="Calibri" w:eastAsia="Times New Roman" w:hAnsi="Calibri" w:cs="Calibri"/>
                <w:color w:val="000000"/>
              </w:rPr>
              <w:t>5.20%</w:t>
            </w:r>
          </w:p>
        </w:tc>
        <w:tc>
          <w:tcPr>
            <w:tcW w:w="0" w:type="auto"/>
            <w:tcBorders>
              <w:top w:val="nil"/>
              <w:left w:val="nil"/>
              <w:bottom w:val="nil"/>
              <w:right w:val="nil"/>
            </w:tcBorders>
            <w:shd w:val="clear" w:color="auto" w:fill="auto"/>
            <w:noWrap/>
            <w:vAlign w:val="bottom"/>
            <w:hideMark/>
          </w:tcPr>
          <w:p w:rsidR="001D6BF6" w:rsidRPr="001D6BF6" w:rsidRDefault="001D6BF6" w:rsidP="00632952">
            <w:pPr>
              <w:spacing w:after="0" w:line="240" w:lineRule="auto"/>
              <w:jc w:val="right"/>
              <w:rPr>
                <w:rFonts w:ascii="Calibri" w:eastAsia="Times New Roman" w:hAnsi="Calibri" w:cs="Calibri"/>
                <w:color w:val="000000"/>
              </w:rPr>
            </w:pPr>
            <w:r w:rsidRPr="001D6BF6">
              <w:rPr>
                <w:rFonts w:ascii="Calibri" w:eastAsia="Times New Roman" w:hAnsi="Calibri" w:cs="Calibri"/>
                <w:color w:val="000000"/>
              </w:rPr>
              <w:t>-1.82%</w:t>
            </w:r>
          </w:p>
        </w:tc>
        <w:tc>
          <w:tcPr>
            <w:tcW w:w="0" w:type="auto"/>
            <w:tcBorders>
              <w:top w:val="nil"/>
              <w:left w:val="nil"/>
              <w:bottom w:val="nil"/>
              <w:right w:val="single" w:sz="4" w:space="0" w:color="auto"/>
            </w:tcBorders>
            <w:shd w:val="clear" w:color="auto" w:fill="auto"/>
            <w:noWrap/>
            <w:vAlign w:val="bottom"/>
            <w:hideMark/>
          </w:tcPr>
          <w:p w:rsidR="001D6BF6" w:rsidRPr="001D6BF6" w:rsidRDefault="001D6BF6" w:rsidP="00632952">
            <w:pPr>
              <w:spacing w:after="0" w:line="240" w:lineRule="auto"/>
              <w:jc w:val="right"/>
              <w:rPr>
                <w:rFonts w:ascii="Calibri" w:eastAsia="Times New Roman" w:hAnsi="Calibri" w:cs="Calibri"/>
                <w:color w:val="000000"/>
              </w:rPr>
            </w:pPr>
            <w:r w:rsidRPr="001D6BF6">
              <w:rPr>
                <w:rFonts w:ascii="Calibri" w:eastAsia="Times New Roman" w:hAnsi="Calibri" w:cs="Calibri"/>
                <w:color w:val="000000"/>
              </w:rPr>
              <w:t>-0.0702</w:t>
            </w:r>
          </w:p>
        </w:tc>
      </w:tr>
      <w:tr w:rsidR="001D6BF6" w:rsidRPr="001D6BF6" w:rsidTr="00632952">
        <w:trPr>
          <w:trHeight w:val="467"/>
        </w:trPr>
        <w:tc>
          <w:tcPr>
            <w:tcW w:w="0" w:type="auto"/>
            <w:tcBorders>
              <w:top w:val="nil"/>
              <w:left w:val="single" w:sz="4" w:space="0" w:color="auto"/>
              <w:bottom w:val="single" w:sz="4" w:space="0" w:color="auto"/>
              <w:right w:val="single" w:sz="4" w:space="0" w:color="auto"/>
            </w:tcBorders>
            <w:shd w:val="clear" w:color="000000" w:fill="B4C6E7"/>
            <w:noWrap/>
            <w:vAlign w:val="bottom"/>
            <w:hideMark/>
          </w:tcPr>
          <w:p w:rsidR="001D6BF6" w:rsidRPr="001D6BF6" w:rsidRDefault="001D6BF6" w:rsidP="00632952">
            <w:pPr>
              <w:spacing w:after="0" w:line="240" w:lineRule="auto"/>
              <w:rPr>
                <w:rFonts w:ascii="Calibri" w:eastAsia="Times New Roman" w:hAnsi="Calibri" w:cs="Calibri"/>
                <w:color w:val="000000"/>
              </w:rPr>
            </w:pPr>
            <w:r w:rsidRPr="001D6BF6">
              <w:rPr>
                <w:rFonts w:ascii="Calibri" w:eastAsia="Times New Roman" w:hAnsi="Calibri" w:cs="Calibri"/>
                <w:color w:val="000000"/>
              </w:rPr>
              <w:t>ACEIX</w:t>
            </w:r>
          </w:p>
        </w:tc>
        <w:tc>
          <w:tcPr>
            <w:tcW w:w="0" w:type="auto"/>
            <w:tcBorders>
              <w:top w:val="nil"/>
              <w:left w:val="nil"/>
              <w:bottom w:val="nil"/>
              <w:right w:val="nil"/>
            </w:tcBorders>
            <w:shd w:val="clear" w:color="auto" w:fill="auto"/>
            <w:noWrap/>
            <w:vAlign w:val="bottom"/>
            <w:hideMark/>
          </w:tcPr>
          <w:p w:rsidR="001D6BF6" w:rsidRPr="001D6BF6" w:rsidRDefault="001D6BF6" w:rsidP="00632952">
            <w:pPr>
              <w:spacing w:after="0" w:line="240" w:lineRule="auto"/>
              <w:jc w:val="right"/>
              <w:rPr>
                <w:rFonts w:ascii="Calibri" w:eastAsia="Times New Roman" w:hAnsi="Calibri" w:cs="Calibri"/>
                <w:color w:val="000000"/>
              </w:rPr>
            </w:pPr>
            <w:r w:rsidRPr="001D6BF6">
              <w:rPr>
                <w:rFonts w:ascii="Calibri" w:eastAsia="Times New Roman" w:hAnsi="Calibri" w:cs="Calibri"/>
                <w:color w:val="000000"/>
              </w:rPr>
              <w:t>2.32%</w:t>
            </w:r>
          </w:p>
        </w:tc>
        <w:tc>
          <w:tcPr>
            <w:tcW w:w="0" w:type="auto"/>
            <w:tcBorders>
              <w:top w:val="nil"/>
              <w:left w:val="nil"/>
              <w:bottom w:val="nil"/>
              <w:right w:val="nil"/>
            </w:tcBorders>
            <w:shd w:val="clear" w:color="auto" w:fill="auto"/>
            <w:noWrap/>
            <w:vAlign w:val="bottom"/>
            <w:hideMark/>
          </w:tcPr>
          <w:p w:rsidR="001D6BF6" w:rsidRPr="001D6BF6" w:rsidRDefault="001D6BF6" w:rsidP="00632952">
            <w:pPr>
              <w:spacing w:after="0" w:line="240" w:lineRule="auto"/>
              <w:jc w:val="right"/>
              <w:rPr>
                <w:rFonts w:ascii="Calibri" w:eastAsia="Times New Roman" w:hAnsi="Calibri" w:cs="Calibri"/>
                <w:color w:val="000000"/>
              </w:rPr>
            </w:pPr>
            <w:r w:rsidRPr="001D6BF6">
              <w:rPr>
                <w:rFonts w:ascii="Calibri" w:eastAsia="Times New Roman" w:hAnsi="Calibri" w:cs="Calibri"/>
                <w:color w:val="000000"/>
              </w:rPr>
              <w:t>1.10</w:t>
            </w:r>
          </w:p>
        </w:tc>
        <w:tc>
          <w:tcPr>
            <w:tcW w:w="0" w:type="auto"/>
            <w:tcBorders>
              <w:top w:val="nil"/>
              <w:left w:val="nil"/>
              <w:bottom w:val="nil"/>
              <w:right w:val="nil"/>
            </w:tcBorders>
            <w:shd w:val="clear" w:color="auto" w:fill="auto"/>
            <w:noWrap/>
            <w:vAlign w:val="bottom"/>
            <w:hideMark/>
          </w:tcPr>
          <w:p w:rsidR="001D6BF6" w:rsidRPr="001D6BF6" w:rsidRDefault="001D6BF6" w:rsidP="00632952">
            <w:pPr>
              <w:spacing w:after="0" w:line="240" w:lineRule="auto"/>
              <w:jc w:val="right"/>
              <w:rPr>
                <w:rFonts w:ascii="Calibri" w:eastAsia="Times New Roman" w:hAnsi="Calibri" w:cs="Calibri"/>
                <w:color w:val="000000"/>
              </w:rPr>
            </w:pPr>
            <w:r w:rsidRPr="001D6BF6">
              <w:rPr>
                <w:rFonts w:ascii="Calibri" w:eastAsia="Times New Roman" w:hAnsi="Calibri" w:cs="Calibri"/>
                <w:color w:val="000000"/>
              </w:rPr>
              <w:t>3.91%</w:t>
            </w:r>
          </w:p>
        </w:tc>
        <w:tc>
          <w:tcPr>
            <w:tcW w:w="0" w:type="auto"/>
            <w:tcBorders>
              <w:top w:val="nil"/>
              <w:left w:val="nil"/>
              <w:bottom w:val="nil"/>
              <w:right w:val="nil"/>
            </w:tcBorders>
            <w:shd w:val="clear" w:color="auto" w:fill="auto"/>
            <w:noWrap/>
            <w:vAlign w:val="bottom"/>
            <w:hideMark/>
          </w:tcPr>
          <w:p w:rsidR="001D6BF6" w:rsidRPr="001D6BF6" w:rsidRDefault="001D6BF6" w:rsidP="00632952">
            <w:pPr>
              <w:spacing w:after="0" w:line="240" w:lineRule="auto"/>
              <w:jc w:val="right"/>
              <w:rPr>
                <w:rFonts w:ascii="Calibri" w:eastAsia="Times New Roman" w:hAnsi="Calibri" w:cs="Calibri"/>
                <w:color w:val="000000"/>
              </w:rPr>
            </w:pPr>
            <w:r w:rsidRPr="001D6BF6">
              <w:rPr>
                <w:rFonts w:ascii="Calibri" w:eastAsia="Times New Roman" w:hAnsi="Calibri" w:cs="Calibri"/>
                <w:color w:val="000000"/>
              </w:rPr>
              <w:t>4.07%</w:t>
            </w:r>
          </w:p>
        </w:tc>
        <w:tc>
          <w:tcPr>
            <w:tcW w:w="0" w:type="auto"/>
            <w:tcBorders>
              <w:top w:val="nil"/>
              <w:left w:val="nil"/>
              <w:bottom w:val="nil"/>
              <w:right w:val="nil"/>
            </w:tcBorders>
            <w:shd w:val="clear" w:color="auto" w:fill="auto"/>
            <w:noWrap/>
            <w:vAlign w:val="bottom"/>
            <w:hideMark/>
          </w:tcPr>
          <w:p w:rsidR="001D6BF6" w:rsidRPr="001D6BF6" w:rsidRDefault="001D6BF6" w:rsidP="00632952">
            <w:pPr>
              <w:spacing w:after="0" w:line="240" w:lineRule="auto"/>
              <w:jc w:val="right"/>
              <w:rPr>
                <w:rFonts w:ascii="Calibri" w:eastAsia="Times New Roman" w:hAnsi="Calibri" w:cs="Calibri"/>
                <w:color w:val="000000"/>
              </w:rPr>
            </w:pPr>
            <w:r w:rsidRPr="001D6BF6">
              <w:rPr>
                <w:rFonts w:ascii="Calibri" w:eastAsia="Times New Roman" w:hAnsi="Calibri" w:cs="Calibri"/>
                <w:color w:val="000000"/>
              </w:rPr>
              <w:t>1.98%</w:t>
            </w:r>
          </w:p>
        </w:tc>
        <w:tc>
          <w:tcPr>
            <w:tcW w:w="0" w:type="auto"/>
            <w:tcBorders>
              <w:top w:val="nil"/>
              <w:left w:val="nil"/>
              <w:bottom w:val="nil"/>
              <w:right w:val="single" w:sz="4" w:space="0" w:color="auto"/>
            </w:tcBorders>
            <w:shd w:val="clear" w:color="auto" w:fill="auto"/>
            <w:noWrap/>
            <w:vAlign w:val="bottom"/>
            <w:hideMark/>
          </w:tcPr>
          <w:p w:rsidR="001D6BF6" w:rsidRPr="001D6BF6" w:rsidRDefault="001D6BF6" w:rsidP="00632952">
            <w:pPr>
              <w:spacing w:after="0" w:line="240" w:lineRule="auto"/>
              <w:jc w:val="right"/>
              <w:rPr>
                <w:rFonts w:ascii="Calibri" w:eastAsia="Times New Roman" w:hAnsi="Calibri" w:cs="Calibri"/>
                <w:color w:val="000000"/>
              </w:rPr>
            </w:pPr>
            <w:r w:rsidRPr="001D6BF6">
              <w:rPr>
                <w:rFonts w:ascii="Calibri" w:eastAsia="Times New Roman" w:hAnsi="Calibri" w:cs="Calibri"/>
                <w:color w:val="000000"/>
              </w:rPr>
              <w:t>-0.0210</w:t>
            </w:r>
          </w:p>
        </w:tc>
      </w:tr>
      <w:tr w:rsidR="001D6BF6" w:rsidRPr="001D6BF6" w:rsidTr="00632952">
        <w:trPr>
          <w:trHeight w:val="467"/>
        </w:trPr>
        <w:tc>
          <w:tcPr>
            <w:tcW w:w="0" w:type="auto"/>
            <w:tcBorders>
              <w:top w:val="nil"/>
              <w:left w:val="single" w:sz="4" w:space="0" w:color="auto"/>
              <w:bottom w:val="single" w:sz="4" w:space="0" w:color="auto"/>
              <w:right w:val="single" w:sz="4" w:space="0" w:color="auto"/>
            </w:tcBorders>
            <w:shd w:val="clear" w:color="000000" w:fill="B4C6E7"/>
            <w:noWrap/>
            <w:vAlign w:val="bottom"/>
            <w:hideMark/>
          </w:tcPr>
          <w:p w:rsidR="001D6BF6" w:rsidRPr="001D6BF6" w:rsidRDefault="001D6BF6" w:rsidP="00632952">
            <w:pPr>
              <w:spacing w:after="0" w:line="240" w:lineRule="auto"/>
              <w:rPr>
                <w:rFonts w:ascii="Calibri" w:eastAsia="Times New Roman" w:hAnsi="Calibri" w:cs="Calibri"/>
                <w:color w:val="000000"/>
              </w:rPr>
            </w:pPr>
            <w:r w:rsidRPr="001D6BF6">
              <w:rPr>
                <w:rFonts w:ascii="Calibri" w:eastAsia="Times New Roman" w:hAnsi="Calibri" w:cs="Calibri"/>
                <w:color w:val="000000"/>
              </w:rPr>
              <w:t>CVLOX</w:t>
            </w:r>
          </w:p>
        </w:tc>
        <w:tc>
          <w:tcPr>
            <w:tcW w:w="0" w:type="auto"/>
            <w:tcBorders>
              <w:top w:val="nil"/>
              <w:left w:val="nil"/>
              <w:bottom w:val="nil"/>
              <w:right w:val="nil"/>
            </w:tcBorders>
            <w:shd w:val="clear" w:color="auto" w:fill="auto"/>
            <w:noWrap/>
            <w:vAlign w:val="bottom"/>
            <w:hideMark/>
          </w:tcPr>
          <w:p w:rsidR="001D6BF6" w:rsidRPr="001D6BF6" w:rsidRDefault="001D6BF6" w:rsidP="00632952">
            <w:pPr>
              <w:spacing w:after="0" w:line="240" w:lineRule="auto"/>
              <w:jc w:val="right"/>
              <w:rPr>
                <w:rFonts w:ascii="Calibri" w:eastAsia="Times New Roman" w:hAnsi="Calibri" w:cs="Calibri"/>
                <w:color w:val="000000"/>
              </w:rPr>
            </w:pPr>
            <w:r w:rsidRPr="001D6BF6">
              <w:rPr>
                <w:rFonts w:ascii="Calibri" w:eastAsia="Times New Roman" w:hAnsi="Calibri" w:cs="Calibri"/>
                <w:color w:val="000000"/>
              </w:rPr>
              <w:t>2.32%</w:t>
            </w:r>
          </w:p>
        </w:tc>
        <w:tc>
          <w:tcPr>
            <w:tcW w:w="0" w:type="auto"/>
            <w:tcBorders>
              <w:top w:val="nil"/>
              <w:left w:val="nil"/>
              <w:bottom w:val="nil"/>
              <w:right w:val="nil"/>
            </w:tcBorders>
            <w:shd w:val="clear" w:color="auto" w:fill="auto"/>
            <w:noWrap/>
            <w:vAlign w:val="bottom"/>
            <w:hideMark/>
          </w:tcPr>
          <w:p w:rsidR="001D6BF6" w:rsidRPr="001D6BF6" w:rsidRDefault="001D6BF6" w:rsidP="00632952">
            <w:pPr>
              <w:spacing w:after="0" w:line="240" w:lineRule="auto"/>
              <w:jc w:val="right"/>
              <w:rPr>
                <w:rFonts w:ascii="Calibri" w:eastAsia="Times New Roman" w:hAnsi="Calibri" w:cs="Calibri"/>
                <w:color w:val="000000"/>
              </w:rPr>
            </w:pPr>
            <w:r w:rsidRPr="001D6BF6">
              <w:rPr>
                <w:rFonts w:ascii="Calibri" w:eastAsia="Times New Roman" w:hAnsi="Calibri" w:cs="Calibri"/>
                <w:color w:val="000000"/>
              </w:rPr>
              <w:t>1.19</w:t>
            </w:r>
          </w:p>
        </w:tc>
        <w:tc>
          <w:tcPr>
            <w:tcW w:w="0" w:type="auto"/>
            <w:tcBorders>
              <w:top w:val="nil"/>
              <w:left w:val="nil"/>
              <w:bottom w:val="nil"/>
              <w:right w:val="nil"/>
            </w:tcBorders>
            <w:shd w:val="clear" w:color="auto" w:fill="auto"/>
            <w:noWrap/>
            <w:vAlign w:val="bottom"/>
            <w:hideMark/>
          </w:tcPr>
          <w:p w:rsidR="001D6BF6" w:rsidRPr="001D6BF6" w:rsidRDefault="001D6BF6" w:rsidP="00632952">
            <w:pPr>
              <w:spacing w:after="0" w:line="240" w:lineRule="auto"/>
              <w:jc w:val="right"/>
              <w:rPr>
                <w:rFonts w:ascii="Calibri" w:eastAsia="Times New Roman" w:hAnsi="Calibri" w:cs="Calibri"/>
                <w:color w:val="000000"/>
              </w:rPr>
            </w:pPr>
            <w:r w:rsidRPr="001D6BF6">
              <w:rPr>
                <w:rFonts w:ascii="Calibri" w:eastAsia="Times New Roman" w:hAnsi="Calibri" w:cs="Calibri"/>
                <w:color w:val="000000"/>
              </w:rPr>
              <w:t>2.28%</w:t>
            </w:r>
          </w:p>
        </w:tc>
        <w:tc>
          <w:tcPr>
            <w:tcW w:w="0" w:type="auto"/>
            <w:tcBorders>
              <w:top w:val="nil"/>
              <w:left w:val="nil"/>
              <w:bottom w:val="nil"/>
              <w:right w:val="nil"/>
            </w:tcBorders>
            <w:shd w:val="clear" w:color="auto" w:fill="auto"/>
            <w:noWrap/>
            <w:vAlign w:val="bottom"/>
            <w:hideMark/>
          </w:tcPr>
          <w:p w:rsidR="001D6BF6" w:rsidRPr="001D6BF6" w:rsidRDefault="001D6BF6" w:rsidP="00632952">
            <w:pPr>
              <w:spacing w:after="0" w:line="240" w:lineRule="auto"/>
              <w:jc w:val="right"/>
              <w:rPr>
                <w:rFonts w:ascii="Calibri" w:eastAsia="Times New Roman" w:hAnsi="Calibri" w:cs="Calibri"/>
                <w:color w:val="000000"/>
              </w:rPr>
            </w:pPr>
            <w:r w:rsidRPr="001D6BF6">
              <w:rPr>
                <w:rFonts w:ascii="Calibri" w:eastAsia="Times New Roman" w:hAnsi="Calibri" w:cs="Calibri"/>
                <w:color w:val="000000"/>
              </w:rPr>
              <w:t>2.27%</w:t>
            </w:r>
          </w:p>
        </w:tc>
        <w:tc>
          <w:tcPr>
            <w:tcW w:w="0" w:type="auto"/>
            <w:tcBorders>
              <w:top w:val="nil"/>
              <w:left w:val="nil"/>
              <w:bottom w:val="nil"/>
              <w:right w:val="nil"/>
            </w:tcBorders>
            <w:shd w:val="clear" w:color="auto" w:fill="auto"/>
            <w:noWrap/>
            <w:vAlign w:val="bottom"/>
            <w:hideMark/>
          </w:tcPr>
          <w:p w:rsidR="001D6BF6" w:rsidRPr="001D6BF6" w:rsidRDefault="001D6BF6" w:rsidP="00632952">
            <w:pPr>
              <w:spacing w:after="0" w:line="240" w:lineRule="auto"/>
              <w:jc w:val="right"/>
              <w:rPr>
                <w:rFonts w:ascii="Calibri" w:eastAsia="Times New Roman" w:hAnsi="Calibri" w:cs="Calibri"/>
                <w:color w:val="000000"/>
              </w:rPr>
            </w:pPr>
            <w:r w:rsidRPr="001D6BF6">
              <w:rPr>
                <w:rFonts w:ascii="Calibri" w:eastAsia="Times New Roman" w:hAnsi="Calibri" w:cs="Calibri"/>
                <w:color w:val="000000"/>
              </w:rPr>
              <w:t>-1.87%</w:t>
            </w:r>
          </w:p>
        </w:tc>
        <w:tc>
          <w:tcPr>
            <w:tcW w:w="0" w:type="auto"/>
            <w:tcBorders>
              <w:top w:val="nil"/>
              <w:left w:val="nil"/>
              <w:bottom w:val="nil"/>
              <w:right w:val="single" w:sz="4" w:space="0" w:color="auto"/>
            </w:tcBorders>
            <w:shd w:val="clear" w:color="auto" w:fill="auto"/>
            <w:noWrap/>
            <w:vAlign w:val="bottom"/>
            <w:hideMark/>
          </w:tcPr>
          <w:p w:rsidR="001D6BF6" w:rsidRPr="001D6BF6" w:rsidRDefault="001D6BF6" w:rsidP="00632952">
            <w:pPr>
              <w:spacing w:after="0" w:line="240" w:lineRule="auto"/>
              <w:jc w:val="right"/>
              <w:rPr>
                <w:rFonts w:ascii="Calibri" w:eastAsia="Times New Roman" w:hAnsi="Calibri" w:cs="Calibri"/>
                <w:color w:val="000000"/>
              </w:rPr>
            </w:pPr>
            <w:r w:rsidRPr="001D6BF6">
              <w:rPr>
                <w:rFonts w:ascii="Calibri" w:eastAsia="Times New Roman" w:hAnsi="Calibri" w:cs="Calibri"/>
                <w:color w:val="000000"/>
              </w:rPr>
              <w:t>-0.0415</w:t>
            </w:r>
          </w:p>
        </w:tc>
      </w:tr>
      <w:tr w:rsidR="001D6BF6" w:rsidRPr="001D6BF6" w:rsidTr="00632952">
        <w:trPr>
          <w:trHeight w:val="467"/>
        </w:trPr>
        <w:tc>
          <w:tcPr>
            <w:tcW w:w="0" w:type="auto"/>
            <w:tcBorders>
              <w:top w:val="nil"/>
              <w:left w:val="single" w:sz="4" w:space="0" w:color="auto"/>
              <w:bottom w:val="single" w:sz="4" w:space="0" w:color="auto"/>
              <w:right w:val="single" w:sz="4" w:space="0" w:color="auto"/>
            </w:tcBorders>
            <w:shd w:val="clear" w:color="000000" w:fill="B4C6E7"/>
            <w:noWrap/>
            <w:vAlign w:val="bottom"/>
            <w:hideMark/>
          </w:tcPr>
          <w:p w:rsidR="001D6BF6" w:rsidRPr="001D6BF6" w:rsidRDefault="001D6BF6" w:rsidP="00632952">
            <w:pPr>
              <w:spacing w:after="0" w:line="240" w:lineRule="auto"/>
              <w:rPr>
                <w:rFonts w:ascii="Calibri" w:eastAsia="Times New Roman" w:hAnsi="Calibri" w:cs="Calibri"/>
                <w:color w:val="000000"/>
              </w:rPr>
            </w:pPr>
            <w:r w:rsidRPr="001D6BF6">
              <w:rPr>
                <w:rFonts w:ascii="Calibri" w:eastAsia="Times New Roman" w:hAnsi="Calibri" w:cs="Calibri"/>
                <w:color w:val="000000"/>
              </w:rPr>
              <w:t>SBALX</w:t>
            </w:r>
          </w:p>
        </w:tc>
        <w:tc>
          <w:tcPr>
            <w:tcW w:w="0" w:type="auto"/>
            <w:tcBorders>
              <w:top w:val="nil"/>
              <w:left w:val="nil"/>
              <w:bottom w:val="single" w:sz="4" w:space="0" w:color="auto"/>
              <w:right w:val="nil"/>
            </w:tcBorders>
            <w:shd w:val="clear" w:color="auto" w:fill="auto"/>
            <w:noWrap/>
            <w:vAlign w:val="bottom"/>
            <w:hideMark/>
          </w:tcPr>
          <w:p w:rsidR="001D6BF6" w:rsidRPr="001D6BF6" w:rsidRDefault="001D6BF6" w:rsidP="00632952">
            <w:pPr>
              <w:spacing w:after="0" w:line="240" w:lineRule="auto"/>
              <w:jc w:val="right"/>
              <w:rPr>
                <w:rFonts w:ascii="Calibri" w:eastAsia="Times New Roman" w:hAnsi="Calibri" w:cs="Calibri"/>
                <w:color w:val="000000"/>
              </w:rPr>
            </w:pPr>
            <w:r w:rsidRPr="001D6BF6">
              <w:rPr>
                <w:rFonts w:ascii="Calibri" w:eastAsia="Times New Roman" w:hAnsi="Calibri" w:cs="Calibri"/>
                <w:color w:val="000000"/>
              </w:rPr>
              <w:t>2.32%</w:t>
            </w:r>
          </w:p>
        </w:tc>
        <w:tc>
          <w:tcPr>
            <w:tcW w:w="0" w:type="auto"/>
            <w:tcBorders>
              <w:top w:val="nil"/>
              <w:left w:val="nil"/>
              <w:bottom w:val="single" w:sz="4" w:space="0" w:color="auto"/>
              <w:right w:val="nil"/>
            </w:tcBorders>
            <w:shd w:val="clear" w:color="auto" w:fill="auto"/>
            <w:noWrap/>
            <w:vAlign w:val="bottom"/>
            <w:hideMark/>
          </w:tcPr>
          <w:p w:rsidR="001D6BF6" w:rsidRPr="001D6BF6" w:rsidRDefault="001D6BF6" w:rsidP="00632952">
            <w:pPr>
              <w:spacing w:after="0" w:line="240" w:lineRule="auto"/>
              <w:jc w:val="right"/>
              <w:rPr>
                <w:rFonts w:ascii="Calibri" w:eastAsia="Times New Roman" w:hAnsi="Calibri" w:cs="Calibri"/>
                <w:color w:val="000000"/>
              </w:rPr>
            </w:pPr>
            <w:r w:rsidRPr="001D6BF6">
              <w:rPr>
                <w:rFonts w:ascii="Calibri" w:eastAsia="Times New Roman" w:hAnsi="Calibri" w:cs="Calibri"/>
                <w:color w:val="000000"/>
              </w:rPr>
              <w:t>1.02</w:t>
            </w:r>
          </w:p>
        </w:tc>
        <w:tc>
          <w:tcPr>
            <w:tcW w:w="0" w:type="auto"/>
            <w:tcBorders>
              <w:top w:val="nil"/>
              <w:left w:val="nil"/>
              <w:bottom w:val="single" w:sz="4" w:space="0" w:color="auto"/>
              <w:right w:val="nil"/>
            </w:tcBorders>
            <w:shd w:val="clear" w:color="auto" w:fill="auto"/>
            <w:noWrap/>
            <w:vAlign w:val="bottom"/>
            <w:hideMark/>
          </w:tcPr>
          <w:p w:rsidR="001D6BF6" w:rsidRPr="001D6BF6" w:rsidRDefault="001D6BF6" w:rsidP="00632952">
            <w:pPr>
              <w:spacing w:after="0" w:line="240" w:lineRule="auto"/>
              <w:jc w:val="right"/>
              <w:rPr>
                <w:rFonts w:ascii="Calibri" w:eastAsia="Times New Roman" w:hAnsi="Calibri" w:cs="Calibri"/>
                <w:color w:val="000000"/>
              </w:rPr>
            </w:pPr>
            <w:r w:rsidRPr="001D6BF6">
              <w:rPr>
                <w:rFonts w:ascii="Calibri" w:eastAsia="Times New Roman" w:hAnsi="Calibri" w:cs="Calibri"/>
                <w:color w:val="000000"/>
              </w:rPr>
              <w:t>2.91%</w:t>
            </w:r>
          </w:p>
        </w:tc>
        <w:tc>
          <w:tcPr>
            <w:tcW w:w="0" w:type="auto"/>
            <w:tcBorders>
              <w:top w:val="nil"/>
              <w:left w:val="nil"/>
              <w:bottom w:val="single" w:sz="4" w:space="0" w:color="auto"/>
              <w:right w:val="nil"/>
            </w:tcBorders>
            <w:shd w:val="clear" w:color="auto" w:fill="auto"/>
            <w:noWrap/>
            <w:vAlign w:val="bottom"/>
            <w:hideMark/>
          </w:tcPr>
          <w:p w:rsidR="001D6BF6" w:rsidRPr="001D6BF6" w:rsidRDefault="001D6BF6" w:rsidP="00632952">
            <w:pPr>
              <w:spacing w:after="0" w:line="240" w:lineRule="auto"/>
              <w:jc w:val="right"/>
              <w:rPr>
                <w:rFonts w:ascii="Calibri" w:eastAsia="Times New Roman" w:hAnsi="Calibri" w:cs="Calibri"/>
                <w:color w:val="000000"/>
              </w:rPr>
            </w:pPr>
            <w:r w:rsidRPr="001D6BF6">
              <w:rPr>
                <w:rFonts w:ascii="Calibri" w:eastAsia="Times New Roman" w:hAnsi="Calibri" w:cs="Calibri"/>
                <w:color w:val="000000"/>
              </w:rPr>
              <w:t>2.93%</w:t>
            </w:r>
          </w:p>
        </w:tc>
        <w:tc>
          <w:tcPr>
            <w:tcW w:w="0" w:type="auto"/>
            <w:tcBorders>
              <w:top w:val="nil"/>
              <w:left w:val="nil"/>
              <w:bottom w:val="single" w:sz="4" w:space="0" w:color="auto"/>
              <w:right w:val="nil"/>
            </w:tcBorders>
            <w:shd w:val="clear" w:color="auto" w:fill="auto"/>
            <w:noWrap/>
            <w:vAlign w:val="bottom"/>
            <w:hideMark/>
          </w:tcPr>
          <w:p w:rsidR="001D6BF6" w:rsidRPr="001D6BF6" w:rsidRDefault="001D6BF6" w:rsidP="00632952">
            <w:pPr>
              <w:spacing w:after="0" w:line="240" w:lineRule="auto"/>
              <w:jc w:val="right"/>
              <w:rPr>
                <w:rFonts w:ascii="Calibri" w:eastAsia="Times New Roman" w:hAnsi="Calibri" w:cs="Calibri"/>
                <w:color w:val="000000"/>
              </w:rPr>
            </w:pPr>
            <w:r w:rsidRPr="001D6BF6">
              <w:rPr>
                <w:rFonts w:ascii="Calibri" w:eastAsia="Times New Roman" w:hAnsi="Calibri" w:cs="Calibri"/>
                <w:color w:val="000000"/>
              </w:rPr>
              <w:t>1.00%</w:t>
            </w:r>
          </w:p>
        </w:tc>
        <w:tc>
          <w:tcPr>
            <w:tcW w:w="0" w:type="auto"/>
            <w:tcBorders>
              <w:top w:val="nil"/>
              <w:left w:val="nil"/>
              <w:bottom w:val="single" w:sz="4" w:space="0" w:color="auto"/>
              <w:right w:val="single" w:sz="4" w:space="0" w:color="auto"/>
            </w:tcBorders>
            <w:shd w:val="clear" w:color="auto" w:fill="auto"/>
            <w:noWrap/>
            <w:vAlign w:val="bottom"/>
            <w:hideMark/>
          </w:tcPr>
          <w:p w:rsidR="001D6BF6" w:rsidRPr="001D6BF6" w:rsidRDefault="001D6BF6" w:rsidP="00632952">
            <w:pPr>
              <w:spacing w:after="0" w:line="240" w:lineRule="auto"/>
              <w:jc w:val="right"/>
              <w:rPr>
                <w:rFonts w:ascii="Calibri" w:eastAsia="Times New Roman" w:hAnsi="Calibri" w:cs="Calibri"/>
                <w:color w:val="000000"/>
              </w:rPr>
            </w:pPr>
            <w:r w:rsidRPr="001D6BF6">
              <w:rPr>
                <w:rFonts w:ascii="Calibri" w:eastAsia="Times New Roman" w:hAnsi="Calibri" w:cs="Calibri"/>
                <w:color w:val="000000"/>
              </w:rPr>
              <w:t>-0.0192</w:t>
            </w:r>
          </w:p>
        </w:tc>
      </w:tr>
      <w:tr w:rsidR="001D6BF6" w:rsidRPr="001D6BF6" w:rsidTr="00632952">
        <w:trPr>
          <w:trHeight w:val="467"/>
        </w:trPr>
        <w:tc>
          <w:tcPr>
            <w:tcW w:w="0" w:type="auto"/>
            <w:tcBorders>
              <w:top w:val="nil"/>
              <w:left w:val="single" w:sz="4" w:space="0" w:color="auto"/>
              <w:bottom w:val="single" w:sz="4" w:space="0" w:color="auto"/>
              <w:right w:val="single" w:sz="4" w:space="0" w:color="auto"/>
            </w:tcBorders>
            <w:shd w:val="clear" w:color="000000" w:fill="FFD966"/>
            <w:noWrap/>
            <w:vAlign w:val="bottom"/>
            <w:hideMark/>
          </w:tcPr>
          <w:p w:rsidR="001D6BF6" w:rsidRPr="001D6BF6" w:rsidRDefault="001D6BF6" w:rsidP="00632952">
            <w:pPr>
              <w:spacing w:after="0" w:line="240" w:lineRule="auto"/>
              <w:rPr>
                <w:rFonts w:ascii="Calibri" w:eastAsia="Times New Roman" w:hAnsi="Calibri" w:cs="Calibri"/>
                <w:b/>
                <w:bCs/>
                <w:color w:val="000000"/>
              </w:rPr>
            </w:pPr>
            <w:r w:rsidRPr="001D6BF6">
              <w:rPr>
                <w:rFonts w:ascii="Calibri" w:eastAsia="Times New Roman" w:hAnsi="Calibri" w:cs="Calibri"/>
                <w:b/>
                <w:bCs/>
                <w:color w:val="000000"/>
              </w:rPr>
              <w:t>Average</w:t>
            </w:r>
          </w:p>
        </w:tc>
        <w:tc>
          <w:tcPr>
            <w:tcW w:w="0" w:type="auto"/>
            <w:tcBorders>
              <w:top w:val="nil"/>
              <w:left w:val="nil"/>
              <w:bottom w:val="single" w:sz="4" w:space="0" w:color="auto"/>
              <w:right w:val="nil"/>
            </w:tcBorders>
            <w:shd w:val="clear" w:color="000000" w:fill="FFD966"/>
            <w:noWrap/>
            <w:vAlign w:val="bottom"/>
            <w:hideMark/>
          </w:tcPr>
          <w:p w:rsidR="001D6BF6" w:rsidRPr="001D6BF6" w:rsidRDefault="001D6BF6" w:rsidP="00632952">
            <w:pPr>
              <w:spacing w:after="0" w:line="240" w:lineRule="auto"/>
              <w:jc w:val="right"/>
              <w:rPr>
                <w:rFonts w:ascii="Calibri" w:eastAsia="Times New Roman" w:hAnsi="Calibri" w:cs="Calibri"/>
                <w:b/>
                <w:bCs/>
                <w:color w:val="000000"/>
              </w:rPr>
            </w:pPr>
            <w:r w:rsidRPr="001D6BF6">
              <w:rPr>
                <w:rFonts w:ascii="Calibri" w:eastAsia="Times New Roman" w:hAnsi="Calibri" w:cs="Calibri"/>
                <w:b/>
                <w:bCs/>
                <w:color w:val="000000"/>
              </w:rPr>
              <w:t>2.32%</w:t>
            </w:r>
          </w:p>
        </w:tc>
        <w:tc>
          <w:tcPr>
            <w:tcW w:w="0" w:type="auto"/>
            <w:tcBorders>
              <w:top w:val="nil"/>
              <w:left w:val="nil"/>
              <w:bottom w:val="single" w:sz="4" w:space="0" w:color="auto"/>
              <w:right w:val="nil"/>
            </w:tcBorders>
            <w:shd w:val="clear" w:color="000000" w:fill="FFD966"/>
            <w:noWrap/>
            <w:vAlign w:val="bottom"/>
            <w:hideMark/>
          </w:tcPr>
          <w:p w:rsidR="001D6BF6" w:rsidRPr="001D6BF6" w:rsidRDefault="001D6BF6" w:rsidP="00632952">
            <w:pPr>
              <w:spacing w:after="0" w:line="240" w:lineRule="auto"/>
              <w:jc w:val="right"/>
              <w:rPr>
                <w:rFonts w:ascii="Calibri" w:eastAsia="Times New Roman" w:hAnsi="Calibri" w:cs="Calibri"/>
                <w:b/>
                <w:bCs/>
                <w:color w:val="000000"/>
              </w:rPr>
            </w:pPr>
            <w:r w:rsidRPr="001D6BF6">
              <w:rPr>
                <w:rFonts w:ascii="Calibri" w:eastAsia="Times New Roman" w:hAnsi="Calibri" w:cs="Calibri"/>
                <w:b/>
                <w:bCs/>
                <w:color w:val="000000"/>
              </w:rPr>
              <w:t>1.09</w:t>
            </w:r>
          </w:p>
        </w:tc>
        <w:tc>
          <w:tcPr>
            <w:tcW w:w="0" w:type="auto"/>
            <w:tcBorders>
              <w:top w:val="nil"/>
              <w:left w:val="nil"/>
              <w:bottom w:val="single" w:sz="4" w:space="0" w:color="auto"/>
              <w:right w:val="nil"/>
            </w:tcBorders>
            <w:shd w:val="clear" w:color="000000" w:fill="FFD966"/>
            <w:noWrap/>
            <w:vAlign w:val="bottom"/>
            <w:hideMark/>
          </w:tcPr>
          <w:p w:rsidR="001D6BF6" w:rsidRPr="001D6BF6" w:rsidRDefault="001D6BF6" w:rsidP="00632952">
            <w:pPr>
              <w:spacing w:after="0" w:line="240" w:lineRule="auto"/>
              <w:jc w:val="right"/>
              <w:rPr>
                <w:rFonts w:ascii="Calibri" w:eastAsia="Times New Roman" w:hAnsi="Calibri" w:cs="Calibri"/>
                <w:b/>
                <w:bCs/>
                <w:color w:val="000000"/>
              </w:rPr>
            </w:pPr>
            <w:r w:rsidRPr="001D6BF6">
              <w:rPr>
                <w:rFonts w:ascii="Calibri" w:eastAsia="Times New Roman" w:hAnsi="Calibri" w:cs="Calibri"/>
                <w:b/>
                <w:bCs/>
                <w:color w:val="000000"/>
              </w:rPr>
              <w:t>4.26%</w:t>
            </w:r>
          </w:p>
        </w:tc>
        <w:tc>
          <w:tcPr>
            <w:tcW w:w="0" w:type="auto"/>
            <w:tcBorders>
              <w:top w:val="nil"/>
              <w:left w:val="nil"/>
              <w:bottom w:val="single" w:sz="4" w:space="0" w:color="auto"/>
              <w:right w:val="nil"/>
            </w:tcBorders>
            <w:shd w:val="clear" w:color="000000" w:fill="FFD966"/>
            <w:noWrap/>
            <w:vAlign w:val="bottom"/>
            <w:hideMark/>
          </w:tcPr>
          <w:p w:rsidR="001D6BF6" w:rsidRPr="001D6BF6" w:rsidRDefault="001D6BF6" w:rsidP="00632952">
            <w:pPr>
              <w:spacing w:after="0" w:line="240" w:lineRule="auto"/>
              <w:jc w:val="right"/>
              <w:rPr>
                <w:rFonts w:ascii="Calibri" w:eastAsia="Times New Roman" w:hAnsi="Calibri" w:cs="Calibri"/>
                <w:b/>
                <w:bCs/>
                <w:color w:val="000000"/>
              </w:rPr>
            </w:pPr>
            <w:r w:rsidRPr="001D6BF6">
              <w:rPr>
                <w:rFonts w:ascii="Calibri" w:eastAsia="Times New Roman" w:hAnsi="Calibri" w:cs="Calibri"/>
                <w:b/>
                <w:bCs/>
                <w:color w:val="000000"/>
              </w:rPr>
              <w:t>4.38%</w:t>
            </w:r>
          </w:p>
        </w:tc>
        <w:tc>
          <w:tcPr>
            <w:tcW w:w="0" w:type="auto"/>
            <w:tcBorders>
              <w:top w:val="nil"/>
              <w:left w:val="nil"/>
              <w:bottom w:val="single" w:sz="4" w:space="0" w:color="auto"/>
              <w:right w:val="nil"/>
            </w:tcBorders>
            <w:shd w:val="clear" w:color="000000" w:fill="FFD966"/>
            <w:noWrap/>
            <w:vAlign w:val="bottom"/>
            <w:hideMark/>
          </w:tcPr>
          <w:p w:rsidR="001D6BF6" w:rsidRPr="001D6BF6" w:rsidRDefault="001D6BF6" w:rsidP="00632952">
            <w:pPr>
              <w:spacing w:after="0" w:line="240" w:lineRule="auto"/>
              <w:jc w:val="right"/>
              <w:rPr>
                <w:rFonts w:ascii="Calibri" w:eastAsia="Times New Roman" w:hAnsi="Calibri" w:cs="Calibri"/>
                <w:b/>
                <w:bCs/>
                <w:color w:val="000000"/>
              </w:rPr>
            </w:pPr>
            <w:r w:rsidRPr="001D6BF6">
              <w:rPr>
                <w:rFonts w:ascii="Calibri" w:eastAsia="Times New Roman" w:hAnsi="Calibri" w:cs="Calibri"/>
                <w:b/>
                <w:bCs/>
                <w:color w:val="000000"/>
              </w:rPr>
              <w:t>0.60%</w:t>
            </w:r>
          </w:p>
        </w:tc>
        <w:tc>
          <w:tcPr>
            <w:tcW w:w="0" w:type="auto"/>
            <w:tcBorders>
              <w:top w:val="nil"/>
              <w:left w:val="nil"/>
              <w:bottom w:val="single" w:sz="4" w:space="0" w:color="auto"/>
              <w:right w:val="single" w:sz="4" w:space="0" w:color="auto"/>
            </w:tcBorders>
            <w:shd w:val="clear" w:color="000000" w:fill="FFD966"/>
            <w:noWrap/>
            <w:vAlign w:val="bottom"/>
            <w:hideMark/>
          </w:tcPr>
          <w:p w:rsidR="001D6BF6" w:rsidRPr="001D6BF6" w:rsidRDefault="001D6BF6" w:rsidP="00632952">
            <w:pPr>
              <w:spacing w:after="0" w:line="240" w:lineRule="auto"/>
              <w:jc w:val="right"/>
              <w:rPr>
                <w:rFonts w:ascii="Calibri" w:eastAsia="Times New Roman" w:hAnsi="Calibri" w:cs="Calibri"/>
                <w:b/>
                <w:bCs/>
                <w:color w:val="000000"/>
              </w:rPr>
            </w:pPr>
            <w:r w:rsidRPr="001D6BF6">
              <w:rPr>
                <w:rFonts w:ascii="Calibri" w:eastAsia="Times New Roman" w:hAnsi="Calibri" w:cs="Calibri"/>
                <w:b/>
                <w:bCs/>
                <w:color w:val="000000"/>
              </w:rPr>
              <w:t>-0.0378</w:t>
            </w:r>
          </w:p>
        </w:tc>
      </w:tr>
    </w:tbl>
    <w:p w:rsidR="00244EF3" w:rsidRDefault="00DD723A" w:rsidP="00DD723A">
      <w:pPr>
        <w:spacing w:line="480" w:lineRule="auto"/>
        <w:rPr>
          <w:sz w:val="24"/>
          <w:szCs w:val="24"/>
        </w:rPr>
      </w:pPr>
      <w:r>
        <w:rPr>
          <w:b/>
          <w:sz w:val="24"/>
          <w:szCs w:val="24"/>
        </w:rPr>
        <w:t>Figure 2</w:t>
      </w:r>
      <w:r w:rsidR="00244EF3">
        <w:rPr>
          <w:sz w:val="24"/>
          <w:szCs w:val="24"/>
        </w:rPr>
        <w:t xml:space="preserve">  </w:t>
      </w:r>
      <w:r w:rsidR="00A01A8E">
        <w:rPr>
          <w:sz w:val="24"/>
          <w:szCs w:val="24"/>
        </w:rPr>
        <w:t xml:space="preserve">  </w:t>
      </w:r>
    </w:p>
    <w:p w:rsidR="009D7C5B" w:rsidRDefault="00A01A8E" w:rsidP="00244EF3">
      <w:pPr>
        <w:spacing w:line="480" w:lineRule="auto"/>
        <w:ind w:firstLine="720"/>
        <w:rPr>
          <w:sz w:val="24"/>
          <w:szCs w:val="24"/>
        </w:rPr>
      </w:pPr>
      <w:r w:rsidRPr="00B4523D">
        <w:rPr>
          <w:sz w:val="24"/>
          <w:szCs w:val="24"/>
        </w:rPr>
        <w:t>I</w:t>
      </w:r>
      <w:r w:rsidR="00244EF3" w:rsidRPr="00B4523D">
        <w:rPr>
          <w:sz w:val="24"/>
          <w:szCs w:val="24"/>
        </w:rPr>
        <w:t>n addition to determining the returns of the funds and the alpha, or lack thereof, discovered by each manager</w:t>
      </w:r>
      <w:r w:rsidR="001C431B" w:rsidRPr="00B4523D">
        <w:rPr>
          <w:sz w:val="24"/>
          <w:szCs w:val="24"/>
        </w:rPr>
        <w:t>, I</w:t>
      </w:r>
      <w:r w:rsidRPr="00B4523D">
        <w:rPr>
          <w:sz w:val="24"/>
          <w:szCs w:val="24"/>
        </w:rPr>
        <w:t xml:space="preserve"> also calculated the annualized volatility</w:t>
      </w:r>
      <w:r w:rsidR="00B4523D">
        <w:rPr>
          <w:sz w:val="24"/>
          <w:szCs w:val="24"/>
        </w:rPr>
        <w:t>, which can</w:t>
      </w:r>
      <w:r w:rsidR="00244EF3" w:rsidRPr="00B4523D">
        <w:rPr>
          <w:sz w:val="24"/>
          <w:szCs w:val="24"/>
        </w:rPr>
        <w:t xml:space="preserve"> be found in Figure 1,</w:t>
      </w:r>
      <w:r w:rsidRPr="00B4523D">
        <w:rPr>
          <w:sz w:val="24"/>
          <w:szCs w:val="24"/>
        </w:rPr>
        <w:t xml:space="preserve"> of the active funds and their benchmarks to determine the risk of the funds.</w:t>
      </w:r>
      <w:r>
        <w:rPr>
          <w:sz w:val="24"/>
          <w:szCs w:val="24"/>
        </w:rPr>
        <w:t xml:space="preserve">  I discovered the volatility to be fairly consistent between the active funds</w:t>
      </w:r>
      <w:r w:rsidR="00B4523D">
        <w:rPr>
          <w:sz w:val="24"/>
          <w:szCs w:val="24"/>
        </w:rPr>
        <w:t>,</w:t>
      </w:r>
      <w:r>
        <w:rPr>
          <w:sz w:val="24"/>
          <w:szCs w:val="24"/>
        </w:rPr>
        <w:t xml:space="preserve"> resulting in an average of 14.23%.  For the passively managed benchmarks</w:t>
      </w:r>
      <w:r w:rsidR="00717518">
        <w:rPr>
          <w:sz w:val="24"/>
          <w:szCs w:val="24"/>
        </w:rPr>
        <w:t>,</w:t>
      </w:r>
      <w:r>
        <w:rPr>
          <w:sz w:val="24"/>
          <w:szCs w:val="24"/>
        </w:rPr>
        <w:t xml:space="preserve"> the volatility was also relatively consistent and resulted in an average of 20.40%</w:t>
      </w:r>
      <w:r w:rsidR="005B7715">
        <w:rPr>
          <w:sz w:val="24"/>
          <w:szCs w:val="24"/>
        </w:rPr>
        <w:t>.  This appears to show that there is greater variation in the benchmark index funds, meaning that an investor who invests in such a fund faces greater risks than an investor who invests in an actively managed mutual fund.</w:t>
      </w:r>
      <w:r w:rsidR="000B4AB6">
        <w:rPr>
          <w:sz w:val="24"/>
          <w:szCs w:val="24"/>
        </w:rPr>
        <w:t xml:space="preserve">  This could be a sign that portfolio managers are able to effectively mitigate risk.</w:t>
      </w:r>
      <w:r w:rsidR="005B7715">
        <w:rPr>
          <w:sz w:val="24"/>
          <w:szCs w:val="24"/>
        </w:rPr>
        <w:t xml:space="preserve">  However,</w:t>
      </w:r>
      <w:r w:rsidR="000B4AB6">
        <w:rPr>
          <w:sz w:val="24"/>
          <w:szCs w:val="24"/>
        </w:rPr>
        <w:t xml:space="preserve"> the low volatility associated with the active funds could also be a result of the extremely low returns realized by the funds.  </w:t>
      </w:r>
      <w:r w:rsidR="000B4AB6">
        <w:rPr>
          <w:sz w:val="24"/>
          <w:szCs w:val="24"/>
        </w:rPr>
        <w:lastRenderedPageBreak/>
        <w:t>It is reasonable to assume that funds that realize a larger return wi</w:t>
      </w:r>
      <w:r w:rsidR="00717518">
        <w:rPr>
          <w:sz w:val="24"/>
          <w:szCs w:val="24"/>
        </w:rPr>
        <w:t>ll experience greater variation in returns</w:t>
      </w:r>
      <w:r w:rsidR="000B4AB6">
        <w:rPr>
          <w:sz w:val="24"/>
          <w:szCs w:val="24"/>
        </w:rPr>
        <w:t xml:space="preserve"> than that of a mutual fund whose net asset value experiences little change over time.  For this reason it is difficult to precisely determine the cause of the difference in volatility between the active and benchmark funds.</w:t>
      </w:r>
      <w:r w:rsidR="00717518">
        <w:rPr>
          <w:sz w:val="24"/>
          <w:szCs w:val="24"/>
        </w:rPr>
        <w:t xml:space="preserve">  </w:t>
      </w:r>
      <w:r w:rsidR="009D7C5B">
        <w:rPr>
          <w:sz w:val="24"/>
          <w:szCs w:val="24"/>
        </w:rPr>
        <w:t xml:space="preserve"> </w:t>
      </w:r>
    </w:p>
    <w:p w:rsidR="00391F86" w:rsidRDefault="009D7C5B" w:rsidP="00632952">
      <w:pPr>
        <w:spacing w:line="480" w:lineRule="auto"/>
        <w:ind w:firstLine="720"/>
        <w:rPr>
          <w:sz w:val="24"/>
          <w:szCs w:val="24"/>
        </w:rPr>
      </w:pPr>
      <w:r>
        <w:rPr>
          <w:sz w:val="24"/>
          <w:szCs w:val="24"/>
        </w:rPr>
        <w:t xml:space="preserve">Although none of the portfolio managers of the funds in the sample data were able to discover alpha and realize greater than expected returns, it is not uncommon for mutual funds to outperform their benchmark index.  In this scenario, it is the extent of the fees and expenses associated with the fund that determines whether the </w:t>
      </w:r>
      <w:r w:rsidR="004556D8">
        <w:rPr>
          <w:sz w:val="24"/>
          <w:szCs w:val="24"/>
        </w:rPr>
        <w:t xml:space="preserve">fund’s </w:t>
      </w:r>
      <w:r>
        <w:rPr>
          <w:sz w:val="24"/>
          <w:szCs w:val="24"/>
        </w:rPr>
        <w:t xml:space="preserve">net of fees return will exceed </w:t>
      </w:r>
      <w:r w:rsidR="004556D8">
        <w:rPr>
          <w:sz w:val="24"/>
          <w:szCs w:val="24"/>
        </w:rPr>
        <w:t>the net of fees return of the</w:t>
      </w:r>
      <w:r>
        <w:rPr>
          <w:sz w:val="24"/>
          <w:szCs w:val="24"/>
        </w:rPr>
        <w:t xml:space="preserve"> bench</w:t>
      </w:r>
      <w:r w:rsidR="004556D8">
        <w:rPr>
          <w:sz w:val="24"/>
          <w:szCs w:val="24"/>
        </w:rPr>
        <w:t>mark</w:t>
      </w:r>
      <w:r w:rsidR="00391F86">
        <w:rPr>
          <w:sz w:val="24"/>
          <w:szCs w:val="24"/>
        </w:rPr>
        <w:t xml:space="preserve"> index</w:t>
      </w:r>
      <w:r w:rsidR="004556D8">
        <w:rPr>
          <w:sz w:val="24"/>
          <w:szCs w:val="24"/>
        </w:rPr>
        <w:t xml:space="preserve">.  There are several types of fees and expenses that are commonly associated with mutual funds such as front loads, back loads, management fees, and 12b1 fees.  The funds in the sample data encounter these fees, which bring down the return the investor actually receives.  To determine which fees and expenses are most costly to investors, I have performed a regression analysis on the </w:t>
      </w:r>
      <w:r w:rsidR="0021237C">
        <w:rPr>
          <w:sz w:val="24"/>
          <w:szCs w:val="24"/>
        </w:rPr>
        <w:t xml:space="preserve">funds in the sample data.  The </w:t>
      </w:r>
      <w:r w:rsidR="00391F86">
        <w:rPr>
          <w:sz w:val="24"/>
          <w:szCs w:val="24"/>
        </w:rPr>
        <w:t xml:space="preserve">summary output of this analysis can be found below in Figure 3. </w:t>
      </w:r>
    </w:p>
    <w:tbl>
      <w:tblPr>
        <w:tblpPr w:leftFromText="180" w:rightFromText="180" w:vertAnchor="text" w:horzAnchor="margin" w:tblpY="125"/>
        <w:tblW w:w="10599" w:type="dxa"/>
        <w:tblLook w:val="04A0" w:firstRow="1" w:lastRow="0" w:firstColumn="1" w:lastColumn="0" w:noHBand="0" w:noVBand="1"/>
      </w:tblPr>
      <w:tblGrid>
        <w:gridCol w:w="1680"/>
        <w:gridCol w:w="1254"/>
        <w:gridCol w:w="1163"/>
        <w:gridCol w:w="1053"/>
        <w:gridCol w:w="1053"/>
        <w:gridCol w:w="1275"/>
        <w:gridCol w:w="1053"/>
        <w:gridCol w:w="1015"/>
        <w:gridCol w:w="1053"/>
      </w:tblGrid>
      <w:tr w:rsidR="00391F86" w:rsidRPr="0021237C" w:rsidTr="00391F86">
        <w:trPr>
          <w:trHeight w:val="275"/>
        </w:trPr>
        <w:tc>
          <w:tcPr>
            <w:tcW w:w="1680" w:type="dxa"/>
            <w:tcBorders>
              <w:top w:val="single" w:sz="4" w:space="0" w:color="auto"/>
              <w:left w:val="single" w:sz="4" w:space="0" w:color="auto"/>
              <w:bottom w:val="nil"/>
              <w:right w:val="nil"/>
            </w:tcBorders>
            <w:shd w:val="clear" w:color="auto" w:fill="auto"/>
            <w:noWrap/>
            <w:vAlign w:val="bottom"/>
            <w:hideMark/>
          </w:tcPr>
          <w:p w:rsidR="00391F86" w:rsidRPr="0021237C" w:rsidRDefault="00391F86" w:rsidP="00391F86">
            <w:pPr>
              <w:spacing w:after="0" w:line="240" w:lineRule="auto"/>
              <w:rPr>
                <w:rFonts w:ascii="Calibri" w:eastAsia="Times New Roman" w:hAnsi="Calibri" w:cs="Calibri"/>
                <w:color w:val="000000"/>
              </w:rPr>
            </w:pPr>
            <w:r w:rsidRPr="0021237C">
              <w:rPr>
                <w:rFonts w:ascii="Calibri" w:eastAsia="Times New Roman" w:hAnsi="Calibri" w:cs="Calibri"/>
                <w:color w:val="000000"/>
              </w:rPr>
              <w:t>SUMMARY OUTPUT</w:t>
            </w:r>
          </w:p>
        </w:tc>
        <w:tc>
          <w:tcPr>
            <w:tcW w:w="1254" w:type="dxa"/>
            <w:tcBorders>
              <w:top w:val="single" w:sz="4" w:space="0" w:color="auto"/>
              <w:left w:val="nil"/>
              <w:bottom w:val="nil"/>
              <w:right w:val="nil"/>
            </w:tcBorders>
            <w:shd w:val="clear" w:color="auto" w:fill="auto"/>
            <w:noWrap/>
            <w:vAlign w:val="bottom"/>
            <w:hideMark/>
          </w:tcPr>
          <w:p w:rsidR="00391F86" w:rsidRPr="0021237C" w:rsidRDefault="00391F86" w:rsidP="00391F86">
            <w:pPr>
              <w:spacing w:after="0" w:line="240" w:lineRule="auto"/>
              <w:rPr>
                <w:rFonts w:ascii="Calibri" w:eastAsia="Times New Roman" w:hAnsi="Calibri" w:cs="Calibri"/>
                <w:color w:val="000000"/>
              </w:rPr>
            </w:pPr>
            <w:r w:rsidRPr="0021237C">
              <w:rPr>
                <w:rFonts w:ascii="Calibri" w:eastAsia="Times New Roman" w:hAnsi="Calibri" w:cs="Calibri"/>
                <w:color w:val="000000"/>
              </w:rPr>
              <w:t> </w:t>
            </w:r>
          </w:p>
        </w:tc>
        <w:tc>
          <w:tcPr>
            <w:tcW w:w="1163" w:type="dxa"/>
            <w:tcBorders>
              <w:top w:val="single" w:sz="4" w:space="0" w:color="auto"/>
              <w:left w:val="nil"/>
              <w:bottom w:val="nil"/>
              <w:right w:val="nil"/>
            </w:tcBorders>
            <w:shd w:val="clear" w:color="auto" w:fill="auto"/>
            <w:noWrap/>
            <w:vAlign w:val="bottom"/>
            <w:hideMark/>
          </w:tcPr>
          <w:p w:rsidR="00391F86" w:rsidRPr="0021237C" w:rsidRDefault="00391F86" w:rsidP="00391F86">
            <w:pPr>
              <w:spacing w:after="0" w:line="240" w:lineRule="auto"/>
              <w:rPr>
                <w:rFonts w:ascii="Calibri" w:eastAsia="Times New Roman" w:hAnsi="Calibri" w:cs="Calibri"/>
                <w:color w:val="000000"/>
              </w:rPr>
            </w:pPr>
            <w:r w:rsidRPr="0021237C">
              <w:rPr>
                <w:rFonts w:ascii="Calibri" w:eastAsia="Times New Roman" w:hAnsi="Calibri" w:cs="Calibri"/>
                <w:color w:val="000000"/>
              </w:rPr>
              <w:t> </w:t>
            </w:r>
          </w:p>
        </w:tc>
        <w:tc>
          <w:tcPr>
            <w:tcW w:w="1053" w:type="dxa"/>
            <w:tcBorders>
              <w:top w:val="single" w:sz="4" w:space="0" w:color="auto"/>
              <w:left w:val="nil"/>
              <w:bottom w:val="nil"/>
              <w:right w:val="nil"/>
            </w:tcBorders>
            <w:shd w:val="clear" w:color="auto" w:fill="auto"/>
            <w:noWrap/>
            <w:vAlign w:val="bottom"/>
            <w:hideMark/>
          </w:tcPr>
          <w:p w:rsidR="00391F86" w:rsidRPr="0021237C" w:rsidRDefault="00391F86" w:rsidP="00391F86">
            <w:pPr>
              <w:spacing w:after="0" w:line="240" w:lineRule="auto"/>
              <w:rPr>
                <w:rFonts w:ascii="Calibri" w:eastAsia="Times New Roman" w:hAnsi="Calibri" w:cs="Calibri"/>
                <w:color w:val="000000"/>
              </w:rPr>
            </w:pPr>
            <w:r w:rsidRPr="0021237C">
              <w:rPr>
                <w:rFonts w:ascii="Calibri" w:eastAsia="Times New Roman" w:hAnsi="Calibri" w:cs="Calibri"/>
                <w:color w:val="000000"/>
              </w:rPr>
              <w:t> </w:t>
            </w:r>
          </w:p>
        </w:tc>
        <w:tc>
          <w:tcPr>
            <w:tcW w:w="1053" w:type="dxa"/>
            <w:tcBorders>
              <w:top w:val="single" w:sz="4" w:space="0" w:color="auto"/>
              <w:left w:val="nil"/>
              <w:bottom w:val="nil"/>
              <w:right w:val="nil"/>
            </w:tcBorders>
            <w:shd w:val="clear" w:color="auto" w:fill="auto"/>
            <w:noWrap/>
            <w:vAlign w:val="bottom"/>
            <w:hideMark/>
          </w:tcPr>
          <w:p w:rsidR="00391F86" w:rsidRPr="0021237C" w:rsidRDefault="00391F86" w:rsidP="00391F86">
            <w:pPr>
              <w:spacing w:after="0" w:line="240" w:lineRule="auto"/>
              <w:rPr>
                <w:rFonts w:ascii="Calibri" w:eastAsia="Times New Roman" w:hAnsi="Calibri" w:cs="Calibri"/>
                <w:color w:val="000000"/>
              </w:rPr>
            </w:pPr>
            <w:r w:rsidRPr="0021237C">
              <w:rPr>
                <w:rFonts w:ascii="Calibri" w:eastAsia="Times New Roman" w:hAnsi="Calibri" w:cs="Calibri"/>
                <w:color w:val="000000"/>
              </w:rPr>
              <w:t> </w:t>
            </w:r>
          </w:p>
        </w:tc>
        <w:tc>
          <w:tcPr>
            <w:tcW w:w="1275" w:type="dxa"/>
            <w:tcBorders>
              <w:top w:val="single" w:sz="4" w:space="0" w:color="auto"/>
              <w:left w:val="nil"/>
              <w:bottom w:val="nil"/>
              <w:right w:val="nil"/>
            </w:tcBorders>
            <w:shd w:val="clear" w:color="auto" w:fill="auto"/>
            <w:noWrap/>
            <w:vAlign w:val="bottom"/>
            <w:hideMark/>
          </w:tcPr>
          <w:p w:rsidR="00391F86" w:rsidRPr="0021237C" w:rsidRDefault="00391F86" w:rsidP="00391F86">
            <w:pPr>
              <w:spacing w:after="0" w:line="240" w:lineRule="auto"/>
              <w:rPr>
                <w:rFonts w:ascii="Calibri" w:eastAsia="Times New Roman" w:hAnsi="Calibri" w:cs="Calibri"/>
                <w:color w:val="000000"/>
              </w:rPr>
            </w:pPr>
            <w:r w:rsidRPr="0021237C">
              <w:rPr>
                <w:rFonts w:ascii="Calibri" w:eastAsia="Times New Roman" w:hAnsi="Calibri" w:cs="Calibri"/>
                <w:color w:val="000000"/>
              </w:rPr>
              <w:t> </w:t>
            </w:r>
          </w:p>
        </w:tc>
        <w:tc>
          <w:tcPr>
            <w:tcW w:w="1053" w:type="dxa"/>
            <w:tcBorders>
              <w:top w:val="single" w:sz="4" w:space="0" w:color="auto"/>
              <w:left w:val="nil"/>
              <w:bottom w:val="nil"/>
              <w:right w:val="nil"/>
            </w:tcBorders>
            <w:shd w:val="clear" w:color="auto" w:fill="auto"/>
            <w:noWrap/>
            <w:vAlign w:val="bottom"/>
            <w:hideMark/>
          </w:tcPr>
          <w:p w:rsidR="00391F86" w:rsidRPr="0021237C" w:rsidRDefault="00391F86" w:rsidP="00391F86">
            <w:pPr>
              <w:spacing w:after="0" w:line="240" w:lineRule="auto"/>
              <w:rPr>
                <w:rFonts w:ascii="Calibri" w:eastAsia="Times New Roman" w:hAnsi="Calibri" w:cs="Calibri"/>
                <w:color w:val="000000"/>
              </w:rPr>
            </w:pPr>
            <w:r w:rsidRPr="0021237C">
              <w:rPr>
                <w:rFonts w:ascii="Calibri" w:eastAsia="Times New Roman" w:hAnsi="Calibri" w:cs="Calibri"/>
                <w:color w:val="000000"/>
              </w:rPr>
              <w:t> </w:t>
            </w:r>
          </w:p>
        </w:tc>
        <w:tc>
          <w:tcPr>
            <w:tcW w:w="1015" w:type="dxa"/>
            <w:tcBorders>
              <w:top w:val="single" w:sz="4" w:space="0" w:color="auto"/>
              <w:left w:val="nil"/>
              <w:bottom w:val="nil"/>
              <w:right w:val="nil"/>
            </w:tcBorders>
            <w:shd w:val="clear" w:color="auto" w:fill="auto"/>
            <w:noWrap/>
            <w:vAlign w:val="bottom"/>
            <w:hideMark/>
          </w:tcPr>
          <w:p w:rsidR="00391F86" w:rsidRPr="0021237C" w:rsidRDefault="00391F86" w:rsidP="00391F86">
            <w:pPr>
              <w:spacing w:after="0" w:line="240" w:lineRule="auto"/>
              <w:rPr>
                <w:rFonts w:ascii="Calibri" w:eastAsia="Times New Roman" w:hAnsi="Calibri" w:cs="Calibri"/>
                <w:color w:val="000000"/>
              </w:rPr>
            </w:pPr>
            <w:r w:rsidRPr="0021237C">
              <w:rPr>
                <w:rFonts w:ascii="Calibri" w:eastAsia="Times New Roman" w:hAnsi="Calibri" w:cs="Calibri"/>
                <w:color w:val="000000"/>
              </w:rPr>
              <w:t> </w:t>
            </w:r>
          </w:p>
        </w:tc>
        <w:tc>
          <w:tcPr>
            <w:tcW w:w="1053" w:type="dxa"/>
            <w:tcBorders>
              <w:top w:val="single" w:sz="4" w:space="0" w:color="auto"/>
              <w:left w:val="nil"/>
              <w:bottom w:val="nil"/>
              <w:right w:val="single" w:sz="4" w:space="0" w:color="auto"/>
            </w:tcBorders>
            <w:shd w:val="clear" w:color="auto" w:fill="auto"/>
            <w:noWrap/>
            <w:vAlign w:val="bottom"/>
            <w:hideMark/>
          </w:tcPr>
          <w:p w:rsidR="00391F86" w:rsidRPr="0021237C" w:rsidRDefault="00391F86" w:rsidP="00391F86">
            <w:pPr>
              <w:spacing w:after="0" w:line="240" w:lineRule="auto"/>
              <w:rPr>
                <w:rFonts w:ascii="Calibri" w:eastAsia="Times New Roman" w:hAnsi="Calibri" w:cs="Calibri"/>
                <w:color w:val="000000"/>
              </w:rPr>
            </w:pPr>
            <w:r w:rsidRPr="0021237C">
              <w:rPr>
                <w:rFonts w:ascii="Calibri" w:eastAsia="Times New Roman" w:hAnsi="Calibri" w:cs="Calibri"/>
                <w:color w:val="000000"/>
              </w:rPr>
              <w:t> </w:t>
            </w:r>
          </w:p>
        </w:tc>
      </w:tr>
      <w:tr w:rsidR="00391F86" w:rsidRPr="0021237C" w:rsidTr="00391F86">
        <w:trPr>
          <w:trHeight w:val="290"/>
        </w:trPr>
        <w:tc>
          <w:tcPr>
            <w:tcW w:w="1680" w:type="dxa"/>
            <w:tcBorders>
              <w:top w:val="nil"/>
              <w:left w:val="single" w:sz="4" w:space="0" w:color="auto"/>
              <w:bottom w:val="nil"/>
              <w:right w:val="nil"/>
            </w:tcBorders>
            <w:shd w:val="clear" w:color="auto" w:fill="auto"/>
            <w:noWrap/>
            <w:vAlign w:val="bottom"/>
            <w:hideMark/>
          </w:tcPr>
          <w:p w:rsidR="00391F86" w:rsidRPr="0021237C" w:rsidRDefault="00391F86" w:rsidP="00391F86">
            <w:pPr>
              <w:spacing w:after="0" w:line="240" w:lineRule="auto"/>
              <w:rPr>
                <w:rFonts w:ascii="Calibri" w:eastAsia="Times New Roman" w:hAnsi="Calibri" w:cs="Calibri"/>
                <w:color w:val="000000"/>
              </w:rPr>
            </w:pPr>
            <w:r w:rsidRPr="0021237C">
              <w:rPr>
                <w:rFonts w:ascii="Calibri" w:eastAsia="Times New Roman" w:hAnsi="Calibri" w:cs="Calibri"/>
                <w:color w:val="000000"/>
              </w:rPr>
              <w:t> </w:t>
            </w:r>
          </w:p>
        </w:tc>
        <w:tc>
          <w:tcPr>
            <w:tcW w:w="1254" w:type="dxa"/>
            <w:tcBorders>
              <w:top w:val="nil"/>
              <w:left w:val="nil"/>
              <w:bottom w:val="nil"/>
              <w:right w:val="nil"/>
            </w:tcBorders>
            <w:shd w:val="clear" w:color="auto" w:fill="auto"/>
            <w:noWrap/>
            <w:vAlign w:val="bottom"/>
            <w:hideMark/>
          </w:tcPr>
          <w:p w:rsidR="00391F86" w:rsidRPr="0021237C" w:rsidRDefault="00391F86" w:rsidP="00391F86">
            <w:pPr>
              <w:spacing w:after="0" w:line="240" w:lineRule="auto"/>
              <w:rPr>
                <w:rFonts w:ascii="Calibri" w:eastAsia="Times New Roman" w:hAnsi="Calibri" w:cs="Calibri"/>
                <w:color w:val="000000"/>
              </w:rPr>
            </w:pPr>
          </w:p>
        </w:tc>
        <w:tc>
          <w:tcPr>
            <w:tcW w:w="1163" w:type="dxa"/>
            <w:tcBorders>
              <w:top w:val="nil"/>
              <w:left w:val="nil"/>
              <w:bottom w:val="nil"/>
              <w:right w:val="nil"/>
            </w:tcBorders>
            <w:shd w:val="clear" w:color="auto" w:fill="auto"/>
            <w:noWrap/>
            <w:vAlign w:val="bottom"/>
            <w:hideMark/>
          </w:tcPr>
          <w:p w:rsidR="00391F86" w:rsidRPr="0021237C" w:rsidRDefault="00391F86" w:rsidP="00391F86">
            <w:pPr>
              <w:spacing w:after="0" w:line="240" w:lineRule="auto"/>
              <w:rPr>
                <w:rFonts w:ascii="Times New Roman" w:eastAsia="Times New Roman" w:hAnsi="Times New Roman" w:cs="Times New Roman"/>
                <w:sz w:val="20"/>
                <w:szCs w:val="20"/>
              </w:rPr>
            </w:pPr>
          </w:p>
        </w:tc>
        <w:tc>
          <w:tcPr>
            <w:tcW w:w="1053" w:type="dxa"/>
            <w:tcBorders>
              <w:top w:val="nil"/>
              <w:left w:val="nil"/>
              <w:bottom w:val="nil"/>
              <w:right w:val="nil"/>
            </w:tcBorders>
            <w:shd w:val="clear" w:color="auto" w:fill="auto"/>
            <w:noWrap/>
            <w:vAlign w:val="bottom"/>
            <w:hideMark/>
          </w:tcPr>
          <w:p w:rsidR="00391F86" w:rsidRPr="0021237C" w:rsidRDefault="00391F86" w:rsidP="00391F86">
            <w:pPr>
              <w:spacing w:after="0" w:line="240" w:lineRule="auto"/>
              <w:rPr>
                <w:rFonts w:ascii="Times New Roman" w:eastAsia="Times New Roman" w:hAnsi="Times New Roman" w:cs="Times New Roman"/>
                <w:sz w:val="20"/>
                <w:szCs w:val="20"/>
              </w:rPr>
            </w:pPr>
          </w:p>
        </w:tc>
        <w:tc>
          <w:tcPr>
            <w:tcW w:w="1053" w:type="dxa"/>
            <w:tcBorders>
              <w:top w:val="nil"/>
              <w:left w:val="nil"/>
              <w:bottom w:val="nil"/>
              <w:right w:val="nil"/>
            </w:tcBorders>
            <w:shd w:val="clear" w:color="auto" w:fill="auto"/>
            <w:noWrap/>
            <w:vAlign w:val="bottom"/>
            <w:hideMark/>
          </w:tcPr>
          <w:p w:rsidR="00391F86" w:rsidRPr="0021237C" w:rsidRDefault="00391F86" w:rsidP="00391F86">
            <w:pPr>
              <w:spacing w:after="0" w:line="240" w:lineRule="auto"/>
              <w:rPr>
                <w:rFonts w:ascii="Times New Roman" w:eastAsia="Times New Roman" w:hAnsi="Times New Roman" w:cs="Times New Roman"/>
                <w:sz w:val="20"/>
                <w:szCs w:val="20"/>
              </w:rPr>
            </w:pPr>
          </w:p>
        </w:tc>
        <w:tc>
          <w:tcPr>
            <w:tcW w:w="1275" w:type="dxa"/>
            <w:tcBorders>
              <w:top w:val="nil"/>
              <w:left w:val="nil"/>
              <w:bottom w:val="nil"/>
              <w:right w:val="nil"/>
            </w:tcBorders>
            <w:shd w:val="clear" w:color="auto" w:fill="auto"/>
            <w:noWrap/>
            <w:vAlign w:val="bottom"/>
            <w:hideMark/>
          </w:tcPr>
          <w:p w:rsidR="00391F86" w:rsidRPr="0021237C" w:rsidRDefault="00391F86" w:rsidP="00391F86">
            <w:pPr>
              <w:spacing w:after="0" w:line="240" w:lineRule="auto"/>
              <w:rPr>
                <w:rFonts w:ascii="Times New Roman" w:eastAsia="Times New Roman" w:hAnsi="Times New Roman" w:cs="Times New Roman"/>
                <w:sz w:val="20"/>
                <w:szCs w:val="20"/>
              </w:rPr>
            </w:pPr>
          </w:p>
        </w:tc>
        <w:tc>
          <w:tcPr>
            <w:tcW w:w="1053" w:type="dxa"/>
            <w:tcBorders>
              <w:top w:val="nil"/>
              <w:left w:val="nil"/>
              <w:bottom w:val="nil"/>
              <w:right w:val="nil"/>
            </w:tcBorders>
            <w:shd w:val="clear" w:color="auto" w:fill="auto"/>
            <w:noWrap/>
            <w:vAlign w:val="bottom"/>
            <w:hideMark/>
          </w:tcPr>
          <w:p w:rsidR="00391F86" w:rsidRPr="0021237C" w:rsidRDefault="00391F86" w:rsidP="00391F86">
            <w:pPr>
              <w:spacing w:after="0" w:line="240" w:lineRule="auto"/>
              <w:rPr>
                <w:rFonts w:ascii="Times New Roman" w:eastAsia="Times New Roman" w:hAnsi="Times New Roman" w:cs="Times New Roman"/>
                <w:sz w:val="20"/>
                <w:szCs w:val="20"/>
              </w:rPr>
            </w:pPr>
          </w:p>
        </w:tc>
        <w:tc>
          <w:tcPr>
            <w:tcW w:w="1015" w:type="dxa"/>
            <w:tcBorders>
              <w:top w:val="nil"/>
              <w:left w:val="nil"/>
              <w:bottom w:val="nil"/>
              <w:right w:val="nil"/>
            </w:tcBorders>
            <w:shd w:val="clear" w:color="auto" w:fill="auto"/>
            <w:noWrap/>
            <w:vAlign w:val="bottom"/>
            <w:hideMark/>
          </w:tcPr>
          <w:p w:rsidR="00391F86" w:rsidRPr="0021237C" w:rsidRDefault="00391F86" w:rsidP="00391F86">
            <w:pPr>
              <w:spacing w:after="0" w:line="240" w:lineRule="auto"/>
              <w:rPr>
                <w:rFonts w:ascii="Times New Roman" w:eastAsia="Times New Roman" w:hAnsi="Times New Roman" w:cs="Times New Roman"/>
                <w:sz w:val="20"/>
                <w:szCs w:val="20"/>
              </w:rPr>
            </w:pPr>
          </w:p>
        </w:tc>
        <w:tc>
          <w:tcPr>
            <w:tcW w:w="1053" w:type="dxa"/>
            <w:tcBorders>
              <w:top w:val="nil"/>
              <w:left w:val="nil"/>
              <w:bottom w:val="nil"/>
              <w:right w:val="single" w:sz="4" w:space="0" w:color="auto"/>
            </w:tcBorders>
            <w:shd w:val="clear" w:color="auto" w:fill="auto"/>
            <w:noWrap/>
            <w:vAlign w:val="bottom"/>
            <w:hideMark/>
          </w:tcPr>
          <w:p w:rsidR="00391F86" w:rsidRPr="0021237C" w:rsidRDefault="00391F86" w:rsidP="00391F86">
            <w:pPr>
              <w:spacing w:after="0" w:line="240" w:lineRule="auto"/>
              <w:rPr>
                <w:rFonts w:ascii="Calibri" w:eastAsia="Times New Roman" w:hAnsi="Calibri" w:cs="Calibri"/>
                <w:color w:val="000000"/>
              </w:rPr>
            </w:pPr>
            <w:r w:rsidRPr="0021237C">
              <w:rPr>
                <w:rFonts w:ascii="Calibri" w:eastAsia="Times New Roman" w:hAnsi="Calibri" w:cs="Calibri"/>
                <w:color w:val="000000"/>
              </w:rPr>
              <w:t> </w:t>
            </w:r>
          </w:p>
        </w:tc>
      </w:tr>
      <w:tr w:rsidR="00391F86" w:rsidRPr="0021237C" w:rsidTr="00391F86">
        <w:trPr>
          <w:trHeight w:val="275"/>
        </w:trPr>
        <w:tc>
          <w:tcPr>
            <w:tcW w:w="2934" w:type="dxa"/>
            <w:gridSpan w:val="2"/>
            <w:tcBorders>
              <w:top w:val="single" w:sz="8" w:space="0" w:color="auto"/>
              <w:left w:val="single" w:sz="4" w:space="0" w:color="auto"/>
              <w:bottom w:val="single" w:sz="4" w:space="0" w:color="auto"/>
              <w:right w:val="nil"/>
            </w:tcBorders>
            <w:shd w:val="clear" w:color="auto" w:fill="auto"/>
            <w:noWrap/>
            <w:vAlign w:val="bottom"/>
            <w:hideMark/>
          </w:tcPr>
          <w:p w:rsidR="00391F86" w:rsidRPr="0021237C" w:rsidRDefault="00391F86" w:rsidP="00391F86">
            <w:pPr>
              <w:spacing w:after="0" w:line="240" w:lineRule="auto"/>
              <w:jc w:val="center"/>
              <w:rPr>
                <w:rFonts w:ascii="Calibri" w:eastAsia="Times New Roman" w:hAnsi="Calibri" w:cs="Calibri"/>
                <w:i/>
                <w:iCs/>
                <w:color w:val="000000"/>
              </w:rPr>
            </w:pPr>
            <w:r w:rsidRPr="0021237C">
              <w:rPr>
                <w:rFonts w:ascii="Calibri" w:eastAsia="Times New Roman" w:hAnsi="Calibri" w:cs="Calibri"/>
                <w:i/>
                <w:iCs/>
                <w:color w:val="000000"/>
              </w:rPr>
              <w:t>Regression Statistics</w:t>
            </w:r>
          </w:p>
        </w:tc>
        <w:tc>
          <w:tcPr>
            <w:tcW w:w="1163" w:type="dxa"/>
            <w:tcBorders>
              <w:top w:val="nil"/>
              <w:left w:val="nil"/>
              <w:bottom w:val="nil"/>
              <w:right w:val="nil"/>
            </w:tcBorders>
            <w:shd w:val="clear" w:color="auto" w:fill="auto"/>
            <w:noWrap/>
            <w:vAlign w:val="bottom"/>
            <w:hideMark/>
          </w:tcPr>
          <w:p w:rsidR="00391F86" w:rsidRPr="0021237C" w:rsidRDefault="00391F86" w:rsidP="00391F86">
            <w:pPr>
              <w:spacing w:after="0" w:line="240" w:lineRule="auto"/>
              <w:jc w:val="center"/>
              <w:rPr>
                <w:rFonts w:ascii="Calibri" w:eastAsia="Times New Roman" w:hAnsi="Calibri" w:cs="Calibri"/>
                <w:i/>
                <w:iCs/>
                <w:color w:val="000000"/>
              </w:rPr>
            </w:pPr>
          </w:p>
        </w:tc>
        <w:tc>
          <w:tcPr>
            <w:tcW w:w="1053" w:type="dxa"/>
            <w:tcBorders>
              <w:top w:val="nil"/>
              <w:left w:val="nil"/>
              <w:bottom w:val="nil"/>
              <w:right w:val="nil"/>
            </w:tcBorders>
            <w:shd w:val="clear" w:color="auto" w:fill="auto"/>
            <w:noWrap/>
            <w:vAlign w:val="bottom"/>
            <w:hideMark/>
          </w:tcPr>
          <w:p w:rsidR="00391F86" w:rsidRPr="0021237C" w:rsidRDefault="00391F86" w:rsidP="00391F86">
            <w:pPr>
              <w:spacing w:after="0" w:line="240" w:lineRule="auto"/>
              <w:rPr>
                <w:rFonts w:ascii="Times New Roman" w:eastAsia="Times New Roman" w:hAnsi="Times New Roman" w:cs="Times New Roman"/>
                <w:sz w:val="20"/>
                <w:szCs w:val="20"/>
              </w:rPr>
            </w:pPr>
          </w:p>
        </w:tc>
        <w:tc>
          <w:tcPr>
            <w:tcW w:w="1053" w:type="dxa"/>
            <w:tcBorders>
              <w:top w:val="nil"/>
              <w:left w:val="nil"/>
              <w:bottom w:val="nil"/>
              <w:right w:val="nil"/>
            </w:tcBorders>
            <w:shd w:val="clear" w:color="auto" w:fill="auto"/>
            <w:noWrap/>
            <w:vAlign w:val="bottom"/>
            <w:hideMark/>
          </w:tcPr>
          <w:p w:rsidR="00391F86" w:rsidRPr="0021237C" w:rsidRDefault="00391F86" w:rsidP="00391F86">
            <w:pPr>
              <w:spacing w:after="0" w:line="240" w:lineRule="auto"/>
              <w:rPr>
                <w:rFonts w:ascii="Times New Roman" w:eastAsia="Times New Roman" w:hAnsi="Times New Roman" w:cs="Times New Roman"/>
                <w:sz w:val="20"/>
                <w:szCs w:val="20"/>
              </w:rPr>
            </w:pPr>
          </w:p>
        </w:tc>
        <w:tc>
          <w:tcPr>
            <w:tcW w:w="1275" w:type="dxa"/>
            <w:tcBorders>
              <w:top w:val="nil"/>
              <w:left w:val="nil"/>
              <w:bottom w:val="nil"/>
              <w:right w:val="nil"/>
            </w:tcBorders>
            <w:shd w:val="clear" w:color="auto" w:fill="auto"/>
            <w:noWrap/>
            <w:vAlign w:val="bottom"/>
            <w:hideMark/>
          </w:tcPr>
          <w:p w:rsidR="00391F86" w:rsidRPr="0021237C" w:rsidRDefault="00391F86" w:rsidP="00391F86">
            <w:pPr>
              <w:spacing w:after="0" w:line="240" w:lineRule="auto"/>
              <w:rPr>
                <w:rFonts w:ascii="Times New Roman" w:eastAsia="Times New Roman" w:hAnsi="Times New Roman" w:cs="Times New Roman"/>
                <w:sz w:val="20"/>
                <w:szCs w:val="20"/>
              </w:rPr>
            </w:pPr>
          </w:p>
        </w:tc>
        <w:tc>
          <w:tcPr>
            <w:tcW w:w="1053" w:type="dxa"/>
            <w:tcBorders>
              <w:top w:val="nil"/>
              <w:left w:val="nil"/>
              <w:bottom w:val="nil"/>
              <w:right w:val="nil"/>
            </w:tcBorders>
            <w:shd w:val="clear" w:color="auto" w:fill="auto"/>
            <w:noWrap/>
            <w:vAlign w:val="bottom"/>
            <w:hideMark/>
          </w:tcPr>
          <w:p w:rsidR="00391F86" w:rsidRPr="0021237C" w:rsidRDefault="00391F86" w:rsidP="00391F86">
            <w:pPr>
              <w:spacing w:after="0" w:line="240" w:lineRule="auto"/>
              <w:rPr>
                <w:rFonts w:ascii="Times New Roman" w:eastAsia="Times New Roman" w:hAnsi="Times New Roman" w:cs="Times New Roman"/>
                <w:sz w:val="20"/>
                <w:szCs w:val="20"/>
              </w:rPr>
            </w:pPr>
          </w:p>
        </w:tc>
        <w:tc>
          <w:tcPr>
            <w:tcW w:w="1015" w:type="dxa"/>
            <w:tcBorders>
              <w:top w:val="nil"/>
              <w:left w:val="nil"/>
              <w:bottom w:val="nil"/>
              <w:right w:val="nil"/>
            </w:tcBorders>
            <w:shd w:val="clear" w:color="auto" w:fill="auto"/>
            <w:noWrap/>
            <w:vAlign w:val="bottom"/>
            <w:hideMark/>
          </w:tcPr>
          <w:p w:rsidR="00391F86" w:rsidRPr="0021237C" w:rsidRDefault="00391F86" w:rsidP="00391F86">
            <w:pPr>
              <w:spacing w:after="0" w:line="240" w:lineRule="auto"/>
              <w:rPr>
                <w:rFonts w:ascii="Times New Roman" w:eastAsia="Times New Roman" w:hAnsi="Times New Roman" w:cs="Times New Roman"/>
                <w:sz w:val="20"/>
                <w:szCs w:val="20"/>
              </w:rPr>
            </w:pPr>
          </w:p>
        </w:tc>
        <w:tc>
          <w:tcPr>
            <w:tcW w:w="1053" w:type="dxa"/>
            <w:tcBorders>
              <w:top w:val="nil"/>
              <w:left w:val="nil"/>
              <w:bottom w:val="nil"/>
              <w:right w:val="single" w:sz="4" w:space="0" w:color="auto"/>
            </w:tcBorders>
            <w:shd w:val="clear" w:color="auto" w:fill="auto"/>
            <w:noWrap/>
            <w:vAlign w:val="bottom"/>
            <w:hideMark/>
          </w:tcPr>
          <w:p w:rsidR="00391F86" w:rsidRPr="0021237C" w:rsidRDefault="00391F86" w:rsidP="00391F86">
            <w:pPr>
              <w:spacing w:after="0" w:line="240" w:lineRule="auto"/>
              <w:rPr>
                <w:rFonts w:ascii="Calibri" w:eastAsia="Times New Roman" w:hAnsi="Calibri" w:cs="Calibri"/>
                <w:color w:val="000000"/>
              </w:rPr>
            </w:pPr>
            <w:r w:rsidRPr="0021237C">
              <w:rPr>
                <w:rFonts w:ascii="Calibri" w:eastAsia="Times New Roman" w:hAnsi="Calibri" w:cs="Calibri"/>
                <w:color w:val="000000"/>
              </w:rPr>
              <w:t> </w:t>
            </w:r>
          </w:p>
        </w:tc>
      </w:tr>
      <w:tr w:rsidR="00391F86" w:rsidRPr="0021237C" w:rsidTr="00391F86">
        <w:trPr>
          <w:trHeight w:val="275"/>
        </w:trPr>
        <w:tc>
          <w:tcPr>
            <w:tcW w:w="1680" w:type="dxa"/>
            <w:tcBorders>
              <w:top w:val="nil"/>
              <w:left w:val="single" w:sz="4" w:space="0" w:color="auto"/>
              <w:bottom w:val="nil"/>
              <w:right w:val="nil"/>
            </w:tcBorders>
            <w:shd w:val="clear" w:color="auto" w:fill="auto"/>
            <w:noWrap/>
            <w:vAlign w:val="bottom"/>
            <w:hideMark/>
          </w:tcPr>
          <w:p w:rsidR="00391F86" w:rsidRPr="0021237C" w:rsidRDefault="00391F86" w:rsidP="00391F86">
            <w:pPr>
              <w:spacing w:after="0" w:line="240" w:lineRule="auto"/>
              <w:rPr>
                <w:rFonts w:ascii="Calibri" w:eastAsia="Times New Roman" w:hAnsi="Calibri" w:cs="Calibri"/>
                <w:color w:val="000000"/>
              </w:rPr>
            </w:pPr>
            <w:r w:rsidRPr="0021237C">
              <w:rPr>
                <w:rFonts w:ascii="Calibri" w:eastAsia="Times New Roman" w:hAnsi="Calibri" w:cs="Calibri"/>
                <w:color w:val="000000"/>
              </w:rPr>
              <w:t>Multiple R</w:t>
            </w:r>
          </w:p>
        </w:tc>
        <w:tc>
          <w:tcPr>
            <w:tcW w:w="1254" w:type="dxa"/>
            <w:tcBorders>
              <w:top w:val="nil"/>
              <w:left w:val="nil"/>
              <w:bottom w:val="nil"/>
              <w:right w:val="nil"/>
            </w:tcBorders>
            <w:shd w:val="clear" w:color="auto" w:fill="auto"/>
            <w:noWrap/>
            <w:vAlign w:val="bottom"/>
            <w:hideMark/>
          </w:tcPr>
          <w:p w:rsidR="00391F86" w:rsidRPr="0021237C" w:rsidRDefault="00391F86" w:rsidP="00391F86">
            <w:pPr>
              <w:spacing w:after="0" w:line="240" w:lineRule="auto"/>
              <w:jc w:val="right"/>
              <w:rPr>
                <w:rFonts w:ascii="Calibri" w:eastAsia="Times New Roman" w:hAnsi="Calibri" w:cs="Calibri"/>
                <w:color w:val="000000"/>
              </w:rPr>
            </w:pPr>
            <w:r w:rsidRPr="0021237C">
              <w:rPr>
                <w:rFonts w:ascii="Calibri" w:eastAsia="Times New Roman" w:hAnsi="Calibri" w:cs="Calibri"/>
                <w:color w:val="000000"/>
              </w:rPr>
              <w:t>0.518678</w:t>
            </w:r>
          </w:p>
        </w:tc>
        <w:tc>
          <w:tcPr>
            <w:tcW w:w="1163" w:type="dxa"/>
            <w:tcBorders>
              <w:top w:val="nil"/>
              <w:left w:val="nil"/>
              <w:bottom w:val="nil"/>
              <w:right w:val="nil"/>
            </w:tcBorders>
            <w:shd w:val="clear" w:color="auto" w:fill="auto"/>
            <w:noWrap/>
            <w:vAlign w:val="bottom"/>
            <w:hideMark/>
          </w:tcPr>
          <w:p w:rsidR="00391F86" w:rsidRPr="0021237C" w:rsidRDefault="00391F86" w:rsidP="00391F86">
            <w:pPr>
              <w:spacing w:after="0" w:line="240" w:lineRule="auto"/>
              <w:jc w:val="right"/>
              <w:rPr>
                <w:rFonts w:ascii="Calibri" w:eastAsia="Times New Roman" w:hAnsi="Calibri" w:cs="Calibri"/>
                <w:color w:val="000000"/>
              </w:rPr>
            </w:pPr>
          </w:p>
        </w:tc>
        <w:tc>
          <w:tcPr>
            <w:tcW w:w="1053" w:type="dxa"/>
            <w:tcBorders>
              <w:top w:val="nil"/>
              <w:left w:val="nil"/>
              <w:bottom w:val="nil"/>
              <w:right w:val="nil"/>
            </w:tcBorders>
            <w:shd w:val="clear" w:color="auto" w:fill="auto"/>
            <w:noWrap/>
            <w:vAlign w:val="bottom"/>
            <w:hideMark/>
          </w:tcPr>
          <w:p w:rsidR="00391F86" w:rsidRPr="0021237C" w:rsidRDefault="00391F86" w:rsidP="00391F86">
            <w:pPr>
              <w:spacing w:after="0" w:line="240" w:lineRule="auto"/>
              <w:rPr>
                <w:rFonts w:ascii="Times New Roman" w:eastAsia="Times New Roman" w:hAnsi="Times New Roman" w:cs="Times New Roman"/>
                <w:sz w:val="20"/>
                <w:szCs w:val="20"/>
              </w:rPr>
            </w:pPr>
          </w:p>
        </w:tc>
        <w:tc>
          <w:tcPr>
            <w:tcW w:w="1053" w:type="dxa"/>
            <w:tcBorders>
              <w:top w:val="nil"/>
              <w:left w:val="nil"/>
              <w:bottom w:val="nil"/>
              <w:right w:val="nil"/>
            </w:tcBorders>
            <w:shd w:val="clear" w:color="auto" w:fill="auto"/>
            <w:noWrap/>
            <w:vAlign w:val="bottom"/>
            <w:hideMark/>
          </w:tcPr>
          <w:p w:rsidR="00391F86" w:rsidRPr="0021237C" w:rsidRDefault="00391F86" w:rsidP="00391F86">
            <w:pPr>
              <w:spacing w:after="0" w:line="240" w:lineRule="auto"/>
              <w:rPr>
                <w:rFonts w:ascii="Times New Roman" w:eastAsia="Times New Roman" w:hAnsi="Times New Roman" w:cs="Times New Roman"/>
                <w:sz w:val="20"/>
                <w:szCs w:val="20"/>
              </w:rPr>
            </w:pPr>
          </w:p>
        </w:tc>
        <w:tc>
          <w:tcPr>
            <w:tcW w:w="1275" w:type="dxa"/>
            <w:tcBorders>
              <w:top w:val="nil"/>
              <w:left w:val="nil"/>
              <w:bottom w:val="nil"/>
              <w:right w:val="nil"/>
            </w:tcBorders>
            <w:shd w:val="clear" w:color="auto" w:fill="auto"/>
            <w:noWrap/>
            <w:vAlign w:val="bottom"/>
            <w:hideMark/>
          </w:tcPr>
          <w:p w:rsidR="00391F86" w:rsidRPr="0021237C" w:rsidRDefault="00391F86" w:rsidP="00391F86">
            <w:pPr>
              <w:spacing w:after="0" w:line="240" w:lineRule="auto"/>
              <w:rPr>
                <w:rFonts w:ascii="Times New Roman" w:eastAsia="Times New Roman" w:hAnsi="Times New Roman" w:cs="Times New Roman"/>
                <w:sz w:val="20"/>
                <w:szCs w:val="20"/>
              </w:rPr>
            </w:pPr>
          </w:p>
        </w:tc>
        <w:tc>
          <w:tcPr>
            <w:tcW w:w="1053" w:type="dxa"/>
            <w:tcBorders>
              <w:top w:val="nil"/>
              <w:left w:val="nil"/>
              <w:bottom w:val="nil"/>
              <w:right w:val="nil"/>
            </w:tcBorders>
            <w:shd w:val="clear" w:color="auto" w:fill="auto"/>
            <w:noWrap/>
            <w:vAlign w:val="bottom"/>
            <w:hideMark/>
          </w:tcPr>
          <w:p w:rsidR="00391F86" w:rsidRPr="0021237C" w:rsidRDefault="00391F86" w:rsidP="00391F86">
            <w:pPr>
              <w:spacing w:after="0" w:line="240" w:lineRule="auto"/>
              <w:rPr>
                <w:rFonts w:ascii="Times New Roman" w:eastAsia="Times New Roman" w:hAnsi="Times New Roman" w:cs="Times New Roman"/>
                <w:sz w:val="20"/>
                <w:szCs w:val="20"/>
              </w:rPr>
            </w:pPr>
          </w:p>
        </w:tc>
        <w:tc>
          <w:tcPr>
            <w:tcW w:w="1015" w:type="dxa"/>
            <w:tcBorders>
              <w:top w:val="nil"/>
              <w:left w:val="nil"/>
              <w:bottom w:val="nil"/>
              <w:right w:val="nil"/>
            </w:tcBorders>
            <w:shd w:val="clear" w:color="auto" w:fill="auto"/>
            <w:noWrap/>
            <w:vAlign w:val="bottom"/>
            <w:hideMark/>
          </w:tcPr>
          <w:p w:rsidR="00391F86" w:rsidRPr="0021237C" w:rsidRDefault="00391F86" w:rsidP="00391F86">
            <w:pPr>
              <w:spacing w:after="0" w:line="240" w:lineRule="auto"/>
              <w:rPr>
                <w:rFonts w:ascii="Times New Roman" w:eastAsia="Times New Roman" w:hAnsi="Times New Roman" w:cs="Times New Roman"/>
                <w:sz w:val="20"/>
                <w:szCs w:val="20"/>
              </w:rPr>
            </w:pPr>
          </w:p>
        </w:tc>
        <w:tc>
          <w:tcPr>
            <w:tcW w:w="1053" w:type="dxa"/>
            <w:tcBorders>
              <w:top w:val="nil"/>
              <w:left w:val="nil"/>
              <w:bottom w:val="nil"/>
              <w:right w:val="single" w:sz="4" w:space="0" w:color="auto"/>
            </w:tcBorders>
            <w:shd w:val="clear" w:color="auto" w:fill="auto"/>
            <w:noWrap/>
            <w:vAlign w:val="bottom"/>
            <w:hideMark/>
          </w:tcPr>
          <w:p w:rsidR="00391F86" w:rsidRPr="0021237C" w:rsidRDefault="00391F86" w:rsidP="00391F86">
            <w:pPr>
              <w:spacing w:after="0" w:line="240" w:lineRule="auto"/>
              <w:rPr>
                <w:rFonts w:ascii="Calibri" w:eastAsia="Times New Roman" w:hAnsi="Calibri" w:cs="Calibri"/>
                <w:color w:val="000000"/>
              </w:rPr>
            </w:pPr>
            <w:r w:rsidRPr="0021237C">
              <w:rPr>
                <w:rFonts w:ascii="Calibri" w:eastAsia="Times New Roman" w:hAnsi="Calibri" w:cs="Calibri"/>
                <w:color w:val="000000"/>
              </w:rPr>
              <w:t> </w:t>
            </w:r>
          </w:p>
        </w:tc>
      </w:tr>
      <w:tr w:rsidR="00391F86" w:rsidRPr="0021237C" w:rsidTr="00391F86">
        <w:trPr>
          <w:trHeight w:val="275"/>
        </w:trPr>
        <w:tc>
          <w:tcPr>
            <w:tcW w:w="1680" w:type="dxa"/>
            <w:tcBorders>
              <w:top w:val="nil"/>
              <w:left w:val="single" w:sz="4" w:space="0" w:color="auto"/>
              <w:bottom w:val="nil"/>
              <w:right w:val="nil"/>
            </w:tcBorders>
            <w:shd w:val="clear" w:color="auto" w:fill="auto"/>
            <w:noWrap/>
            <w:vAlign w:val="bottom"/>
            <w:hideMark/>
          </w:tcPr>
          <w:p w:rsidR="00391F86" w:rsidRPr="0021237C" w:rsidRDefault="00391F86" w:rsidP="00391F86">
            <w:pPr>
              <w:spacing w:after="0" w:line="240" w:lineRule="auto"/>
              <w:rPr>
                <w:rFonts w:ascii="Calibri" w:eastAsia="Times New Roman" w:hAnsi="Calibri" w:cs="Calibri"/>
                <w:color w:val="000000"/>
              </w:rPr>
            </w:pPr>
            <w:r w:rsidRPr="0021237C">
              <w:rPr>
                <w:rFonts w:ascii="Calibri" w:eastAsia="Times New Roman" w:hAnsi="Calibri" w:cs="Calibri"/>
                <w:color w:val="000000"/>
              </w:rPr>
              <w:t>R Square</w:t>
            </w:r>
          </w:p>
        </w:tc>
        <w:tc>
          <w:tcPr>
            <w:tcW w:w="1254" w:type="dxa"/>
            <w:tcBorders>
              <w:top w:val="nil"/>
              <w:left w:val="nil"/>
              <w:bottom w:val="nil"/>
              <w:right w:val="nil"/>
            </w:tcBorders>
            <w:shd w:val="clear" w:color="auto" w:fill="auto"/>
            <w:noWrap/>
            <w:vAlign w:val="bottom"/>
            <w:hideMark/>
          </w:tcPr>
          <w:p w:rsidR="00391F86" w:rsidRPr="0021237C" w:rsidRDefault="00391F86" w:rsidP="00391F86">
            <w:pPr>
              <w:spacing w:after="0" w:line="240" w:lineRule="auto"/>
              <w:jc w:val="right"/>
              <w:rPr>
                <w:rFonts w:ascii="Calibri" w:eastAsia="Times New Roman" w:hAnsi="Calibri" w:cs="Calibri"/>
                <w:color w:val="000000"/>
              </w:rPr>
            </w:pPr>
            <w:r w:rsidRPr="0021237C">
              <w:rPr>
                <w:rFonts w:ascii="Calibri" w:eastAsia="Times New Roman" w:hAnsi="Calibri" w:cs="Calibri"/>
                <w:color w:val="000000"/>
              </w:rPr>
              <w:t>0.269027</w:t>
            </w:r>
          </w:p>
        </w:tc>
        <w:tc>
          <w:tcPr>
            <w:tcW w:w="1163" w:type="dxa"/>
            <w:tcBorders>
              <w:top w:val="nil"/>
              <w:left w:val="nil"/>
              <w:bottom w:val="nil"/>
              <w:right w:val="nil"/>
            </w:tcBorders>
            <w:shd w:val="clear" w:color="auto" w:fill="auto"/>
            <w:noWrap/>
            <w:vAlign w:val="bottom"/>
            <w:hideMark/>
          </w:tcPr>
          <w:p w:rsidR="00391F86" w:rsidRPr="0021237C" w:rsidRDefault="00391F86" w:rsidP="00391F86">
            <w:pPr>
              <w:spacing w:after="0" w:line="240" w:lineRule="auto"/>
              <w:jc w:val="right"/>
              <w:rPr>
                <w:rFonts w:ascii="Calibri" w:eastAsia="Times New Roman" w:hAnsi="Calibri" w:cs="Calibri"/>
                <w:color w:val="000000"/>
              </w:rPr>
            </w:pPr>
          </w:p>
        </w:tc>
        <w:tc>
          <w:tcPr>
            <w:tcW w:w="1053" w:type="dxa"/>
            <w:tcBorders>
              <w:top w:val="nil"/>
              <w:left w:val="nil"/>
              <w:bottom w:val="nil"/>
              <w:right w:val="nil"/>
            </w:tcBorders>
            <w:shd w:val="clear" w:color="auto" w:fill="auto"/>
            <w:noWrap/>
            <w:vAlign w:val="bottom"/>
            <w:hideMark/>
          </w:tcPr>
          <w:p w:rsidR="00391F86" w:rsidRPr="0021237C" w:rsidRDefault="00391F86" w:rsidP="00391F86">
            <w:pPr>
              <w:spacing w:after="0" w:line="240" w:lineRule="auto"/>
              <w:rPr>
                <w:rFonts w:ascii="Times New Roman" w:eastAsia="Times New Roman" w:hAnsi="Times New Roman" w:cs="Times New Roman"/>
                <w:sz w:val="20"/>
                <w:szCs w:val="20"/>
              </w:rPr>
            </w:pPr>
          </w:p>
        </w:tc>
        <w:tc>
          <w:tcPr>
            <w:tcW w:w="1053" w:type="dxa"/>
            <w:tcBorders>
              <w:top w:val="nil"/>
              <w:left w:val="nil"/>
              <w:bottom w:val="nil"/>
              <w:right w:val="nil"/>
            </w:tcBorders>
            <w:shd w:val="clear" w:color="auto" w:fill="auto"/>
            <w:noWrap/>
            <w:vAlign w:val="bottom"/>
            <w:hideMark/>
          </w:tcPr>
          <w:p w:rsidR="00391F86" w:rsidRPr="0021237C" w:rsidRDefault="00391F86" w:rsidP="00391F86">
            <w:pPr>
              <w:spacing w:after="0" w:line="240" w:lineRule="auto"/>
              <w:rPr>
                <w:rFonts w:ascii="Times New Roman" w:eastAsia="Times New Roman" w:hAnsi="Times New Roman" w:cs="Times New Roman"/>
                <w:sz w:val="20"/>
                <w:szCs w:val="20"/>
              </w:rPr>
            </w:pPr>
          </w:p>
        </w:tc>
        <w:tc>
          <w:tcPr>
            <w:tcW w:w="1275" w:type="dxa"/>
            <w:tcBorders>
              <w:top w:val="nil"/>
              <w:left w:val="nil"/>
              <w:bottom w:val="nil"/>
              <w:right w:val="nil"/>
            </w:tcBorders>
            <w:shd w:val="clear" w:color="auto" w:fill="auto"/>
            <w:noWrap/>
            <w:vAlign w:val="bottom"/>
            <w:hideMark/>
          </w:tcPr>
          <w:p w:rsidR="00391F86" w:rsidRPr="0021237C" w:rsidRDefault="00391F86" w:rsidP="00391F86">
            <w:pPr>
              <w:spacing w:after="0" w:line="240" w:lineRule="auto"/>
              <w:rPr>
                <w:rFonts w:ascii="Times New Roman" w:eastAsia="Times New Roman" w:hAnsi="Times New Roman" w:cs="Times New Roman"/>
                <w:sz w:val="20"/>
                <w:szCs w:val="20"/>
              </w:rPr>
            </w:pPr>
          </w:p>
        </w:tc>
        <w:tc>
          <w:tcPr>
            <w:tcW w:w="1053" w:type="dxa"/>
            <w:tcBorders>
              <w:top w:val="nil"/>
              <w:left w:val="nil"/>
              <w:bottom w:val="nil"/>
              <w:right w:val="nil"/>
            </w:tcBorders>
            <w:shd w:val="clear" w:color="auto" w:fill="auto"/>
            <w:noWrap/>
            <w:vAlign w:val="bottom"/>
            <w:hideMark/>
          </w:tcPr>
          <w:p w:rsidR="00391F86" w:rsidRPr="0021237C" w:rsidRDefault="00391F86" w:rsidP="00391F86">
            <w:pPr>
              <w:spacing w:after="0" w:line="240" w:lineRule="auto"/>
              <w:rPr>
                <w:rFonts w:ascii="Times New Roman" w:eastAsia="Times New Roman" w:hAnsi="Times New Roman" w:cs="Times New Roman"/>
                <w:sz w:val="20"/>
                <w:szCs w:val="20"/>
              </w:rPr>
            </w:pPr>
          </w:p>
        </w:tc>
        <w:tc>
          <w:tcPr>
            <w:tcW w:w="1015" w:type="dxa"/>
            <w:tcBorders>
              <w:top w:val="nil"/>
              <w:left w:val="nil"/>
              <w:bottom w:val="nil"/>
              <w:right w:val="nil"/>
            </w:tcBorders>
            <w:shd w:val="clear" w:color="auto" w:fill="auto"/>
            <w:noWrap/>
            <w:vAlign w:val="bottom"/>
            <w:hideMark/>
          </w:tcPr>
          <w:p w:rsidR="00391F86" w:rsidRPr="0021237C" w:rsidRDefault="00391F86" w:rsidP="00391F86">
            <w:pPr>
              <w:spacing w:after="0" w:line="240" w:lineRule="auto"/>
              <w:rPr>
                <w:rFonts w:ascii="Times New Roman" w:eastAsia="Times New Roman" w:hAnsi="Times New Roman" w:cs="Times New Roman"/>
                <w:sz w:val="20"/>
                <w:szCs w:val="20"/>
              </w:rPr>
            </w:pPr>
          </w:p>
        </w:tc>
        <w:tc>
          <w:tcPr>
            <w:tcW w:w="1053" w:type="dxa"/>
            <w:tcBorders>
              <w:top w:val="nil"/>
              <w:left w:val="nil"/>
              <w:bottom w:val="nil"/>
              <w:right w:val="single" w:sz="4" w:space="0" w:color="auto"/>
            </w:tcBorders>
            <w:shd w:val="clear" w:color="auto" w:fill="auto"/>
            <w:noWrap/>
            <w:vAlign w:val="bottom"/>
            <w:hideMark/>
          </w:tcPr>
          <w:p w:rsidR="00391F86" w:rsidRPr="0021237C" w:rsidRDefault="00391F86" w:rsidP="00391F86">
            <w:pPr>
              <w:spacing w:after="0" w:line="240" w:lineRule="auto"/>
              <w:rPr>
                <w:rFonts w:ascii="Calibri" w:eastAsia="Times New Roman" w:hAnsi="Calibri" w:cs="Calibri"/>
                <w:color w:val="000000"/>
              </w:rPr>
            </w:pPr>
            <w:r w:rsidRPr="0021237C">
              <w:rPr>
                <w:rFonts w:ascii="Calibri" w:eastAsia="Times New Roman" w:hAnsi="Calibri" w:cs="Calibri"/>
                <w:color w:val="000000"/>
              </w:rPr>
              <w:t> </w:t>
            </w:r>
          </w:p>
        </w:tc>
      </w:tr>
      <w:tr w:rsidR="00391F86" w:rsidRPr="0021237C" w:rsidTr="00391F86">
        <w:trPr>
          <w:trHeight w:val="275"/>
        </w:trPr>
        <w:tc>
          <w:tcPr>
            <w:tcW w:w="1680" w:type="dxa"/>
            <w:tcBorders>
              <w:top w:val="nil"/>
              <w:left w:val="single" w:sz="4" w:space="0" w:color="auto"/>
              <w:bottom w:val="nil"/>
              <w:right w:val="nil"/>
            </w:tcBorders>
            <w:shd w:val="clear" w:color="auto" w:fill="auto"/>
            <w:noWrap/>
            <w:vAlign w:val="bottom"/>
            <w:hideMark/>
          </w:tcPr>
          <w:p w:rsidR="00391F86" w:rsidRPr="0021237C" w:rsidRDefault="00391F86" w:rsidP="00391F86">
            <w:pPr>
              <w:spacing w:after="0" w:line="240" w:lineRule="auto"/>
              <w:rPr>
                <w:rFonts w:ascii="Calibri" w:eastAsia="Times New Roman" w:hAnsi="Calibri" w:cs="Calibri"/>
                <w:color w:val="000000"/>
              </w:rPr>
            </w:pPr>
            <w:r w:rsidRPr="0021237C">
              <w:rPr>
                <w:rFonts w:ascii="Calibri" w:eastAsia="Times New Roman" w:hAnsi="Calibri" w:cs="Calibri"/>
                <w:color w:val="000000"/>
              </w:rPr>
              <w:t>Adjusted R Square</w:t>
            </w:r>
          </w:p>
        </w:tc>
        <w:tc>
          <w:tcPr>
            <w:tcW w:w="1254" w:type="dxa"/>
            <w:tcBorders>
              <w:top w:val="nil"/>
              <w:left w:val="nil"/>
              <w:bottom w:val="nil"/>
              <w:right w:val="nil"/>
            </w:tcBorders>
            <w:shd w:val="clear" w:color="auto" w:fill="auto"/>
            <w:noWrap/>
            <w:vAlign w:val="bottom"/>
            <w:hideMark/>
          </w:tcPr>
          <w:p w:rsidR="00391F86" w:rsidRPr="0021237C" w:rsidRDefault="00391F86" w:rsidP="00391F86">
            <w:pPr>
              <w:spacing w:after="0" w:line="240" w:lineRule="auto"/>
              <w:jc w:val="right"/>
              <w:rPr>
                <w:rFonts w:ascii="Calibri" w:eastAsia="Times New Roman" w:hAnsi="Calibri" w:cs="Calibri"/>
                <w:color w:val="000000"/>
              </w:rPr>
            </w:pPr>
            <w:r w:rsidRPr="0021237C">
              <w:rPr>
                <w:rFonts w:ascii="Calibri" w:eastAsia="Times New Roman" w:hAnsi="Calibri" w:cs="Calibri"/>
                <w:color w:val="000000"/>
              </w:rPr>
              <w:t>-0.31575</w:t>
            </w:r>
          </w:p>
        </w:tc>
        <w:tc>
          <w:tcPr>
            <w:tcW w:w="1163" w:type="dxa"/>
            <w:tcBorders>
              <w:top w:val="nil"/>
              <w:left w:val="nil"/>
              <w:bottom w:val="nil"/>
              <w:right w:val="nil"/>
            </w:tcBorders>
            <w:shd w:val="clear" w:color="auto" w:fill="auto"/>
            <w:noWrap/>
            <w:vAlign w:val="bottom"/>
            <w:hideMark/>
          </w:tcPr>
          <w:p w:rsidR="00391F86" w:rsidRPr="0021237C" w:rsidRDefault="00391F86" w:rsidP="00391F86">
            <w:pPr>
              <w:spacing w:after="0" w:line="240" w:lineRule="auto"/>
              <w:jc w:val="right"/>
              <w:rPr>
                <w:rFonts w:ascii="Calibri" w:eastAsia="Times New Roman" w:hAnsi="Calibri" w:cs="Calibri"/>
                <w:color w:val="000000"/>
              </w:rPr>
            </w:pPr>
          </w:p>
        </w:tc>
        <w:tc>
          <w:tcPr>
            <w:tcW w:w="1053" w:type="dxa"/>
            <w:tcBorders>
              <w:top w:val="nil"/>
              <w:left w:val="nil"/>
              <w:bottom w:val="nil"/>
              <w:right w:val="nil"/>
            </w:tcBorders>
            <w:shd w:val="clear" w:color="auto" w:fill="auto"/>
            <w:noWrap/>
            <w:vAlign w:val="bottom"/>
            <w:hideMark/>
          </w:tcPr>
          <w:p w:rsidR="00391F86" w:rsidRPr="0021237C" w:rsidRDefault="00391F86" w:rsidP="00391F86">
            <w:pPr>
              <w:spacing w:after="0" w:line="240" w:lineRule="auto"/>
              <w:rPr>
                <w:rFonts w:ascii="Times New Roman" w:eastAsia="Times New Roman" w:hAnsi="Times New Roman" w:cs="Times New Roman"/>
                <w:sz w:val="20"/>
                <w:szCs w:val="20"/>
              </w:rPr>
            </w:pPr>
          </w:p>
        </w:tc>
        <w:tc>
          <w:tcPr>
            <w:tcW w:w="1053" w:type="dxa"/>
            <w:tcBorders>
              <w:top w:val="nil"/>
              <w:left w:val="nil"/>
              <w:bottom w:val="nil"/>
              <w:right w:val="nil"/>
            </w:tcBorders>
            <w:shd w:val="clear" w:color="auto" w:fill="auto"/>
            <w:noWrap/>
            <w:vAlign w:val="bottom"/>
            <w:hideMark/>
          </w:tcPr>
          <w:p w:rsidR="00391F86" w:rsidRPr="0021237C" w:rsidRDefault="00391F86" w:rsidP="00391F86">
            <w:pPr>
              <w:spacing w:after="0" w:line="240" w:lineRule="auto"/>
              <w:rPr>
                <w:rFonts w:ascii="Times New Roman" w:eastAsia="Times New Roman" w:hAnsi="Times New Roman" w:cs="Times New Roman"/>
                <w:sz w:val="20"/>
                <w:szCs w:val="20"/>
              </w:rPr>
            </w:pPr>
          </w:p>
        </w:tc>
        <w:tc>
          <w:tcPr>
            <w:tcW w:w="1275" w:type="dxa"/>
            <w:tcBorders>
              <w:top w:val="nil"/>
              <w:left w:val="nil"/>
              <w:bottom w:val="nil"/>
              <w:right w:val="nil"/>
            </w:tcBorders>
            <w:shd w:val="clear" w:color="auto" w:fill="auto"/>
            <w:noWrap/>
            <w:vAlign w:val="bottom"/>
            <w:hideMark/>
          </w:tcPr>
          <w:p w:rsidR="00391F86" w:rsidRPr="0021237C" w:rsidRDefault="00391F86" w:rsidP="00391F86">
            <w:pPr>
              <w:spacing w:after="0" w:line="240" w:lineRule="auto"/>
              <w:rPr>
                <w:rFonts w:ascii="Times New Roman" w:eastAsia="Times New Roman" w:hAnsi="Times New Roman" w:cs="Times New Roman"/>
                <w:sz w:val="20"/>
                <w:szCs w:val="20"/>
              </w:rPr>
            </w:pPr>
          </w:p>
        </w:tc>
        <w:tc>
          <w:tcPr>
            <w:tcW w:w="1053" w:type="dxa"/>
            <w:tcBorders>
              <w:top w:val="nil"/>
              <w:left w:val="nil"/>
              <w:bottom w:val="nil"/>
              <w:right w:val="nil"/>
            </w:tcBorders>
            <w:shd w:val="clear" w:color="auto" w:fill="auto"/>
            <w:noWrap/>
            <w:vAlign w:val="bottom"/>
            <w:hideMark/>
          </w:tcPr>
          <w:p w:rsidR="00391F86" w:rsidRPr="0021237C" w:rsidRDefault="00391F86" w:rsidP="00391F86">
            <w:pPr>
              <w:spacing w:after="0" w:line="240" w:lineRule="auto"/>
              <w:rPr>
                <w:rFonts w:ascii="Times New Roman" w:eastAsia="Times New Roman" w:hAnsi="Times New Roman" w:cs="Times New Roman"/>
                <w:sz w:val="20"/>
                <w:szCs w:val="20"/>
              </w:rPr>
            </w:pPr>
          </w:p>
        </w:tc>
        <w:tc>
          <w:tcPr>
            <w:tcW w:w="1015" w:type="dxa"/>
            <w:tcBorders>
              <w:top w:val="nil"/>
              <w:left w:val="nil"/>
              <w:bottom w:val="nil"/>
              <w:right w:val="nil"/>
            </w:tcBorders>
            <w:shd w:val="clear" w:color="auto" w:fill="auto"/>
            <w:noWrap/>
            <w:vAlign w:val="bottom"/>
            <w:hideMark/>
          </w:tcPr>
          <w:p w:rsidR="00391F86" w:rsidRPr="0021237C" w:rsidRDefault="00391F86" w:rsidP="00391F86">
            <w:pPr>
              <w:spacing w:after="0" w:line="240" w:lineRule="auto"/>
              <w:rPr>
                <w:rFonts w:ascii="Times New Roman" w:eastAsia="Times New Roman" w:hAnsi="Times New Roman" w:cs="Times New Roman"/>
                <w:sz w:val="20"/>
                <w:szCs w:val="20"/>
              </w:rPr>
            </w:pPr>
          </w:p>
        </w:tc>
        <w:tc>
          <w:tcPr>
            <w:tcW w:w="1053" w:type="dxa"/>
            <w:tcBorders>
              <w:top w:val="nil"/>
              <w:left w:val="nil"/>
              <w:bottom w:val="nil"/>
              <w:right w:val="single" w:sz="4" w:space="0" w:color="auto"/>
            </w:tcBorders>
            <w:shd w:val="clear" w:color="auto" w:fill="auto"/>
            <w:noWrap/>
            <w:vAlign w:val="bottom"/>
            <w:hideMark/>
          </w:tcPr>
          <w:p w:rsidR="00391F86" w:rsidRPr="0021237C" w:rsidRDefault="00391F86" w:rsidP="00391F86">
            <w:pPr>
              <w:spacing w:after="0" w:line="240" w:lineRule="auto"/>
              <w:rPr>
                <w:rFonts w:ascii="Calibri" w:eastAsia="Times New Roman" w:hAnsi="Calibri" w:cs="Calibri"/>
                <w:color w:val="000000"/>
              </w:rPr>
            </w:pPr>
            <w:r w:rsidRPr="0021237C">
              <w:rPr>
                <w:rFonts w:ascii="Calibri" w:eastAsia="Times New Roman" w:hAnsi="Calibri" w:cs="Calibri"/>
                <w:color w:val="000000"/>
              </w:rPr>
              <w:t> </w:t>
            </w:r>
          </w:p>
        </w:tc>
      </w:tr>
      <w:tr w:rsidR="00391F86" w:rsidRPr="0021237C" w:rsidTr="00391F86">
        <w:trPr>
          <w:trHeight w:val="275"/>
        </w:trPr>
        <w:tc>
          <w:tcPr>
            <w:tcW w:w="1680" w:type="dxa"/>
            <w:tcBorders>
              <w:top w:val="nil"/>
              <w:left w:val="single" w:sz="4" w:space="0" w:color="auto"/>
              <w:bottom w:val="nil"/>
              <w:right w:val="nil"/>
            </w:tcBorders>
            <w:shd w:val="clear" w:color="auto" w:fill="auto"/>
            <w:noWrap/>
            <w:vAlign w:val="bottom"/>
            <w:hideMark/>
          </w:tcPr>
          <w:p w:rsidR="00391F86" w:rsidRPr="0021237C" w:rsidRDefault="00391F86" w:rsidP="00391F86">
            <w:pPr>
              <w:spacing w:after="0" w:line="240" w:lineRule="auto"/>
              <w:rPr>
                <w:rFonts w:ascii="Calibri" w:eastAsia="Times New Roman" w:hAnsi="Calibri" w:cs="Calibri"/>
                <w:color w:val="000000"/>
              </w:rPr>
            </w:pPr>
            <w:r w:rsidRPr="0021237C">
              <w:rPr>
                <w:rFonts w:ascii="Calibri" w:eastAsia="Times New Roman" w:hAnsi="Calibri" w:cs="Calibri"/>
                <w:color w:val="000000"/>
              </w:rPr>
              <w:t>Standard Error</w:t>
            </w:r>
          </w:p>
        </w:tc>
        <w:tc>
          <w:tcPr>
            <w:tcW w:w="1254" w:type="dxa"/>
            <w:tcBorders>
              <w:top w:val="nil"/>
              <w:left w:val="nil"/>
              <w:bottom w:val="nil"/>
              <w:right w:val="nil"/>
            </w:tcBorders>
            <w:shd w:val="clear" w:color="auto" w:fill="auto"/>
            <w:noWrap/>
            <w:vAlign w:val="bottom"/>
            <w:hideMark/>
          </w:tcPr>
          <w:p w:rsidR="00391F86" w:rsidRPr="0021237C" w:rsidRDefault="00391F86" w:rsidP="00391F86">
            <w:pPr>
              <w:spacing w:after="0" w:line="240" w:lineRule="auto"/>
              <w:jc w:val="right"/>
              <w:rPr>
                <w:rFonts w:ascii="Calibri" w:eastAsia="Times New Roman" w:hAnsi="Calibri" w:cs="Calibri"/>
                <w:color w:val="000000"/>
              </w:rPr>
            </w:pPr>
            <w:r w:rsidRPr="0021237C">
              <w:rPr>
                <w:rFonts w:ascii="Calibri" w:eastAsia="Times New Roman" w:hAnsi="Calibri" w:cs="Calibri"/>
                <w:color w:val="000000"/>
              </w:rPr>
              <w:t>0.017653</w:t>
            </w:r>
          </w:p>
        </w:tc>
        <w:tc>
          <w:tcPr>
            <w:tcW w:w="1163" w:type="dxa"/>
            <w:tcBorders>
              <w:top w:val="nil"/>
              <w:left w:val="nil"/>
              <w:bottom w:val="nil"/>
              <w:right w:val="nil"/>
            </w:tcBorders>
            <w:shd w:val="clear" w:color="auto" w:fill="auto"/>
            <w:noWrap/>
            <w:vAlign w:val="bottom"/>
            <w:hideMark/>
          </w:tcPr>
          <w:p w:rsidR="00391F86" w:rsidRPr="0021237C" w:rsidRDefault="00391F86" w:rsidP="00391F86">
            <w:pPr>
              <w:spacing w:after="0" w:line="240" w:lineRule="auto"/>
              <w:jc w:val="right"/>
              <w:rPr>
                <w:rFonts w:ascii="Calibri" w:eastAsia="Times New Roman" w:hAnsi="Calibri" w:cs="Calibri"/>
                <w:color w:val="000000"/>
              </w:rPr>
            </w:pPr>
          </w:p>
        </w:tc>
        <w:tc>
          <w:tcPr>
            <w:tcW w:w="1053" w:type="dxa"/>
            <w:tcBorders>
              <w:top w:val="nil"/>
              <w:left w:val="nil"/>
              <w:bottom w:val="nil"/>
              <w:right w:val="nil"/>
            </w:tcBorders>
            <w:shd w:val="clear" w:color="auto" w:fill="auto"/>
            <w:noWrap/>
            <w:vAlign w:val="bottom"/>
            <w:hideMark/>
          </w:tcPr>
          <w:p w:rsidR="00391F86" w:rsidRPr="0021237C" w:rsidRDefault="00391F86" w:rsidP="00391F86">
            <w:pPr>
              <w:spacing w:after="0" w:line="240" w:lineRule="auto"/>
              <w:rPr>
                <w:rFonts w:ascii="Times New Roman" w:eastAsia="Times New Roman" w:hAnsi="Times New Roman" w:cs="Times New Roman"/>
                <w:sz w:val="20"/>
                <w:szCs w:val="20"/>
              </w:rPr>
            </w:pPr>
          </w:p>
        </w:tc>
        <w:tc>
          <w:tcPr>
            <w:tcW w:w="1053" w:type="dxa"/>
            <w:tcBorders>
              <w:top w:val="nil"/>
              <w:left w:val="nil"/>
              <w:bottom w:val="nil"/>
              <w:right w:val="nil"/>
            </w:tcBorders>
            <w:shd w:val="clear" w:color="auto" w:fill="auto"/>
            <w:noWrap/>
            <w:vAlign w:val="bottom"/>
            <w:hideMark/>
          </w:tcPr>
          <w:p w:rsidR="00391F86" w:rsidRPr="0021237C" w:rsidRDefault="00391F86" w:rsidP="00391F86">
            <w:pPr>
              <w:spacing w:after="0" w:line="240" w:lineRule="auto"/>
              <w:rPr>
                <w:rFonts w:ascii="Times New Roman" w:eastAsia="Times New Roman" w:hAnsi="Times New Roman" w:cs="Times New Roman"/>
                <w:sz w:val="20"/>
                <w:szCs w:val="20"/>
              </w:rPr>
            </w:pPr>
          </w:p>
        </w:tc>
        <w:tc>
          <w:tcPr>
            <w:tcW w:w="1275" w:type="dxa"/>
            <w:tcBorders>
              <w:top w:val="nil"/>
              <w:left w:val="nil"/>
              <w:bottom w:val="nil"/>
              <w:right w:val="nil"/>
            </w:tcBorders>
            <w:shd w:val="clear" w:color="auto" w:fill="auto"/>
            <w:noWrap/>
            <w:vAlign w:val="bottom"/>
            <w:hideMark/>
          </w:tcPr>
          <w:p w:rsidR="00391F86" w:rsidRPr="0021237C" w:rsidRDefault="00391F86" w:rsidP="00391F86">
            <w:pPr>
              <w:spacing w:after="0" w:line="240" w:lineRule="auto"/>
              <w:rPr>
                <w:rFonts w:ascii="Times New Roman" w:eastAsia="Times New Roman" w:hAnsi="Times New Roman" w:cs="Times New Roman"/>
                <w:sz w:val="20"/>
                <w:szCs w:val="20"/>
              </w:rPr>
            </w:pPr>
          </w:p>
        </w:tc>
        <w:tc>
          <w:tcPr>
            <w:tcW w:w="1053" w:type="dxa"/>
            <w:tcBorders>
              <w:top w:val="nil"/>
              <w:left w:val="nil"/>
              <w:bottom w:val="nil"/>
              <w:right w:val="nil"/>
            </w:tcBorders>
            <w:shd w:val="clear" w:color="auto" w:fill="auto"/>
            <w:noWrap/>
            <w:vAlign w:val="bottom"/>
            <w:hideMark/>
          </w:tcPr>
          <w:p w:rsidR="00391F86" w:rsidRPr="0021237C" w:rsidRDefault="00391F86" w:rsidP="00391F86">
            <w:pPr>
              <w:spacing w:after="0" w:line="240" w:lineRule="auto"/>
              <w:rPr>
                <w:rFonts w:ascii="Times New Roman" w:eastAsia="Times New Roman" w:hAnsi="Times New Roman" w:cs="Times New Roman"/>
                <w:sz w:val="20"/>
                <w:szCs w:val="20"/>
              </w:rPr>
            </w:pPr>
          </w:p>
        </w:tc>
        <w:tc>
          <w:tcPr>
            <w:tcW w:w="1015" w:type="dxa"/>
            <w:tcBorders>
              <w:top w:val="nil"/>
              <w:left w:val="nil"/>
              <w:bottom w:val="nil"/>
              <w:right w:val="nil"/>
            </w:tcBorders>
            <w:shd w:val="clear" w:color="auto" w:fill="auto"/>
            <w:noWrap/>
            <w:vAlign w:val="bottom"/>
            <w:hideMark/>
          </w:tcPr>
          <w:p w:rsidR="00391F86" w:rsidRPr="0021237C" w:rsidRDefault="00391F86" w:rsidP="00391F86">
            <w:pPr>
              <w:spacing w:after="0" w:line="240" w:lineRule="auto"/>
              <w:rPr>
                <w:rFonts w:ascii="Times New Roman" w:eastAsia="Times New Roman" w:hAnsi="Times New Roman" w:cs="Times New Roman"/>
                <w:sz w:val="20"/>
                <w:szCs w:val="20"/>
              </w:rPr>
            </w:pPr>
          </w:p>
        </w:tc>
        <w:tc>
          <w:tcPr>
            <w:tcW w:w="1053" w:type="dxa"/>
            <w:tcBorders>
              <w:top w:val="nil"/>
              <w:left w:val="nil"/>
              <w:bottom w:val="nil"/>
              <w:right w:val="single" w:sz="4" w:space="0" w:color="auto"/>
            </w:tcBorders>
            <w:shd w:val="clear" w:color="auto" w:fill="auto"/>
            <w:noWrap/>
            <w:vAlign w:val="bottom"/>
            <w:hideMark/>
          </w:tcPr>
          <w:p w:rsidR="00391F86" w:rsidRPr="0021237C" w:rsidRDefault="00391F86" w:rsidP="00391F86">
            <w:pPr>
              <w:spacing w:after="0" w:line="240" w:lineRule="auto"/>
              <w:rPr>
                <w:rFonts w:ascii="Calibri" w:eastAsia="Times New Roman" w:hAnsi="Calibri" w:cs="Calibri"/>
                <w:color w:val="000000"/>
              </w:rPr>
            </w:pPr>
            <w:r w:rsidRPr="0021237C">
              <w:rPr>
                <w:rFonts w:ascii="Calibri" w:eastAsia="Times New Roman" w:hAnsi="Calibri" w:cs="Calibri"/>
                <w:color w:val="000000"/>
              </w:rPr>
              <w:t> </w:t>
            </w:r>
          </w:p>
        </w:tc>
      </w:tr>
      <w:tr w:rsidR="00391F86" w:rsidRPr="0021237C" w:rsidTr="00391F86">
        <w:trPr>
          <w:trHeight w:val="290"/>
        </w:trPr>
        <w:tc>
          <w:tcPr>
            <w:tcW w:w="1680" w:type="dxa"/>
            <w:tcBorders>
              <w:top w:val="nil"/>
              <w:left w:val="single" w:sz="4" w:space="0" w:color="auto"/>
              <w:bottom w:val="single" w:sz="8" w:space="0" w:color="auto"/>
              <w:right w:val="nil"/>
            </w:tcBorders>
            <w:shd w:val="clear" w:color="auto" w:fill="auto"/>
            <w:noWrap/>
            <w:vAlign w:val="bottom"/>
            <w:hideMark/>
          </w:tcPr>
          <w:p w:rsidR="00391F86" w:rsidRPr="0021237C" w:rsidRDefault="00391F86" w:rsidP="00391F86">
            <w:pPr>
              <w:spacing w:after="0" w:line="240" w:lineRule="auto"/>
              <w:rPr>
                <w:rFonts w:ascii="Calibri" w:eastAsia="Times New Roman" w:hAnsi="Calibri" w:cs="Calibri"/>
                <w:color w:val="000000"/>
              </w:rPr>
            </w:pPr>
            <w:r w:rsidRPr="0021237C">
              <w:rPr>
                <w:rFonts w:ascii="Calibri" w:eastAsia="Times New Roman" w:hAnsi="Calibri" w:cs="Calibri"/>
                <w:color w:val="000000"/>
              </w:rPr>
              <w:t>Observations</w:t>
            </w:r>
          </w:p>
        </w:tc>
        <w:tc>
          <w:tcPr>
            <w:tcW w:w="1254" w:type="dxa"/>
            <w:tcBorders>
              <w:top w:val="nil"/>
              <w:left w:val="nil"/>
              <w:bottom w:val="single" w:sz="8" w:space="0" w:color="auto"/>
              <w:right w:val="nil"/>
            </w:tcBorders>
            <w:shd w:val="clear" w:color="auto" w:fill="auto"/>
            <w:noWrap/>
            <w:vAlign w:val="bottom"/>
            <w:hideMark/>
          </w:tcPr>
          <w:p w:rsidR="00391F86" w:rsidRPr="0021237C" w:rsidRDefault="00391F86" w:rsidP="00391F86">
            <w:pPr>
              <w:spacing w:after="0" w:line="240" w:lineRule="auto"/>
              <w:jc w:val="right"/>
              <w:rPr>
                <w:rFonts w:ascii="Calibri" w:eastAsia="Times New Roman" w:hAnsi="Calibri" w:cs="Calibri"/>
                <w:color w:val="000000"/>
              </w:rPr>
            </w:pPr>
            <w:r w:rsidRPr="0021237C">
              <w:rPr>
                <w:rFonts w:ascii="Calibri" w:eastAsia="Times New Roman" w:hAnsi="Calibri" w:cs="Calibri"/>
                <w:color w:val="000000"/>
              </w:rPr>
              <w:t>10</w:t>
            </w:r>
          </w:p>
        </w:tc>
        <w:tc>
          <w:tcPr>
            <w:tcW w:w="1163" w:type="dxa"/>
            <w:tcBorders>
              <w:top w:val="nil"/>
              <w:left w:val="nil"/>
              <w:bottom w:val="nil"/>
              <w:right w:val="nil"/>
            </w:tcBorders>
            <w:shd w:val="clear" w:color="auto" w:fill="auto"/>
            <w:noWrap/>
            <w:vAlign w:val="bottom"/>
            <w:hideMark/>
          </w:tcPr>
          <w:p w:rsidR="00391F86" w:rsidRPr="0021237C" w:rsidRDefault="00391F86" w:rsidP="00391F86">
            <w:pPr>
              <w:spacing w:after="0" w:line="240" w:lineRule="auto"/>
              <w:jc w:val="right"/>
              <w:rPr>
                <w:rFonts w:ascii="Calibri" w:eastAsia="Times New Roman" w:hAnsi="Calibri" w:cs="Calibri"/>
                <w:color w:val="000000"/>
              </w:rPr>
            </w:pPr>
          </w:p>
        </w:tc>
        <w:tc>
          <w:tcPr>
            <w:tcW w:w="1053" w:type="dxa"/>
            <w:tcBorders>
              <w:top w:val="nil"/>
              <w:left w:val="nil"/>
              <w:bottom w:val="nil"/>
              <w:right w:val="nil"/>
            </w:tcBorders>
            <w:shd w:val="clear" w:color="auto" w:fill="auto"/>
            <w:noWrap/>
            <w:vAlign w:val="bottom"/>
            <w:hideMark/>
          </w:tcPr>
          <w:p w:rsidR="00391F86" w:rsidRPr="0021237C" w:rsidRDefault="00391F86" w:rsidP="00391F86">
            <w:pPr>
              <w:spacing w:after="0" w:line="240" w:lineRule="auto"/>
              <w:rPr>
                <w:rFonts w:ascii="Times New Roman" w:eastAsia="Times New Roman" w:hAnsi="Times New Roman" w:cs="Times New Roman"/>
                <w:sz w:val="20"/>
                <w:szCs w:val="20"/>
              </w:rPr>
            </w:pPr>
          </w:p>
        </w:tc>
        <w:tc>
          <w:tcPr>
            <w:tcW w:w="1053" w:type="dxa"/>
            <w:tcBorders>
              <w:top w:val="nil"/>
              <w:left w:val="nil"/>
              <w:bottom w:val="nil"/>
              <w:right w:val="nil"/>
            </w:tcBorders>
            <w:shd w:val="clear" w:color="auto" w:fill="auto"/>
            <w:noWrap/>
            <w:vAlign w:val="bottom"/>
            <w:hideMark/>
          </w:tcPr>
          <w:p w:rsidR="00391F86" w:rsidRPr="0021237C" w:rsidRDefault="00391F86" w:rsidP="00391F86">
            <w:pPr>
              <w:spacing w:after="0" w:line="240" w:lineRule="auto"/>
              <w:rPr>
                <w:rFonts w:ascii="Times New Roman" w:eastAsia="Times New Roman" w:hAnsi="Times New Roman" w:cs="Times New Roman"/>
                <w:sz w:val="20"/>
                <w:szCs w:val="20"/>
              </w:rPr>
            </w:pPr>
          </w:p>
        </w:tc>
        <w:tc>
          <w:tcPr>
            <w:tcW w:w="1275" w:type="dxa"/>
            <w:tcBorders>
              <w:top w:val="nil"/>
              <w:left w:val="nil"/>
              <w:bottom w:val="nil"/>
              <w:right w:val="nil"/>
            </w:tcBorders>
            <w:shd w:val="clear" w:color="auto" w:fill="auto"/>
            <w:noWrap/>
            <w:vAlign w:val="bottom"/>
            <w:hideMark/>
          </w:tcPr>
          <w:p w:rsidR="00391F86" w:rsidRPr="0021237C" w:rsidRDefault="00391F86" w:rsidP="00391F86">
            <w:pPr>
              <w:spacing w:after="0" w:line="240" w:lineRule="auto"/>
              <w:rPr>
                <w:rFonts w:ascii="Times New Roman" w:eastAsia="Times New Roman" w:hAnsi="Times New Roman" w:cs="Times New Roman"/>
                <w:sz w:val="20"/>
                <w:szCs w:val="20"/>
              </w:rPr>
            </w:pPr>
          </w:p>
        </w:tc>
        <w:tc>
          <w:tcPr>
            <w:tcW w:w="1053" w:type="dxa"/>
            <w:tcBorders>
              <w:top w:val="nil"/>
              <w:left w:val="nil"/>
              <w:bottom w:val="nil"/>
              <w:right w:val="nil"/>
            </w:tcBorders>
            <w:shd w:val="clear" w:color="auto" w:fill="auto"/>
            <w:noWrap/>
            <w:vAlign w:val="bottom"/>
            <w:hideMark/>
          </w:tcPr>
          <w:p w:rsidR="00391F86" w:rsidRPr="0021237C" w:rsidRDefault="00391F86" w:rsidP="00391F86">
            <w:pPr>
              <w:spacing w:after="0" w:line="240" w:lineRule="auto"/>
              <w:rPr>
                <w:rFonts w:ascii="Times New Roman" w:eastAsia="Times New Roman" w:hAnsi="Times New Roman" w:cs="Times New Roman"/>
                <w:sz w:val="20"/>
                <w:szCs w:val="20"/>
              </w:rPr>
            </w:pPr>
          </w:p>
        </w:tc>
        <w:tc>
          <w:tcPr>
            <w:tcW w:w="1015" w:type="dxa"/>
            <w:tcBorders>
              <w:top w:val="nil"/>
              <w:left w:val="nil"/>
              <w:bottom w:val="nil"/>
              <w:right w:val="nil"/>
            </w:tcBorders>
            <w:shd w:val="clear" w:color="auto" w:fill="auto"/>
            <w:noWrap/>
            <w:vAlign w:val="bottom"/>
            <w:hideMark/>
          </w:tcPr>
          <w:p w:rsidR="00391F86" w:rsidRPr="0021237C" w:rsidRDefault="00391F86" w:rsidP="00391F86">
            <w:pPr>
              <w:spacing w:after="0" w:line="240" w:lineRule="auto"/>
              <w:rPr>
                <w:rFonts w:ascii="Times New Roman" w:eastAsia="Times New Roman" w:hAnsi="Times New Roman" w:cs="Times New Roman"/>
                <w:sz w:val="20"/>
                <w:szCs w:val="20"/>
              </w:rPr>
            </w:pPr>
          </w:p>
        </w:tc>
        <w:tc>
          <w:tcPr>
            <w:tcW w:w="1053" w:type="dxa"/>
            <w:tcBorders>
              <w:top w:val="nil"/>
              <w:left w:val="nil"/>
              <w:bottom w:val="nil"/>
              <w:right w:val="single" w:sz="4" w:space="0" w:color="auto"/>
            </w:tcBorders>
            <w:shd w:val="clear" w:color="auto" w:fill="auto"/>
            <w:noWrap/>
            <w:vAlign w:val="bottom"/>
            <w:hideMark/>
          </w:tcPr>
          <w:p w:rsidR="00391F86" w:rsidRPr="0021237C" w:rsidRDefault="00391F86" w:rsidP="00391F86">
            <w:pPr>
              <w:spacing w:after="0" w:line="240" w:lineRule="auto"/>
              <w:rPr>
                <w:rFonts w:ascii="Calibri" w:eastAsia="Times New Roman" w:hAnsi="Calibri" w:cs="Calibri"/>
                <w:color w:val="000000"/>
              </w:rPr>
            </w:pPr>
            <w:r w:rsidRPr="0021237C">
              <w:rPr>
                <w:rFonts w:ascii="Calibri" w:eastAsia="Times New Roman" w:hAnsi="Calibri" w:cs="Calibri"/>
                <w:color w:val="000000"/>
              </w:rPr>
              <w:t> </w:t>
            </w:r>
          </w:p>
        </w:tc>
      </w:tr>
      <w:tr w:rsidR="00391F86" w:rsidRPr="0021237C" w:rsidTr="00391F86">
        <w:trPr>
          <w:trHeight w:val="275"/>
        </w:trPr>
        <w:tc>
          <w:tcPr>
            <w:tcW w:w="1680" w:type="dxa"/>
            <w:tcBorders>
              <w:top w:val="nil"/>
              <w:left w:val="single" w:sz="4" w:space="0" w:color="auto"/>
              <w:bottom w:val="nil"/>
              <w:right w:val="nil"/>
            </w:tcBorders>
            <w:shd w:val="clear" w:color="auto" w:fill="auto"/>
            <w:noWrap/>
            <w:vAlign w:val="bottom"/>
            <w:hideMark/>
          </w:tcPr>
          <w:p w:rsidR="00391F86" w:rsidRPr="0021237C" w:rsidRDefault="00391F86" w:rsidP="00391F86">
            <w:pPr>
              <w:spacing w:after="0" w:line="240" w:lineRule="auto"/>
              <w:rPr>
                <w:rFonts w:ascii="Calibri" w:eastAsia="Times New Roman" w:hAnsi="Calibri" w:cs="Calibri"/>
                <w:color w:val="000000"/>
              </w:rPr>
            </w:pPr>
            <w:r w:rsidRPr="0021237C">
              <w:rPr>
                <w:rFonts w:ascii="Calibri" w:eastAsia="Times New Roman" w:hAnsi="Calibri" w:cs="Calibri"/>
                <w:color w:val="000000"/>
              </w:rPr>
              <w:t> </w:t>
            </w:r>
          </w:p>
        </w:tc>
        <w:tc>
          <w:tcPr>
            <w:tcW w:w="1254" w:type="dxa"/>
            <w:tcBorders>
              <w:top w:val="nil"/>
              <w:left w:val="nil"/>
              <w:bottom w:val="nil"/>
              <w:right w:val="nil"/>
            </w:tcBorders>
            <w:shd w:val="clear" w:color="auto" w:fill="auto"/>
            <w:noWrap/>
            <w:vAlign w:val="bottom"/>
            <w:hideMark/>
          </w:tcPr>
          <w:p w:rsidR="00391F86" w:rsidRPr="0021237C" w:rsidRDefault="00391F86" w:rsidP="00391F86">
            <w:pPr>
              <w:spacing w:after="0" w:line="240" w:lineRule="auto"/>
              <w:rPr>
                <w:rFonts w:ascii="Calibri" w:eastAsia="Times New Roman" w:hAnsi="Calibri" w:cs="Calibri"/>
                <w:color w:val="000000"/>
              </w:rPr>
            </w:pPr>
          </w:p>
        </w:tc>
        <w:tc>
          <w:tcPr>
            <w:tcW w:w="1163" w:type="dxa"/>
            <w:tcBorders>
              <w:top w:val="nil"/>
              <w:left w:val="nil"/>
              <w:bottom w:val="nil"/>
              <w:right w:val="nil"/>
            </w:tcBorders>
            <w:shd w:val="clear" w:color="auto" w:fill="auto"/>
            <w:noWrap/>
            <w:vAlign w:val="bottom"/>
            <w:hideMark/>
          </w:tcPr>
          <w:p w:rsidR="00391F86" w:rsidRPr="0021237C" w:rsidRDefault="00391F86" w:rsidP="00391F86">
            <w:pPr>
              <w:spacing w:after="0" w:line="240" w:lineRule="auto"/>
              <w:rPr>
                <w:rFonts w:ascii="Times New Roman" w:eastAsia="Times New Roman" w:hAnsi="Times New Roman" w:cs="Times New Roman"/>
                <w:sz w:val="20"/>
                <w:szCs w:val="20"/>
              </w:rPr>
            </w:pPr>
          </w:p>
        </w:tc>
        <w:tc>
          <w:tcPr>
            <w:tcW w:w="1053" w:type="dxa"/>
            <w:tcBorders>
              <w:top w:val="nil"/>
              <w:left w:val="nil"/>
              <w:bottom w:val="nil"/>
              <w:right w:val="nil"/>
            </w:tcBorders>
            <w:shd w:val="clear" w:color="auto" w:fill="auto"/>
            <w:noWrap/>
            <w:vAlign w:val="bottom"/>
            <w:hideMark/>
          </w:tcPr>
          <w:p w:rsidR="00391F86" w:rsidRPr="0021237C" w:rsidRDefault="00391F86" w:rsidP="00391F86">
            <w:pPr>
              <w:spacing w:after="0" w:line="240" w:lineRule="auto"/>
              <w:rPr>
                <w:rFonts w:ascii="Times New Roman" w:eastAsia="Times New Roman" w:hAnsi="Times New Roman" w:cs="Times New Roman"/>
                <w:sz w:val="20"/>
                <w:szCs w:val="20"/>
              </w:rPr>
            </w:pPr>
          </w:p>
        </w:tc>
        <w:tc>
          <w:tcPr>
            <w:tcW w:w="1053" w:type="dxa"/>
            <w:tcBorders>
              <w:top w:val="nil"/>
              <w:left w:val="nil"/>
              <w:bottom w:val="nil"/>
              <w:right w:val="nil"/>
            </w:tcBorders>
            <w:shd w:val="clear" w:color="auto" w:fill="auto"/>
            <w:noWrap/>
            <w:vAlign w:val="bottom"/>
            <w:hideMark/>
          </w:tcPr>
          <w:p w:rsidR="00391F86" w:rsidRPr="0021237C" w:rsidRDefault="00391F86" w:rsidP="00391F86">
            <w:pPr>
              <w:spacing w:after="0" w:line="240" w:lineRule="auto"/>
              <w:rPr>
                <w:rFonts w:ascii="Times New Roman" w:eastAsia="Times New Roman" w:hAnsi="Times New Roman" w:cs="Times New Roman"/>
                <w:sz w:val="20"/>
                <w:szCs w:val="20"/>
              </w:rPr>
            </w:pPr>
          </w:p>
        </w:tc>
        <w:tc>
          <w:tcPr>
            <w:tcW w:w="1275" w:type="dxa"/>
            <w:tcBorders>
              <w:top w:val="nil"/>
              <w:left w:val="nil"/>
              <w:bottom w:val="nil"/>
              <w:right w:val="nil"/>
            </w:tcBorders>
            <w:shd w:val="clear" w:color="auto" w:fill="auto"/>
            <w:noWrap/>
            <w:vAlign w:val="bottom"/>
            <w:hideMark/>
          </w:tcPr>
          <w:p w:rsidR="00391F86" w:rsidRPr="0021237C" w:rsidRDefault="00391F86" w:rsidP="00391F86">
            <w:pPr>
              <w:spacing w:after="0" w:line="240" w:lineRule="auto"/>
              <w:rPr>
                <w:rFonts w:ascii="Times New Roman" w:eastAsia="Times New Roman" w:hAnsi="Times New Roman" w:cs="Times New Roman"/>
                <w:sz w:val="20"/>
                <w:szCs w:val="20"/>
              </w:rPr>
            </w:pPr>
          </w:p>
        </w:tc>
        <w:tc>
          <w:tcPr>
            <w:tcW w:w="1053" w:type="dxa"/>
            <w:tcBorders>
              <w:top w:val="nil"/>
              <w:left w:val="nil"/>
              <w:bottom w:val="nil"/>
              <w:right w:val="nil"/>
            </w:tcBorders>
            <w:shd w:val="clear" w:color="auto" w:fill="auto"/>
            <w:noWrap/>
            <w:vAlign w:val="bottom"/>
            <w:hideMark/>
          </w:tcPr>
          <w:p w:rsidR="00391F86" w:rsidRPr="0021237C" w:rsidRDefault="00391F86" w:rsidP="00391F86">
            <w:pPr>
              <w:spacing w:after="0" w:line="240" w:lineRule="auto"/>
              <w:rPr>
                <w:rFonts w:ascii="Times New Roman" w:eastAsia="Times New Roman" w:hAnsi="Times New Roman" w:cs="Times New Roman"/>
                <w:sz w:val="20"/>
                <w:szCs w:val="20"/>
              </w:rPr>
            </w:pPr>
          </w:p>
        </w:tc>
        <w:tc>
          <w:tcPr>
            <w:tcW w:w="1015" w:type="dxa"/>
            <w:tcBorders>
              <w:top w:val="nil"/>
              <w:left w:val="nil"/>
              <w:bottom w:val="nil"/>
              <w:right w:val="nil"/>
            </w:tcBorders>
            <w:shd w:val="clear" w:color="auto" w:fill="auto"/>
            <w:noWrap/>
            <w:vAlign w:val="bottom"/>
            <w:hideMark/>
          </w:tcPr>
          <w:p w:rsidR="00391F86" w:rsidRPr="0021237C" w:rsidRDefault="00391F86" w:rsidP="00391F86">
            <w:pPr>
              <w:spacing w:after="0" w:line="240" w:lineRule="auto"/>
              <w:rPr>
                <w:rFonts w:ascii="Times New Roman" w:eastAsia="Times New Roman" w:hAnsi="Times New Roman" w:cs="Times New Roman"/>
                <w:sz w:val="20"/>
                <w:szCs w:val="20"/>
              </w:rPr>
            </w:pPr>
          </w:p>
        </w:tc>
        <w:tc>
          <w:tcPr>
            <w:tcW w:w="1053" w:type="dxa"/>
            <w:tcBorders>
              <w:top w:val="nil"/>
              <w:left w:val="nil"/>
              <w:bottom w:val="nil"/>
              <w:right w:val="single" w:sz="4" w:space="0" w:color="auto"/>
            </w:tcBorders>
            <w:shd w:val="clear" w:color="auto" w:fill="auto"/>
            <w:noWrap/>
            <w:vAlign w:val="bottom"/>
            <w:hideMark/>
          </w:tcPr>
          <w:p w:rsidR="00391F86" w:rsidRPr="0021237C" w:rsidRDefault="00391F86" w:rsidP="00391F86">
            <w:pPr>
              <w:spacing w:after="0" w:line="240" w:lineRule="auto"/>
              <w:rPr>
                <w:rFonts w:ascii="Calibri" w:eastAsia="Times New Roman" w:hAnsi="Calibri" w:cs="Calibri"/>
                <w:color w:val="000000"/>
              </w:rPr>
            </w:pPr>
            <w:r w:rsidRPr="0021237C">
              <w:rPr>
                <w:rFonts w:ascii="Calibri" w:eastAsia="Times New Roman" w:hAnsi="Calibri" w:cs="Calibri"/>
                <w:color w:val="000000"/>
              </w:rPr>
              <w:t> </w:t>
            </w:r>
          </w:p>
        </w:tc>
      </w:tr>
      <w:tr w:rsidR="00391F86" w:rsidRPr="0021237C" w:rsidTr="00391F86">
        <w:trPr>
          <w:trHeight w:val="290"/>
        </w:trPr>
        <w:tc>
          <w:tcPr>
            <w:tcW w:w="1680" w:type="dxa"/>
            <w:tcBorders>
              <w:top w:val="nil"/>
              <w:left w:val="single" w:sz="4" w:space="0" w:color="auto"/>
              <w:bottom w:val="nil"/>
              <w:right w:val="nil"/>
            </w:tcBorders>
            <w:shd w:val="clear" w:color="auto" w:fill="auto"/>
            <w:noWrap/>
            <w:vAlign w:val="bottom"/>
            <w:hideMark/>
          </w:tcPr>
          <w:p w:rsidR="00391F86" w:rsidRPr="0021237C" w:rsidRDefault="00391F86" w:rsidP="00391F86">
            <w:pPr>
              <w:spacing w:after="0" w:line="240" w:lineRule="auto"/>
              <w:rPr>
                <w:rFonts w:ascii="Calibri" w:eastAsia="Times New Roman" w:hAnsi="Calibri" w:cs="Calibri"/>
                <w:color w:val="000000"/>
              </w:rPr>
            </w:pPr>
            <w:r w:rsidRPr="0021237C">
              <w:rPr>
                <w:rFonts w:ascii="Calibri" w:eastAsia="Times New Roman" w:hAnsi="Calibri" w:cs="Calibri"/>
                <w:color w:val="000000"/>
              </w:rPr>
              <w:t>ANOVA</w:t>
            </w:r>
          </w:p>
        </w:tc>
        <w:tc>
          <w:tcPr>
            <w:tcW w:w="1254" w:type="dxa"/>
            <w:tcBorders>
              <w:top w:val="nil"/>
              <w:left w:val="nil"/>
              <w:bottom w:val="nil"/>
              <w:right w:val="nil"/>
            </w:tcBorders>
            <w:shd w:val="clear" w:color="auto" w:fill="auto"/>
            <w:noWrap/>
            <w:vAlign w:val="bottom"/>
            <w:hideMark/>
          </w:tcPr>
          <w:p w:rsidR="00391F86" w:rsidRPr="0021237C" w:rsidRDefault="00391F86" w:rsidP="00391F86">
            <w:pPr>
              <w:spacing w:after="0" w:line="240" w:lineRule="auto"/>
              <w:rPr>
                <w:rFonts w:ascii="Calibri" w:eastAsia="Times New Roman" w:hAnsi="Calibri" w:cs="Calibri"/>
                <w:color w:val="000000"/>
              </w:rPr>
            </w:pPr>
          </w:p>
        </w:tc>
        <w:tc>
          <w:tcPr>
            <w:tcW w:w="1163" w:type="dxa"/>
            <w:tcBorders>
              <w:top w:val="nil"/>
              <w:left w:val="nil"/>
              <w:bottom w:val="nil"/>
              <w:right w:val="nil"/>
            </w:tcBorders>
            <w:shd w:val="clear" w:color="auto" w:fill="auto"/>
            <w:noWrap/>
            <w:vAlign w:val="bottom"/>
            <w:hideMark/>
          </w:tcPr>
          <w:p w:rsidR="00391F86" w:rsidRPr="0021237C" w:rsidRDefault="00391F86" w:rsidP="00391F86">
            <w:pPr>
              <w:spacing w:after="0" w:line="240" w:lineRule="auto"/>
              <w:rPr>
                <w:rFonts w:ascii="Times New Roman" w:eastAsia="Times New Roman" w:hAnsi="Times New Roman" w:cs="Times New Roman"/>
                <w:sz w:val="20"/>
                <w:szCs w:val="20"/>
              </w:rPr>
            </w:pPr>
          </w:p>
        </w:tc>
        <w:tc>
          <w:tcPr>
            <w:tcW w:w="1053" w:type="dxa"/>
            <w:tcBorders>
              <w:top w:val="nil"/>
              <w:left w:val="nil"/>
              <w:bottom w:val="nil"/>
              <w:right w:val="nil"/>
            </w:tcBorders>
            <w:shd w:val="clear" w:color="auto" w:fill="auto"/>
            <w:noWrap/>
            <w:vAlign w:val="bottom"/>
            <w:hideMark/>
          </w:tcPr>
          <w:p w:rsidR="00391F86" w:rsidRPr="0021237C" w:rsidRDefault="00391F86" w:rsidP="00391F86">
            <w:pPr>
              <w:spacing w:after="0" w:line="240" w:lineRule="auto"/>
              <w:rPr>
                <w:rFonts w:ascii="Times New Roman" w:eastAsia="Times New Roman" w:hAnsi="Times New Roman" w:cs="Times New Roman"/>
                <w:sz w:val="20"/>
                <w:szCs w:val="20"/>
              </w:rPr>
            </w:pPr>
          </w:p>
        </w:tc>
        <w:tc>
          <w:tcPr>
            <w:tcW w:w="1053" w:type="dxa"/>
            <w:tcBorders>
              <w:top w:val="nil"/>
              <w:left w:val="nil"/>
              <w:bottom w:val="nil"/>
              <w:right w:val="nil"/>
            </w:tcBorders>
            <w:shd w:val="clear" w:color="auto" w:fill="auto"/>
            <w:noWrap/>
            <w:vAlign w:val="bottom"/>
            <w:hideMark/>
          </w:tcPr>
          <w:p w:rsidR="00391F86" w:rsidRPr="0021237C" w:rsidRDefault="00391F86" w:rsidP="00391F86">
            <w:pPr>
              <w:spacing w:after="0" w:line="240" w:lineRule="auto"/>
              <w:rPr>
                <w:rFonts w:ascii="Times New Roman" w:eastAsia="Times New Roman" w:hAnsi="Times New Roman" w:cs="Times New Roman"/>
                <w:sz w:val="20"/>
                <w:szCs w:val="20"/>
              </w:rPr>
            </w:pPr>
          </w:p>
        </w:tc>
        <w:tc>
          <w:tcPr>
            <w:tcW w:w="1275" w:type="dxa"/>
            <w:tcBorders>
              <w:top w:val="nil"/>
              <w:left w:val="nil"/>
              <w:bottom w:val="nil"/>
              <w:right w:val="nil"/>
            </w:tcBorders>
            <w:shd w:val="clear" w:color="auto" w:fill="auto"/>
            <w:noWrap/>
            <w:vAlign w:val="bottom"/>
            <w:hideMark/>
          </w:tcPr>
          <w:p w:rsidR="00391F86" w:rsidRPr="0021237C" w:rsidRDefault="00391F86" w:rsidP="00391F86">
            <w:pPr>
              <w:spacing w:after="0" w:line="240" w:lineRule="auto"/>
              <w:rPr>
                <w:rFonts w:ascii="Times New Roman" w:eastAsia="Times New Roman" w:hAnsi="Times New Roman" w:cs="Times New Roman"/>
                <w:sz w:val="20"/>
                <w:szCs w:val="20"/>
              </w:rPr>
            </w:pPr>
          </w:p>
        </w:tc>
        <w:tc>
          <w:tcPr>
            <w:tcW w:w="1053" w:type="dxa"/>
            <w:tcBorders>
              <w:top w:val="nil"/>
              <w:left w:val="nil"/>
              <w:bottom w:val="nil"/>
              <w:right w:val="nil"/>
            </w:tcBorders>
            <w:shd w:val="clear" w:color="auto" w:fill="auto"/>
            <w:noWrap/>
            <w:vAlign w:val="bottom"/>
            <w:hideMark/>
          </w:tcPr>
          <w:p w:rsidR="00391F86" w:rsidRPr="0021237C" w:rsidRDefault="00391F86" w:rsidP="00391F86">
            <w:pPr>
              <w:spacing w:after="0" w:line="240" w:lineRule="auto"/>
              <w:rPr>
                <w:rFonts w:ascii="Times New Roman" w:eastAsia="Times New Roman" w:hAnsi="Times New Roman" w:cs="Times New Roman"/>
                <w:sz w:val="20"/>
                <w:szCs w:val="20"/>
              </w:rPr>
            </w:pPr>
          </w:p>
        </w:tc>
        <w:tc>
          <w:tcPr>
            <w:tcW w:w="1015" w:type="dxa"/>
            <w:tcBorders>
              <w:top w:val="nil"/>
              <w:left w:val="nil"/>
              <w:bottom w:val="nil"/>
              <w:right w:val="nil"/>
            </w:tcBorders>
            <w:shd w:val="clear" w:color="auto" w:fill="auto"/>
            <w:noWrap/>
            <w:vAlign w:val="bottom"/>
            <w:hideMark/>
          </w:tcPr>
          <w:p w:rsidR="00391F86" w:rsidRPr="0021237C" w:rsidRDefault="00391F86" w:rsidP="00391F86">
            <w:pPr>
              <w:spacing w:after="0" w:line="240" w:lineRule="auto"/>
              <w:rPr>
                <w:rFonts w:ascii="Times New Roman" w:eastAsia="Times New Roman" w:hAnsi="Times New Roman" w:cs="Times New Roman"/>
                <w:sz w:val="20"/>
                <w:szCs w:val="20"/>
              </w:rPr>
            </w:pPr>
          </w:p>
        </w:tc>
        <w:tc>
          <w:tcPr>
            <w:tcW w:w="1053" w:type="dxa"/>
            <w:tcBorders>
              <w:top w:val="nil"/>
              <w:left w:val="nil"/>
              <w:bottom w:val="nil"/>
              <w:right w:val="single" w:sz="4" w:space="0" w:color="auto"/>
            </w:tcBorders>
            <w:shd w:val="clear" w:color="auto" w:fill="auto"/>
            <w:noWrap/>
            <w:vAlign w:val="bottom"/>
            <w:hideMark/>
          </w:tcPr>
          <w:p w:rsidR="00391F86" w:rsidRPr="0021237C" w:rsidRDefault="00391F86" w:rsidP="00391F86">
            <w:pPr>
              <w:spacing w:after="0" w:line="240" w:lineRule="auto"/>
              <w:rPr>
                <w:rFonts w:ascii="Calibri" w:eastAsia="Times New Roman" w:hAnsi="Calibri" w:cs="Calibri"/>
                <w:color w:val="000000"/>
              </w:rPr>
            </w:pPr>
            <w:r w:rsidRPr="0021237C">
              <w:rPr>
                <w:rFonts w:ascii="Calibri" w:eastAsia="Times New Roman" w:hAnsi="Calibri" w:cs="Calibri"/>
                <w:color w:val="000000"/>
              </w:rPr>
              <w:t> </w:t>
            </w:r>
          </w:p>
        </w:tc>
      </w:tr>
      <w:tr w:rsidR="00391F86" w:rsidRPr="0021237C" w:rsidTr="00391F86">
        <w:trPr>
          <w:trHeight w:val="275"/>
        </w:trPr>
        <w:tc>
          <w:tcPr>
            <w:tcW w:w="1680" w:type="dxa"/>
            <w:tcBorders>
              <w:top w:val="single" w:sz="8" w:space="0" w:color="auto"/>
              <w:left w:val="single" w:sz="4" w:space="0" w:color="auto"/>
              <w:bottom w:val="single" w:sz="4" w:space="0" w:color="auto"/>
              <w:right w:val="nil"/>
            </w:tcBorders>
            <w:shd w:val="clear" w:color="auto" w:fill="auto"/>
            <w:noWrap/>
            <w:vAlign w:val="bottom"/>
            <w:hideMark/>
          </w:tcPr>
          <w:p w:rsidR="00391F86" w:rsidRPr="0021237C" w:rsidRDefault="00391F86" w:rsidP="00391F86">
            <w:pPr>
              <w:spacing w:after="0" w:line="240" w:lineRule="auto"/>
              <w:jc w:val="center"/>
              <w:rPr>
                <w:rFonts w:ascii="Calibri" w:eastAsia="Times New Roman" w:hAnsi="Calibri" w:cs="Calibri"/>
                <w:i/>
                <w:iCs/>
                <w:color w:val="000000"/>
              </w:rPr>
            </w:pPr>
            <w:r w:rsidRPr="0021237C">
              <w:rPr>
                <w:rFonts w:ascii="Calibri" w:eastAsia="Times New Roman" w:hAnsi="Calibri" w:cs="Calibri"/>
                <w:i/>
                <w:iCs/>
                <w:color w:val="000000"/>
              </w:rPr>
              <w:t> </w:t>
            </w:r>
          </w:p>
        </w:tc>
        <w:tc>
          <w:tcPr>
            <w:tcW w:w="1254" w:type="dxa"/>
            <w:tcBorders>
              <w:top w:val="single" w:sz="8" w:space="0" w:color="auto"/>
              <w:left w:val="nil"/>
              <w:bottom w:val="single" w:sz="4" w:space="0" w:color="auto"/>
              <w:right w:val="nil"/>
            </w:tcBorders>
            <w:shd w:val="clear" w:color="auto" w:fill="auto"/>
            <w:noWrap/>
            <w:vAlign w:val="bottom"/>
            <w:hideMark/>
          </w:tcPr>
          <w:p w:rsidR="00391F86" w:rsidRPr="0021237C" w:rsidRDefault="00391F86" w:rsidP="00391F86">
            <w:pPr>
              <w:spacing w:after="0" w:line="240" w:lineRule="auto"/>
              <w:jc w:val="center"/>
              <w:rPr>
                <w:rFonts w:ascii="Calibri" w:eastAsia="Times New Roman" w:hAnsi="Calibri" w:cs="Calibri"/>
                <w:i/>
                <w:iCs/>
                <w:color w:val="000000"/>
              </w:rPr>
            </w:pPr>
            <w:proofErr w:type="spellStart"/>
            <w:r w:rsidRPr="0021237C">
              <w:rPr>
                <w:rFonts w:ascii="Calibri" w:eastAsia="Times New Roman" w:hAnsi="Calibri" w:cs="Calibri"/>
                <w:i/>
                <w:iCs/>
                <w:color w:val="000000"/>
              </w:rPr>
              <w:t>df</w:t>
            </w:r>
            <w:proofErr w:type="spellEnd"/>
          </w:p>
        </w:tc>
        <w:tc>
          <w:tcPr>
            <w:tcW w:w="1163" w:type="dxa"/>
            <w:tcBorders>
              <w:top w:val="single" w:sz="8" w:space="0" w:color="auto"/>
              <w:left w:val="nil"/>
              <w:bottom w:val="single" w:sz="4" w:space="0" w:color="auto"/>
              <w:right w:val="nil"/>
            </w:tcBorders>
            <w:shd w:val="clear" w:color="auto" w:fill="auto"/>
            <w:noWrap/>
            <w:vAlign w:val="bottom"/>
            <w:hideMark/>
          </w:tcPr>
          <w:p w:rsidR="00391F86" w:rsidRPr="0021237C" w:rsidRDefault="00391F86" w:rsidP="00391F86">
            <w:pPr>
              <w:spacing w:after="0" w:line="240" w:lineRule="auto"/>
              <w:jc w:val="center"/>
              <w:rPr>
                <w:rFonts w:ascii="Calibri" w:eastAsia="Times New Roman" w:hAnsi="Calibri" w:cs="Calibri"/>
                <w:i/>
                <w:iCs/>
                <w:color w:val="000000"/>
              </w:rPr>
            </w:pPr>
            <w:r w:rsidRPr="0021237C">
              <w:rPr>
                <w:rFonts w:ascii="Calibri" w:eastAsia="Times New Roman" w:hAnsi="Calibri" w:cs="Calibri"/>
                <w:i/>
                <w:iCs/>
                <w:color w:val="000000"/>
              </w:rPr>
              <w:t>SS</w:t>
            </w:r>
          </w:p>
        </w:tc>
        <w:tc>
          <w:tcPr>
            <w:tcW w:w="1053" w:type="dxa"/>
            <w:tcBorders>
              <w:top w:val="single" w:sz="8" w:space="0" w:color="auto"/>
              <w:left w:val="nil"/>
              <w:bottom w:val="single" w:sz="4" w:space="0" w:color="auto"/>
              <w:right w:val="nil"/>
            </w:tcBorders>
            <w:shd w:val="clear" w:color="auto" w:fill="auto"/>
            <w:noWrap/>
            <w:vAlign w:val="bottom"/>
            <w:hideMark/>
          </w:tcPr>
          <w:p w:rsidR="00391F86" w:rsidRPr="0021237C" w:rsidRDefault="00391F86" w:rsidP="00391F86">
            <w:pPr>
              <w:spacing w:after="0" w:line="240" w:lineRule="auto"/>
              <w:jc w:val="center"/>
              <w:rPr>
                <w:rFonts w:ascii="Calibri" w:eastAsia="Times New Roman" w:hAnsi="Calibri" w:cs="Calibri"/>
                <w:i/>
                <w:iCs/>
                <w:color w:val="000000"/>
              </w:rPr>
            </w:pPr>
            <w:r w:rsidRPr="0021237C">
              <w:rPr>
                <w:rFonts w:ascii="Calibri" w:eastAsia="Times New Roman" w:hAnsi="Calibri" w:cs="Calibri"/>
                <w:i/>
                <w:iCs/>
                <w:color w:val="000000"/>
              </w:rPr>
              <w:t>MS</w:t>
            </w:r>
          </w:p>
        </w:tc>
        <w:tc>
          <w:tcPr>
            <w:tcW w:w="1053" w:type="dxa"/>
            <w:tcBorders>
              <w:top w:val="single" w:sz="8" w:space="0" w:color="auto"/>
              <w:left w:val="nil"/>
              <w:bottom w:val="single" w:sz="4" w:space="0" w:color="auto"/>
              <w:right w:val="nil"/>
            </w:tcBorders>
            <w:shd w:val="clear" w:color="auto" w:fill="auto"/>
            <w:noWrap/>
            <w:vAlign w:val="bottom"/>
            <w:hideMark/>
          </w:tcPr>
          <w:p w:rsidR="00391F86" w:rsidRPr="0021237C" w:rsidRDefault="00391F86" w:rsidP="00391F86">
            <w:pPr>
              <w:spacing w:after="0" w:line="240" w:lineRule="auto"/>
              <w:jc w:val="center"/>
              <w:rPr>
                <w:rFonts w:ascii="Calibri" w:eastAsia="Times New Roman" w:hAnsi="Calibri" w:cs="Calibri"/>
                <w:i/>
                <w:iCs/>
                <w:color w:val="000000"/>
              </w:rPr>
            </w:pPr>
            <w:r w:rsidRPr="0021237C">
              <w:rPr>
                <w:rFonts w:ascii="Calibri" w:eastAsia="Times New Roman" w:hAnsi="Calibri" w:cs="Calibri"/>
                <w:i/>
                <w:iCs/>
                <w:color w:val="000000"/>
              </w:rPr>
              <w:t>F</w:t>
            </w:r>
          </w:p>
        </w:tc>
        <w:tc>
          <w:tcPr>
            <w:tcW w:w="1275" w:type="dxa"/>
            <w:tcBorders>
              <w:top w:val="single" w:sz="8" w:space="0" w:color="auto"/>
              <w:left w:val="nil"/>
              <w:bottom w:val="single" w:sz="4" w:space="0" w:color="auto"/>
              <w:right w:val="nil"/>
            </w:tcBorders>
            <w:shd w:val="clear" w:color="auto" w:fill="auto"/>
            <w:noWrap/>
            <w:vAlign w:val="bottom"/>
            <w:hideMark/>
          </w:tcPr>
          <w:p w:rsidR="00391F86" w:rsidRPr="0021237C" w:rsidRDefault="00391F86" w:rsidP="00391F86">
            <w:pPr>
              <w:spacing w:after="0" w:line="240" w:lineRule="auto"/>
              <w:jc w:val="center"/>
              <w:rPr>
                <w:rFonts w:ascii="Calibri" w:eastAsia="Times New Roman" w:hAnsi="Calibri" w:cs="Calibri"/>
                <w:i/>
                <w:iCs/>
                <w:color w:val="000000"/>
              </w:rPr>
            </w:pPr>
            <w:r w:rsidRPr="0021237C">
              <w:rPr>
                <w:rFonts w:ascii="Calibri" w:eastAsia="Times New Roman" w:hAnsi="Calibri" w:cs="Calibri"/>
                <w:i/>
                <w:iCs/>
                <w:color w:val="000000"/>
              </w:rPr>
              <w:t>Significance F</w:t>
            </w:r>
          </w:p>
        </w:tc>
        <w:tc>
          <w:tcPr>
            <w:tcW w:w="1053" w:type="dxa"/>
            <w:tcBorders>
              <w:top w:val="nil"/>
              <w:left w:val="nil"/>
              <w:bottom w:val="nil"/>
              <w:right w:val="nil"/>
            </w:tcBorders>
            <w:shd w:val="clear" w:color="auto" w:fill="auto"/>
            <w:noWrap/>
            <w:vAlign w:val="bottom"/>
            <w:hideMark/>
          </w:tcPr>
          <w:p w:rsidR="00391F86" w:rsidRPr="0021237C" w:rsidRDefault="00391F86" w:rsidP="00391F86">
            <w:pPr>
              <w:spacing w:after="0" w:line="240" w:lineRule="auto"/>
              <w:jc w:val="center"/>
              <w:rPr>
                <w:rFonts w:ascii="Calibri" w:eastAsia="Times New Roman" w:hAnsi="Calibri" w:cs="Calibri"/>
                <w:i/>
                <w:iCs/>
                <w:color w:val="000000"/>
              </w:rPr>
            </w:pPr>
          </w:p>
        </w:tc>
        <w:tc>
          <w:tcPr>
            <w:tcW w:w="1015" w:type="dxa"/>
            <w:tcBorders>
              <w:top w:val="nil"/>
              <w:left w:val="nil"/>
              <w:bottom w:val="nil"/>
              <w:right w:val="nil"/>
            </w:tcBorders>
            <w:shd w:val="clear" w:color="auto" w:fill="auto"/>
            <w:noWrap/>
            <w:vAlign w:val="bottom"/>
            <w:hideMark/>
          </w:tcPr>
          <w:p w:rsidR="00391F86" w:rsidRPr="0021237C" w:rsidRDefault="00391F86" w:rsidP="00391F86">
            <w:pPr>
              <w:spacing w:after="0" w:line="240" w:lineRule="auto"/>
              <w:rPr>
                <w:rFonts w:ascii="Times New Roman" w:eastAsia="Times New Roman" w:hAnsi="Times New Roman" w:cs="Times New Roman"/>
                <w:sz w:val="20"/>
                <w:szCs w:val="20"/>
              </w:rPr>
            </w:pPr>
          </w:p>
        </w:tc>
        <w:tc>
          <w:tcPr>
            <w:tcW w:w="1053" w:type="dxa"/>
            <w:tcBorders>
              <w:top w:val="nil"/>
              <w:left w:val="nil"/>
              <w:bottom w:val="nil"/>
              <w:right w:val="single" w:sz="4" w:space="0" w:color="auto"/>
            </w:tcBorders>
            <w:shd w:val="clear" w:color="auto" w:fill="auto"/>
            <w:noWrap/>
            <w:vAlign w:val="bottom"/>
            <w:hideMark/>
          </w:tcPr>
          <w:p w:rsidR="00391F86" w:rsidRPr="0021237C" w:rsidRDefault="00391F86" w:rsidP="00391F86">
            <w:pPr>
              <w:spacing w:after="0" w:line="240" w:lineRule="auto"/>
              <w:rPr>
                <w:rFonts w:ascii="Calibri" w:eastAsia="Times New Roman" w:hAnsi="Calibri" w:cs="Calibri"/>
                <w:color w:val="000000"/>
              </w:rPr>
            </w:pPr>
            <w:r w:rsidRPr="0021237C">
              <w:rPr>
                <w:rFonts w:ascii="Calibri" w:eastAsia="Times New Roman" w:hAnsi="Calibri" w:cs="Calibri"/>
                <w:color w:val="000000"/>
              </w:rPr>
              <w:t> </w:t>
            </w:r>
          </w:p>
        </w:tc>
      </w:tr>
      <w:tr w:rsidR="00391F86" w:rsidRPr="0021237C" w:rsidTr="00391F86">
        <w:trPr>
          <w:trHeight w:val="275"/>
        </w:trPr>
        <w:tc>
          <w:tcPr>
            <w:tcW w:w="1680" w:type="dxa"/>
            <w:tcBorders>
              <w:top w:val="nil"/>
              <w:left w:val="single" w:sz="4" w:space="0" w:color="auto"/>
              <w:bottom w:val="nil"/>
              <w:right w:val="nil"/>
            </w:tcBorders>
            <w:shd w:val="clear" w:color="auto" w:fill="auto"/>
            <w:noWrap/>
            <w:vAlign w:val="bottom"/>
            <w:hideMark/>
          </w:tcPr>
          <w:p w:rsidR="00391F86" w:rsidRPr="0021237C" w:rsidRDefault="00391F86" w:rsidP="00391F86">
            <w:pPr>
              <w:spacing w:after="0" w:line="240" w:lineRule="auto"/>
              <w:rPr>
                <w:rFonts w:ascii="Calibri" w:eastAsia="Times New Roman" w:hAnsi="Calibri" w:cs="Calibri"/>
                <w:color w:val="000000"/>
              </w:rPr>
            </w:pPr>
            <w:r w:rsidRPr="0021237C">
              <w:rPr>
                <w:rFonts w:ascii="Calibri" w:eastAsia="Times New Roman" w:hAnsi="Calibri" w:cs="Calibri"/>
                <w:color w:val="000000"/>
              </w:rPr>
              <w:t>Regression</w:t>
            </w:r>
          </w:p>
        </w:tc>
        <w:tc>
          <w:tcPr>
            <w:tcW w:w="1254" w:type="dxa"/>
            <w:tcBorders>
              <w:top w:val="nil"/>
              <w:left w:val="nil"/>
              <w:bottom w:val="nil"/>
              <w:right w:val="nil"/>
            </w:tcBorders>
            <w:shd w:val="clear" w:color="auto" w:fill="auto"/>
            <w:noWrap/>
            <w:vAlign w:val="bottom"/>
            <w:hideMark/>
          </w:tcPr>
          <w:p w:rsidR="00391F86" w:rsidRPr="0021237C" w:rsidRDefault="00391F86" w:rsidP="00391F86">
            <w:pPr>
              <w:spacing w:after="0" w:line="240" w:lineRule="auto"/>
              <w:jc w:val="right"/>
              <w:rPr>
                <w:rFonts w:ascii="Calibri" w:eastAsia="Times New Roman" w:hAnsi="Calibri" w:cs="Calibri"/>
                <w:color w:val="000000"/>
              </w:rPr>
            </w:pPr>
            <w:r w:rsidRPr="0021237C">
              <w:rPr>
                <w:rFonts w:ascii="Calibri" w:eastAsia="Times New Roman" w:hAnsi="Calibri" w:cs="Calibri"/>
                <w:color w:val="000000"/>
              </w:rPr>
              <w:t>4</w:t>
            </w:r>
          </w:p>
        </w:tc>
        <w:tc>
          <w:tcPr>
            <w:tcW w:w="1163" w:type="dxa"/>
            <w:tcBorders>
              <w:top w:val="nil"/>
              <w:left w:val="nil"/>
              <w:bottom w:val="nil"/>
              <w:right w:val="nil"/>
            </w:tcBorders>
            <w:shd w:val="clear" w:color="auto" w:fill="auto"/>
            <w:noWrap/>
            <w:vAlign w:val="bottom"/>
            <w:hideMark/>
          </w:tcPr>
          <w:p w:rsidR="00391F86" w:rsidRPr="0021237C" w:rsidRDefault="00391F86" w:rsidP="00391F86">
            <w:pPr>
              <w:spacing w:after="0" w:line="240" w:lineRule="auto"/>
              <w:jc w:val="right"/>
              <w:rPr>
                <w:rFonts w:ascii="Calibri" w:eastAsia="Times New Roman" w:hAnsi="Calibri" w:cs="Calibri"/>
                <w:color w:val="000000"/>
              </w:rPr>
            </w:pPr>
            <w:r w:rsidRPr="0021237C">
              <w:rPr>
                <w:rFonts w:ascii="Calibri" w:eastAsia="Times New Roman" w:hAnsi="Calibri" w:cs="Calibri"/>
                <w:color w:val="000000"/>
              </w:rPr>
              <w:t>0.000573</w:t>
            </w:r>
          </w:p>
        </w:tc>
        <w:tc>
          <w:tcPr>
            <w:tcW w:w="1053" w:type="dxa"/>
            <w:tcBorders>
              <w:top w:val="nil"/>
              <w:left w:val="nil"/>
              <w:bottom w:val="nil"/>
              <w:right w:val="nil"/>
            </w:tcBorders>
            <w:shd w:val="clear" w:color="auto" w:fill="auto"/>
            <w:noWrap/>
            <w:vAlign w:val="bottom"/>
            <w:hideMark/>
          </w:tcPr>
          <w:p w:rsidR="00391F86" w:rsidRPr="0021237C" w:rsidRDefault="00391F86" w:rsidP="00391F86">
            <w:pPr>
              <w:spacing w:after="0" w:line="240" w:lineRule="auto"/>
              <w:jc w:val="right"/>
              <w:rPr>
                <w:rFonts w:ascii="Calibri" w:eastAsia="Times New Roman" w:hAnsi="Calibri" w:cs="Calibri"/>
                <w:color w:val="000000"/>
              </w:rPr>
            </w:pPr>
            <w:r w:rsidRPr="0021237C">
              <w:rPr>
                <w:rFonts w:ascii="Calibri" w:eastAsia="Times New Roman" w:hAnsi="Calibri" w:cs="Calibri"/>
                <w:color w:val="000000"/>
              </w:rPr>
              <w:t>0.000143</w:t>
            </w:r>
          </w:p>
        </w:tc>
        <w:tc>
          <w:tcPr>
            <w:tcW w:w="1053" w:type="dxa"/>
            <w:tcBorders>
              <w:top w:val="nil"/>
              <w:left w:val="nil"/>
              <w:bottom w:val="nil"/>
              <w:right w:val="nil"/>
            </w:tcBorders>
            <w:shd w:val="clear" w:color="auto" w:fill="auto"/>
            <w:noWrap/>
            <w:vAlign w:val="bottom"/>
            <w:hideMark/>
          </w:tcPr>
          <w:p w:rsidR="00391F86" w:rsidRPr="0021237C" w:rsidRDefault="00391F86" w:rsidP="00391F86">
            <w:pPr>
              <w:spacing w:after="0" w:line="240" w:lineRule="auto"/>
              <w:jc w:val="right"/>
              <w:rPr>
                <w:rFonts w:ascii="Calibri" w:eastAsia="Times New Roman" w:hAnsi="Calibri" w:cs="Calibri"/>
                <w:color w:val="000000"/>
              </w:rPr>
            </w:pPr>
            <w:r w:rsidRPr="0021237C">
              <w:rPr>
                <w:rFonts w:ascii="Calibri" w:eastAsia="Times New Roman" w:hAnsi="Calibri" w:cs="Calibri"/>
                <w:color w:val="000000"/>
              </w:rPr>
              <w:t>0.460049</w:t>
            </w:r>
          </w:p>
        </w:tc>
        <w:tc>
          <w:tcPr>
            <w:tcW w:w="1275" w:type="dxa"/>
            <w:tcBorders>
              <w:top w:val="nil"/>
              <w:left w:val="nil"/>
              <w:bottom w:val="nil"/>
              <w:right w:val="nil"/>
            </w:tcBorders>
            <w:shd w:val="clear" w:color="auto" w:fill="auto"/>
            <w:noWrap/>
            <w:vAlign w:val="bottom"/>
            <w:hideMark/>
          </w:tcPr>
          <w:p w:rsidR="00391F86" w:rsidRPr="0021237C" w:rsidRDefault="00391F86" w:rsidP="00391F86">
            <w:pPr>
              <w:spacing w:after="0" w:line="240" w:lineRule="auto"/>
              <w:jc w:val="right"/>
              <w:rPr>
                <w:rFonts w:ascii="Calibri" w:eastAsia="Times New Roman" w:hAnsi="Calibri" w:cs="Calibri"/>
                <w:color w:val="000000"/>
              </w:rPr>
            </w:pPr>
            <w:r w:rsidRPr="0021237C">
              <w:rPr>
                <w:rFonts w:ascii="Calibri" w:eastAsia="Times New Roman" w:hAnsi="Calibri" w:cs="Calibri"/>
                <w:color w:val="000000"/>
              </w:rPr>
              <w:t>0.764077</w:t>
            </w:r>
          </w:p>
        </w:tc>
        <w:tc>
          <w:tcPr>
            <w:tcW w:w="1053" w:type="dxa"/>
            <w:tcBorders>
              <w:top w:val="nil"/>
              <w:left w:val="nil"/>
              <w:bottom w:val="nil"/>
              <w:right w:val="nil"/>
            </w:tcBorders>
            <w:shd w:val="clear" w:color="auto" w:fill="auto"/>
            <w:noWrap/>
            <w:vAlign w:val="bottom"/>
            <w:hideMark/>
          </w:tcPr>
          <w:p w:rsidR="00391F86" w:rsidRPr="0021237C" w:rsidRDefault="00391F86" w:rsidP="00391F86">
            <w:pPr>
              <w:spacing w:after="0" w:line="240" w:lineRule="auto"/>
              <w:jc w:val="right"/>
              <w:rPr>
                <w:rFonts w:ascii="Calibri" w:eastAsia="Times New Roman" w:hAnsi="Calibri" w:cs="Calibri"/>
                <w:color w:val="000000"/>
              </w:rPr>
            </w:pPr>
          </w:p>
        </w:tc>
        <w:tc>
          <w:tcPr>
            <w:tcW w:w="1015" w:type="dxa"/>
            <w:tcBorders>
              <w:top w:val="nil"/>
              <w:left w:val="nil"/>
              <w:bottom w:val="nil"/>
              <w:right w:val="nil"/>
            </w:tcBorders>
            <w:shd w:val="clear" w:color="auto" w:fill="auto"/>
            <w:noWrap/>
            <w:vAlign w:val="bottom"/>
            <w:hideMark/>
          </w:tcPr>
          <w:p w:rsidR="00391F86" w:rsidRPr="0021237C" w:rsidRDefault="00391F86" w:rsidP="00391F86">
            <w:pPr>
              <w:spacing w:after="0" w:line="240" w:lineRule="auto"/>
              <w:rPr>
                <w:rFonts w:ascii="Times New Roman" w:eastAsia="Times New Roman" w:hAnsi="Times New Roman" w:cs="Times New Roman"/>
                <w:sz w:val="20"/>
                <w:szCs w:val="20"/>
              </w:rPr>
            </w:pPr>
          </w:p>
        </w:tc>
        <w:tc>
          <w:tcPr>
            <w:tcW w:w="1053" w:type="dxa"/>
            <w:tcBorders>
              <w:top w:val="nil"/>
              <w:left w:val="nil"/>
              <w:bottom w:val="nil"/>
              <w:right w:val="single" w:sz="4" w:space="0" w:color="auto"/>
            </w:tcBorders>
            <w:shd w:val="clear" w:color="auto" w:fill="auto"/>
            <w:noWrap/>
            <w:vAlign w:val="bottom"/>
            <w:hideMark/>
          </w:tcPr>
          <w:p w:rsidR="00391F86" w:rsidRPr="0021237C" w:rsidRDefault="00391F86" w:rsidP="00391F86">
            <w:pPr>
              <w:spacing w:after="0" w:line="240" w:lineRule="auto"/>
              <w:rPr>
                <w:rFonts w:ascii="Calibri" w:eastAsia="Times New Roman" w:hAnsi="Calibri" w:cs="Calibri"/>
                <w:color w:val="000000"/>
              </w:rPr>
            </w:pPr>
            <w:r w:rsidRPr="0021237C">
              <w:rPr>
                <w:rFonts w:ascii="Calibri" w:eastAsia="Times New Roman" w:hAnsi="Calibri" w:cs="Calibri"/>
                <w:color w:val="000000"/>
              </w:rPr>
              <w:t> </w:t>
            </w:r>
          </w:p>
        </w:tc>
      </w:tr>
      <w:tr w:rsidR="00391F86" w:rsidRPr="0021237C" w:rsidTr="00391F86">
        <w:trPr>
          <w:trHeight w:val="275"/>
        </w:trPr>
        <w:tc>
          <w:tcPr>
            <w:tcW w:w="1680" w:type="dxa"/>
            <w:tcBorders>
              <w:top w:val="nil"/>
              <w:left w:val="single" w:sz="4" w:space="0" w:color="auto"/>
              <w:bottom w:val="nil"/>
              <w:right w:val="nil"/>
            </w:tcBorders>
            <w:shd w:val="clear" w:color="auto" w:fill="auto"/>
            <w:noWrap/>
            <w:vAlign w:val="bottom"/>
            <w:hideMark/>
          </w:tcPr>
          <w:p w:rsidR="00391F86" w:rsidRPr="0021237C" w:rsidRDefault="00391F86" w:rsidP="00391F86">
            <w:pPr>
              <w:spacing w:after="0" w:line="240" w:lineRule="auto"/>
              <w:rPr>
                <w:rFonts w:ascii="Calibri" w:eastAsia="Times New Roman" w:hAnsi="Calibri" w:cs="Calibri"/>
                <w:color w:val="000000"/>
              </w:rPr>
            </w:pPr>
            <w:r w:rsidRPr="0021237C">
              <w:rPr>
                <w:rFonts w:ascii="Calibri" w:eastAsia="Times New Roman" w:hAnsi="Calibri" w:cs="Calibri"/>
                <w:color w:val="000000"/>
              </w:rPr>
              <w:lastRenderedPageBreak/>
              <w:t>Residual</w:t>
            </w:r>
          </w:p>
        </w:tc>
        <w:tc>
          <w:tcPr>
            <w:tcW w:w="1254" w:type="dxa"/>
            <w:tcBorders>
              <w:top w:val="nil"/>
              <w:left w:val="nil"/>
              <w:bottom w:val="nil"/>
              <w:right w:val="nil"/>
            </w:tcBorders>
            <w:shd w:val="clear" w:color="auto" w:fill="auto"/>
            <w:noWrap/>
            <w:vAlign w:val="bottom"/>
            <w:hideMark/>
          </w:tcPr>
          <w:p w:rsidR="00391F86" w:rsidRPr="0021237C" w:rsidRDefault="00391F86" w:rsidP="00391F86">
            <w:pPr>
              <w:spacing w:after="0" w:line="240" w:lineRule="auto"/>
              <w:jc w:val="right"/>
              <w:rPr>
                <w:rFonts w:ascii="Calibri" w:eastAsia="Times New Roman" w:hAnsi="Calibri" w:cs="Calibri"/>
                <w:color w:val="000000"/>
              </w:rPr>
            </w:pPr>
            <w:r w:rsidRPr="0021237C">
              <w:rPr>
                <w:rFonts w:ascii="Calibri" w:eastAsia="Times New Roman" w:hAnsi="Calibri" w:cs="Calibri"/>
                <w:color w:val="000000"/>
              </w:rPr>
              <w:t>5</w:t>
            </w:r>
          </w:p>
        </w:tc>
        <w:tc>
          <w:tcPr>
            <w:tcW w:w="1163" w:type="dxa"/>
            <w:tcBorders>
              <w:top w:val="nil"/>
              <w:left w:val="nil"/>
              <w:bottom w:val="nil"/>
              <w:right w:val="nil"/>
            </w:tcBorders>
            <w:shd w:val="clear" w:color="auto" w:fill="auto"/>
            <w:noWrap/>
            <w:vAlign w:val="bottom"/>
            <w:hideMark/>
          </w:tcPr>
          <w:p w:rsidR="00391F86" w:rsidRPr="0021237C" w:rsidRDefault="00391F86" w:rsidP="00391F86">
            <w:pPr>
              <w:spacing w:after="0" w:line="240" w:lineRule="auto"/>
              <w:jc w:val="right"/>
              <w:rPr>
                <w:rFonts w:ascii="Calibri" w:eastAsia="Times New Roman" w:hAnsi="Calibri" w:cs="Calibri"/>
                <w:color w:val="000000"/>
              </w:rPr>
            </w:pPr>
            <w:r w:rsidRPr="0021237C">
              <w:rPr>
                <w:rFonts w:ascii="Calibri" w:eastAsia="Times New Roman" w:hAnsi="Calibri" w:cs="Calibri"/>
                <w:color w:val="000000"/>
              </w:rPr>
              <w:t>0.001558</w:t>
            </w:r>
          </w:p>
        </w:tc>
        <w:tc>
          <w:tcPr>
            <w:tcW w:w="1053" w:type="dxa"/>
            <w:tcBorders>
              <w:top w:val="nil"/>
              <w:left w:val="nil"/>
              <w:bottom w:val="nil"/>
              <w:right w:val="nil"/>
            </w:tcBorders>
            <w:shd w:val="clear" w:color="auto" w:fill="auto"/>
            <w:noWrap/>
            <w:vAlign w:val="bottom"/>
            <w:hideMark/>
          </w:tcPr>
          <w:p w:rsidR="00391F86" w:rsidRPr="0021237C" w:rsidRDefault="00391F86" w:rsidP="00391F86">
            <w:pPr>
              <w:spacing w:after="0" w:line="240" w:lineRule="auto"/>
              <w:jc w:val="right"/>
              <w:rPr>
                <w:rFonts w:ascii="Calibri" w:eastAsia="Times New Roman" w:hAnsi="Calibri" w:cs="Calibri"/>
                <w:color w:val="000000"/>
              </w:rPr>
            </w:pPr>
            <w:r w:rsidRPr="0021237C">
              <w:rPr>
                <w:rFonts w:ascii="Calibri" w:eastAsia="Times New Roman" w:hAnsi="Calibri" w:cs="Calibri"/>
                <w:color w:val="000000"/>
              </w:rPr>
              <w:t>0.000312</w:t>
            </w:r>
          </w:p>
        </w:tc>
        <w:tc>
          <w:tcPr>
            <w:tcW w:w="1053" w:type="dxa"/>
            <w:tcBorders>
              <w:top w:val="nil"/>
              <w:left w:val="nil"/>
              <w:bottom w:val="nil"/>
              <w:right w:val="nil"/>
            </w:tcBorders>
            <w:shd w:val="clear" w:color="auto" w:fill="auto"/>
            <w:noWrap/>
            <w:vAlign w:val="bottom"/>
            <w:hideMark/>
          </w:tcPr>
          <w:p w:rsidR="00391F86" w:rsidRPr="0021237C" w:rsidRDefault="00391F86" w:rsidP="00391F86">
            <w:pPr>
              <w:spacing w:after="0" w:line="240" w:lineRule="auto"/>
              <w:jc w:val="right"/>
              <w:rPr>
                <w:rFonts w:ascii="Calibri" w:eastAsia="Times New Roman" w:hAnsi="Calibri" w:cs="Calibri"/>
                <w:color w:val="000000"/>
              </w:rPr>
            </w:pPr>
          </w:p>
        </w:tc>
        <w:tc>
          <w:tcPr>
            <w:tcW w:w="1275" w:type="dxa"/>
            <w:tcBorders>
              <w:top w:val="nil"/>
              <w:left w:val="nil"/>
              <w:bottom w:val="nil"/>
              <w:right w:val="nil"/>
            </w:tcBorders>
            <w:shd w:val="clear" w:color="auto" w:fill="auto"/>
            <w:noWrap/>
            <w:vAlign w:val="bottom"/>
            <w:hideMark/>
          </w:tcPr>
          <w:p w:rsidR="00391F86" w:rsidRPr="0021237C" w:rsidRDefault="00391F86" w:rsidP="00391F86">
            <w:pPr>
              <w:spacing w:after="0" w:line="240" w:lineRule="auto"/>
              <w:rPr>
                <w:rFonts w:ascii="Times New Roman" w:eastAsia="Times New Roman" w:hAnsi="Times New Roman" w:cs="Times New Roman"/>
                <w:sz w:val="20"/>
                <w:szCs w:val="20"/>
              </w:rPr>
            </w:pPr>
          </w:p>
        </w:tc>
        <w:tc>
          <w:tcPr>
            <w:tcW w:w="1053" w:type="dxa"/>
            <w:tcBorders>
              <w:top w:val="nil"/>
              <w:left w:val="nil"/>
              <w:bottom w:val="nil"/>
              <w:right w:val="nil"/>
            </w:tcBorders>
            <w:shd w:val="clear" w:color="auto" w:fill="auto"/>
            <w:noWrap/>
            <w:vAlign w:val="bottom"/>
            <w:hideMark/>
          </w:tcPr>
          <w:p w:rsidR="00391F86" w:rsidRPr="0021237C" w:rsidRDefault="00391F86" w:rsidP="00391F86">
            <w:pPr>
              <w:spacing w:after="0" w:line="240" w:lineRule="auto"/>
              <w:rPr>
                <w:rFonts w:ascii="Times New Roman" w:eastAsia="Times New Roman" w:hAnsi="Times New Roman" w:cs="Times New Roman"/>
                <w:sz w:val="20"/>
                <w:szCs w:val="20"/>
              </w:rPr>
            </w:pPr>
          </w:p>
        </w:tc>
        <w:tc>
          <w:tcPr>
            <w:tcW w:w="1015" w:type="dxa"/>
            <w:tcBorders>
              <w:top w:val="nil"/>
              <w:left w:val="nil"/>
              <w:bottom w:val="nil"/>
              <w:right w:val="nil"/>
            </w:tcBorders>
            <w:shd w:val="clear" w:color="auto" w:fill="auto"/>
            <w:noWrap/>
            <w:vAlign w:val="bottom"/>
            <w:hideMark/>
          </w:tcPr>
          <w:p w:rsidR="00391F86" w:rsidRPr="0021237C" w:rsidRDefault="00391F86" w:rsidP="00391F86">
            <w:pPr>
              <w:spacing w:after="0" w:line="240" w:lineRule="auto"/>
              <w:rPr>
                <w:rFonts w:ascii="Times New Roman" w:eastAsia="Times New Roman" w:hAnsi="Times New Roman" w:cs="Times New Roman"/>
                <w:sz w:val="20"/>
                <w:szCs w:val="20"/>
              </w:rPr>
            </w:pPr>
          </w:p>
        </w:tc>
        <w:tc>
          <w:tcPr>
            <w:tcW w:w="1053" w:type="dxa"/>
            <w:tcBorders>
              <w:top w:val="nil"/>
              <w:left w:val="nil"/>
              <w:bottom w:val="nil"/>
              <w:right w:val="single" w:sz="4" w:space="0" w:color="auto"/>
            </w:tcBorders>
            <w:shd w:val="clear" w:color="auto" w:fill="auto"/>
            <w:noWrap/>
            <w:vAlign w:val="bottom"/>
            <w:hideMark/>
          </w:tcPr>
          <w:p w:rsidR="00391F86" w:rsidRPr="0021237C" w:rsidRDefault="00391F86" w:rsidP="00391F86">
            <w:pPr>
              <w:spacing w:after="0" w:line="240" w:lineRule="auto"/>
              <w:rPr>
                <w:rFonts w:ascii="Calibri" w:eastAsia="Times New Roman" w:hAnsi="Calibri" w:cs="Calibri"/>
                <w:color w:val="000000"/>
              </w:rPr>
            </w:pPr>
            <w:r w:rsidRPr="0021237C">
              <w:rPr>
                <w:rFonts w:ascii="Calibri" w:eastAsia="Times New Roman" w:hAnsi="Calibri" w:cs="Calibri"/>
                <w:color w:val="000000"/>
              </w:rPr>
              <w:t> </w:t>
            </w:r>
          </w:p>
        </w:tc>
      </w:tr>
      <w:tr w:rsidR="00391F86" w:rsidRPr="0021237C" w:rsidTr="00391F86">
        <w:trPr>
          <w:trHeight w:val="290"/>
        </w:trPr>
        <w:tc>
          <w:tcPr>
            <w:tcW w:w="1680" w:type="dxa"/>
            <w:tcBorders>
              <w:top w:val="nil"/>
              <w:left w:val="single" w:sz="4" w:space="0" w:color="auto"/>
              <w:bottom w:val="single" w:sz="8" w:space="0" w:color="auto"/>
              <w:right w:val="nil"/>
            </w:tcBorders>
            <w:shd w:val="clear" w:color="auto" w:fill="auto"/>
            <w:noWrap/>
            <w:vAlign w:val="bottom"/>
            <w:hideMark/>
          </w:tcPr>
          <w:p w:rsidR="00391F86" w:rsidRPr="0021237C" w:rsidRDefault="00391F86" w:rsidP="00391F86">
            <w:pPr>
              <w:spacing w:after="0" w:line="240" w:lineRule="auto"/>
              <w:rPr>
                <w:rFonts w:ascii="Calibri" w:eastAsia="Times New Roman" w:hAnsi="Calibri" w:cs="Calibri"/>
                <w:color w:val="000000"/>
              </w:rPr>
            </w:pPr>
            <w:r w:rsidRPr="0021237C">
              <w:rPr>
                <w:rFonts w:ascii="Calibri" w:eastAsia="Times New Roman" w:hAnsi="Calibri" w:cs="Calibri"/>
                <w:color w:val="000000"/>
              </w:rPr>
              <w:t>Total</w:t>
            </w:r>
          </w:p>
        </w:tc>
        <w:tc>
          <w:tcPr>
            <w:tcW w:w="1254" w:type="dxa"/>
            <w:tcBorders>
              <w:top w:val="nil"/>
              <w:left w:val="nil"/>
              <w:bottom w:val="single" w:sz="8" w:space="0" w:color="auto"/>
              <w:right w:val="nil"/>
            </w:tcBorders>
            <w:shd w:val="clear" w:color="auto" w:fill="auto"/>
            <w:noWrap/>
            <w:vAlign w:val="bottom"/>
            <w:hideMark/>
          </w:tcPr>
          <w:p w:rsidR="00391F86" w:rsidRPr="0021237C" w:rsidRDefault="00391F86" w:rsidP="00391F86">
            <w:pPr>
              <w:spacing w:after="0" w:line="240" w:lineRule="auto"/>
              <w:jc w:val="right"/>
              <w:rPr>
                <w:rFonts w:ascii="Calibri" w:eastAsia="Times New Roman" w:hAnsi="Calibri" w:cs="Calibri"/>
                <w:color w:val="000000"/>
              </w:rPr>
            </w:pPr>
            <w:r w:rsidRPr="0021237C">
              <w:rPr>
                <w:rFonts w:ascii="Calibri" w:eastAsia="Times New Roman" w:hAnsi="Calibri" w:cs="Calibri"/>
                <w:color w:val="000000"/>
              </w:rPr>
              <w:t>9</w:t>
            </w:r>
          </w:p>
        </w:tc>
        <w:tc>
          <w:tcPr>
            <w:tcW w:w="1163" w:type="dxa"/>
            <w:tcBorders>
              <w:top w:val="nil"/>
              <w:left w:val="nil"/>
              <w:bottom w:val="single" w:sz="8" w:space="0" w:color="auto"/>
              <w:right w:val="nil"/>
            </w:tcBorders>
            <w:shd w:val="clear" w:color="auto" w:fill="auto"/>
            <w:noWrap/>
            <w:vAlign w:val="bottom"/>
            <w:hideMark/>
          </w:tcPr>
          <w:p w:rsidR="00391F86" w:rsidRPr="0021237C" w:rsidRDefault="00391F86" w:rsidP="00391F86">
            <w:pPr>
              <w:spacing w:after="0" w:line="240" w:lineRule="auto"/>
              <w:jc w:val="right"/>
              <w:rPr>
                <w:rFonts w:ascii="Calibri" w:eastAsia="Times New Roman" w:hAnsi="Calibri" w:cs="Calibri"/>
                <w:color w:val="000000"/>
              </w:rPr>
            </w:pPr>
            <w:r w:rsidRPr="0021237C">
              <w:rPr>
                <w:rFonts w:ascii="Calibri" w:eastAsia="Times New Roman" w:hAnsi="Calibri" w:cs="Calibri"/>
                <w:color w:val="000000"/>
              </w:rPr>
              <w:t>0.002131</w:t>
            </w:r>
          </w:p>
        </w:tc>
        <w:tc>
          <w:tcPr>
            <w:tcW w:w="1053" w:type="dxa"/>
            <w:tcBorders>
              <w:top w:val="nil"/>
              <w:left w:val="nil"/>
              <w:bottom w:val="single" w:sz="8" w:space="0" w:color="auto"/>
              <w:right w:val="nil"/>
            </w:tcBorders>
            <w:shd w:val="clear" w:color="auto" w:fill="auto"/>
            <w:noWrap/>
            <w:vAlign w:val="bottom"/>
            <w:hideMark/>
          </w:tcPr>
          <w:p w:rsidR="00391F86" w:rsidRPr="0021237C" w:rsidRDefault="00391F86" w:rsidP="00391F86">
            <w:pPr>
              <w:spacing w:after="0" w:line="240" w:lineRule="auto"/>
              <w:rPr>
                <w:rFonts w:ascii="Calibri" w:eastAsia="Times New Roman" w:hAnsi="Calibri" w:cs="Calibri"/>
                <w:color w:val="000000"/>
              </w:rPr>
            </w:pPr>
            <w:r w:rsidRPr="0021237C">
              <w:rPr>
                <w:rFonts w:ascii="Calibri" w:eastAsia="Times New Roman" w:hAnsi="Calibri" w:cs="Calibri"/>
                <w:color w:val="000000"/>
              </w:rPr>
              <w:t> </w:t>
            </w:r>
          </w:p>
        </w:tc>
        <w:tc>
          <w:tcPr>
            <w:tcW w:w="1053" w:type="dxa"/>
            <w:tcBorders>
              <w:top w:val="nil"/>
              <w:left w:val="nil"/>
              <w:bottom w:val="single" w:sz="8" w:space="0" w:color="auto"/>
              <w:right w:val="nil"/>
            </w:tcBorders>
            <w:shd w:val="clear" w:color="auto" w:fill="auto"/>
            <w:noWrap/>
            <w:vAlign w:val="bottom"/>
            <w:hideMark/>
          </w:tcPr>
          <w:p w:rsidR="00391F86" w:rsidRPr="0021237C" w:rsidRDefault="00391F86" w:rsidP="00391F86">
            <w:pPr>
              <w:spacing w:after="0" w:line="240" w:lineRule="auto"/>
              <w:rPr>
                <w:rFonts w:ascii="Calibri" w:eastAsia="Times New Roman" w:hAnsi="Calibri" w:cs="Calibri"/>
                <w:color w:val="000000"/>
              </w:rPr>
            </w:pPr>
            <w:r w:rsidRPr="0021237C">
              <w:rPr>
                <w:rFonts w:ascii="Calibri" w:eastAsia="Times New Roman" w:hAnsi="Calibri" w:cs="Calibri"/>
                <w:color w:val="000000"/>
              </w:rPr>
              <w:t> </w:t>
            </w:r>
          </w:p>
        </w:tc>
        <w:tc>
          <w:tcPr>
            <w:tcW w:w="1275" w:type="dxa"/>
            <w:tcBorders>
              <w:top w:val="nil"/>
              <w:left w:val="nil"/>
              <w:bottom w:val="single" w:sz="8" w:space="0" w:color="auto"/>
              <w:right w:val="nil"/>
            </w:tcBorders>
            <w:shd w:val="clear" w:color="auto" w:fill="auto"/>
            <w:noWrap/>
            <w:vAlign w:val="bottom"/>
            <w:hideMark/>
          </w:tcPr>
          <w:p w:rsidR="00391F86" w:rsidRPr="0021237C" w:rsidRDefault="00391F86" w:rsidP="00391F86">
            <w:pPr>
              <w:spacing w:after="0" w:line="240" w:lineRule="auto"/>
              <w:rPr>
                <w:rFonts w:ascii="Calibri" w:eastAsia="Times New Roman" w:hAnsi="Calibri" w:cs="Calibri"/>
                <w:color w:val="000000"/>
              </w:rPr>
            </w:pPr>
            <w:r w:rsidRPr="0021237C">
              <w:rPr>
                <w:rFonts w:ascii="Calibri" w:eastAsia="Times New Roman" w:hAnsi="Calibri" w:cs="Calibri"/>
                <w:color w:val="000000"/>
              </w:rPr>
              <w:t> </w:t>
            </w:r>
          </w:p>
        </w:tc>
        <w:tc>
          <w:tcPr>
            <w:tcW w:w="1053" w:type="dxa"/>
            <w:tcBorders>
              <w:top w:val="nil"/>
              <w:left w:val="nil"/>
              <w:bottom w:val="nil"/>
              <w:right w:val="nil"/>
            </w:tcBorders>
            <w:shd w:val="clear" w:color="auto" w:fill="auto"/>
            <w:noWrap/>
            <w:vAlign w:val="bottom"/>
            <w:hideMark/>
          </w:tcPr>
          <w:p w:rsidR="00391F86" w:rsidRPr="0021237C" w:rsidRDefault="00391F86" w:rsidP="00391F86">
            <w:pPr>
              <w:spacing w:after="0" w:line="240" w:lineRule="auto"/>
              <w:rPr>
                <w:rFonts w:ascii="Calibri" w:eastAsia="Times New Roman" w:hAnsi="Calibri" w:cs="Calibri"/>
                <w:color w:val="000000"/>
              </w:rPr>
            </w:pPr>
          </w:p>
        </w:tc>
        <w:tc>
          <w:tcPr>
            <w:tcW w:w="1015" w:type="dxa"/>
            <w:tcBorders>
              <w:top w:val="nil"/>
              <w:left w:val="nil"/>
              <w:bottom w:val="nil"/>
              <w:right w:val="nil"/>
            </w:tcBorders>
            <w:shd w:val="clear" w:color="auto" w:fill="auto"/>
            <w:noWrap/>
            <w:vAlign w:val="bottom"/>
            <w:hideMark/>
          </w:tcPr>
          <w:p w:rsidR="00391F86" w:rsidRPr="0021237C" w:rsidRDefault="00391F86" w:rsidP="00391F86">
            <w:pPr>
              <w:spacing w:after="0" w:line="240" w:lineRule="auto"/>
              <w:rPr>
                <w:rFonts w:ascii="Times New Roman" w:eastAsia="Times New Roman" w:hAnsi="Times New Roman" w:cs="Times New Roman"/>
                <w:sz w:val="20"/>
                <w:szCs w:val="20"/>
              </w:rPr>
            </w:pPr>
          </w:p>
        </w:tc>
        <w:tc>
          <w:tcPr>
            <w:tcW w:w="1053" w:type="dxa"/>
            <w:tcBorders>
              <w:top w:val="nil"/>
              <w:left w:val="nil"/>
              <w:bottom w:val="nil"/>
              <w:right w:val="single" w:sz="4" w:space="0" w:color="auto"/>
            </w:tcBorders>
            <w:shd w:val="clear" w:color="auto" w:fill="auto"/>
            <w:noWrap/>
            <w:vAlign w:val="bottom"/>
            <w:hideMark/>
          </w:tcPr>
          <w:p w:rsidR="00391F86" w:rsidRPr="0021237C" w:rsidRDefault="00391F86" w:rsidP="00391F86">
            <w:pPr>
              <w:spacing w:after="0" w:line="240" w:lineRule="auto"/>
              <w:rPr>
                <w:rFonts w:ascii="Calibri" w:eastAsia="Times New Roman" w:hAnsi="Calibri" w:cs="Calibri"/>
                <w:color w:val="000000"/>
              </w:rPr>
            </w:pPr>
            <w:r w:rsidRPr="0021237C">
              <w:rPr>
                <w:rFonts w:ascii="Calibri" w:eastAsia="Times New Roman" w:hAnsi="Calibri" w:cs="Calibri"/>
                <w:color w:val="000000"/>
              </w:rPr>
              <w:t> </w:t>
            </w:r>
          </w:p>
        </w:tc>
      </w:tr>
      <w:tr w:rsidR="00391F86" w:rsidRPr="0021237C" w:rsidTr="00391F86">
        <w:trPr>
          <w:trHeight w:val="290"/>
        </w:trPr>
        <w:tc>
          <w:tcPr>
            <w:tcW w:w="1680" w:type="dxa"/>
            <w:tcBorders>
              <w:top w:val="nil"/>
              <w:left w:val="single" w:sz="4" w:space="0" w:color="auto"/>
              <w:bottom w:val="nil"/>
              <w:right w:val="nil"/>
            </w:tcBorders>
            <w:shd w:val="clear" w:color="auto" w:fill="auto"/>
            <w:noWrap/>
            <w:vAlign w:val="bottom"/>
            <w:hideMark/>
          </w:tcPr>
          <w:p w:rsidR="00391F86" w:rsidRPr="0021237C" w:rsidRDefault="00391F86" w:rsidP="00391F86">
            <w:pPr>
              <w:spacing w:after="0" w:line="240" w:lineRule="auto"/>
              <w:rPr>
                <w:rFonts w:ascii="Calibri" w:eastAsia="Times New Roman" w:hAnsi="Calibri" w:cs="Calibri"/>
                <w:color w:val="000000"/>
              </w:rPr>
            </w:pPr>
            <w:r w:rsidRPr="0021237C">
              <w:rPr>
                <w:rFonts w:ascii="Calibri" w:eastAsia="Times New Roman" w:hAnsi="Calibri" w:cs="Calibri"/>
                <w:color w:val="000000"/>
              </w:rPr>
              <w:t> </w:t>
            </w:r>
          </w:p>
        </w:tc>
        <w:tc>
          <w:tcPr>
            <w:tcW w:w="1254" w:type="dxa"/>
            <w:tcBorders>
              <w:top w:val="nil"/>
              <w:left w:val="nil"/>
              <w:bottom w:val="nil"/>
              <w:right w:val="nil"/>
            </w:tcBorders>
            <w:shd w:val="clear" w:color="auto" w:fill="auto"/>
            <w:noWrap/>
            <w:vAlign w:val="bottom"/>
            <w:hideMark/>
          </w:tcPr>
          <w:p w:rsidR="00391F86" w:rsidRPr="0021237C" w:rsidRDefault="00391F86" w:rsidP="00391F86">
            <w:pPr>
              <w:spacing w:after="0" w:line="240" w:lineRule="auto"/>
              <w:rPr>
                <w:rFonts w:ascii="Calibri" w:eastAsia="Times New Roman" w:hAnsi="Calibri" w:cs="Calibri"/>
                <w:color w:val="000000"/>
              </w:rPr>
            </w:pPr>
          </w:p>
        </w:tc>
        <w:tc>
          <w:tcPr>
            <w:tcW w:w="1163" w:type="dxa"/>
            <w:tcBorders>
              <w:top w:val="nil"/>
              <w:left w:val="nil"/>
              <w:bottom w:val="nil"/>
              <w:right w:val="nil"/>
            </w:tcBorders>
            <w:shd w:val="clear" w:color="auto" w:fill="auto"/>
            <w:noWrap/>
            <w:vAlign w:val="bottom"/>
            <w:hideMark/>
          </w:tcPr>
          <w:p w:rsidR="00391F86" w:rsidRPr="0021237C" w:rsidRDefault="00391F86" w:rsidP="00391F86">
            <w:pPr>
              <w:spacing w:after="0" w:line="240" w:lineRule="auto"/>
              <w:rPr>
                <w:rFonts w:ascii="Times New Roman" w:eastAsia="Times New Roman" w:hAnsi="Times New Roman" w:cs="Times New Roman"/>
                <w:sz w:val="20"/>
                <w:szCs w:val="20"/>
              </w:rPr>
            </w:pPr>
          </w:p>
        </w:tc>
        <w:tc>
          <w:tcPr>
            <w:tcW w:w="1053" w:type="dxa"/>
            <w:tcBorders>
              <w:top w:val="nil"/>
              <w:left w:val="nil"/>
              <w:bottom w:val="nil"/>
              <w:right w:val="nil"/>
            </w:tcBorders>
            <w:shd w:val="clear" w:color="auto" w:fill="auto"/>
            <w:noWrap/>
            <w:vAlign w:val="bottom"/>
            <w:hideMark/>
          </w:tcPr>
          <w:p w:rsidR="00391F86" w:rsidRPr="0021237C" w:rsidRDefault="00391F86" w:rsidP="00391F86">
            <w:pPr>
              <w:spacing w:after="0" w:line="240" w:lineRule="auto"/>
              <w:rPr>
                <w:rFonts w:ascii="Times New Roman" w:eastAsia="Times New Roman" w:hAnsi="Times New Roman" w:cs="Times New Roman"/>
                <w:sz w:val="20"/>
                <w:szCs w:val="20"/>
              </w:rPr>
            </w:pPr>
          </w:p>
        </w:tc>
        <w:tc>
          <w:tcPr>
            <w:tcW w:w="1053" w:type="dxa"/>
            <w:tcBorders>
              <w:top w:val="nil"/>
              <w:left w:val="nil"/>
              <w:bottom w:val="nil"/>
              <w:right w:val="nil"/>
            </w:tcBorders>
            <w:shd w:val="clear" w:color="auto" w:fill="auto"/>
            <w:noWrap/>
            <w:vAlign w:val="bottom"/>
            <w:hideMark/>
          </w:tcPr>
          <w:p w:rsidR="00391F86" w:rsidRPr="0021237C" w:rsidRDefault="00391F86" w:rsidP="00391F86">
            <w:pPr>
              <w:spacing w:after="0" w:line="240" w:lineRule="auto"/>
              <w:rPr>
                <w:rFonts w:ascii="Times New Roman" w:eastAsia="Times New Roman" w:hAnsi="Times New Roman" w:cs="Times New Roman"/>
                <w:sz w:val="20"/>
                <w:szCs w:val="20"/>
              </w:rPr>
            </w:pPr>
          </w:p>
        </w:tc>
        <w:tc>
          <w:tcPr>
            <w:tcW w:w="1275" w:type="dxa"/>
            <w:tcBorders>
              <w:top w:val="nil"/>
              <w:left w:val="nil"/>
              <w:bottom w:val="nil"/>
              <w:right w:val="nil"/>
            </w:tcBorders>
            <w:shd w:val="clear" w:color="auto" w:fill="auto"/>
            <w:noWrap/>
            <w:vAlign w:val="bottom"/>
            <w:hideMark/>
          </w:tcPr>
          <w:p w:rsidR="00391F86" w:rsidRPr="0021237C" w:rsidRDefault="00391F86" w:rsidP="00391F86">
            <w:pPr>
              <w:spacing w:after="0" w:line="240" w:lineRule="auto"/>
              <w:rPr>
                <w:rFonts w:ascii="Times New Roman" w:eastAsia="Times New Roman" w:hAnsi="Times New Roman" w:cs="Times New Roman"/>
                <w:sz w:val="20"/>
                <w:szCs w:val="20"/>
              </w:rPr>
            </w:pPr>
          </w:p>
        </w:tc>
        <w:tc>
          <w:tcPr>
            <w:tcW w:w="1053" w:type="dxa"/>
            <w:tcBorders>
              <w:top w:val="nil"/>
              <w:left w:val="nil"/>
              <w:bottom w:val="nil"/>
              <w:right w:val="nil"/>
            </w:tcBorders>
            <w:shd w:val="clear" w:color="auto" w:fill="auto"/>
            <w:noWrap/>
            <w:vAlign w:val="bottom"/>
            <w:hideMark/>
          </w:tcPr>
          <w:p w:rsidR="00391F86" w:rsidRPr="0021237C" w:rsidRDefault="00391F86" w:rsidP="00391F86">
            <w:pPr>
              <w:spacing w:after="0" w:line="240" w:lineRule="auto"/>
              <w:rPr>
                <w:rFonts w:ascii="Times New Roman" w:eastAsia="Times New Roman" w:hAnsi="Times New Roman" w:cs="Times New Roman"/>
                <w:sz w:val="20"/>
                <w:szCs w:val="20"/>
              </w:rPr>
            </w:pPr>
          </w:p>
        </w:tc>
        <w:tc>
          <w:tcPr>
            <w:tcW w:w="1015" w:type="dxa"/>
            <w:tcBorders>
              <w:top w:val="nil"/>
              <w:left w:val="nil"/>
              <w:bottom w:val="nil"/>
              <w:right w:val="nil"/>
            </w:tcBorders>
            <w:shd w:val="clear" w:color="auto" w:fill="auto"/>
            <w:noWrap/>
            <w:vAlign w:val="bottom"/>
            <w:hideMark/>
          </w:tcPr>
          <w:p w:rsidR="00391F86" w:rsidRPr="0021237C" w:rsidRDefault="00391F86" w:rsidP="00391F86">
            <w:pPr>
              <w:spacing w:after="0" w:line="240" w:lineRule="auto"/>
              <w:rPr>
                <w:rFonts w:ascii="Times New Roman" w:eastAsia="Times New Roman" w:hAnsi="Times New Roman" w:cs="Times New Roman"/>
                <w:sz w:val="20"/>
                <w:szCs w:val="20"/>
              </w:rPr>
            </w:pPr>
          </w:p>
        </w:tc>
        <w:tc>
          <w:tcPr>
            <w:tcW w:w="1053" w:type="dxa"/>
            <w:tcBorders>
              <w:top w:val="nil"/>
              <w:left w:val="nil"/>
              <w:bottom w:val="nil"/>
              <w:right w:val="single" w:sz="4" w:space="0" w:color="auto"/>
            </w:tcBorders>
            <w:shd w:val="clear" w:color="auto" w:fill="auto"/>
            <w:noWrap/>
            <w:vAlign w:val="bottom"/>
            <w:hideMark/>
          </w:tcPr>
          <w:p w:rsidR="00391F86" w:rsidRPr="0021237C" w:rsidRDefault="00391F86" w:rsidP="00391F86">
            <w:pPr>
              <w:spacing w:after="0" w:line="240" w:lineRule="auto"/>
              <w:rPr>
                <w:rFonts w:ascii="Calibri" w:eastAsia="Times New Roman" w:hAnsi="Calibri" w:cs="Calibri"/>
                <w:color w:val="000000"/>
              </w:rPr>
            </w:pPr>
            <w:r w:rsidRPr="0021237C">
              <w:rPr>
                <w:rFonts w:ascii="Calibri" w:eastAsia="Times New Roman" w:hAnsi="Calibri" w:cs="Calibri"/>
                <w:color w:val="000000"/>
              </w:rPr>
              <w:t> </w:t>
            </w:r>
          </w:p>
        </w:tc>
      </w:tr>
      <w:tr w:rsidR="00391F86" w:rsidRPr="0021237C" w:rsidTr="00391F86">
        <w:trPr>
          <w:trHeight w:val="275"/>
        </w:trPr>
        <w:tc>
          <w:tcPr>
            <w:tcW w:w="1680" w:type="dxa"/>
            <w:tcBorders>
              <w:top w:val="single" w:sz="8" w:space="0" w:color="auto"/>
              <w:left w:val="single" w:sz="4" w:space="0" w:color="auto"/>
              <w:bottom w:val="single" w:sz="4" w:space="0" w:color="auto"/>
              <w:right w:val="nil"/>
            </w:tcBorders>
            <w:shd w:val="clear" w:color="auto" w:fill="auto"/>
            <w:noWrap/>
            <w:vAlign w:val="bottom"/>
            <w:hideMark/>
          </w:tcPr>
          <w:p w:rsidR="00391F86" w:rsidRPr="0021237C" w:rsidRDefault="00391F86" w:rsidP="00391F86">
            <w:pPr>
              <w:spacing w:after="0" w:line="240" w:lineRule="auto"/>
              <w:jc w:val="center"/>
              <w:rPr>
                <w:rFonts w:ascii="Calibri" w:eastAsia="Times New Roman" w:hAnsi="Calibri" w:cs="Calibri"/>
                <w:i/>
                <w:iCs/>
                <w:color w:val="000000"/>
              </w:rPr>
            </w:pPr>
            <w:r w:rsidRPr="0021237C">
              <w:rPr>
                <w:rFonts w:ascii="Calibri" w:eastAsia="Times New Roman" w:hAnsi="Calibri" w:cs="Calibri"/>
                <w:i/>
                <w:iCs/>
                <w:color w:val="000000"/>
              </w:rPr>
              <w:t> </w:t>
            </w:r>
          </w:p>
        </w:tc>
        <w:tc>
          <w:tcPr>
            <w:tcW w:w="1254" w:type="dxa"/>
            <w:tcBorders>
              <w:top w:val="single" w:sz="8" w:space="0" w:color="auto"/>
              <w:left w:val="nil"/>
              <w:bottom w:val="single" w:sz="4" w:space="0" w:color="auto"/>
              <w:right w:val="nil"/>
            </w:tcBorders>
            <w:shd w:val="clear" w:color="auto" w:fill="auto"/>
            <w:noWrap/>
            <w:vAlign w:val="bottom"/>
            <w:hideMark/>
          </w:tcPr>
          <w:p w:rsidR="00391F86" w:rsidRPr="0021237C" w:rsidRDefault="00391F86" w:rsidP="00391F86">
            <w:pPr>
              <w:spacing w:after="0" w:line="240" w:lineRule="auto"/>
              <w:jc w:val="center"/>
              <w:rPr>
                <w:rFonts w:ascii="Calibri" w:eastAsia="Times New Roman" w:hAnsi="Calibri" w:cs="Calibri"/>
                <w:i/>
                <w:iCs/>
                <w:color w:val="000000"/>
              </w:rPr>
            </w:pPr>
            <w:r w:rsidRPr="0021237C">
              <w:rPr>
                <w:rFonts w:ascii="Calibri" w:eastAsia="Times New Roman" w:hAnsi="Calibri" w:cs="Calibri"/>
                <w:i/>
                <w:iCs/>
                <w:color w:val="000000"/>
              </w:rPr>
              <w:t>Coefficients</w:t>
            </w:r>
          </w:p>
        </w:tc>
        <w:tc>
          <w:tcPr>
            <w:tcW w:w="1163" w:type="dxa"/>
            <w:tcBorders>
              <w:top w:val="single" w:sz="8" w:space="0" w:color="auto"/>
              <w:left w:val="nil"/>
              <w:bottom w:val="single" w:sz="4" w:space="0" w:color="auto"/>
              <w:right w:val="nil"/>
            </w:tcBorders>
            <w:shd w:val="clear" w:color="auto" w:fill="auto"/>
            <w:noWrap/>
            <w:vAlign w:val="bottom"/>
            <w:hideMark/>
          </w:tcPr>
          <w:p w:rsidR="00391F86" w:rsidRPr="0021237C" w:rsidRDefault="00391F86" w:rsidP="00391F86">
            <w:pPr>
              <w:spacing w:after="0" w:line="240" w:lineRule="auto"/>
              <w:jc w:val="center"/>
              <w:rPr>
                <w:rFonts w:ascii="Calibri" w:eastAsia="Times New Roman" w:hAnsi="Calibri" w:cs="Calibri"/>
                <w:i/>
                <w:iCs/>
                <w:color w:val="000000"/>
              </w:rPr>
            </w:pPr>
            <w:r w:rsidRPr="0021237C">
              <w:rPr>
                <w:rFonts w:ascii="Calibri" w:eastAsia="Times New Roman" w:hAnsi="Calibri" w:cs="Calibri"/>
                <w:i/>
                <w:iCs/>
                <w:color w:val="000000"/>
              </w:rPr>
              <w:t>Standard Error</w:t>
            </w:r>
          </w:p>
        </w:tc>
        <w:tc>
          <w:tcPr>
            <w:tcW w:w="1053" w:type="dxa"/>
            <w:tcBorders>
              <w:top w:val="single" w:sz="8" w:space="0" w:color="auto"/>
              <w:left w:val="nil"/>
              <w:bottom w:val="single" w:sz="4" w:space="0" w:color="auto"/>
              <w:right w:val="nil"/>
            </w:tcBorders>
            <w:shd w:val="clear" w:color="auto" w:fill="auto"/>
            <w:noWrap/>
            <w:vAlign w:val="bottom"/>
            <w:hideMark/>
          </w:tcPr>
          <w:p w:rsidR="00391F86" w:rsidRPr="0021237C" w:rsidRDefault="00391F86" w:rsidP="00391F86">
            <w:pPr>
              <w:spacing w:after="0" w:line="240" w:lineRule="auto"/>
              <w:jc w:val="center"/>
              <w:rPr>
                <w:rFonts w:ascii="Calibri" w:eastAsia="Times New Roman" w:hAnsi="Calibri" w:cs="Calibri"/>
                <w:i/>
                <w:iCs/>
                <w:color w:val="000000"/>
              </w:rPr>
            </w:pPr>
            <w:r w:rsidRPr="0021237C">
              <w:rPr>
                <w:rFonts w:ascii="Calibri" w:eastAsia="Times New Roman" w:hAnsi="Calibri" w:cs="Calibri"/>
                <w:i/>
                <w:iCs/>
                <w:color w:val="000000"/>
              </w:rPr>
              <w:t>t Stat</w:t>
            </w:r>
          </w:p>
        </w:tc>
        <w:tc>
          <w:tcPr>
            <w:tcW w:w="1053" w:type="dxa"/>
            <w:tcBorders>
              <w:top w:val="single" w:sz="8" w:space="0" w:color="auto"/>
              <w:left w:val="nil"/>
              <w:bottom w:val="single" w:sz="4" w:space="0" w:color="auto"/>
              <w:right w:val="nil"/>
            </w:tcBorders>
            <w:shd w:val="clear" w:color="auto" w:fill="auto"/>
            <w:noWrap/>
            <w:vAlign w:val="bottom"/>
            <w:hideMark/>
          </w:tcPr>
          <w:p w:rsidR="00391F86" w:rsidRPr="0021237C" w:rsidRDefault="00391F86" w:rsidP="00391F86">
            <w:pPr>
              <w:spacing w:after="0" w:line="240" w:lineRule="auto"/>
              <w:jc w:val="center"/>
              <w:rPr>
                <w:rFonts w:ascii="Calibri" w:eastAsia="Times New Roman" w:hAnsi="Calibri" w:cs="Calibri"/>
                <w:i/>
                <w:iCs/>
                <w:color w:val="000000"/>
              </w:rPr>
            </w:pPr>
            <w:r w:rsidRPr="0021237C">
              <w:rPr>
                <w:rFonts w:ascii="Calibri" w:eastAsia="Times New Roman" w:hAnsi="Calibri" w:cs="Calibri"/>
                <w:i/>
                <w:iCs/>
                <w:color w:val="000000"/>
              </w:rPr>
              <w:t>P-value</w:t>
            </w:r>
          </w:p>
        </w:tc>
        <w:tc>
          <w:tcPr>
            <w:tcW w:w="1275" w:type="dxa"/>
            <w:tcBorders>
              <w:top w:val="single" w:sz="8" w:space="0" w:color="auto"/>
              <w:left w:val="nil"/>
              <w:bottom w:val="single" w:sz="4" w:space="0" w:color="auto"/>
              <w:right w:val="nil"/>
            </w:tcBorders>
            <w:shd w:val="clear" w:color="auto" w:fill="auto"/>
            <w:noWrap/>
            <w:vAlign w:val="bottom"/>
            <w:hideMark/>
          </w:tcPr>
          <w:p w:rsidR="00391F86" w:rsidRPr="0021237C" w:rsidRDefault="00391F86" w:rsidP="00391F86">
            <w:pPr>
              <w:spacing w:after="0" w:line="240" w:lineRule="auto"/>
              <w:jc w:val="center"/>
              <w:rPr>
                <w:rFonts w:ascii="Calibri" w:eastAsia="Times New Roman" w:hAnsi="Calibri" w:cs="Calibri"/>
                <w:i/>
                <w:iCs/>
                <w:color w:val="000000"/>
              </w:rPr>
            </w:pPr>
            <w:r w:rsidRPr="0021237C">
              <w:rPr>
                <w:rFonts w:ascii="Calibri" w:eastAsia="Times New Roman" w:hAnsi="Calibri" w:cs="Calibri"/>
                <w:i/>
                <w:iCs/>
                <w:color w:val="000000"/>
              </w:rPr>
              <w:t>Lower 95%</w:t>
            </w:r>
          </w:p>
        </w:tc>
        <w:tc>
          <w:tcPr>
            <w:tcW w:w="1053" w:type="dxa"/>
            <w:tcBorders>
              <w:top w:val="single" w:sz="8" w:space="0" w:color="auto"/>
              <w:left w:val="nil"/>
              <w:bottom w:val="single" w:sz="4" w:space="0" w:color="auto"/>
              <w:right w:val="nil"/>
            </w:tcBorders>
            <w:shd w:val="clear" w:color="auto" w:fill="auto"/>
            <w:noWrap/>
            <w:vAlign w:val="bottom"/>
            <w:hideMark/>
          </w:tcPr>
          <w:p w:rsidR="00391F86" w:rsidRPr="0021237C" w:rsidRDefault="00391F86" w:rsidP="00391F86">
            <w:pPr>
              <w:spacing w:after="0" w:line="240" w:lineRule="auto"/>
              <w:jc w:val="center"/>
              <w:rPr>
                <w:rFonts w:ascii="Calibri" w:eastAsia="Times New Roman" w:hAnsi="Calibri" w:cs="Calibri"/>
                <w:i/>
                <w:iCs/>
                <w:color w:val="000000"/>
              </w:rPr>
            </w:pPr>
            <w:r w:rsidRPr="0021237C">
              <w:rPr>
                <w:rFonts w:ascii="Calibri" w:eastAsia="Times New Roman" w:hAnsi="Calibri" w:cs="Calibri"/>
                <w:i/>
                <w:iCs/>
                <w:color w:val="000000"/>
              </w:rPr>
              <w:t>Upper 95%</w:t>
            </w:r>
          </w:p>
        </w:tc>
        <w:tc>
          <w:tcPr>
            <w:tcW w:w="1015" w:type="dxa"/>
            <w:tcBorders>
              <w:top w:val="single" w:sz="8" w:space="0" w:color="auto"/>
              <w:left w:val="nil"/>
              <w:bottom w:val="single" w:sz="4" w:space="0" w:color="auto"/>
              <w:right w:val="nil"/>
            </w:tcBorders>
            <w:shd w:val="clear" w:color="auto" w:fill="auto"/>
            <w:noWrap/>
            <w:vAlign w:val="bottom"/>
            <w:hideMark/>
          </w:tcPr>
          <w:p w:rsidR="00391F86" w:rsidRPr="0021237C" w:rsidRDefault="00391F86" w:rsidP="00391F86">
            <w:pPr>
              <w:spacing w:after="0" w:line="240" w:lineRule="auto"/>
              <w:jc w:val="center"/>
              <w:rPr>
                <w:rFonts w:ascii="Calibri" w:eastAsia="Times New Roman" w:hAnsi="Calibri" w:cs="Calibri"/>
                <w:i/>
                <w:iCs/>
                <w:color w:val="000000"/>
              </w:rPr>
            </w:pPr>
            <w:r w:rsidRPr="0021237C">
              <w:rPr>
                <w:rFonts w:ascii="Calibri" w:eastAsia="Times New Roman" w:hAnsi="Calibri" w:cs="Calibri"/>
                <w:i/>
                <w:iCs/>
                <w:color w:val="000000"/>
              </w:rPr>
              <w:t>Lower 95.0%</w:t>
            </w:r>
          </w:p>
        </w:tc>
        <w:tc>
          <w:tcPr>
            <w:tcW w:w="1053" w:type="dxa"/>
            <w:tcBorders>
              <w:top w:val="single" w:sz="8" w:space="0" w:color="auto"/>
              <w:left w:val="nil"/>
              <w:bottom w:val="single" w:sz="4" w:space="0" w:color="auto"/>
              <w:right w:val="single" w:sz="4" w:space="0" w:color="auto"/>
            </w:tcBorders>
            <w:shd w:val="clear" w:color="auto" w:fill="auto"/>
            <w:noWrap/>
            <w:vAlign w:val="bottom"/>
            <w:hideMark/>
          </w:tcPr>
          <w:p w:rsidR="00391F86" w:rsidRPr="0021237C" w:rsidRDefault="00391F86" w:rsidP="00391F86">
            <w:pPr>
              <w:spacing w:after="0" w:line="240" w:lineRule="auto"/>
              <w:jc w:val="center"/>
              <w:rPr>
                <w:rFonts w:ascii="Calibri" w:eastAsia="Times New Roman" w:hAnsi="Calibri" w:cs="Calibri"/>
                <w:i/>
                <w:iCs/>
                <w:color w:val="000000"/>
              </w:rPr>
            </w:pPr>
            <w:r w:rsidRPr="0021237C">
              <w:rPr>
                <w:rFonts w:ascii="Calibri" w:eastAsia="Times New Roman" w:hAnsi="Calibri" w:cs="Calibri"/>
                <w:i/>
                <w:iCs/>
                <w:color w:val="000000"/>
              </w:rPr>
              <w:t>Upper 95.0%</w:t>
            </w:r>
          </w:p>
        </w:tc>
      </w:tr>
      <w:tr w:rsidR="00391F86" w:rsidRPr="0021237C" w:rsidTr="00391F86">
        <w:trPr>
          <w:trHeight w:val="275"/>
        </w:trPr>
        <w:tc>
          <w:tcPr>
            <w:tcW w:w="1680" w:type="dxa"/>
            <w:tcBorders>
              <w:top w:val="nil"/>
              <w:left w:val="single" w:sz="4" w:space="0" w:color="auto"/>
              <w:bottom w:val="nil"/>
              <w:right w:val="nil"/>
            </w:tcBorders>
            <w:shd w:val="clear" w:color="auto" w:fill="auto"/>
            <w:noWrap/>
            <w:vAlign w:val="bottom"/>
            <w:hideMark/>
          </w:tcPr>
          <w:p w:rsidR="00391F86" w:rsidRPr="0021237C" w:rsidRDefault="00391F86" w:rsidP="00391F86">
            <w:pPr>
              <w:spacing w:after="0" w:line="240" w:lineRule="auto"/>
              <w:rPr>
                <w:rFonts w:ascii="Calibri" w:eastAsia="Times New Roman" w:hAnsi="Calibri" w:cs="Calibri"/>
                <w:color w:val="000000"/>
              </w:rPr>
            </w:pPr>
            <w:r w:rsidRPr="0021237C">
              <w:rPr>
                <w:rFonts w:ascii="Calibri" w:eastAsia="Times New Roman" w:hAnsi="Calibri" w:cs="Calibri"/>
                <w:color w:val="000000"/>
              </w:rPr>
              <w:t>Intercept</w:t>
            </w:r>
          </w:p>
        </w:tc>
        <w:tc>
          <w:tcPr>
            <w:tcW w:w="1254" w:type="dxa"/>
            <w:tcBorders>
              <w:top w:val="nil"/>
              <w:left w:val="nil"/>
              <w:bottom w:val="nil"/>
              <w:right w:val="nil"/>
            </w:tcBorders>
            <w:shd w:val="clear" w:color="auto" w:fill="auto"/>
            <w:noWrap/>
            <w:vAlign w:val="bottom"/>
            <w:hideMark/>
          </w:tcPr>
          <w:p w:rsidR="00391F86" w:rsidRPr="0021237C" w:rsidRDefault="00391F86" w:rsidP="00391F86">
            <w:pPr>
              <w:spacing w:after="0" w:line="240" w:lineRule="auto"/>
              <w:jc w:val="right"/>
              <w:rPr>
                <w:rFonts w:ascii="Calibri" w:eastAsia="Times New Roman" w:hAnsi="Calibri" w:cs="Calibri"/>
                <w:color w:val="000000"/>
              </w:rPr>
            </w:pPr>
            <w:r w:rsidRPr="0021237C">
              <w:rPr>
                <w:rFonts w:ascii="Calibri" w:eastAsia="Times New Roman" w:hAnsi="Calibri" w:cs="Calibri"/>
                <w:color w:val="000000"/>
              </w:rPr>
              <w:t>0.008952</w:t>
            </w:r>
          </w:p>
        </w:tc>
        <w:tc>
          <w:tcPr>
            <w:tcW w:w="1163" w:type="dxa"/>
            <w:tcBorders>
              <w:top w:val="nil"/>
              <w:left w:val="nil"/>
              <w:bottom w:val="nil"/>
              <w:right w:val="nil"/>
            </w:tcBorders>
            <w:shd w:val="clear" w:color="auto" w:fill="auto"/>
            <w:noWrap/>
            <w:vAlign w:val="bottom"/>
            <w:hideMark/>
          </w:tcPr>
          <w:p w:rsidR="00391F86" w:rsidRPr="0021237C" w:rsidRDefault="00391F86" w:rsidP="00391F86">
            <w:pPr>
              <w:spacing w:after="0" w:line="240" w:lineRule="auto"/>
              <w:jc w:val="right"/>
              <w:rPr>
                <w:rFonts w:ascii="Calibri" w:eastAsia="Times New Roman" w:hAnsi="Calibri" w:cs="Calibri"/>
                <w:color w:val="000000"/>
              </w:rPr>
            </w:pPr>
            <w:r w:rsidRPr="0021237C">
              <w:rPr>
                <w:rFonts w:ascii="Calibri" w:eastAsia="Times New Roman" w:hAnsi="Calibri" w:cs="Calibri"/>
                <w:color w:val="000000"/>
              </w:rPr>
              <w:t>0.13128</w:t>
            </w:r>
          </w:p>
        </w:tc>
        <w:tc>
          <w:tcPr>
            <w:tcW w:w="1053" w:type="dxa"/>
            <w:tcBorders>
              <w:top w:val="nil"/>
              <w:left w:val="nil"/>
              <w:bottom w:val="nil"/>
              <w:right w:val="nil"/>
            </w:tcBorders>
            <w:shd w:val="clear" w:color="auto" w:fill="auto"/>
            <w:noWrap/>
            <w:vAlign w:val="bottom"/>
            <w:hideMark/>
          </w:tcPr>
          <w:p w:rsidR="00391F86" w:rsidRPr="0021237C" w:rsidRDefault="00391F86" w:rsidP="00391F86">
            <w:pPr>
              <w:spacing w:after="0" w:line="240" w:lineRule="auto"/>
              <w:jc w:val="right"/>
              <w:rPr>
                <w:rFonts w:ascii="Calibri" w:eastAsia="Times New Roman" w:hAnsi="Calibri" w:cs="Calibri"/>
                <w:color w:val="000000"/>
              </w:rPr>
            </w:pPr>
            <w:r w:rsidRPr="0021237C">
              <w:rPr>
                <w:rFonts w:ascii="Calibri" w:eastAsia="Times New Roman" w:hAnsi="Calibri" w:cs="Calibri"/>
                <w:color w:val="000000"/>
              </w:rPr>
              <w:t>0.068189</w:t>
            </w:r>
          </w:p>
        </w:tc>
        <w:tc>
          <w:tcPr>
            <w:tcW w:w="1053" w:type="dxa"/>
            <w:tcBorders>
              <w:top w:val="nil"/>
              <w:left w:val="nil"/>
              <w:bottom w:val="nil"/>
              <w:right w:val="nil"/>
            </w:tcBorders>
            <w:shd w:val="clear" w:color="auto" w:fill="auto"/>
            <w:noWrap/>
            <w:vAlign w:val="bottom"/>
            <w:hideMark/>
          </w:tcPr>
          <w:p w:rsidR="00391F86" w:rsidRPr="0021237C" w:rsidRDefault="00391F86" w:rsidP="00391F86">
            <w:pPr>
              <w:spacing w:after="0" w:line="240" w:lineRule="auto"/>
              <w:jc w:val="right"/>
              <w:rPr>
                <w:rFonts w:ascii="Calibri" w:eastAsia="Times New Roman" w:hAnsi="Calibri" w:cs="Calibri"/>
                <w:color w:val="000000"/>
              </w:rPr>
            </w:pPr>
            <w:r w:rsidRPr="0021237C">
              <w:rPr>
                <w:rFonts w:ascii="Calibri" w:eastAsia="Times New Roman" w:hAnsi="Calibri" w:cs="Calibri"/>
                <w:color w:val="000000"/>
              </w:rPr>
              <w:t>0.948278</w:t>
            </w:r>
          </w:p>
        </w:tc>
        <w:tc>
          <w:tcPr>
            <w:tcW w:w="1275" w:type="dxa"/>
            <w:tcBorders>
              <w:top w:val="nil"/>
              <w:left w:val="nil"/>
              <w:bottom w:val="nil"/>
              <w:right w:val="nil"/>
            </w:tcBorders>
            <w:shd w:val="clear" w:color="auto" w:fill="auto"/>
            <w:noWrap/>
            <w:vAlign w:val="bottom"/>
            <w:hideMark/>
          </w:tcPr>
          <w:p w:rsidR="00391F86" w:rsidRPr="0021237C" w:rsidRDefault="00391F86" w:rsidP="00391F86">
            <w:pPr>
              <w:spacing w:after="0" w:line="240" w:lineRule="auto"/>
              <w:jc w:val="right"/>
              <w:rPr>
                <w:rFonts w:ascii="Calibri" w:eastAsia="Times New Roman" w:hAnsi="Calibri" w:cs="Calibri"/>
                <w:color w:val="000000"/>
              </w:rPr>
            </w:pPr>
            <w:r w:rsidRPr="0021237C">
              <w:rPr>
                <w:rFonts w:ascii="Calibri" w:eastAsia="Times New Roman" w:hAnsi="Calibri" w:cs="Calibri"/>
                <w:color w:val="000000"/>
              </w:rPr>
              <w:t>-0.32851</w:t>
            </w:r>
          </w:p>
        </w:tc>
        <w:tc>
          <w:tcPr>
            <w:tcW w:w="1053" w:type="dxa"/>
            <w:tcBorders>
              <w:top w:val="nil"/>
              <w:left w:val="nil"/>
              <w:bottom w:val="nil"/>
              <w:right w:val="nil"/>
            </w:tcBorders>
            <w:shd w:val="clear" w:color="auto" w:fill="auto"/>
            <w:noWrap/>
            <w:vAlign w:val="bottom"/>
            <w:hideMark/>
          </w:tcPr>
          <w:p w:rsidR="00391F86" w:rsidRPr="0021237C" w:rsidRDefault="00391F86" w:rsidP="00391F86">
            <w:pPr>
              <w:spacing w:after="0" w:line="240" w:lineRule="auto"/>
              <w:jc w:val="right"/>
              <w:rPr>
                <w:rFonts w:ascii="Calibri" w:eastAsia="Times New Roman" w:hAnsi="Calibri" w:cs="Calibri"/>
                <w:color w:val="000000"/>
              </w:rPr>
            </w:pPr>
            <w:r w:rsidRPr="0021237C">
              <w:rPr>
                <w:rFonts w:ascii="Calibri" w:eastAsia="Times New Roman" w:hAnsi="Calibri" w:cs="Calibri"/>
                <w:color w:val="000000"/>
              </w:rPr>
              <w:t>0.346417</w:t>
            </w:r>
          </w:p>
        </w:tc>
        <w:tc>
          <w:tcPr>
            <w:tcW w:w="1015" w:type="dxa"/>
            <w:tcBorders>
              <w:top w:val="nil"/>
              <w:left w:val="nil"/>
              <w:bottom w:val="nil"/>
              <w:right w:val="nil"/>
            </w:tcBorders>
            <w:shd w:val="clear" w:color="auto" w:fill="auto"/>
            <w:noWrap/>
            <w:vAlign w:val="bottom"/>
            <w:hideMark/>
          </w:tcPr>
          <w:p w:rsidR="00391F86" w:rsidRPr="0021237C" w:rsidRDefault="00391F86" w:rsidP="00391F86">
            <w:pPr>
              <w:spacing w:after="0" w:line="240" w:lineRule="auto"/>
              <w:jc w:val="right"/>
              <w:rPr>
                <w:rFonts w:ascii="Calibri" w:eastAsia="Times New Roman" w:hAnsi="Calibri" w:cs="Calibri"/>
                <w:color w:val="000000"/>
              </w:rPr>
            </w:pPr>
            <w:r w:rsidRPr="0021237C">
              <w:rPr>
                <w:rFonts w:ascii="Calibri" w:eastAsia="Times New Roman" w:hAnsi="Calibri" w:cs="Calibri"/>
                <w:color w:val="000000"/>
              </w:rPr>
              <w:t>-0.32851</w:t>
            </w:r>
          </w:p>
        </w:tc>
        <w:tc>
          <w:tcPr>
            <w:tcW w:w="1053" w:type="dxa"/>
            <w:tcBorders>
              <w:top w:val="nil"/>
              <w:left w:val="nil"/>
              <w:bottom w:val="nil"/>
              <w:right w:val="single" w:sz="4" w:space="0" w:color="auto"/>
            </w:tcBorders>
            <w:shd w:val="clear" w:color="auto" w:fill="auto"/>
            <w:noWrap/>
            <w:vAlign w:val="bottom"/>
            <w:hideMark/>
          </w:tcPr>
          <w:p w:rsidR="00391F86" w:rsidRPr="0021237C" w:rsidRDefault="00391F86" w:rsidP="00391F86">
            <w:pPr>
              <w:spacing w:after="0" w:line="240" w:lineRule="auto"/>
              <w:jc w:val="right"/>
              <w:rPr>
                <w:rFonts w:ascii="Calibri" w:eastAsia="Times New Roman" w:hAnsi="Calibri" w:cs="Calibri"/>
                <w:color w:val="000000"/>
              </w:rPr>
            </w:pPr>
            <w:r w:rsidRPr="0021237C">
              <w:rPr>
                <w:rFonts w:ascii="Calibri" w:eastAsia="Times New Roman" w:hAnsi="Calibri" w:cs="Calibri"/>
                <w:color w:val="000000"/>
              </w:rPr>
              <w:t>0.346417</w:t>
            </w:r>
          </w:p>
        </w:tc>
      </w:tr>
      <w:tr w:rsidR="00391F86" w:rsidRPr="0021237C" w:rsidTr="00391F86">
        <w:trPr>
          <w:trHeight w:val="275"/>
        </w:trPr>
        <w:tc>
          <w:tcPr>
            <w:tcW w:w="1680" w:type="dxa"/>
            <w:tcBorders>
              <w:top w:val="nil"/>
              <w:left w:val="single" w:sz="4" w:space="0" w:color="auto"/>
              <w:bottom w:val="nil"/>
              <w:right w:val="nil"/>
            </w:tcBorders>
            <w:shd w:val="clear" w:color="auto" w:fill="auto"/>
            <w:noWrap/>
            <w:vAlign w:val="bottom"/>
            <w:hideMark/>
          </w:tcPr>
          <w:p w:rsidR="00391F86" w:rsidRPr="0021237C" w:rsidRDefault="00391F86" w:rsidP="00391F86">
            <w:pPr>
              <w:spacing w:after="0" w:line="240" w:lineRule="auto"/>
              <w:rPr>
                <w:rFonts w:ascii="Calibri" w:eastAsia="Times New Roman" w:hAnsi="Calibri" w:cs="Calibri"/>
                <w:color w:val="000000"/>
              </w:rPr>
            </w:pPr>
            <w:r w:rsidRPr="0021237C">
              <w:rPr>
                <w:rFonts w:ascii="Calibri" w:eastAsia="Times New Roman" w:hAnsi="Calibri" w:cs="Calibri"/>
                <w:color w:val="000000"/>
              </w:rPr>
              <w:t xml:space="preserve">Front Load </w:t>
            </w:r>
          </w:p>
        </w:tc>
        <w:tc>
          <w:tcPr>
            <w:tcW w:w="1254" w:type="dxa"/>
            <w:tcBorders>
              <w:top w:val="nil"/>
              <w:left w:val="nil"/>
              <w:bottom w:val="nil"/>
              <w:right w:val="nil"/>
            </w:tcBorders>
            <w:shd w:val="clear" w:color="auto" w:fill="auto"/>
            <w:noWrap/>
            <w:vAlign w:val="bottom"/>
            <w:hideMark/>
          </w:tcPr>
          <w:p w:rsidR="00391F86" w:rsidRPr="0021237C" w:rsidRDefault="00391F86" w:rsidP="00391F86">
            <w:pPr>
              <w:spacing w:after="0" w:line="240" w:lineRule="auto"/>
              <w:jc w:val="right"/>
              <w:rPr>
                <w:rFonts w:ascii="Calibri" w:eastAsia="Times New Roman" w:hAnsi="Calibri" w:cs="Calibri"/>
                <w:color w:val="000000"/>
              </w:rPr>
            </w:pPr>
            <w:r w:rsidRPr="0021237C">
              <w:rPr>
                <w:rFonts w:ascii="Calibri" w:eastAsia="Times New Roman" w:hAnsi="Calibri" w:cs="Calibri"/>
                <w:color w:val="000000"/>
              </w:rPr>
              <w:t>0.043222</w:t>
            </w:r>
          </w:p>
        </w:tc>
        <w:tc>
          <w:tcPr>
            <w:tcW w:w="1163" w:type="dxa"/>
            <w:tcBorders>
              <w:top w:val="nil"/>
              <w:left w:val="nil"/>
              <w:bottom w:val="nil"/>
              <w:right w:val="nil"/>
            </w:tcBorders>
            <w:shd w:val="clear" w:color="auto" w:fill="auto"/>
            <w:noWrap/>
            <w:vAlign w:val="bottom"/>
            <w:hideMark/>
          </w:tcPr>
          <w:p w:rsidR="00391F86" w:rsidRPr="0021237C" w:rsidRDefault="00391F86" w:rsidP="00391F86">
            <w:pPr>
              <w:spacing w:after="0" w:line="240" w:lineRule="auto"/>
              <w:jc w:val="right"/>
              <w:rPr>
                <w:rFonts w:ascii="Calibri" w:eastAsia="Times New Roman" w:hAnsi="Calibri" w:cs="Calibri"/>
                <w:color w:val="000000"/>
              </w:rPr>
            </w:pPr>
            <w:r w:rsidRPr="0021237C">
              <w:rPr>
                <w:rFonts w:ascii="Calibri" w:eastAsia="Times New Roman" w:hAnsi="Calibri" w:cs="Calibri"/>
                <w:color w:val="000000"/>
              </w:rPr>
              <w:t>1.594147</w:t>
            </w:r>
          </w:p>
        </w:tc>
        <w:tc>
          <w:tcPr>
            <w:tcW w:w="1053" w:type="dxa"/>
            <w:tcBorders>
              <w:top w:val="nil"/>
              <w:left w:val="nil"/>
              <w:bottom w:val="nil"/>
              <w:right w:val="nil"/>
            </w:tcBorders>
            <w:shd w:val="clear" w:color="auto" w:fill="auto"/>
            <w:noWrap/>
            <w:vAlign w:val="bottom"/>
            <w:hideMark/>
          </w:tcPr>
          <w:p w:rsidR="00391F86" w:rsidRPr="0021237C" w:rsidRDefault="00391F86" w:rsidP="00391F86">
            <w:pPr>
              <w:spacing w:after="0" w:line="240" w:lineRule="auto"/>
              <w:jc w:val="right"/>
              <w:rPr>
                <w:rFonts w:ascii="Calibri" w:eastAsia="Times New Roman" w:hAnsi="Calibri" w:cs="Calibri"/>
                <w:color w:val="000000"/>
              </w:rPr>
            </w:pPr>
            <w:r w:rsidRPr="0021237C">
              <w:rPr>
                <w:rFonts w:ascii="Calibri" w:eastAsia="Times New Roman" w:hAnsi="Calibri" w:cs="Calibri"/>
                <w:color w:val="000000"/>
              </w:rPr>
              <w:t>0.027113</w:t>
            </w:r>
          </w:p>
        </w:tc>
        <w:tc>
          <w:tcPr>
            <w:tcW w:w="1053" w:type="dxa"/>
            <w:tcBorders>
              <w:top w:val="nil"/>
              <w:left w:val="nil"/>
              <w:bottom w:val="nil"/>
              <w:right w:val="nil"/>
            </w:tcBorders>
            <w:shd w:val="clear" w:color="auto" w:fill="auto"/>
            <w:noWrap/>
            <w:vAlign w:val="bottom"/>
            <w:hideMark/>
          </w:tcPr>
          <w:p w:rsidR="00391F86" w:rsidRPr="0021237C" w:rsidRDefault="00391F86" w:rsidP="00391F86">
            <w:pPr>
              <w:spacing w:after="0" w:line="240" w:lineRule="auto"/>
              <w:jc w:val="right"/>
              <w:rPr>
                <w:rFonts w:ascii="Calibri" w:eastAsia="Times New Roman" w:hAnsi="Calibri" w:cs="Calibri"/>
                <w:color w:val="000000"/>
              </w:rPr>
            </w:pPr>
            <w:r w:rsidRPr="0021237C">
              <w:rPr>
                <w:rFonts w:ascii="Calibri" w:eastAsia="Times New Roman" w:hAnsi="Calibri" w:cs="Calibri"/>
                <w:color w:val="000000"/>
              </w:rPr>
              <w:t>0.979418</w:t>
            </w:r>
          </w:p>
        </w:tc>
        <w:tc>
          <w:tcPr>
            <w:tcW w:w="1275" w:type="dxa"/>
            <w:tcBorders>
              <w:top w:val="nil"/>
              <w:left w:val="nil"/>
              <w:bottom w:val="nil"/>
              <w:right w:val="nil"/>
            </w:tcBorders>
            <w:shd w:val="clear" w:color="auto" w:fill="auto"/>
            <w:noWrap/>
            <w:vAlign w:val="bottom"/>
            <w:hideMark/>
          </w:tcPr>
          <w:p w:rsidR="00391F86" w:rsidRPr="0021237C" w:rsidRDefault="00391F86" w:rsidP="00391F86">
            <w:pPr>
              <w:spacing w:after="0" w:line="240" w:lineRule="auto"/>
              <w:jc w:val="right"/>
              <w:rPr>
                <w:rFonts w:ascii="Calibri" w:eastAsia="Times New Roman" w:hAnsi="Calibri" w:cs="Calibri"/>
                <w:color w:val="000000"/>
              </w:rPr>
            </w:pPr>
            <w:r w:rsidRPr="0021237C">
              <w:rPr>
                <w:rFonts w:ascii="Calibri" w:eastAsia="Times New Roman" w:hAnsi="Calibri" w:cs="Calibri"/>
                <w:color w:val="000000"/>
              </w:rPr>
              <w:t>-4.05466</w:t>
            </w:r>
          </w:p>
        </w:tc>
        <w:tc>
          <w:tcPr>
            <w:tcW w:w="1053" w:type="dxa"/>
            <w:tcBorders>
              <w:top w:val="nil"/>
              <w:left w:val="nil"/>
              <w:bottom w:val="nil"/>
              <w:right w:val="nil"/>
            </w:tcBorders>
            <w:shd w:val="clear" w:color="auto" w:fill="auto"/>
            <w:noWrap/>
            <w:vAlign w:val="bottom"/>
            <w:hideMark/>
          </w:tcPr>
          <w:p w:rsidR="00391F86" w:rsidRPr="0021237C" w:rsidRDefault="00391F86" w:rsidP="00391F86">
            <w:pPr>
              <w:spacing w:after="0" w:line="240" w:lineRule="auto"/>
              <w:jc w:val="right"/>
              <w:rPr>
                <w:rFonts w:ascii="Calibri" w:eastAsia="Times New Roman" w:hAnsi="Calibri" w:cs="Calibri"/>
                <w:color w:val="000000"/>
              </w:rPr>
            </w:pPr>
            <w:r w:rsidRPr="0021237C">
              <w:rPr>
                <w:rFonts w:ascii="Calibri" w:eastAsia="Times New Roman" w:hAnsi="Calibri" w:cs="Calibri"/>
                <w:color w:val="000000"/>
              </w:rPr>
              <w:t>4.141107</w:t>
            </w:r>
          </w:p>
        </w:tc>
        <w:tc>
          <w:tcPr>
            <w:tcW w:w="1015" w:type="dxa"/>
            <w:tcBorders>
              <w:top w:val="nil"/>
              <w:left w:val="nil"/>
              <w:bottom w:val="nil"/>
              <w:right w:val="nil"/>
            </w:tcBorders>
            <w:shd w:val="clear" w:color="auto" w:fill="auto"/>
            <w:noWrap/>
            <w:vAlign w:val="bottom"/>
            <w:hideMark/>
          </w:tcPr>
          <w:p w:rsidR="00391F86" w:rsidRPr="0021237C" w:rsidRDefault="00391F86" w:rsidP="00391F86">
            <w:pPr>
              <w:spacing w:after="0" w:line="240" w:lineRule="auto"/>
              <w:jc w:val="right"/>
              <w:rPr>
                <w:rFonts w:ascii="Calibri" w:eastAsia="Times New Roman" w:hAnsi="Calibri" w:cs="Calibri"/>
                <w:color w:val="000000"/>
              </w:rPr>
            </w:pPr>
            <w:r w:rsidRPr="0021237C">
              <w:rPr>
                <w:rFonts w:ascii="Calibri" w:eastAsia="Times New Roman" w:hAnsi="Calibri" w:cs="Calibri"/>
                <w:color w:val="000000"/>
              </w:rPr>
              <w:t>-4.05466</w:t>
            </w:r>
          </w:p>
        </w:tc>
        <w:tc>
          <w:tcPr>
            <w:tcW w:w="1053" w:type="dxa"/>
            <w:tcBorders>
              <w:top w:val="nil"/>
              <w:left w:val="nil"/>
              <w:bottom w:val="nil"/>
              <w:right w:val="single" w:sz="4" w:space="0" w:color="auto"/>
            </w:tcBorders>
            <w:shd w:val="clear" w:color="auto" w:fill="auto"/>
            <w:noWrap/>
            <w:vAlign w:val="bottom"/>
            <w:hideMark/>
          </w:tcPr>
          <w:p w:rsidR="00391F86" w:rsidRPr="0021237C" w:rsidRDefault="00391F86" w:rsidP="00391F86">
            <w:pPr>
              <w:spacing w:after="0" w:line="240" w:lineRule="auto"/>
              <w:jc w:val="right"/>
              <w:rPr>
                <w:rFonts w:ascii="Calibri" w:eastAsia="Times New Roman" w:hAnsi="Calibri" w:cs="Calibri"/>
                <w:color w:val="000000"/>
              </w:rPr>
            </w:pPr>
            <w:r w:rsidRPr="0021237C">
              <w:rPr>
                <w:rFonts w:ascii="Calibri" w:eastAsia="Times New Roman" w:hAnsi="Calibri" w:cs="Calibri"/>
                <w:color w:val="000000"/>
              </w:rPr>
              <w:t>4.141107</w:t>
            </w:r>
          </w:p>
        </w:tc>
      </w:tr>
      <w:tr w:rsidR="00391F86" w:rsidRPr="0021237C" w:rsidTr="00391F86">
        <w:trPr>
          <w:trHeight w:val="275"/>
        </w:trPr>
        <w:tc>
          <w:tcPr>
            <w:tcW w:w="1680" w:type="dxa"/>
            <w:tcBorders>
              <w:top w:val="nil"/>
              <w:left w:val="single" w:sz="4" w:space="0" w:color="auto"/>
              <w:bottom w:val="nil"/>
              <w:right w:val="nil"/>
            </w:tcBorders>
            <w:shd w:val="clear" w:color="auto" w:fill="auto"/>
            <w:noWrap/>
            <w:vAlign w:val="bottom"/>
            <w:hideMark/>
          </w:tcPr>
          <w:p w:rsidR="00391F86" w:rsidRPr="0021237C" w:rsidRDefault="00391F86" w:rsidP="00391F86">
            <w:pPr>
              <w:spacing w:after="0" w:line="240" w:lineRule="auto"/>
              <w:rPr>
                <w:rFonts w:ascii="Calibri" w:eastAsia="Times New Roman" w:hAnsi="Calibri" w:cs="Calibri"/>
                <w:color w:val="000000"/>
              </w:rPr>
            </w:pPr>
            <w:r w:rsidRPr="0021237C">
              <w:rPr>
                <w:rFonts w:ascii="Calibri" w:eastAsia="Times New Roman" w:hAnsi="Calibri" w:cs="Calibri"/>
                <w:color w:val="000000"/>
              </w:rPr>
              <w:t>Back Load</w:t>
            </w:r>
          </w:p>
        </w:tc>
        <w:tc>
          <w:tcPr>
            <w:tcW w:w="1254" w:type="dxa"/>
            <w:tcBorders>
              <w:top w:val="nil"/>
              <w:left w:val="nil"/>
              <w:bottom w:val="nil"/>
              <w:right w:val="nil"/>
            </w:tcBorders>
            <w:shd w:val="clear" w:color="auto" w:fill="auto"/>
            <w:noWrap/>
            <w:vAlign w:val="bottom"/>
            <w:hideMark/>
          </w:tcPr>
          <w:p w:rsidR="00391F86" w:rsidRPr="0021237C" w:rsidRDefault="00391F86" w:rsidP="00391F86">
            <w:pPr>
              <w:spacing w:after="0" w:line="240" w:lineRule="auto"/>
              <w:jc w:val="right"/>
              <w:rPr>
                <w:rFonts w:ascii="Calibri" w:eastAsia="Times New Roman" w:hAnsi="Calibri" w:cs="Calibri"/>
                <w:color w:val="000000"/>
              </w:rPr>
            </w:pPr>
            <w:r w:rsidRPr="0021237C">
              <w:rPr>
                <w:rFonts w:ascii="Calibri" w:eastAsia="Times New Roman" w:hAnsi="Calibri" w:cs="Calibri"/>
                <w:color w:val="000000"/>
              </w:rPr>
              <w:t>0.125977</w:t>
            </w:r>
          </w:p>
        </w:tc>
        <w:tc>
          <w:tcPr>
            <w:tcW w:w="1163" w:type="dxa"/>
            <w:tcBorders>
              <w:top w:val="nil"/>
              <w:left w:val="nil"/>
              <w:bottom w:val="nil"/>
              <w:right w:val="nil"/>
            </w:tcBorders>
            <w:shd w:val="clear" w:color="auto" w:fill="auto"/>
            <w:noWrap/>
            <w:vAlign w:val="bottom"/>
            <w:hideMark/>
          </w:tcPr>
          <w:p w:rsidR="00391F86" w:rsidRPr="0021237C" w:rsidRDefault="00391F86" w:rsidP="00391F86">
            <w:pPr>
              <w:spacing w:after="0" w:line="240" w:lineRule="auto"/>
              <w:jc w:val="right"/>
              <w:rPr>
                <w:rFonts w:ascii="Calibri" w:eastAsia="Times New Roman" w:hAnsi="Calibri" w:cs="Calibri"/>
                <w:color w:val="000000"/>
              </w:rPr>
            </w:pPr>
            <w:r w:rsidRPr="0021237C">
              <w:rPr>
                <w:rFonts w:ascii="Calibri" w:eastAsia="Times New Roman" w:hAnsi="Calibri" w:cs="Calibri"/>
                <w:color w:val="000000"/>
              </w:rPr>
              <w:t>1.477403</w:t>
            </w:r>
          </w:p>
        </w:tc>
        <w:tc>
          <w:tcPr>
            <w:tcW w:w="1053" w:type="dxa"/>
            <w:tcBorders>
              <w:top w:val="nil"/>
              <w:left w:val="nil"/>
              <w:bottom w:val="nil"/>
              <w:right w:val="nil"/>
            </w:tcBorders>
            <w:shd w:val="clear" w:color="auto" w:fill="auto"/>
            <w:noWrap/>
            <w:vAlign w:val="bottom"/>
            <w:hideMark/>
          </w:tcPr>
          <w:p w:rsidR="00391F86" w:rsidRPr="0021237C" w:rsidRDefault="00391F86" w:rsidP="00391F86">
            <w:pPr>
              <w:spacing w:after="0" w:line="240" w:lineRule="auto"/>
              <w:jc w:val="right"/>
              <w:rPr>
                <w:rFonts w:ascii="Calibri" w:eastAsia="Times New Roman" w:hAnsi="Calibri" w:cs="Calibri"/>
                <w:color w:val="000000"/>
              </w:rPr>
            </w:pPr>
            <w:r w:rsidRPr="0021237C">
              <w:rPr>
                <w:rFonts w:ascii="Calibri" w:eastAsia="Times New Roman" w:hAnsi="Calibri" w:cs="Calibri"/>
                <w:color w:val="000000"/>
              </w:rPr>
              <w:t>0.085269</w:t>
            </w:r>
          </w:p>
        </w:tc>
        <w:tc>
          <w:tcPr>
            <w:tcW w:w="1053" w:type="dxa"/>
            <w:tcBorders>
              <w:top w:val="nil"/>
              <w:left w:val="nil"/>
              <w:bottom w:val="nil"/>
              <w:right w:val="nil"/>
            </w:tcBorders>
            <w:shd w:val="clear" w:color="auto" w:fill="auto"/>
            <w:noWrap/>
            <w:vAlign w:val="bottom"/>
            <w:hideMark/>
          </w:tcPr>
          <w:p w:rsidR="00391F86" w:rsidRPr="0021237C" w:rsidRDefault="00391F86" w:rsidP="00391F86">
            <w:pPr>
              <w:spacing w:after="0" w:line="240" w:lineRule="auto"/>
              <w:jc w:val="right"/>
              <w:rPr>
                <w:rFonts w:ascii="Calibri" w:eastAsia="Times New Roman" w:hAnsi="Calibri" w:cs="Calibri"/>
                <w:color w:val="000000"/>
              </w:rPr>
            </w:pPr>
            <w:r w:rsidRPr="0021237C">
              <w:rPr>
                <w:rFonts w:ascii="Calibri" w:eastAsia="Times New Roman" w:hAnsi="Calibri" w:cs="Calibri"/>
                <w:color w:val="000000"/>
              </w:rPr>
              <w:t>0.935356</w:t>
            </w:r>
          </w:p>
        </w:tc>
        <w:tc>
          <w:tcPr>
            <w:tcW w:w="1275" w:type="dxa"/>
            <w:tcBorders>
              <w:top w:val="nil"/>
              <w:left w:val="nil"/>
              <w:bottom w:val="nil"/>
              <w:right w:val="nil"/>
            </w:tcBorders>
            <w:shd w:val="clear" w:color="auto" w:fill="auto"/>
            <w:noWrap/>
            <w:vAlign w:val="bottom"/>
            <w:hideMark/>
          </w:tcPr>
          <w:p w:rsidR="00391F86" w:rsidRPr="0021237C" w:rsidRDefault="00391F86" w:rsidP="00391F86">
            <w:pPr>
              <w:spacing w:after="0" w:line="240" w:lineRule="auto"/>
              <w:jc w:val="right"/>
              <w:rPr>
                <w:rFonts w:ascii="Calibri" w:eastAsia="Times New Roman" w:hAnsi="Calibri" w:cs="Calibri"/>
                <w:color w:val="000000"/>
              </w:rPr>
            </w:pPr>
            <w:r w:rsidRPr="0021237C">
              <w:rPr>
                <w:rFonts w:ascii="Calibri" w:eastAsia="Times New Roman" w:hAnsi="Calibri" w:cs="Calibri"/>
                <w:color w:val="000000"/>
              </w:rPr>
              <w:t>-3.67181</w:t>
            </w:r>
          </w:p>
        </w:tc>
        <w:tc>
          <w:tcPr>
            <w:tcW w:w="1053" w:type="dxa"/>
            <w:tcBorders>
              <w:top w:val="nil"/>
              <w:left w:val="nil"/>
              <w:bottom w:val="nil"/>
              <w:right w:val="nil"/>
            </w:tcBorders>
            <w:shd w:val="clear" w:color="auto" w:fill="auto"/>
            <w:noWrap/>
            <w:vAlign w:val="bottom"/>
            <w:hideMark/>
          </w:tcPr>
          <w:p w:rsidR="00391F86" w:rsidRPr="0021237C" w:rsidRDefault="00391F86" w:rsidP="00391F86">
            <w:pPr>
              <w:spacing w:after="0" w:line="240" w:lineRule="auto"/>
              <w:jc w:val="right"/>
              <w:rPr>
                <w:rFonts w:ascii="Calibri" w:eastAsia="Times New Roman" w:hAnsi="Calibri" w:cs="Calibri"/>
                <w:color w:val="000000"/>
              </w:rPr>
            </w:pPr>
            <w:r w:rsidRPr="0021237C">
              <w:rPr>
                <w:rFonts w:ascii="Calibri" w:eastAsia="Times New Roman" w:hAnsi="Calibri" w:cs="Calibri"/>
                <w:color w:val="000000"/>
              </w:rPr>
              <w:t>3.923762</w:t>
            </w:r>
          </w:p>
        </w:tc>
        <w:tc>
          <w:tcPr>
            <w:tcW w:w="1015" w:type="dxa"/>
            <w:tcBorders>
              <w:top w:val="nil"/>
              <w:left w:val="nil"/>
              <w:bottom w:val="nil"/>
              <w:right w:val="nil"/>
            </w:tcBorders>
            <w:shd w:val="clear" w:color="auto" w:fill="auto"/>
            <w:noWrap/>
            <w:vAlign w:val="bottom"/>
            <w:hideMark/>
          </w:tcPr>
          <w:p w:rsidR="00391F86" w:rsidRPr="0021237C" w:rsidRDefault="00391F86" w:rsidP="00391F86">
            <w:pPr>
              <w:spacing w:after="0" w:line="240" w:lineRule="auto"/>
              <w:jc w:val="right"/>
              <w:rPr>
                <w:rFonts w:ascii="Calibri" w:eastAsia="Times New Roman" w:hAnsi="Calibri" w:cs="Calibri"/>
                <w:color w:val="000000"/>
              </w:rPr>
            </w:pPr>
            <w:r w:rsidRPr="0021237C">
              <w:rPr>
                <w:rFonts w:ascii="Calibri" w:eastAsia="Times New Roman" w:hAnsi="Calibri" w:cs="Calibri"/>
                <w:color w:val="000000"/>
              </w:rPr>
              <w:t>-3.67181</w:t>
            </w:r>
          </w:p>
        </w:tc>
        <w:tc>
          <w:tcPr>
            <w:tcW w:w="1053" w:type="dxa"/>
            <w:tcBorders>
              <w:top w:val="nil"/>
              <w:left w:val="nil"/>
              <w:bottom w:val="nil"/>
              <w:right w:val="single" w:sz="4" w:space="0" w:color="auto"/>
            </w:tcBorders>
            <w:shd w:val="clear" w:color="auto" w:fill="auto"/>
            <w:noWrap/>
            <w:vAlign w:val="bottom"/>
            <w:hideMark/>
          </w:tcPr>
          <w:p w:rsidR="00391F86" w:rsidRPr="0021237C" w:rsidRDefault="00391F86" w:rsidP="00391F86">
            <w:pPr>
              <w:spacing w:after="0" w:line="240" w:lineRule="auto"/>
              <w:jc w:val="right"/>
              <w:rPr>
                <w:rFonts w:ascii="Calibri" w:eastAsia="Times New Roman" w:hAnsi="Calibri" w:cs="Calibri"/>
                <w:color w:val="000000"/>
              </w:rPr>
            </w:pPr>
            <w:r w:rsidRPr="0021237C">
              <w:rPr>
                <w:rFonts w:ascii="Calibri" w:eastAsia="Times New Roman" w:hAnsi="Calibri" w:cs="Calibri"/>
                <w:color w:val="000000"/>
              </w:rPr>
              <w:t>3.923762</w:t>
            </w:r>
          </w:p>
        </w:tc>
      </w:tr>
      <w:tr w:rsidR="00391F86" w:rsidRPr="0021237C" w:rsidTr="00391F86">
        <w:trPr>
          <w:trHeight w:val="275"/>
        </w:trPr>
        <w:tc>
          <w:tcPr>
            <w:tcW w:w="1680" w:type="dxa"/>
            <w:tcBorders>
              <w:top w:val="nil"/>
              <w:left w:val="single" w:sz="4" w:space="0" w:color="auto"/>
              <w:bottom w:val="nil"/>
              <w:right w:val="nil"/>
            </w:tcBorders>
            <w:shd w:val="clear" w:color="auto" w:fill="auto"/>
            <w:noWrap/>
            <w:vAlign w:val="bottom"/>
            <w:hideMark/>
          </w:tcPr>
          <w:p w:rsidR="00391F86" w:rsidRPr="0021237C" w:rsidRDefault="00391F86" w:rsidP="00391F86">
            <w:pPr>
              <w:spacing w:after="0" w:line="240" w:lineRule="auto"/>
              <w:rPr>
                <w:rFonts w:ascii="Calibri" w:eastAsia="Times New Roman" w:hAnsi="Calibri" w:cs="Calibri"/>
                <w:color w:val="000000"/>
              </w:rPr>
            </w:pPr>
            <w:r w:rsidRPr="0021237C">
              <w:rPr>
                <w:rFonts w:ascii="Calibri" w:eastAsia="Times New Roman" w:hAnsi="Calibri" w:cs="Calibri"/>
                <w:color w:val="000000"/>
              </w:rPr>
              <w:t xml:space="preserve">Current </w:t>
            </w:r>
            <w:proofErr w:type="spellStart"/>
            <w:r w:rsidRPr="0021237C">
              <w:rPr>
                <w:rFonts w:ascii="Calibri" w:eastAsia="Times New Roman" w:hAnsi="Calibri" w:cs="Calibri"/>
                <w:color w:val="000000"/>
              </w:rPr>
              <w:t>Mgmt</w:t>
            </w:r>
            <w:proofErr w:type="spellEnd"/>
            <w:r w:rsidRPr="0021237C">
              <w:rPr>
                <w:rFonts w:ascii="Calibri" w:eastAsia="Times New Roman" w:hAnsi="Calibri" w:cs="Calibri"/>
                <w:color w:val="000000"/>
              </w:rPr>
              <w:t xml:space="preserve"> Fee</w:t>
            </w:r>
          </w:p>
        </w:tc>
        <w:tc>
          <w:tcPr>
            <w:tcW w:w="1254" w:type="dxa"/>
            <w:tcBorders>
              <w:top w:val="nil"/>
              <w:left w:val="nil"/>
              <w:bottom w:val="nil"/>
              <w:right w:val="nil"/>
            </w:tcBorders>
            <w:shd w:val="clear" w:color="auto" w:fill="auto"/>
            <w:noWrap/>
            <w:vAlign w:val="bottom"/>
            <w:hideMark/>
          </w:tcPr>
          <w:p w:rsidR="00391F86" w:rsidRPr="0021237C" w:rsidRDefault="00391F86" w:rsidP="00391F86">
            <w:pPr>
              <w:spacing w:after="0" w:line="240" w:lineRule="auto"/>
              <w:jc w:val="right"/>
              <w:rPr>
                <w:rFonts w:ascii="Calibri" w:eastAsia="Times New Roman" w:hAnsi="Calibri" w:cs="Calibri"/>
                <w:color w:val="000000"/>
              </w:rPr>
            </w:pPr>
            <w:r w:rsidRPr="0021237C">
              <w:rPr>
                <w:rFonts w:ascii="Calibri" w:eastAsia="Times New Roman" w:hAnsi="Calibri" w:cs="Calibri"/>
                <w:color w:val="000000"/>
              </w:rPr>
              <w:t>-2.82309</w:t>
            </w:r>
          </w:p>
        </w:tc>
        <w:tc>
          <w:tcPr>
            <w:tcW w:w="1163" w:type="dxa"/>
            <w:tcBorders>
              <w:top w:val="nil"/>
              <w:left w:val="nil"/>
              <w:bottom w:val="nil"/>
              <w:right w:val="nil"/>
            </w:tcBorders>
            <w:shd w:val="clear" w:color="auto" w:fill="auto"/>
            <w:noWrap/>
            <w:vAlign w:val="bottom"/>
            <w:hideMark/>
          </w:tcPr>
          <w:p w:rsidR="00391F86" w:rsidRPr="0021237C" w:rsidRDefault="00391F86" w:rsidP="00391F86">
            <w:pPr>
              <w:spacing w:after="0" w:line="240" w:lineRule="auto"/>
              <w:jc w:val="right"/>
              <w:rPr>
                <w:rFonts w:ascii="Calibri" w:eastAsia="Times New Roman" w:hAnsi="Calibri" w:cs="Calibri"/>
                <w:color w:val="000000"/>
              </w:rPr>
            </w:pPr>
            <w:r w:rsidRPr="0021237C">
              <w:rPr>
                <w:rFonts w:ascii="Calibri" w:eastAsia="Times New Roman" w:hAnsi="Calibri" w:cs="Calibri"/>
                <w:color w:val="000000"/>
              </w:rPr>
              <w:t>3.755173</w:t>
            </w:r>
          </w:p>
        </w:tc>
        <w:tc>
          <w:tcPr>
            <w:tcW w:w="1053" w:type="dxa"/>
            <w:tcBorders>
              <w:top w:val="nil"/>
              <w:left w:val="nil"/>
              <w:bottom w:val="nil"/>
              <w:right w:val="nil"/>
            </w:tcBorders>
            <w:shd w:val="clear" w:color="auto" w:fill="auto"/>
            <w:noWrap/>
            <w:vAlign w:val="bottom"/>
            <w:hideMark/>
          </w:tcPr>
          <w:p w:rsidR="00391F86" w:rsidRPr="0021237C" w:rsidRDefault="00391F86" w:rsidP="00391F86">
            <w:pPr>
              <w:spacing w:after="0" w:line="240" w:lineRule="auto"/>
              <w:jc w:val="right"/>
              <w:rPr>
                <w:rFonts w:ascii="Calibri" w:eastAsia="Times New Roman" w:hAnsi="Calibri" w:cs="Calibri"/>
                <w:color w:val="000000"/>
              </w:rPr>
            </w:pPr>
            <w:r w:rsidRPr="0021237C">
              <w:rPr>
                <w:rFonts w:ascii="Calibri" w:eastAsia="Times New Roman" w:hAnsi="Calibri" w:cs="Calibri"/>
                <w:color w:val="000000"/>
              </w:rPr>
              <w:t>-0.75179</w:t>
            </w:r>
          </w:p>
        </w:tc>
        <w:tc>
          <w:tcPr>
            <w:tcW w:w="1053" w:type="dxa"/>
            <w:tcBorders>
              <w:top w:val="nil"/>
              <w:left w:val="nil"/>
              <w:bottom w:val="nil"/>
              <w:right w:val="nil"/>
            </w:tcBorders>
            <w:shd w:val="clear" w:color="auto" w:fill="auto"/>
            <w:noWrap/>
            <w:vAlign w:val="bottom"/>
            <w:hideMark/>
          </w:tcPr>
          <w:p w:rsidR="00391F86" w:rsidRPr="0021237C" w:rsidRDefault="00391F86" w:rsidP="00391F86">
            <w:pPr>
              <w:spacing w:after="0" w:line="240" w:lineRule="auto"/>
              <w:jc w:val="right"/>
              <w:rPr>
                <w:rFonts w:ascii="Calibri" w:eastAsia="Times New Roman" w:hAnsi="Calibri" w:cs="Calibri"/>
                <w:color w:val="000000"/>
              </w:rPr>
            </w:pPr>
            <w:r w:rsidRPr="0021237C">
              <w:rPr>
                <w:rFonts w:ascii="Calibri" w:eastAsia="Times New Roman" w:hAnsi="Calibri" w:cs="Calibri"/>
                <w:color w:val="000000"/>
              </w:rPr>
              <w:t>0.486039</w:t>
            </w:r>
          </w:p>
        </w:tc>
        <w:tc>
          <w:tcPr>
            <w:tcW w:w="1275" w:type="dxa"/>
            <w:tcBorders>
              <w:top w:val="nil"/>
              <w:left w:val="nil"/>
              <w:bottom w:val="nil"/>
              <w:right w:val="nil"/>
            </w:tcBorders>
            <w:shd w:val="clear" w:color="auto" w:fill="auto"/>
            <w:noWrap/>
            <w:vAlign w:val="bottom"/>
            <w:hideMark/>
          </w:tcPr>
          <w:p w:rsidR="00391F86" w:rsidRPr="0021237C" w:rsidRDefault="00391F86" w:rsidP="00391F86">
            <w:pPr>
              <w:spacing w:after="0" w:line="240" w:lineRule="auto"/>
              <w:jc w:val="right"/>
              <w:rPr>
                <w:rFonts w:ascii="Calibri" w:eastAsia="Times New Roman" w:hAnsi="Calibri" w:cs="Calibri"/>
                <w:color w:val="000000"/>
              </w:rPr>
            </w:pPr>
            <w:r w:rsidRPr="0021237C">
              <w:rPr>
                <w:rFonts w:ascii="Calibri" w:eastAsia="Times New Roman" w:hAnsi="Calibri" w:cs="Calibri"/>
                <w:color w:val="000000"/>
              </w:rPr>
              <w:t>-12.4761</w:t>
            </w:r>
          </w:p>
        </w:tc>
        <w:tc>
          <w:tcPr>
            <w:tcW w:w="1053" w:type="dxa"/>
            <w:tcBorders>
              <w:top w:val="nil"/>
              <w:left w:val="nil"/>
              <w:bottom w:val="nil"/>
              <w:right w:val="nil"/>
            </w:tcBorders>
            <w:shd w:val="clear" w:color="auto" w:fill="auto"/>
            <w:noWrap/>
            <w:vAlign w:val="bottom"/>
            <w:hideMark/>
          </w:tcPr>
          <w:p w:rsidR="00391F86" w:rsidRPr="0021237C" w:rsidRDefault="00391F86" w:rsidP="00391F86">
            <w:pPr>
              <w:spacing w:after="0" w:line="240" w:lineRule="auto"/>
              <w:jc w:val="right"/>
              <w:rPr>
                <w:rFonts w:ascii="Calibri" w:eastAsia="Times New Roman" w:hAnsi="Calibri" w:cs="Calibri"/>
                <w:color w:val="000000"/>
              </w:rPr>
            </w:pPr>
            <w:r w:rsidRPr="0021237C">
              <w:rPr>
                <w:rFonts w:ascii="Calibri" w:eastAsia="Times New Roman" w:hAnsi="Calibri" w:cs="Calibri"/>
                <w:color w:val="000000"/>
              </w:rPr>
              <w:t>6.829885</w:t>
            </w:r>
          </w:p>
        </w:tc>
        <w:tc>
          <w:tcPr>
            <w:tcW w:w="1015" w:type="dxa"/>
            <w:tcBorders>
              <w:top w:val="nil"/>
              <w:left w:val="nil"/>
              <w:bottom w:val="nil"/>
              <w:right w:val="nil"/>
            </w:tcBorders>
            <w:shd w:val="clear" w:color="auto" w:fill="auto"/>
            <w:noWrap/>
            <w:vAlign w:val="bottom"/>
            <w:hideMark/>
          </w:tcPr>
          <w:p w:rsidR="00391F86" w:rsidRPr="0021237C" w:rsidRDefault="00391F86" w:rsidP="00391F86">
            <w:pPr>
              <w:spacing w:after="0" w:line="240" w:lineRule="auto"/>
              <w:jc w:val="right"/>
              <w:rPr>
                <w:rFonts w:ascii="Calibri" w:eastAsia="Times New Roman" w:hAnsi="Calibri" w:cs="Calibri"/>
                <w:color w:val="000000"/>
              </w:rPr>
            </w:pPr>
            <w:r w:rsidRPr="0021237C">
              <w:rPr>
                <w:rFonts w:ascii="Calibri" w:eastAsia="Times New Roman" w:hAnsi="Calibri" w:cs="Calibri"/>
                <w:color w:val="000000"/>
              </w:rPr>
              <w:t>-12.4761</w:t>
            </w:r>
          </w:p>
        </w:tc>
        <w:tc>
          <w:tcPr>
            <w:tcW w:w="1053" w:type="dxa"/>
            <w:tcBorders>
              <w:top w:val="nil"/>
              <w:left w:val="nil"/>
              <w:bottom w:val="nil"/>
              <w:right w:val="single" w:sz="4" w:space="0" w:color="auto"/>
            </w:tcBorders>
            <w:shd w:val="clear" w:color="auto" w:fill="auto"/>
            <w:noWrap/>
            <w:vAlign w:val="bottom"/>
            <w:hideMark/>
          </w:tcPr>
          <w:p w:rsidR="00391F86" w:rsidRPr="0021237C" w:rsidRDefault="00391F86" w:rsidP="00391F86">
            <w:pPr>
              <w:spacing w:after="0" w:line="240" w:lineRule="auto"/>
              <w:jc w:val="right"/>
              <w:rPr>
                <w:rFonts w:ascii="Calibri" w:eastAsia="Times New Roman" w:hAnsi="Calibri" w:cs="Calibri"/>
                <w:color w:val="000000"/>
              </w:rPr>
            </w:pPr>
            <w:r w:rsidRPr="0021237C">
              <w:rPr>
                <w:rFonts w:ascii="Calibri" w:eastAsia="Times New Roman" w:hAnsi="Calibri" w:cs="Calibri"/>
                <w:color w:val="000000"/>
              </w:rPr>
              <w:t>6.829885</w:t>
            </w:r>
          </w:p>
        </w:tc>
      </w:tr>
      <w:tr w:rsidR="00391F86" w:rsidRPr="0021237C" w:rsidTr="00391F86">
        <w:trPr>
          <w:trHeight w:val="98"/>
        </w:trPr>
        <w:tc>
          <w:tcPr>
            <w:tcW w:w="1680" w:type="dxa"/>
            <w:tcBorders>
              <w:top w:val="nil"/>
              <w:left w:val="single" w:sz="4" w:space="0" w:color="auto"/>
              <w:bottom w:val="single" w:sz="4" w:space="0" w:color="auto"/>
              <w:right w:val="nil"/>
            </w:tcBorders>
            <w:shd w:val="clear" w:color="auto" w:fill="auto"/>
            <w:noWrap/>
            <w:vAlign w:val="bottom"/>
            <w:hideMark/>
          </w:tcPr>
          <w:p w:rsidR="00391F86" w:rsidRPr="0021237C" w:rsidRDefault="00391F86" w:rsidP="00391F86">
            <w:pPr>
              <w:spacing w:after="0" w:line="240" w:lineRule="auto"/>
              <w:rPr>
                <w:rFonts w:ascii="Calibri" w:eastAsia="Times New Roman" w:hAnsi="Calibri" w:cs="Calibri"/>
                <w:color w:val="000000"/>
              </w:rPr>
            </w:pPr>
            <w:r w:rsidRPr="0021237C">
              <w:rPr>
                <w:rFonts w:ascii="Calibri" w:eastAsia="Times New Roman" w:hAnsi="Calibri" w:cs="Calibri"/>
                <w:color w:val="000000"/>
              </w:rPr>
              <w:t>12b1 Fee</w:t>
            </w:r>
          </w:p>
        </w:tc>
        <w:tc>
          <w:tcPr>
            <w:tcW w:w="1254" w:type="dxa"/>
            <w:tcBorders>
              <w:top w:val="nil"/>
              <w:left w:val="nil"/>
              <w:bottom w:val="single" w:sz="4" w:space="0" w:color="auto"/>
              <w:right w:val="nil"/>
            </w:tcBorders>
            <w:shd w:val="clear" w:color="auto" w:fill="auto"/>
            <w:noWrap/>
            <w:vAlign w:val="bottom"/>
            <w:hideMark/>
          </w:tcPr>
          <w:p w:rsidR="00391F86" w:rsidRPr="0021237C" w:rsidRDefault="00391F86" w:rsidP="00391F86">
            <w:pPr>
              <w:spacing w:after="0" w:line="240" w:lineRule="auto"/>
              <w:jc w:val="right"/>
              <w:rPr>
                <w:rFonts w:ascii="Calibri" w:eastAsia="Times New Roman" w:hAnsi="Calibri" w:cs="Calibri"/>
                <w:color w:val="000000"/>
              </w:rPr>
            </w:pPr>
            <w:r w:rsidRPr="0021237C">
              <w:rPr>
                <w:rFonts w:ascii="Calibri" w:eastAsia="Times New Roman" w:hAnsi="Calibri" w:cs="Calibri"/>
                <w:color w:val="000000"/>
              </w:rPr>
              <w:t>-1.57636</w:t>
            </w:r>
          </w:p>
        </w:tc>
        <w:tc>
          <w:tcPr>
            <w:tcW w:w="1163" w:type="dxa"/>
            <w:tcBorders>
              <w:top w:val="nil"/>
              <w:left w:val="nil"/>
              <w:bottom w:val="single" w:sz="4" w:space="0" w:color="auto"/>
              <w:right w:val="nil"/>
            </w:tcBorders>
            <w:shd w:val="clear" w:color="auto" w:fill="auto"/>
            <w:noWrap/>
            <w:vAlign w:val="bottom"/>
            <w:hideMark/>
          </w:tcPr>
          <w:p w:rsidR="00391F86" w:rsidRPr="0021237C" w:rsidRDefault="00391F86" w:rsidP="00391F86">
            <w:pPr>
              <w:spacing w:after="0" w:line="240" w:lineRule="auto"/>
              <w:jc w:val="right"/>
              <w:rPr>
                <w:rFonts w:ascii="Calibri" w:eastAsia="Times New Roman" w:hAnsi="Calibri" w:cs="Calibri"/>
                <w:color w:val="000000"/>
              </w:rPr>
            </w:pPr>
            <w:r w:rsidRPr="0021237C">
              <w:rPr>
                <w:rFonts w:ascii="Calibri" w:eastAsia="Times New Roman" w:hAnsi="Calibri" w:cs="Calibri"/>
                <w:color w:val="000000"/>
              </w:rPr>
              <w:t>16.58028</w:t>
            </w:r>
          </w:p>
        </w:tc>
        <w:tc>
          <w:tcPr>
            <w:tcW w:w="1053" w:type="dxa"/>
            <w:tcBorders>
              <w:top w:val="nil"/>
              <w:left w:val="nil"/>
              <w:bottom w:val="single" w:sz="4" w:space="0" w:color="auto"/>
              <w:right w:val="nil"/>
            </w:tcBorders>
            <w:shd w:val="clear" w:color="auto" w:fill="auto"/>
            <w:noWrap/>
            <w:vAlign w:val="bottom"/>
            <w:hideMark/>
          </w:tcPr>
          <w:p w:rsidR="00391F86" w:rsidRPr="0021237C" w:rsidRDefault="00391F86" w:rsidP="00391F86">
            <w:pPr>
              <w:spacing w:after="0" w:line="240" w:lineRule="auto"/>
              <w:jc w:val="right"/>
              <w:rPr>
                <w:rFonts w:ascii="Calibri" w:eastAsia="Times New Roman" w:hAnsi="Calibri" w:cs="Calibri"/>
                <w:color w:val="000000"/>
              </w:rPr>
            </w:pPr>
            <w:r w:rsidRPr="0021237C">
              <w:rPr>
                <w:rFonts w:ascii="Calibri" w:eastAsia="Times New Roman" w:hAnsi="Calibri" w:cs="Calibri"/>
                <w:color w:val="000000"/>
              </w:rPr>
              <w:t>-0.09507</w:t>
            </w:r>
          </w:p>
        </w:tc>
        <w:tc>
          <w:tcPr>
            <w:tcW w:w="1053" w:type="dxa"/>
            <w:tcBorders>
              <w:top w:val="nil"/>
              <w:left w:val="nil"/>
              <w:bottom w:val="single" w:sz="4" w:space="0" w:color="auto"/>
              <w:right w:val="nil"/>
            </w:tcBorders>
            <w:shd w:val="clear" w:color="auto" w:fill="auto"/>
            <w:noWrap/>
            <w:vAlign w:val="bottom"/>
            <w:hideMark/>
          </w:tcPr>
          <w:p w:rsidR="00391F86" w:rsidRPr="0021237C" w:rsidRDefault="00391F86" w:rsidP="00391F86">
            <w:pPr>
              <w:spacing w:after="0" w:line="240" w:lineRule="auto"/>
              <w:jc w:val="right"/>
              <w:rPr>
                <w:rFonts w:ascii="Calibri" w:eastAsia="Times New Roman" w:hAnsi="Calibri" w:cs="Calibri"/>
                <w:color w:val="000000"/>
              </w:rPr>
            </w:pPr>
            <w:r w:rsidRPr="0021237C">
              <w:rPr>
                <w:rFonts w:ascii="Calibri" w:eastAsia="Times New Roman" w:hAnsi="Calibri" w:cs="Calibri"/>
                <w:color w:val="000000"/>
              </w:rPr>
              <w:t>0.927949</w:t>
            </w:r>
          </w:p>
        </w:tc>
        <w:tc>
          <w:tcPr>
            <w:tcW w:w="1275" w:type="dxa"/>
            <w:tcBorders>
              <w:top w:val="nil"/>
              <w:left w:val="nil"/>
              <w:bottom w:val="single" w:sz="4" w:space="0" w:color="auto"/>
              <w:right w:val="nil"/>
            </w:tcBorders>
            <w:shd w:val="clear" w:color="auto" w:fill="auto"/>
            <w:noWrap/>
            <w:vAlign w:val="bottom"/>
            <w:hideMark/>
          </w:tcPr>
          <w:p w:rsidR="00391F86" w:rsidRPr="0021237C" w:rsidRDefault="00391F86" w:rsidP="00391F86">
            <w:pPr>
              <w:spacing w:after="0" w:line="240" w:lineRule="auto"/>
              <w:jc w:val="right"/>
              <w:rPr>
                <w:rFonts w:ascii="Calibri" w:eastAsia="Times New Roman" w:hAnsi="Calibri" w:cs="Calibri"/>
                <w:color w:val="000000"/>
              </w:rPr>
            </w:pPr>
            <w:r w:rsidRPr="0021237C">
              <w:rPr>
                <w:rFonts w:ascii="Calibri" w:eastAsia="Times New Roman" w:hAnsi="Calibri" w:cs="Calibri"/>
                <w:color w:val="000000"/>
              </w:rPr>
              <w:t>-44.1973</w:t>
            </w:r>
          </w:p>
        </w:tc>
        <w:tc>
          <w:tcPr>
            <w:tcW w:w="1053" w:type="dxa"/>
            <w:tcBorders>
              <w:top w:val="nil"/>
              <w:left w:val="nil"/>
              <w:bottom w:val="single" w:sz="4" w:space="0" w:color="auto"/>
              <w:right w:val="nil"/>
            </w:tcBorders>
            <w:shd w:val="clear" w:color="auto" w:fill="auto"/>
            <w:noWrap/>
            <w:vAlign w:val="bottom"/>
            <w:hideMark/>
          </w:tcPr>
          <w:p w:rsidR="00391F86" w:rsidRPr="0021237C" w:rsidRDefault="00391F86" w:rsidP="00391F86">
            <w:pPr>
              <w:spacing w:after="0" w:line="240" w:lineRule="auto"/>
              <w:jc w:val="right"/>
              <w:rPr>
                <w:rFonts w:ascii="Calibri" w:eastAsia="Times New Roman" w:hAnsi="Calibri" w:cs="Calibri"/>
                <w:color w:val="000000"/>
              </w:rPr>
            </w:pPr>
            <w:r w:rsidRPr="0021237C">
              <w:rPr>
                <w:rFonts w:ascii="Calibri" w:eastAsia="Times New Roman" w:hAnsi="Calibri" w:cs="Calibri"/>
                <w:color w:val="000000"/>
              </w:rPr>
              <w:t>41.0446</w:t>
            </w:r>
          </w:p>
        </w:tc>
        <w:tc>
          <w:tcPr>
            <w:tcW w:w="1015" w:type="dxa"/>
            <w:tcBorders>
              <w:top w:val="nil"/>
              <w:left w:val="nil"/>
              <w:bottom w:val="single" w:sz="4" w:space="0" w:color="auto"/>
              <w:right w:val="nil"/>
            </w:tcBorders>
            <w:shd w:val="clear" w:color="auto" w:fill="auto"/>
            <w:noWrap/>
            <w:vAlign w:val="bottom"/>
            <w:hideMark/>
          </w:tcPr>
          <w:p w:rsidR="00391F86" w:rsidRPr="0021237C" w:rsidRDefault="00391F86" w:rsidP="00391F86">
            <w:pPr>
              <w:spacing w:after="0" w:line="240" w:lineRule="auto"/>
              <w:jc w:val="right"/>
              <w:rPr>
                <w:rFonts w:ascii="Calibri" w:eastAsia="Times New Roman" w:hAnsi="Calibri" w:cs="Calibri"/>
                <w:color w:val="000000"/>
              </w:rPr>
            </w:pPr>
            <w:r w:rsidRPr="0021237C">
              <w:rPr>
                <w:rFonts w:ascii="Calibri" w:eastAsia="Times New Roman" w:hAnsi="Calibri" w:cs="Calibri"/>
                <w:color w:val="000000"/>
              </w:rPr>
              <w:t>-44.1973</w:t>
            </w:r>
          </w:p>
        </w:tc>
        <w:tc>
          <w:tcPr>
            <w:tcW w:w="1053" w:type="dxa"/>
            <w:tcBorders>
              <w:top w:val="nil"/>
              <w:left w:val="nil"/>
              <w:bottom w:val="single" w:sz="4" w:space="0" w:color="auto"/>
              <w:right w:val="single" w:sz="4" w:space="0" w:color="auto"/>
            </w:tcBorders>
            <w:shd w:val="clear" w:color="auto" w:fill="auto"/>
            <w:noWrap/>
            <w:vAlign w:val="bottom"/>
            <w:hideMark/>
          </w:tcPr>
          <w:p w:rsidR="00391F86" w:rsidRPr="0021237C" w:rsidRDefault="00391F86" w:rsidP="00391F86">
            <w:pPr>
              <w:spacing w:after="0" w:line="240" w:lineRule="auto"/>
              <w:jc w:val="right"/>
              <w:rPr>
                <w:rFonts w:ascii="Calibri" w:eastAsia="Times New Roman" w:hAnsi="Calibri" w:cs="Calibri"/>
                <w:color w:val="000000"/>
              </w:rPr>
            </w:pPr>
            <w:r w:rsidRPr="0021237C">
              <w:rPr>
                <w:rFonts w:ascii="Calibri" w:eastAsia="Times New Roman" w:hAnsi="Calibri" w:cs="Calibri"/>
                <w:color w:val="000000"/>
              </w:rPr>
              <w:t>41.0446</w:t>
            </w:r>
          </w:p>
        </w:tc>
      </w:tr>
    </w:tbl>
    <w:p w:rsidR="00391F86" w:rsidRPr="00391F86" w:rsidRDefault="00391F86" w:rsidP="00391F86">
      <w:pPr>
        <w:spacing w:line="480" w:lineRule="auto"/>
        <w:rPr>
          <w:b/>
          <w:sz w:val="24"/>
          <w:szCs w:val="24"/>
        </w:rPr>
      </w:pPr>
      <w:r>
        <w:rPr>
          <w:b/>
          <w:sz w:val="24"/>
          <w:szCs w:val="24"/>
        </w:rPr>
        <w:t>Figure 3</w:t>
      </w:r>
    </w:p>
    <w:p w:rsidR="00866FAE" w:rsidRDefault="0021237C" w:rsidP="00391F86">
      <w:pPr>
        <w:spacing w:line="480" w:lineRule="auto"/>
        <w:ind w:firstLine="720"/>
        <w:rPr>
          <w:sz w:val="24"/>
          <w:szCs w:val="24"/>
        </w:rPr>
      </w:pPr>
      <w:r>
        <w:rPr>
          <w:sz w:val="24"/>
          <w:szCs w:val="24"/>
        </w:rPr>
        <w:t xml:space="preserve">This analysis shows that front and back loads do not significantly impact the annualized net of fees return realized by a fund.  </w:t>
      </w:r>
      <w:r w:rsidR="00B305F8">
        <w:rPr>
          <w:sz w:val="24"/>
          <w:szCs w:val="24"/>
        </w:rPr>
        <w:t>The coefficient for 12b1 fees indicates that these fees have a negative impact on fund returns.  However, the p-value is 0.92</w:t>
      </w:r>
      <w:r w:rsidR="00AB77E6">
        <w:rPr>
          <w:sz w:val="24"/>
          <w:szCs w:val="24"/>
        </w:rPr>
        <w:t>8</w:t>
      </w:r>
      <w:r w:rsidR="00B305F8">
        <w:rPr>
          <w:sz w:val="24"/>
          <w:szCs w:val="24"/>
        </w:rPr>
        <w:t>, well above the cutoff of 0.05, and therefore</w:t>
      </w:r>
      <w:r>
        <w:rPr>
          <w:sz w:val="24"/>
          <w:szCs w:val="24"/>
        </w:rPr>
        <w:t xml:space="preserve"> </w:t>
      </w:r>
      <w:r w:rsidR="00B305F8">
        <w:rPr>
          <w:sz w:val="24"/>
          <w:szCs w:val="24"/>
        </w:rPr>
        <w:t>indicates that 12b1 fees are not statistically significant in this regression model.  The coefficient for management fees indicates that these fees have an even greater negative effect on fund returns.  The p-value for management expenses is 0.486, meaning that management expenses are also not statistically significant in determining fund returns in this regression model.  It is worth noting</w:t>
      </w:r>
      <w:r w:rsidR="00FF2CF4">
        <w:rPr>
          <w:sz w:val="24"/>
          <w:szCs w:val="24"/>
        </w:rPr>
        <w:t>,</w:t>
      </w:r>
      <w:r w:rsidR="00B305F8">
        <w:rPr>
          <w:sz w:val="24"/>
          <w:szCs w:val="24"/>
        </w:rPr>
        <w:t xml:space="preserve"> however, that this is the lowest </w:t>
      </w:r>
      <w:r w:rsidR="00FF2CF4">
        <w:rPr>
          <w:sz w:val="24"/>
          <w:szCs w:val="24"/>
        </w:rPr>
        <w:t xml:space="preserve">p-value of any of the variables.  </w:t>
      </w:r>
      <w:r>
        <w:rPr>
          <w:sz w:val="24"/>
          <w:szCs w:val="24"/>
        </w:rPr>
        <w:t xml:space="preserve">Due to the limited number of funds used in this analysis, this </w:t>
      </w:r>
      <w:r w:rsidR="00FF2CF4">
        <w:rPr>
          <w:sz w:val="24"/>
          <w:szCs w:val="24"/>
        </w:rPr>
        <w:t>regression model</w:t>
      </w:r>
      <w:r>
        <w:rPr>
          <w:sz w:val="24"/>
          <w:szCs w:val="24"/>
        </w:rPr>
        <w:t xml:space="preserve"> has very low power.  The R Square value is .269, which indicates that only 26.9% of the variation in annualized net of fees returns can be explained by differences in fee structures.</w:t>
      </w:r>
      <w:r w:rsidR="004556D8">
        <w:rPr>
          <w:sz w:val="24"/>
          <w:szCs w:val="24"/>
        </w:rPr>
        <w:t xml:space="preserve"> </w:t>
      </w:r>
      <w:r>
        <w:rPr>
          <w:sz w:val="24"/>
          <w:szCs w:val="24"/>
        </w:rPr>
        <w:t xml:space="preserve"> However, this analysis could easily be scaled to include more funds which would give us more accurate and statistically significant results.</w:t>
      </w:r>
      <w:r w:rsidR="00FF2CF4">
        <w:rPr>
          <w:sz w:val="24"/>
          <w:szCs w:val="24"/>
        </w:rPr>
        <w:t xml:space="preserve">  If more fund data had been included, I find it likely that management fees would have been statistically significant in determining annualized net of fees returns.</w:t>
      </w:r>
    </w:p>
    <w:p w:rsidR="00866FAE" w:rsidRDefault="00766CCF" w:rsidP="00A450FA">
      <w:pPr>
        <w:spacing w:line="480" w:lineRule="auto"/>
        <w:ind w:firstLine="720"/>
        <w:rPr>
          <w:sz w:val="24"/>
          <w:szCs w:val="24"/>
        </w:rPr>
      </w:pPr>
      <w:r>
        <w:rPr>
          <w:sz w:val="24"/>
          <w:szCs w:val="24"/>
        </w:rPr>
        <w:lastRenderedPageBreak/>
        <w:t>In addition to performing a regression analysis to determine the impact of different fee structures on annualized net of fees returns, I have built two more regression models.  The first analyzes the effects of different asset allocation mixes on annualized net of fees returns.  The second model considers the correlation between the percentage of investments in US, EAFE, and emerging market</w:t>
      </w:r>
      <w:r w:rsidR="00A450FA">
        <w:rPr>
          <w:sz w:val="24"/>
          <w:szCs w:val="24"/>
        </w:rPr>
        <w:t xml:space="preserve">s and annualized net of fees returns.  These models have R Square values of 0.345 and 0.273 respectively, meaning that they explain only a small part of the variation in annualized net of fees returns.  Additionally, none of the variables in either of these regressions have p-values below 0.05, indicating that none of the variables are statistically significant in these models.  If </w:t>
      </w:r>
      <w:r w:rsidR="00B4523D">
        <w:rPr>
          <w:sz w:val="24"/>
          <w:szCs w:val="24"/>
        </w:rPr>
        <w:t>I</w:t>
      </w:r>
      <w:r w:rsidR="00A450FA">
        <w:rPr>
          <w:sz w:val="24"/>
          <w:szCs w:val="24"/>
        </w:rPr>
        <w:t xml:space="preserve"> were to add data </w:t>
      </w:r>
      <w:r w:rsidR="00B4523D">
        <w:rPr>
          <w:sz w:val="24"/>
          <w:szCs w:val="24"/>
        </w:rPr>
        <w:t>from more funds to this model, I</w:t>
      </w:r>
      <w:r w:rsidR="00A450FA">
        <w:rPr>
          <w:sz w:val="24"/>
          <w:szCs w:val="24"/>
        </w:rPr>
        <w:t xml:space="preserve"> would likely receive a result that explains a greater percentage of the variation in annualized</w:t>
      </w:r>
      <w:r>
        <w:rPr>
          <w:sz w:val="24"/>
          <w:szCs w:val="24"/>
        </w:rPr>
        <w:t xml:space="preserve"> </w:t>
      </w:r>
      <w:r w:rsidR="00A450FA">
        <w:rPr>
          <w:sz w:val="24"/>
          <w:szCs w:val="24"/>
        </w:rPr>
        <w:t>net of fees returns and yields more statistically significant results.</w:t>
      </w:r>
    </w:p>
    <w:p w:rsidR="00095333" w:rsidRDefault="0054293F" w:rsidP="0054293F">
      <w:pPr>
        <w:spacing w:line="480" w:lineRule="auto"/>
        <w:ind w:firstLine="720"/>
        <w:rPr>
          <w:sz w:val="24"/>
          <w:szCs w:val="24"/>
        </w:rPr>
      </w:pPr>
      <w:r w:rsidRPr="00A450FA">
        <w:rPr>
          <w:sz w:val="24"/>
          <w:szCs w:val="24"/>
        </w:rPr>
        <w:t>Using the results from my analysis</w:t>
      </w:r>
      <w:r w:rsidR="00A450FA" w:rsidRPr="00A450FA">
        <w:rPr>
          <w:sz w:val="24"/>
          <w:szCs w:val="24"/>
        </w:rPr>
        <w:t xml:space="preserve"> above </w:t>
      </w:r>
      <w:r w:rsidRPr="00A450FA">
        <w:rPr>
          <w:sz w:val="24"/>
          <w:szCs w:val="24"/>
        </w:rPr>
        <w:t xml:space="preserve">and information from the 2017 Investment Company Fact Book, I will now focus on the </w:t>
      </w:r>
      <w:r w:rsidR="002E3241" w:rsidRPr="00A450FA">
        <w:rPr>
          <w:sz w:val="24"/>
          <w:szCs w:val="24"/>
        </w:rPr>
        <w:t>increasing prevalence of</w:t>
      </w:r>
      <w:r w:rsidRPr="00A450FA">
        <w:rPr>
          <w:sz w:val="24"/>
          <w:szCs w:val="24"/>
        </w:rPr>
        <w:t xml:space="preserve"> passive investing</w:t>
      </w:r>
      <w:r w:rsidR="00B4523D">
        <w:rPr>
          <w:sz w:val="24"/>
          <w:szCs w:val="24"/>
        </w:rPr>
        <w:t>,</w:t>
      </w:r>
      <w:r w:rsidRPr="00A450FA">
        <w:rPr>
          <w:sz w:val="24"/>
          <w:szCs w:val="24"/>
        </w:rPr>
        <w:t xml:space="preserve"> and its effects on the mutual fund industry</w:t>
      </w:r>
      <w:r>
        <w:rPr>
          <w:sz w:val="24"/>
          <w:szCs w:val="24"/>
        </w:rPr>
        <w:t xml:space="preserve">.  </w:t>
      </w:r>
      <w:r w:rsidR="00C72A48">
        <w:rPr>
          <w:sz w:val="24"/>
          <w:szCs w:val="24"/>
        </w:rPr>
        <w:t xml:space="preserve">Based on the </w:t>
      </w:r>
      <w:r w:rsidR="00FD4DA8">
        <w:rPr>
          <w:sz w:val="24"/>
          <w:szCs w:val="24"/>
        </w:rPr>
        <w:t>results of the analysis I have</w:t>
      </w:r>
      <w:r w:rsidR="00C72A48">
        <w:rPr>
          <w:sz w:val="24"/>
          <w:szCs w:val="24"/>
        </w:rPr>
        <w:t xml:space="preserve"> conducted</w:t>
      </w:r>
      <w:r w:rsidR="00FD4DA8">
        <w:rPr>
          <w:sz w:val="24"/>
          <w:szCs w:val="24"/>
        </w:rPr>
        <w:t xml:space="preserve"> on the sample funds and their benchmarks</w:t>
      </w:r>
      <w:r w:rsidR="00C72A48">
        <w:rPr>
          <w:sz w:val="24"/>
          <w:szCs w:val="24"/>
        </w:rPr>
        <w:t>, I would expect that</w:t>
      </w:r>
      <w:r w:rsidR="00B4523D">
        <w:rPr>
          <w:sz w:val="24"/>
          <w:szCs w:val="24"/>
        </w:rPr>
        <w:t xml:space="preserve"> because</w:t>
      </w:r>
      <w:r w:rsidR="00AB77E6">
        <w:rPr>
          <w:sz w:val="24"/>
          <w:szCs w:val="24"/>
        </w:rPr>
        <w:t xml:space="preserve"> index funds have outperformed active funds</w:t>
      </w:r>
      <w:r w:rsidR="00B4523D">
        <w:rPr>
          <w:sz w:val="24"/>
          <w:szCs w:val="24"/>
        </w:rPr>
        <w:t>,</w:t>
      </w:r>
      <w:r w:rsidR="00AB77E6">
        <w:rPr>
          <w:sz w:val="24"/>
          <w:szCs w:val="24"/>
        </w:rPr>
        <w:t xml:space="preserve"> </w:t>
      </w:r>
      <w:r w:rsidR="00C72A48">
        <w:rPr>
          <w:sz w:val="24"/>
          <w:szCs w:val="24"/>
        </w:rPr>
        <w:t xml:space="preserve">there has been an increase in the use of passive investment vehicles during the </w:t>
      </w:r>
      <w:r w:rsidR="00A238D1">
        <w:rPr>
          <w:sz w:val="24"/>
          <w:szCs w:val="24"/>
        </w:rPr>
        <w:t xml:space="preserve">sample </w:t>
      </w:r>
      <w:r w:rsidR="00C72A48">
        <w:rPr>
          <w:sz w:val="24"/>
          <w:szCs w:val="24"/>
        </w:rPr>
        <w:t>time period</w:t>
      </w:r>
      <w:r w:rsidR="00CD4E12">
        <w:rPr>
          <w:sz w:val="24"/>
          <w:szCs w:val="24"/>
        </w:rPr>
        <w:t>, 3/1/2007 to 3/1/2017,</w:t>
      </w:r>
      <w:r w:rsidR="00A238D1">
        <w:rPr>
          <w:sz w:val="24"/>
          <w:szCs w:val="24"/>
        </w:rPr>
        <w:t xml:space="preserve"> that is accompanied by a decrease in the use of actively managed mutual funds and lower expense ratios for active funds.  When examining the data,</w:t>
      </w:r>
      <w:r w:rsidR="00FD4DA8">
        <w:rPr>
          <w:sz w:val="24"/>
          <w:szCs w:val="24"/>
        </w:rPr>
        <w:t xml:space="preserve"> I find that c</w:t>
      </w:r>
      <w:r w:rsidR="00A238D1">
        <w:rPr>
          <w:sz w:val="24"/>
          <w:szCs w:val="24"/>
        </w:rPr>
        <w:t>ash inflows to index mutual funds have significantly increased from 2007 to 2016</w:t>
      </w:r>
      <w:r w:rsidR="00CD4E12">
        <w:rPr>
          <w:sz w:val="24"/>
          <w:szCs w:val="24"/>
        </w:rPr>
        <w:t xml:space="preserve"> (no available data for 2017)</w:t>
      </w:r>
      <w:r w:rsidR="00A238D1">
        <w:rPr>
          <w:sz w:val="24"/>
          <w:szCs w:val="24"/>
        </w:rPr>
        <w:t xml:space="preserve">.  In fact, in 2016 cash inflows to index </w:t>
      </w:r>
      <w:r w:rsidR="007D4A45">
        <w:rPr>
          <w:sz w:val="24"/>
          <w:szCs w:val="24"/>
        </w:rPr>
        <w:t xml:space="preserve">mutual </w:t>
      </w:r>
      <w:r w:rsidR="00A238D1">
        <w:rPr>
          <w:sz w:val="24"/>
          <w:szCs w:val="24"/>
        </w:rPr>
        <w:t xml:space="preserve">funds reached a new record high of $197 </w:t>
      </w:r>
      <w:r w:rsidR="00A238D1" w:rsidRPr="00A450FA">
        <w:rPr>
          <w:sz w:val="24"/>
          <w:szCs w:val="24"/>
        </w:rPr>
        <w:t xml:space="preserve">billion </w:t>
      </w:r>
      <w:r w:rsidR="00A450FA">
        <w:rPr>
          <w:sz w:val="24"/>
          <w:szCs w:val="24"/>
        </w:rPr>
        <w:t>(“2017”</w:t>
      </w:r>
      <w:r w:rsidR="00A238D1" w:rsidRPr="00A450FA">
        <w:rPr>
          <w:sz w:val="24"/>
          <w:szCs w:val="24"/>
        </w:rPr>
        <w:t xml:space="preserve"> 27).  </w:t>
      </w:r>
      <w:r w:rsidR="00A450FA" w:rsidRPr="00A450FA">
        <w:rPr>
          <w:sz w:val="24"/>
          <w:szCs w:val="24"/>
        </w:rPr>
        <w:t>Figure 4</w:t>
      </w:r>
      <w:r w:rsidR="00095333">
        <w:rPr>
          <w:sz w:val="24"/>
          <w:szCs w:val="24"/>
        </w:rPr>
        <w:t xml:space="preserve"> below shows the new cash inflows to index mutual funds from 2007 to 2016. </w:t>
      </w:r>
    </w:p>
    <w:p w:rsidR="001753BD" w:rsidRDefault="001753BD" w:rsidP="00C72A48">
      <w:pPr>
        <w:spacing w:line="480" w:lineRule="auto"/>
        <w:rPr>
          <w:noProof/>
        </w:rPr>
      </w:pPr>
      <w:r>
        <w:rPr>
          <w:noProof/>
        </w:rPr>
        <w:lastRenderedPageBreak/>
        <w:drawing>
          <wp:inline distT="0" distB="0" distL="0" distR="0" wp14:anchorId="0CFEC7D4" wp14:editId="2544C3F1">
            <wp:extent cx="6181725" cy="3257550"/>
            <wp:effectExtent l="0" t="0" r="9525" b="0"/>
            <wp:docPr id="1" name="Chart 1">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DC836AC-8536-4361-801B-8416AB866B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095333" w:rsidRDefault="00A450FA" w:rsidP="00C72A48">
      <w:pPr>
        <w:spacing w:line="480" w:lineRule="auto"/>
        <w:rPr>
          <w:b/>
          <w:sz w:val="24"/>
          <w:szCs w:val="24"/>
        </w:rPr>
      </w:pPr>
      <w:r>
        <w:rPr>
          <w:b/>
          <w:sz w:val="24"/>
          <w:szCs w:val="24"/>
        </w:rPr>
        <w:t>Figure 4</w:t>
      </w:r>
    </w:p>
    <w:p w:rsidR="00D25DBE" w:rsidRDefault="001753BD" w:rsidP="00C72A48">
      <w:pPr>
        <w:spacing w:line="480" w:lineRule="auto"/>
        <w:rPr>
          <w:sz w:val="24"/>
          <w:szCs w:val="24"/>
        </w:rPr>
      </w:pPr>
      <w:r>
        <w:rPr>
          <w:noProof/>
        </w:rPr>
        <w:drawing>
          <wp:inline distT="0" distB="0" distL="0" distR="0" wp14:anchorId="564796C5" wp14:editId="136FDF5B">
            <wp:extent cx="6210300" cy="3438525"/>
            <wp:effectExtent l="0" t="0" r="0" b="0"/>
            <wp:docPr id="4" name="Chart 4">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85532CF-9542-47C4-A864-42598595D62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D25DBE" w:rsidRPr="00D25DBE" w:rsidRDefault="00A450FA" w:rsidP="00C72A48">
      <w:pPr>
        <w:spacing w:line="480" w:lineRule="auto"/>
        <w:rPr>
          <w:b/>
          <w:sz w:val="24"/>
          <w:szCs w:val="24"/>
        </w:rPr>
      </w:pPr>
      <w:r>
        <w:rPr>
          <w:b/>
          <w:sz w:val="24"/>
          <w:szCs w:val="24"/>
        </w:rPr>
        <w:t>Figure 5</w:t>
      </w:r>
    </w:p>
    <w:p w:rsidR="00C72A48" w:rsidRDefault="00D25DBE" w:rsidP="00C72A48">
      <w:pPr>
        <w:spacing w:line="480" w:lineRule="auto"/>
        <w:rPr>
          <w:sz w:val="24"/>
          <w:szCs w:val="24"/>
        </w:rPr>
      </w:pPr>
      <w:r>
        <w:rPr>
          <w:sz w:val="24"/>
          <w:szCs w:val="24"/>
        </w:rPr>
        <w:lastRenderedPageBreak/>
        <w:t>Index equity mutual funds have gained market share especially quickly</w:t>
      </w:r>
      <w:r w:rsidR="00106D1A">
        <w:rPr>
          <w:sz w:val="24"/>
          <w:szCs w:val="24"/>
        </w:rPr>
        <w:t>,</w:t>
      </w:r>
      <w:r>
        <w:rPr>
          <w:sz w:val="24"/>
          <w:szCs w:val="24"/>
        </w:rPr>
        <w:t xml:space="preserve"> as shown by </w:t>
      </w:r>
      <w:r w:rsidR="00E11F7E" w:rsidRPr="00E11F7E">
        <w:rPr>
          <w:sz w:val="24"/>
          <w:szCs w:val="24"/>
        </w:rPr>
        <w:t>Figure 5</w:t>
      </w:r>
      <w:r>
        <w:rPr>
          <w:sz w:val="24"/>
          <w:szCs w:val="24"/>
        </w:rPr>
        <w:t xml:space="preserve"> above, and have gone from accounting for only 11.7% of equity mutual funds’ total net assets in 2007 to 24.9% in 2016.  </w:t>
      </w:r>
      <w:r w:rsidR="00201F61">
        <w:rPr>
          <w:sz w:val="24"/>
          <w:szCs w:val="24"/>
        </w:rPr>
        <w:t>In addition to the increase in the use of index equity mutual funds, we have</w:t>
      </w:r>
      <w:r w:rsidR="00A238D1">
        <w:rPr>
          <w:sz w:val="24"/>
          <w:szCs w:val="24"/>
        </w:rPr>
        <w:t xml:space="preserve"> seen a large increase in the use of </w:t>
      </w:r>
      <w:r w:rsidR="00AB77E6">
        <w:rPr>
          <w:sz w:val="24"/>
          <w:szCs w:val="24"/>
        </w:rPr>
        <w:t>index ETFs.  W</w:t>
      </w:r>
      <w:r w:rsidR="007D4A45">
        <w:rPr>
          <w:sz w:val="24"/>
          <w:szCs w:val="24"/>
        </w:rPr>
        <w:t>ith the increase in the use of</w:t>
      </w:r>
      <w:r w:rsidR="00201F61">
        <w:rPr>
          <w:sz w:val="24"/>
          <w:szCs w:val="24"/>
        </w:rPr>
        <w:t xml:space="preserve"> these</w:t>
      </w:r>
      <w:r w:rsidR="007D4A45">
        <w:rPr>
          <w:sz w:val="24"/>
          <w:szCs w:val="24"/>
        </w:rPr>
        <w:t xml:space="preserve"> passive investment vehicles comes a decrease in the use of actively manage</w:t>
      </w:r>
      <w:r>
        <w:rPr>
          <w:sz w:val="24"/>
          <w:szCs w:val="24"/>
        </w:rPr>
        <w:t>d</w:t>
      </w:r>
      <w:r w:rsidR="007D4A45">
        <w:rPr>
          <w:sz w:val="24"/>
          <w:szCs w:val="24"/>
        </w:rPr>
        <w:t xml:space="preserve"> mutual funds.  This change in investment strategy is clear when you examine the cash flows associated with domestic equity funds.  Data from the Investment Company Fact Book shows that “from 2007 through 2016, index domestic equity mutual funds and ETFs received $1.4 trillion in net new cash and reinvested dividends, while actively managed domestic equity mutual funds experienced a net outflow of $1.1 trillion (including reinvested dividends)” </w:t>
      </w:r>
      <w:r w:rsidR="007D4A45" w:rsidRPr="00E11F7E">
        <w:rPr>
          <w:sz w:val="24"/>
          <w:szCs w:val="24"/>
        </w:rPr>
        <w:t>(</w:t>
      </w:r>
      <w:r w:rsidR="00E11F7E">
        <w:rPr>
          <w:sz w:val="24"/>
          <w:szCs w:val="24"/>
        </w:rPr>
        <w:t>“2017”</w:t>
      </w:r>
      <w:r w:rsidR="007D4A45" w:rsidRPr="00E11F7E">
        <w:rPr>
          <w:sz w:val="24"/>
          <w:szCs w:val="24"/>
        </w:rPr>
        <w:t xml:space="preserve"> 46).</w:t>
      </w:r>
      <w:r w:rsidR="00201F61">
        <w:rPr>
          <w:sz w:val="24"/>
          <w:szCs w:val="24"/>
        </w:rPr>
        <w:t xml:space="preserve">  </w:t>
      </w:r>
    </w:p>
    <w:p w:rsidR="001753BD" w:rsidRDefault="00D25DBE" w:rsidP="00C72A48">
      <w:pPr>
        <w:spacing w:line="480" w:lineRule="auto"/>
        <w:rPr>
          <w:sz w:val="24"/>
          <w:szCs w:val="24"/>
        </w:rPr>
      </w:pPr>
      <w:r>
        <w:rPr>
          <w:sz w:val="24"/>
          <w:szCs w:val="24"/>
        </w:rPr>
        <w:tab/>
      </w:r>
      <w:r w:rsidR="00C521EF">
        <w:rPr>
          <w:sz w:val="24"/>
          <w:szCs w:val="24"/>
        </w:rPr>
        <w:t>The combination of the effectiveness and increased use of passive investment vehicles coupled with the net cash outflows experienced by active funds has put considerable downward pressure on the expense ratios of actively managed mutual funds.  Because of this we see that expense ratios have steadily declined during our sample time period.  For equity mutual funds, we find that on an asset-weighted basis expense ratios have fallen from 0.86% in 2007 to 0.63% in 2016, a decline of 26.44%.  Expense ratios for hybrid mutual funds have declined by a more modest 3.90%, while expense ratios for bond mutual funds have declined by 20.31%</w:t>
      </w:r>
      <w:r w:rsidR="001753BD">
        <w:rPr>
          <w:sz w:val="24"/>
          <w:szCs w:val="24"/>
        </w:rPr>
        <w:t xml:space="preserve"> (</w:t>
      </w:r>
      <w:r w:rsidR="00E11F7E">
        <w:rPr>
          <w:sz w:val="24"/>
          <w:szCs w:val="24"/>
        </w:rPr>
        <w:t>“2017”</w:t>
      </w:r>
      <w:r w:rsidR="001753BD" w:rsidRPr="00E11F7E">
        <w:rPr>
          <w:sz w:val="24"/>
          <w:szCs w:val="24"/>
        </w:rPr>
        <w:t xml:space="preserve"> 88</w:t>
      </w:r>
      <w:r w:rsidR="001753BD">
        <w:rPr>
          <w:sz w:val="24"/>
          <w:szCs w:val="24"/>
        </w:rPr>
        <w:t>)</w:t>
      </w:r>
      <w:r w:rsidR="00C521EF">
        <w:rPr>
          <w:sz w:val="24"/>
          <w:szCs w:val="24"/>
        </w:rPr>
        <w:t>.</w:t>
      </w:r>
      <w:r w:rsidR="001753BD">
        <w:rPr>
          <w:sz w:val="24"/>
          <w:szCs w:val="24"/>
        </w:rPr>
        <w:t xml:space="preserve">  Average expense ratios for mutual funds </w:t>
      </w:r>
      <w:r w:rsidR="00521714">
        <w:rPr>
          <w:sz w:val="24"/>
          <w:szCs w:val="24"/>
        </w:rPr>
        <w:t xml:space="preserve">over the sample period </w:t>
      </w:r>
      <w:r w:rsidR="001753BD">
        <w:rPr>
          <w:sz w:val="24"/>
          <w:szCs w:val="24"/>
        </w:rPr>
        <w:t xml:space="preserve">can be found below in </w:t>
      </w:r>
      <w:r w:rsidR="00E11F7E" w:rsidRPr="00E11F7E">
        <w:rPr>
          <w:sz w:val="24"/>
          <w:szCs w:val="24"/>
        </w:rPr>
        <w:t>Figure 6</w:t>
      </w:r>
      <w:r w:rsidR="001753BD" w:rsidRPr="00E11F7E">
        <w:rPr>
          <w:sz w:val="24"/>
          <w:szCs w:val="24"/>
        </w:rPr>
        <w:t>.</w:t>
      </w:r>
    </w:p>
    <w:p w:rsidR="00D25DBE" w:rsidRDefault="001753BD" w:rsidP="00C72A48">
      <w:pPr>
        <w:spacing w:line="480" w:lineRule="auto"/>
        <w:rPr>
          <w:sz w:val="24"/>
          <w:szCs w:val="24"/>
        </w:rPr>
      </w:pPr>
      <w:r>
        <w:rPr>
          <w:noProof/>
        </w:rPr>
        <w:lastRenderedPageBreak/>
        <w:drawing>
          <wp:inline distT="0" distB="0" distL="0" distR="0" wp14:anchorId="6F56003C" wp14:editId="5153F502">
            <wp:extent cx="6124575" cy="3686175"/>
            <wp:effectExtent l="0" t="0" r="9525" b="9525"/>
            <wp:docPr id="3" name="Chart 3">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7281A93-7232-4B96-9C24-69C97DB102C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00C521EF">
        <w:rPr>
          <w:sz w:val="24"/>
          <w:szCs w:val="24"/>
        </w:rPr>
        <w:t xml:space="preserve">           </w:t>
      </w:r>
    </w:p>
    <w:p w:rsidR="00095333" w:rsidRDefault="001753BD" w:rsidP="00095333">
      <w:pPr>
        <w:spacing w:line="480" w:lineRule="auto"/>
        <w:rPr>
          <w:b/>
          <w:sz w:val="24"/>
          <w:szCs w:val="24"/>
        </w:rPr>
      </w:pPr>
      <w:r w:rsidRPr="00E11F7E">
        <w:rPr>
          <w:b/>
          <w:sz w:val="24"/>
          <w:szCs w:val="24"/>
        </w:rPr>
        <w:t xml:space="preserve">Figure </w:t>
      </w:r>
      <w:bookmarkEnd w:id="0"/>
      <w:r w:rsidR="00E11F7E">
        <w:rPr>
          <w:b/>
          <w:sz w:val="24"/>
          <w:szCs w:val="24"/>
        </w:rPr>
        <w:t>6</w:t>
      </w:r>
    </w:p>
    <w:p w:rsidR="00243515" w:rsidRDefault="004556D8" w:rsidP="00243515">
      <w:pPr>
        <w:spacing w:line="480" w:lineRule="auto"/>
        <w:jc w:val="center"/>
        <w:rPr>
          <w:b/>
          <w:sz w:val="28"/>
          <w:szCs w:val="28"/>
          <w:u w:val="single"/>
        </w:rPr>
      </w:pPr>
      <w:r>
        <w:rPr>
          <w:b/>
          <w:sz w:val="28"/>
          <w:szCs w:val="28"/>
          <w:u w:val="single"/>
        </w:rPr>
        <w:t>Conclusion</w:t>
      </w:r>
      <w:r w:rsidR="00E11F7E">
        <w:rPr>
          <w:b/>
          <w:sz w:val="28"/>
          <w:szCs w:val="28"/>
          <w:u w:val="single"/>
        </w:rPr>
        <w:t xml:space="preserve"> and Recommendations</w:t>
      </w:r>
    </w:p>
    <w:p w:rsidR="002E0679" w:rsidRDefault="0077312C" w:rsidP="0077312C">
      <w:pPr>
        <w:spacing w:line="480" w:lineRule="auto"/>
        <w:rPr>
          <w:sz w:val="24"/>
          <w:szCs w:val="24"/>
        </w:rPr>
      </w:pPr>
      <w:r>
        <w:rPr>
          <w:sz w:val="24"/>
          <w:szCs w:val="24"/>
        </w:rPr>
        <w:tab/>
        <w:t>In the beginning of this paper, I laid out several questions that investors must ask themselves when deciding between active and passive portfolio management.  The first of these is</w:t>
      </w:r>
      <w:r w:rsidR="00F33333">
        <w:rPr>
          <w:sz w:val="24"/>
          <w:szCs w:val="24"/>
        </w:rPr>
        <w:t>,</w:t>
      </w:r>
      <w:r>
        <w:rPr>
          <w:sz w:val="24"/>
          <w:szCs w:val="24"/>
        </w:rPr>
        <w:t xml:space="preserve"> are markets efficient and which market am I interested in investing in?  Past research has consistently shown U.S. markets to be efficient, and the results of my analysis support this </w:t>
      </w:r>
      <w:r w:rsidR="00F33333">
        <w:rPr>
          <w:sz w:val="24"/>
          <w:szCs w:val="24"/>
        </w:rPr>
        <w:t>conclusion.</w:t>
      </w:r>
      <w:r>
        <w:rPr>
          <w:sz w:val="24"/>
          <w:szCs w:val="24"/>
        </w:rPr>
        <w:t xml:space="preserve">  Active</w:t>
      </w:r>
      <w:r w:rsidR="006C668B">
        <w:rPr>
          <w:sz w:val="24"/>
          <w:szCs w:val="24"/>
        </w:rPr>
        <w:t>ly managed</w:t>
      </w:r>
      <w:r>
        <w:rPr>
          <w:sz w:val="24"/>
          <w:szCs w:val="24"/>
        </w:rPr>
        <w:t xml:space="preserve"> U.S. funds significantly underperformed compared to t</w:t>
      </w:r>
      <w:r w:rsidR="006C668B">
        <w:rPr>
          <w:sz w:val="24"/>
          <w:szCs w:val="24"/>
        </w:rPr>
        <w:t xml:space="preserve">heir benchmarks, indicating that there is no benefit to active management in the U.S.  </w:t>
      </w:r>
    </w:p>
    <w:p w:rsidR="002E0679" w:rsidRDefault="00066FCF" w:rsidP="002E0679">
      <w:pPr>
        <w:spacing w:line="480" w:lineRule="auto"/>
        <w:ind w:firstLine="720"/>
        <w:rPr>
          <w:sz w:val="24"/>
          <w:szCs w:val="24"/>
        </w:rPr>
      </w:pPr>
      <w:r>
        <w:rPr>
          <w:sz w:val="24"/>
          <w:szCs w:val="24"/>
        </w:rPr>
        <w:t xml:space="preserve">Fees and expenses have a negative impact on net of fees return, which is detrimental to the investor.  I attempted to determine the impact of specific fees on annualized net of fees </w:t>
      </w:r>
      <w:r>
        <w:rPr>
          <w:sz w:val="24"/>
          <w:szCs w:val="24"/>
        </w:rPr>
        <w:lastRenderedPageBreak/>
        <w:t xml:space="preserve">returns in my analysis, but did not receive a result that was statistically significant.  Because of this I recommend that further research be done to determine which fees are most detrimental to net of fees returns.  </w:t>
      </w:r>
    </w:p>
    <w:p w:rsidR="00E11F7E" w:rsidRDefault="00521516" w:rsidP="002E0679">
      <w:pPr>
        <w:spacing w:line="480" w:lineRule="auto"/>
        <w:ind w:firstLine="720"/>
        <w:rPr>
          <w:sz w:val="24"/>
          <w:szCs w:val="24"/>
        </w:rPr>
      </w:pPr>
      <w:r>
        <w:rPr>
          <w:sz w:val="24"/>
          <w:szCs w:val="24"/>
        </w:rPr>
        <w:t xml:space="preserve">The fact that no benefit to active management has been found in U.S. markets does not mean </w:t>
      </w:r>
      <w:r w:rsidR="006C668B">
        <w:rPr>
          <w:sz w:val="24"/>
          <w:szCs w:val="24"/>
        </w:rPr>
        <w:t xml:space="preserve">that there is no benefit to active management in EAFE and emerging markets.  In my analysis I performed a regression </w:t>
      </w:r>
      <w:r w:rsidR="00F33333">
        <w:rPr>
          <w:sz w:val="24"/>
          <w:szCs w:val="24"/>
        </w:rPr>
        <w:t>analysis</w:t>
      </w:r>
      <w:r w:rsidR="006C668B">
        <w:rPr>
          <w:sz w:val="24"/>
          <w:szCs w:val="24"/>
        </w:rPr>
        <w:t xml:space="preserve"> to attempt to determine if there is a benefit to active management in these markets, as past research has shown.  The results of this analysis were not statistically significant and were therefore inconclusive.  Based on this, I recommend the use of passive investment vehicles in U.S. markets, and recommend that further research be done to determine the merits of active management in EAFE and emerging markets.  I expect the use of passively managed index funds to continue to increase </w:t>
      </w:r>
      <w:r w:rsidR="00066FCF">
        <w:rPr>
          <w:sz w:val="24"/>
          <w:szCs w:val="24"/>
        </w:rPr>
        <w:t>in U.S. markets.</w:t>
      </w:r>
      <w:r w:rsidR="005625F6">
        <w:rPr>
          <w:sz w:val="24"/>
          <w:szCs w:val="24"/>
        </w:rPr>
        <w:t xml:space="preserve"> </w:t>
      </w:r>
      <w:r w:rsidR="00066FCF">
        <w:rPr>
          <w:sz w:val="24"/>
          <w:szCs w:val="24"/>
        </w:rPr>
        <w:t xml:space="preserve"> I also predict that expense ratios for actively managed funds and cash inflows to active funds will continue to decline until </w:t>
      </w:r>
      <w:r w:rsidR="005E6796">
        <w:rPr>
          <w:sz w:val="24"/>
          <w:szCs w:val="24"/>
        </w:rPr>
        <w:t>the expense ratio</w:t>
      </w:r>
      <w:r w:rsidR="00066FCF">
        <w:rPr>
          <w:sz w:val="24"/>
          <w:szCs w:val="24"/>
        </w:rPr>
        <w:t xml:space="preserve"> equal</w:t>
      </w:r>
      <w:r w:rsidR="005E6796">
        <w:rPr>
          <w:sz w:val="24"/>
          <w:szCs w:val="24"/>
        </w:rPr>
        <w:t>s</w:t>
      </w:r>
      <w:r w:rsidR="00066FCF">
        <w:rPr>
          <w:sz w:val="24"/>
          <w:szCs w:val="24"/>
        </w:rPr>
        <w:t xml:space="preserve"> the average alpha provided by portfolio managers.  This will allow the returns for active funds to increase until they are in equilibrium with the return of index funds.</w:t>
      </w:r>
    </w:p>
    <w:p w:rsidR="00066FCF" w:rsidRDefault="00066FCF" w:rsidP="0077312C">
      <w:pPr>
        <w:spacing w:line="480" w:lineRule="auto"/>
        <w:rPr>
          <w:sz w:val="24"/>
          <w:szCs w:val="24"/>
        </w:rPr>
      </w:pPr>
      <w:r>
        <w:rPr>
          <w:sz w:val="24"/>
          <w:szCs w:val="24"/>
        </w:rPr>
        <w:tab/>
        <w:t>Other questions investors may ask themselves that could impact their choice of investment strategy include</w:t>
      </w:r>
      <w:r w:rsidR="005E6796">
        <w:rPr>
          <w:sz w:val="24"/>
          <w:szCs w:val="24"/>
        </w:rPr>
        <w:t>:</w:t>
      </w:r>
      <w:r w:rsidR="00521516">
        <w:rPr>
          <w:sz w:val="24"/>
          <w:szCs w:val="24"/>
        </w:rPr>
        <w:t xml:space="preserve"> how much control do I want over my portfolio</w:t>
      </w:r>
      <w:r w:rsidR="005E6796">
        <w:rPr>
          <w:sz w:val="24"/>
          <w:szCs w:val="24"/>
        </w:rPr>
        <w:t>,</w:t>
      </w:r>
      <w:r w:rsidR="00521516">
        <w:rPr>
          <w:sz w:val="24"/>
          <w:szCs w:val="24"/>
        </w:rPr>
        <w:t xml:space="preserve"> and do I have the time and skillset to manage my own investments?  Depending on the answer to these questions it may be beneficial to consider active management even in U.S. markets.  This is because there are benefits to active management besides excess return.  This includes having a greater deal of control over the asset allocation of your portfolio and the portfolio as a whole.  Additionally, the use of a portfolio manager or financial advisor allows individuals to use their time for things </w:t>
      </w:r>
      <w:r w:rsidR="00521516">
        <w:rPr>
          <w:sz w:val="24"/>
          <w:szCs w:val="24"/>
        </w:rPr>
        <w:lastRenderedPageBreak/>
        <w:t>other than investing.  Finally, advisors can offer other benefits such as financial planning</w:t>
      </w:r>
      <w:r w:rsidR="005E6796">
        <w:rPr>
          <w:sz w:val="24"/>
          <w:szCs w:val="24"/>
        </w:rPr>
        <w:t xml:space="preserve"> </w:t>
      </w:r>
      <w:r w:rsidR="002E0679">
        <w:rPr>
          <w:sz w:val="24"/>
          <w:szCs w:val="24"/>
        </w:rPr>
        <w:t xml:space="preserve">and </w:t>
      </w:r>
      <w:r w:rsidR="005E6796">
        <w:rPr>
          <w:sz w:val="24"/>
          <w:szCs w:val="24"/>
        </w:rPr>
        <w:t>improved risk management</w:t>
      </w:r>
      <w:r w:rsidR="00521516">
        <w:rPr>
          <w:sz w:val="24"/>
          <w:szCs w:val="24"/>
        </w:rPr>
        <w:t xml:space="preserve">.  Because of this, I conclude that investors who are interested in maximizing their long term return on investment </w:t>
      </w:r>
      <w:r w:rsidR="006673DB">
        <w:rPr>
          <w:sz w:val="24"/>
          <w:szCs w:val="24"/>
        </w:rPr>
        <w:t xml:space="preserve">in U.S. markets </w:t>
      </w:r>
      <w:r w:rsidR="00521516">
        <w:rPr>
          <w:sz w:val="24"/>
          <w:szCs w:val="24"/>
        </w:rPr>
        <w:t>should pursue a passive investing strategy, while those searching for other benefits should consider pursuing an active investing strategy.</w:t>
      </w:r>
    </w:p>
    <w:p w:rsidR="00521516" w:rsidRDefault="00521516" w:rsidP="0077312C">
      <w:pPr>
        <w:spacing w:line="480" w:lineRule="auto"/>
        <w:rPr>
          <w:sz w:val="24"/>
          <w:szCs w:val="24"/>
        </w:rPr>
      </w:pPr>
    </w:p>
    <w:p w:rsidR="00521516" w:rsidRDefault="00521516" w:rsidP="0077312C">
      <w:pPr>
        <w:spacing w:line="480" w:lineRule="auto"/>
        <w:rPr>
          <w:sz w:val="24"/>
          <w:szCs w:val="24"/>
        </w:rPr>
      </w:pPr>
    </w:p>
    <w:p w:rsidR="00521516" w:rsidRDefault="00521516" w:rsidP="0077312C">
      <w:pPr>
        <w:spacing w:line="480" w:lineRule="auto"/>
        <w:rPr>
          <w:sz w:val="24"/>
          <w:szCs w:val="24"/>
        </w:rPr>
      </w:pPr>
    </w:p>
    <w:p w:rsidR="00521516" w:rsidRDefault="00521516" w:rsidP="0077312C">
      <w:pPr>
        <w:spacing w:line="480" w:lineRule="auto"/>
        <w:rPr>
          <w:sz w:val="24"/>
          <w:szCs w:val="24"/>
        </w:rPr>
      </w:pPr>
    </w:p>
    <w:p w:rsidR="00521516" w:rsidRDefault="00521516" w:rsidP="0077312C">
      <w:pPr>
        <w:spacing w:line="480" w:lineRule="auto"/>
        <w:rPr>
          <w:sz w:val="24"/>
          <w:szCs w:val="24"/>
        </w:rPr>
      </w:pPr>
    </w:p>
    <w:p w:rsidR="00521516" w:rsidRDefault="00521516" w:rsidP="0077312C">
      <w:pPr>
        <w:spacing w:line="480" w:lineRule="auto"/>
        <w:rPr>
          <w:sz w:val="24"/>
          <w:szCs w:val="24"/>
        </w:rPr>
      </w:pPr>
    </w:p>
    <w:p w:rsidR="00521516" w:rsidRDefault="00521516" w:rsidP="0077312C">
      <w:pPr>
        <w:spacing w:line="480" w:lineRule="auto"/>
        <w:rPr>
          <w:sz w:val="24"/>
          <w:szCs w:val="24"/>
        </w:rPr>
      </w:pPr>
    </w:p>
    <w:p w:rsidR="00521516" w:rsidRDefault="00521516" w:rsidP="0077312C">
      <w:pPr>
        <w:spacing w:line="480" w:lineRule="auto"/>
        <w:rPr>
          <w:sz w:val="24"/>
          <w:szCs w:val="24"/>
        </w:rPr>
      </w:pPr>
    </w:p>
    <w:p w:rsidR="00521516" w:rsidRDefault="00521516" w:rsidP="0077312C">
      <w:pPr>
        <w:spacing w:line="480" w:lineRule="auto"/>
        <w:rPr>
          <w:sz w:val="24"/>
          <w:szCs w:val="24"/>
        </w:rPr>
      </w:pPr>
    </w:p>
    <w:p w:rsidR="00521516" w:rsidRDefault="00521516" w:rsidP="0077312C">
      <w:pPr>
        <w:spacing w:line="480" w:lineRule="auto"/>
        <w:rPr>
          <w:sz w:val="24"/>
          <w:szCs w:val="24"/>
        </w:rPr>
      </w:pPr>
    </w:p>
    <w:p w:rsidR="00521516" w:rsidRDefault="00521516" w:rsidP="0077312C">
      <w:pPr>
        <w:spacing w:line="480" w:lineRule="auto"/>
        <w:rPr>
          <w:sz w:val="24"/>
          <w:szCs w:val="24"/>
        </w:rPr>
      </w:pPr>
    </w:p>
    <w:p w:rsidR="00521516" w:rsidRDefault="00521516" w:rsidP="0077312C">
      <w:pPr>
        <w:spacing w:line="480" w:lineRule="auto"/>
        <w:rPr>
          <w:sz w:val="24"/>
          <w:szCs w:val="24"/>
        </w:rPr>
      </w:pPr>
    </w:p>
    <w:p w:rsidR="00521516" w:rsidRPr="0077312C" w:rsidRDefault="00521516" w:rsidP="0077312C">
      <w:pPr>
        <w:spacing w:line="480" w:lineRule="auto"/>
        <w:rPr>
          <w:sz w:val="24"/>
          <w:szCs w:val="24"/>
        </w:rPr>
      </w:pPr>
    </w:p>
    <w:p w:rsidR="004556D8" w:rsidRDefault="004556D8" w:rsidP="004556D8">
      <w:pPr>
        <w:spacing w:line="480" w:lineRule="auto"/>
        <w:jc w:val="center"/>
        <w:rPr>
          <w:b/>
          <w:sz w:val="28"/>
          <w:szCs w:val="28"/>
          <w:u w:val="single"/>
        </w:rPr>
      </w:pPr>
      <w:r>
        <w:rPr>
          <w:b/>
          <w:sz w:val="28"/>
          <w:szCs w:val="28"/>
          <w:u w:val="single"/>
        </w:rPr>
        <w:lastRenderedPageBreak/>
        <w:t>Works Cited</w:t>
      </w:r>
    </w:p>
    <w:p w:rsidR="00A35468" w:rsidRDefault="00A35468" w:rsidP="00931CD5">
      <w:pPr>
        <w:spacing w:line="480" w:lineRule="auto"/>
        <w:ind w:left="720" w:hanging="720"/>
        <w:rPr>
          <w:sz w:val="24"/>
          <w:szCs w:val="24"/>
        </w:rPr>
      </w:pPr>
      <w:r>
        <w:rPr>
          <w:sz w:val="24"/>
          <w:szCs w:val="24"/>
        </w:rPr>
        <w:t>“2017 Investment Company Fact Book: A Review of Trends a</w:t>
      </w:r>
      <w:r w:rsidR="00931CD5">
        <w:rPr>
          <w:sz w:val="24"/>
          <w:szCs w:val="24"/>
        </w:rPr>
        <w:t xml:space="preserve">nd Activities in the Investment                                                  </w:t>
      </w:r>
      <w:r>
        <w:rPr>
          <w:sz w:val="24"/>
          <w:szCs w:val="24"/>
        </w:rPr>
        <w:t>Company Indu</w:t>
      </w:r>
      <w:r w:rsidR="00931CD5">
        <w:rPr>
          <w:sz w:val="24"/>
          <w:szCs w:val="24"/>
        </w:rPr>
        <w:t>s</w:t>
      </w:r>
      <w:r>
        <w:rPr>
          <w:sz w:val="24"/>
          <w:szCs w:val="24"/>
        </w:rPr>
        <w:t xml:space="preserve">try.” Vol.57, </w:t>
      </w:r>
      <w:hyperlink r:id="rId10" w:history="1">
        <w:r w:rsidRPr="009022B0">
          <w:rPr>
            <w:rStyle w:val="Hyperlink"/>
            <w:sz w:val="24"/>
            <w:szCs w:val="24"/>
          </w:rPr>
          <w:t>www.ici.org_factbook.pdf</w:t>
        </w:r>
      </w:hyperlink>
      <w:r>
        <w:rPr>
          <w:sz w:val="24"/>
          <w:szCs w:val="24"/>
        </w:rPr>
        <w:t xml:space="preserve">. Accessed </w:t>
      </w:r>
      <w:r w:rsidR="00931CD5">
        <w:rPr>
          <w:sz w:val="24"/>
          <w:szCs w:val="24"/>
        </w:rPr>
        <w:t>19</w:t>
      </w:r>
      <w:r>
        <w:rPr>
          <w:sz w:val="24"/>
          <w:szCs w:val="24"/>
        </w:rPr>
        <w:t xml:space="preserve"> </w:t>
      </w:r>
      <w:r w:rsidR="00931CD5">
        <w:rPr>
          <w:sz w:val="24"/>
          <w:szCs w:val="24"/>
        </w:rPr>
        <w:t>Ap</w:t>
      </w:r>
      <w:r>
        <w:rPr>
          <w:sz w:val="24"/>
          <w:szCs w:val="24"/>
        </w:rPr>
        <w:t>r. 2017.</w:t>
      </w:r>
    </w:p>
    <w:p w:rsidR="00931CD5" w:rsidRDefault="00931CD5" w:rsidP="00931CD5">
      <w:pPr>
        <w:spacing w:line="480" w:lineRule="auto"/>
        <w:ind w:left="720" w:hanging="720"/>
        <w:rPr>
          <w:sz w:val="24"/>
          <w:szCs w:val="24"/>
        </w:rPr>
      </w:pPr>
      <w:r>
        <w:rPr>
          <w:sz w:val="24"/>
          <w:szCs w:val="24"/>
        </w:rPr>
        <w:t xml:space="preserve">Cremers, Martijn, </w:t>
      </w:r>
      <w:proofErr w:type="gramStart"/>
      <w:r>
        <w:rPr>
          <w:sz w:val="24"/>
          <w:szCs w:val="24"/>
        </w:rPr>
        <w:t>et</w:t>
      </w:r>
      <w:proofErr w:type="gramEnd"/>
      <w:r>
        <w:rPr>
          <w:sz w:val="24"/>
          <w:szCs w:val="24"/>
        </w:rPr>
        <w:t xml:space="preserve"> al. “Indexing and Active Fund Management: International Evidence.” </w:t>
      </w:r>
      <w:r>
        <w:rPr>
          <w:i/>
          <w:sz w:val="24"/>
          <w:szCs w:val="24"/>
        </w:rPr>
        <w:t>Journal of Financial Economics,</w:t>
      </w:r>
      <w:r>
        <w:rPr>
          <w:sz w:val="24"/>
          <w:szCs w:val="24"/>
        </w:rPr>
        <w:t xml:space="preserve"> vol. 120, no. 3, 2016, pp. 539-560.</w:t>
      </w:r>
    </w:p>
    <w:p w:rsidR="00931CD5" w:rsidRDefault="00931CD5" w:rsidP="00931CD5">
      <w:pPr>
        <w:spacing w:line="480" w:lineRule="auto"/>
        <w:ind w:left="720" w:hanging="720"/>
        <w:rPr>
          <w:sz w:val="24"/>
          <w:szCs w:val="24"/>
        </w:rPr>
      </w:pPr>
      <w:r>
        <w:rPr>
          <w:sz w:val="24"/>
          <w:szCs w:val="24"/>
        </w:rPr>
        <w:t xml:space="preserve">Dyck, Alexander, et al. “Does Active Management Pay? New International Evidence.” </w:t>
      </w:r>
      <w:hyperlink r:id="rId11" w:history="1">
        <w:r w:rsidRPr="009022B0">
          <w:rPr>
            <w:rStyle w:val="Hyperlink"/>
            <w:sz w:val="24"/>
            <w:szCs w:val="24"/>
          </w:rPr>
          <w:t>www.aqr.com/library/journal-articles/does-active-management-pay-new-international-evidence</w:t>
        </w:r>
      </w:hyperlink>
      <w:r>
        <w:rPr>
          <w:sz w:val="24"/>
          <w:szCs w:val="24"/>
        </w:rPr>
        <w:t>. Accessed 5 Feb. 2017</w:t>
      </w:r>
      <w:r w:rsidR="00BE7013">
        <w:rPr>
          <w:sz w:val="24"/>
          <w:szCs w:val="24"/>
        </w:rPr>
        <w:t>.</w:t>
      </w:r>
    </w:p>
    <w:p w:rsidR="00931CD5" w:rsidRDefault="00931CD5" w:rsidP="00931CD5">
      <w:pPr>
        <w:spacing w:line="480" w:lineRule="auto"/>
        <w:ind w:left="720" w:hanging="720"/>
        <w:rPr>
          <w:sz w:val="24"/>
          <w:szCs w:val="24"/>
        </w:rPr>
      </w:pPr>
      <w:r>
        <w:rPr>
          <w:sz w:val="24"/>
          <w:szCs w:val="24"/>
        </w:rPr>
        <w:t xml:space="preserve">Fama, Eugene F., and Kenneth R. French. “Luck versus Skill in the Cross-Section of Mutual Fund Returns.” </w:t>
      </w:r>
      <w:r>
        <w:rPr>
          <w:i/>
          <w:sz w:val="24"/>
          <w:szCs w:val="24"/>
        </w:rPr>
        <w:t>The Journal of Finance,</w:t>
      </w:r>
      <w:r>
        <w:rPr>
          <w:sz w:val="24"/>
          <w:szCs w:val="24"/>
        </w:rPr>
        <w:t xml:space="preserve"> vol. 65, no. 5, 2010, pp. 1915-1947.</w:t>
      </w:r>
    </w:p>
    <w:p w:rsidR="00BE7013" w:rsidRDefault="00BE7013" w:rsidP="00931CD5">
      <w:pPr>
        <w:spacing w:line="480" w:lineRule="auto"/>
        <w:ind w:left="720" w:hanging="720"/>
        <w:rPr>
          <w:sz w:val="24"/>
          <w:szCs w:val="24"/>
        </w:rPr>
      </w:pPr>
      <w:r>
        <w:rPr>
          <w:sz w:val="24"/>
          <w:szCs w:val="24"/>
        </w:rPr>
        <w:t xml:space="preserve">“Financial Services Spotlight: The Financial Services Industry in the United States.” </w:t>
      </w:r>
      <w:r>
        <w:rPr>
          <w:i/>
          <w:sz w:val="24"/>
          <w:szCs w:val="24"/>
        </w:rPr>
        <w:t>Select USA</w:t>
      </w:r>
      <w:r>
        <w:rPr>
          <w:sz w:val="24"/>
          <w:szCs w:val="24"/>
        </w:rPr>
        <w:t xml:space="preserve">, International Trade Administration’s Industry &amp; Analysis Unit (I&amp;A), </w:t>
      </w:r>
      <w:hyperlink r:id="rId12" w:history="1">
        <w:r w:rsidRPr="009022B0">
          <w:rPr>
            <w:rStyle w:val="Hyperlink"/>
            <w:sz w:val="24"/>
            <w:szCs w:val="24"/>
          </w:rPr>
          <w:t>www.selectusa.gov/financial-services-industry-united-states</w:t>
        </w:r>
      </w:hyperlink>
      <w:r>
        <w:rPr>
          <w:sz w:val="24"/>
          <w:szCs w:val="24"/>
        </w:rPr>
        <w:t>.</w:t>
      </w:r>
    </w:p>
    <w:p w:rsidR="00BE7013" w:rsidRDefault="00BE7013" w:rsidP="00931CD5">
      <w:pPr>
        <w:spacing w:line="480" w:lineRule="auto"/>
        <w:ind w:left="720" w:hanging="720"/>
        <w:rPr>
          <w:sz w:val="24"/>
          <w:szCs w:val="24"/>
        </w:rPr>
      </w:pPr>
      <w:r>
        <w:rPr>
          <w:sz w:val="24"/>
          <w:szCs w:val="24"/>
        </w:rPr>
        <w:t xml:space="preserve">French, Kenneth R. “Presidential Address: The Cost of Active Investing.” </w:t>
      </w:r>
      <w:r>
        <w:rPr>
          <w:i/>
          <w:sz w:val="24"/>
          <w:szCs w:val="24"/>
        </w:rPr>
        <w:t>The Journal of Finance,</w:t>
      </w:r>
      <w:r>
        <w:rPr>
          <w:sz w:val="24"/>
          <w:szCs w:val="24"/>
        </w:rPr>
        <w:t xml:space="preserve"> vol. 63, no. 4, 2008, pp. 1537-1573.</w:t>
      </w:r>
    </w:p>
    <w:p w:rsidR="00AC5D37" w:rsidRPr="00AC5D37" w:rsidRDefault="00BE7013" w:rsidP="0004374D">
      <w:pPr>
        <w:spacing w:line="480" w:lineRule="auto"/>
        <w:ind w:left="720" w:hanging="720"/>
        <w:rPr>
          <w:sz w:val="24"/>
          <w:szCs w:val="24"/>
        </w:rPr>
      </w:pPr>
      <w:r>
        <w:rPr>
          <w:sz w:val="24"/>
          <w:szCs w:val="24"/>
        </w:rPr>
        <w:t>Schwartz, Shelly, and Special to CNBC.com. “Passive Investing is Profitable, but Th</w:t>
      </w:r>
      <w:bookmarkStart w:id="1" w:name="_GoBack"/>
      <w:bookmarkEnd w:id="1"/>
      <w:r>
        <w:rPr>
          <w:sz w:val="24"/>
          <w:szCs w:val="24"/>
        </w:rPr>
        <w:t xml:space="preserve">ere’s a Time to Get Active.” </w:t>
      </w:r>
      <w:r>
        <w:rPr>
          <w:i/>
          <w:sz w:val="24"/>
          <w:szCs w:val="24"/>
        </w:rPr>
        <w:t xml:space="preserve">CNBC, </w:t>
      </w:r>
      <w:r>
        <w:rPr>
          <w:sz w:val="24"/>
          <w:szCs w:val="24"/>
        </w:rPr>
        <w:t xml:space="preserve">CNBC, 9 Sept. 2015, </w:t>
      </w:r>
      <w:hyperlink r:id="rId13" w:history="1">
        <w:r w:rsidRPr="009022B0">
          <w:rPr>
            <w:rStyle w:val="Hyperlink"/>
            <w:sz w:val="24"/>
            <w:szCs w:val="24"/>
          </w:rPr>
          <w:t>www.cnbc.com?2015/09/08/passive-investing-is-profitable-but-theres-a-time-to-get-active.html</w:t>
        </w:r>
      </w:hyperlink>
      <w:r>
        <w:rPr>
          <w:sz w:val="24"/>
          <w:szCs w:val="24"/>
        </w:rPr>
        <w:t>. Accessed 2 Mar. 2017.</w:t>
      </w:r>
    </w:p>
    <w:p w:rsidR="00AC5D37" w:rsidRPr="00EF125B" w:rsidRDefault="00AC5D37" w:rsidP="00761084">
      <w:pPr>
        <w:spacing w:line="480" w:lineRule="auto"/>
        <w:ind w:firstLine="720"/>
        <w:rPr>
          <w:sz w:val="24"/>
          <w:szCs w:val="24"/>
        </w:rPr>
      </w:pPr>
    </w:p>
    <w:sectPr w:rsidR="00AC5D37" w:rsidRPr="00EF12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4EF6863"/>
    <w:multiLevelType w:val="hybridMultilevel"/>
    <w:tmpl w:val="C6287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125B"/>
    <w:rsid w:val="0004374D"/>
    <w:rsid w:val="00066FCF"/>
    <w:rsid w:val="000714CB"/>
    <w:rsid w:val="00095333"/>
    <w:rsid w:val="000B4AB6"/>
    <w:rsid w:val="00106D1A"/>
    <w:rsid w:val="00162F2F"/>
    <w:rsid w:val="0016506A"/>
    <w:rsid w:val="001753BD"/>
    <w:rsid w:val="00176746"/>
    <w:rsid w:val="001C431B"/>
    <w:rsid w:val="001D391E"/>
    <w:rsid w:val="001D6BF6"/>
    <w:rsid w:val="00201F61"/>
    <w:rsid w:val="00210EF2"/>
    <w:rsid w:val="0021237C"/>
    <w:rsid w:val="00225B46"/>
    <w:rsid w:val="00243515"/>
    <w:rsid w:val="00244EF3"/>
    <w:rsid w:val="00270C4F"/>
    <w:rsid w:val="00295E54"/>
    <w:rsid w:val="00296946"/>
    <w:rsid w:val="002B76CD"/>
    <w:rsid w:val="002C6C23"/>
    <w:rsid w:val="002D52C0"/>
    <w:rsid w:val="002E0679"/>
    <w:rsid w:val="002E3241"/>
    <w:rsid w:val="0032760D"/>
    <w:rsid w:val="00373F6E"/>
    <w:rsid w:val="0038488E"/>
    <w:rsid w:val="00391F86"/>
    <w:rsid w:val="003F06E6"/>
    <w:rsid w:val="003F2101"/>
    <w:rsid w:val="004556D8"/>
    <w:rsid w:val="00473BCD"/>
    <w:rsid w:val="0048232F"/>
    <w:rsid w:val="004A07F7"/>
    <w:rsid w:val="004A0F90"/>
    <w:rsid w:val="004C6E14"/>
    <w:rsid w:val="00504B74"/>
    <w:rsid w:val="005161AB"/>
    <w:rsid w:val="00521516"/>
    <w:rsid w:val="00521714"/>
    <w:rsid w:val="0054293F"/>
    <w:rsid w:val="0054474B"/>
    <w:rsid w:val="00561D99"/>
    <w:rsid w:val="005625F6"/>
    <w:rsid w:val="005631E1"/>
    <w:rsid w:val="005932CC"/>
    <w:rsid w:val="005A1FCF"/>
    <w:rsid w:val="005B7715"/>
    <w:rsid w:val="005C6CFD"/>
    <w:rsid w:val="005E54B0"/>
    <w:rsid w:val="005E6796"/>
    <w:rsid w:val="00603B14"/>
    <w:rsid w:val="00632952"/>
    <w:rsid w:val="00634ECA"/>
    <w:rsid w:val="00647432"/>
    <w:rsid w:val="006673DB"/>
    <w:rsid w:val="006C668B"/>
    <w:rsid w:val="007042E6"/>
    <w:rsid w:val="00717518"/>
    <w:rsid w:val="0072216A"/>
    <w:rsid w:val="00741823"/>
    <w:rsid w:val="00751DA2"/>
    <w:rsid w:val="00761084"/>
    <w:rsid w:val="00766CCF"/>
    <w:rsid w:val="0077312C"/>
    <w:rsid w:val="00773FCE"/>
    <w:rsid w:val="00793B5B"/>
    <w:rsid w:val="00797AB5"/>
    <w:rsid w:val="007D4A45"/>
    <w:rsid w:val="007E058A"/>
    <w:rsid w:val="00804F90"/>
    <w:rsid w:val="00847010"/>
    <w:rsid w:val="00866FAE"/>
    <w:rsid w:val="008A42C2"/>
    <w:rsid w:val="008F3E8D"/>
    <w:rsid w:val="00900EDC"/>
    <w:rsid w:val="00924849"/>
    <w:rsid w:val="00931CD5"/>
    <w:rsid w:val="00965CC6"/>
    <w:rsid w:val="009A2ACE"/>
    <w:rsid w:val="009C6E79"/>
    <w:rsid w:val="009D3B46"/>
    <w:rsid w:val="009D672C"/>
    <w:rsid w:val="009D7C5B"/>
    <w:rsid w:val="00A01A8E"/>
    <w:rsid w:val="00A07E9B"/>
    <w:rsid w:val="00A238D1"/>
    <w:rsid w:val="00A34018"/>
    <w:rsid w:val="00A35468"/>
    <w:rsid w:val="00A450FA"/>
    <w:rsid w:val="00A918BE"/>
    <w:rsid w:val="00AB447A"/>
    <w:rsid w:val="00AB5690"/>
    <w:rsid w:val="00AB77E6"/>
    <w:rsid w:val="00AC5D37"/>
    <w:rsid w:val="00AC6F80"/>
    <w:rsid w:val="00B0253C"/>
    <w:rsid w:val="00B1762B"/>
    <w:rsid w:val="00B20A9D"/>
    <w:rsid w:val="00B305F8"/>
    <w:rsid w:val="00B3346A"/>
    <w:rsid w:val="00B425F7"/>
    <w:rsid w:val="00B4523D"/>
    <w:rsid w:val="00BC2873"/>
    <w:rsid w:val="00BD134F"/>
    <w:rsid w:val="00BE7013"/>
    <w:rsid w:val="00C25FF4"/>
    <w:rsid w:val="00C351EA"/>
    <w:rsid w:val="00C521EF"/>
    <w:rsid w:val="00C54D2A"/>
    <w:rsid w:val="00C72A48"/>
    <w:rsid w:val="00CB4DFF"/>
    <w:rsid w:val="00CD335D"/>
    <w:rsid w:val="00CD4DFA"/>
    <w:rsid w:val="00CD4E12"/>
    <w:rsid w:val="00D25DBE"/>
    <w:rsid w:val="00D5111C"/>
    <w:rsid w:val="00D524FF"/>
    <w:rsid w:val="00D97A84"/>
    <w:rsid w:val="00DB0C30"/>
    <w:rsid w:val="00DD723A"/>
    <w:rsid w:val="00E11F7E"/>
    <w:rsid w:val="00E56424"/>
    <w:rsid w:val="00E611D9"/>
    <w:rsid w:val="00E6223D"/>
    <w:rsid w:val="00E9614F"/>
    <w:rsid w:val="00EA2D67"/>
    <w:rsid w:val="00EF125B"/>
    <w:rsid w:val="00F013A9"/>
    <w:rsid w:val="00F025F4"/>
    <w:rsid w:val="00F04C74"/>
    <w:rsid w:val="00F12A77"/>
    <w:rsid w:val="00F15561"/>
    <w:rsid w:val="00F15959"/>
    <w:rsid w:val="00F33333"/>
    <w:rsid w:val="00F562B9"/>
    <w:rsid w:val="00F66B43"/>
    <w:rsid w:val="00F805F3"/>
    <w:rsid w:val="00F8109C"/>
    <w:rsid w:val="00F852CE"/>
    <w:rsid w:val="00FD094B"/>
    <w:rsid w:val="00FD4DA8"/>
    <w:rsid w:val="00FF0F76"/>
    <w:rsid w:val="00FF2C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A12C92-3C4D-4514-A456-93F73977D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6E14"/>
    <w:pPr>
      <w:ind w:left="720"/>
      <w:contextualSpacing/>
    </w:pPr>
  </w:style>
  <w:style w:type="table" w:styleId="TableGrid">
    <w:name w:val="Table Grid"/>
    <w:basedOn w:val="TableNormal"/>
    <w:uiPriority w:val="39"/>
    <w:rsid w:val="00CD4D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35468"/>
    <w:rPr>
      <w:color w:val="0563C1" w:themeColor="hyperlink"/>
      <w:u w:val="single"/>
    </w:rPr>
  </w:style>
  <w:style w:type="character" w:customStyle="1" w:styleId="apple-converted-space">
    <w:name w:val="apple-converted-space"/>
    <w:basedOn w:val="DefaultParagraphFont"/>
    <w:rsid w:val="00A354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86363">
      <w:bodyDiv w:val="1"/>
      <w:marLeft w:val="0"/>
      <w:marRight w:val="0"/>
      <w:marTop w:val="0"/>
      <w:marBottom w:val="0"/>
      <w:divBdr>
        <w:top w:val="none" w:sz="0" w:space="0" w:color="auto"/>
        <w:left w:val="none" w:sz="0" w:space="0" w:color="auto"/>
        <w:bottom w:val="none" w:sz="0" w:space="0" w:color="auto"/>
        <w:right w:val="none" w:sz="0" w:space="0" w:color="auto"/>
      </w:divBdr>
    </w:div>
    <w:div w:id="299116677">
      <w:bodyDiv w:val="1"/>
      <w:marLeft w:val="0"/>
      <w:marRight w:val="0"/>
      <w:marTop w:val="0"/>
      <w:marBottom w:val="0"/>
      <w:divBdr>
        <w:top w:val="none" w:sz="0" w:space="0" w:color="auto"/>
        <w:left w:val="none" w:sz="0" w:space="0" w:color="auto"/>
        <w:bottom w:val="none" w:sz="0" w:space="0" w:color="auto"/>
        <w:right w:val="none" w:sz="0" w:space="0" w:color="auto"/>
      </w:divBdr>
    </w:div>
    <w:div w:id="644968308">
      <w:bodyDiv w:val="1"/>
      <w:marLeft w:val="0"/>
      <w:marRight w:val="0"/>
      <w:marTop w:val="0"/>
      <w:marBottom w:val="0"/>
      <w:divBdr>
        <w:top w:val="none" w:sz="0" w:space="0" w:color="auto"/>
        <w:left w:val="none" w:sz="0" w:space="0" w:color="auto"/>
        <w:bottom w:val="none" w:sz="0" w:space="0" w:color="auto"/>
        <w:right w:val="none" w:sz="0" w:space="0" w:color="auto"/>
      </w:divBdr>
    </w:div>
    <w:div w:id="980353545">
      <w:bodyDiv w:val="1"/>
      <w:marLeft w:val="0"/>
      <w:marRight w:val="0"/>
      <w:marTop w:val="0"/>
      <w:marBottom w:val="0"/>
      <w:divBdr>
        <w:top w:val="none" w:sz="0" w:space="0" w:color="auto"/>
        <w:left w:val="none" w:sz="0" w:space="0" w:color="auto"/>
        <w:bottom w:val="none" w:sz="0" w:space="0" w:color="auto"/>
        <w:right w:val="none" w:sz="0" w:space="0" w:color="auto"/>
      </w:divBdr>
    </w:div>
    <w:div w:id="1771927280">
      <w:bodyDiv w:val="1"/>
      <w:marLeft w:val="0"/>
      <w:marRight w:val="0"/>
      <w:marTop w:val="0"/>
      <w:marBottom w:val="0"/>
      <w:divBdr>
        <w:top w:val="none" w:sz="0" w:space="0" w:color="auto"/>
        <w:left w:val="none" w:sz="0" w:space="0" w:color="auto"/>
        <w:bottom w:val="none" w:sz="0" w:space="0" w:color="auto"/>
        <w:right w:val="none" w:sz="0" w:space="0" w:color="auto"/>
      </w:divBdr>
    </w:div>
    <w:div w:id="1845395201">
      <w:bodyDiv w:val="1"/>
      <w:marLeft w:val="0"/>
      <w:marRight w:val="0"/>
      <w:marTop w:val="0"/>
      <w:marBottom w:val="0"/>
      <w:divBdr>
        <w:top w:val="none" w:sz="0" w:space="0" w:color="auto"/>
        <w:left w:val="none" w:sz="0" w:space="0" w:color="auto"/>
        <w:bottom w:val="none" w:sz="0" w:space="0" w:color="auto"/>
        <w:right w:val="none" w:sz="0" w:space="0" w:color="auto"/>
      </w:divBdr>
    </w:div>
    <w:div w:id="2119057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hyperlink" Target="http://www.cnbc.com?2015/09/08/passive-investing-is-profitable-but-theres-a-time-to-get-active.html" TargetMode="Externa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hyperlink" Target="http://www.selectusa.gov/financial-services-industry-united-state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hyperlink" Target="http://www.aqr.com/library/journal-articles/does-active-management-pay-new-international-evidenc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ici.org_factbook.pdf" TargetMode="Externa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lineChart>
        <c:grouping val="standard"/>
        <c:varyColors val="0"/>
        <c:ser>
          <c:idx val="0"/>
          <c:order val="0"/>
          <c:tx>
            <c:strRef>
              <c:f>Sheet1!$C$1</c:f>
              <c:strCache>
                <c:ptCount val="1"/>
                <c:pt idx="0">
                  <c:v>Net New Cash Inflows to Index Mutual Funds (Billions)</c:v>
                </c:pt>
              </c:strCache>
            </c:strRef>
          </c:tx>
          <c:spPr>
            <a:ln w="31750" cap="rnd">
              <a:solidFill>
                <a:schemeClr val="accent1"/>
              </a:solidFill>
              <a:round/>
            </a:ln>
            <a:effectLst/>
          </c:spPr>
          <c:marker>
            <c:symbol val="circle"/>
            <c:size val="17"/>
            <c:spPr>
              <a:solidFill>
                <a:schemeClr val="accen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Sheet1!$B$2:$B$11</c:f>
              <c:numCache>
                <c:formatCode>General</c:formatCode>
                <c:ptCount val="10"/>
                <c:pt idx="0">
                  <c:v>2007</c:v>
                </c:pt>
                <c:pt idx="1">
                  <c:v>2008</c:v>
                </c:pt>
                <c:pt idx="2">
                  <c:v>2009</c:v>
                </c:pt>
                <c:pt idx="3">
                  <c:v>2010</c:v>
                </c:pt>
                <c:pt idx="4">
                  <c:v>2011</c:v>
                </c:pt>
                <c:pt idx="5">
                  <c:v>2012</c:v>
                </c:pt>
                <c:pt idx="6">
                  <c:v>2013</c:v>
                </c:pt>
                <c:pt idx="7">
                  <c:v>2014</c:v>
                </c:pt>
                <c:pt idx="8">
                  <c:v>2015</c:v>
                </c:pt>
                <c:pt idx="9">
                  <c:v>2016</c:v>
                </c:pt>
              </c:numCache>
            </c:numRef>
          </c:cat>
          <c:val>
            <c:numRef>
              <c:f>Sheet1!$C$2:$C$11</c:f>
              <c:numCache>
                <c:formatCode>General</c:formatCode>
                <c:ptCount val="10"/>
                <c:pt idx="0">
                  <c:v>61</c:v>
                </c:pt>
                <c:pt idx="1">
                  <c:v>49</c:v>
                </c:pt>
                <c:pt idx="2">
                  <c:v>60</c:v>
                </c:pt>
                <c:pt idx="3">
                  <c:v>58</c:v>
                </c:pt>
                <c:pt idx="4">
                  <c:v>55</c:v>
                </c:pt>
                <c:pt idx="5">
                  <c:v>59</c:v>
                </c:pt>
                <c:pt idx="6">
                  <c:v>114</c:v>
                </c:pt>
                <c:pt idx="7">
                  <c:v>149</c:v>
                </c:pt>
                <c:pt idx="8">
                  <c:v>166</c:v>
                </c:pt>
                <c:pt idx="9">
                  <c:v>197</c:v>
                </c:pt>
              </c:numCache>
            </c:numRef>
          </c:val>
          <c:smooth val="0"/>
          <c:extLst xmlns:c16r2="http://schemas.microsoft.com/office/drawing/2015/06/chart">
            <c:ext xmlns:c16="http://schemas.microsoft.com/office/drawing/2014/chart" uri="{C3380CC4-5D6E-409C-BE32-E72D297353CC}">
              <c16:uniqueId val="{00000000-1706-4AF2-B36B-BB0884DCB977}"/>
            </c:ext>
          </c:extLst>
        </c:ser>
        <c:dLbls>
          <c:dLblPos val="ctr"/>
          <c:showLegendKey val="0"/>
          <c:showVal val="1"/>
          <c:showCatName val="0"/>
          <c:showSerName val="0"/>
          <c:showPercent val="0"/>
          <c:showBubbleSize val="0"/>
        </c:dLbls>
        <c:marker val="1"/>
        <c:smooth val="0"/>
        <c:axId val="516029584"/>
        <c:axId val="516033504"/>
      </c:lineChart>
      <c:catAx>
        <c:axId val="516029584"/>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516033504"/>
        <c:crosses val="autoZero"/>
        <c:auto val="1"/>
        <c:lblAlgn val="ctr"/>
        <c:lblOffset val="100"/>
        <c:noMultiLvlLbl val="0"/>
      </c:catAx>
      <c:valAx>
        <c:axId val="516033504"/>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516029584"/>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barChart>
        <c:barDir val="col"/>
        <c:grouping val="clustered"/>
        <c:varyColors val="0"/>
        <c:ser>
          <c:idx val="0"/>
          <c:order val="0"/>
          <c:tx>
            <c:strRef>
              <c:f>Sheet1!$C$1</c:f>
              <c:strCache>
                <c:ptCount val="1"/>
                <c:pt idx="0">
                  <c:v>Percentage of Equity Mutual Fund's Total Net Assets in Index Funds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Sheet1!$B$2:$B$11</c:f>
              <c:numCache>
                <c:formatCode>General</c:formatCode>
                <c:ptCount val="10"/>
                <c:pt idx="0">
                  <c:v>2007</c:v>
                </c:pt>
                <c:pt idx="1">
                  <c:v>2008</c:v>
                </c:pt>
                <c:pt idx="2">
                  <c:v>2009</c:v>
                </c:pt>
                <c:pt idx="3">
                  <c:v>2010</c:v>
                </c:pt>
                <c:pt idx="4">
                  <c:v>2011</c:v>
                </c:pt>
                <c:pt idx="5">
                  <c:v>2012</c:v>
                </c:pt>
                <c:pt idx="6">
                  <c:v>2013</c:v>
                </c:pt>
                <c:pt idx="7">
                  <c:v>2014</c:v>
                </c:pt>
                <c:pt idx="8">
                  <c:v>2015</c:v>
                </c:pt>
                <c:pt idx="9">
                  <c:v>2016</c:v>
                </c:pt>
              </c:numCache>
            </c:numRef>
          </c:cat>
          <c:val>
            <c:numRef>
              <c:f>Sheet1!$C$2:$C$11</c:f>
              <c:numCache>
                <c:formatCode>0.0%</c:formatCode>
                <c:ptCount val="10"/>
                <c:pt idx="0">
                  <c:v>0.11700000000000001</c:v>
                </c:pt>
                <c:pt idx="1">
                  <c:v>0.13600000000000001</c:v>
                </c:pt>
                <c:pt idx="2">
                  <c:v>0.13900000000000001</c:v>
                </c:pt>
                <c:pt idx="3">
                  <c:v>0.14699999999999999</c:v>
                </c:pt>
                <c:pt idx="4">
                  <c:v>0.16400000000000001</c:v>
                </c:pt>
                <c:pt idx="5">
                  <c:v>0.17399999999999999</c:v>
                </c:pt>
                <c:pt idx="6">
                  <c:v>0.184</c:v>
                </c:pt>
                <c:pt idx="7">
                  <c:v>0.20200000000000001</c:v>
                </c:pt>
                <c:pt idx="8">
                  <c:v>0.22</c:v>
                </c:pt>
                <c:pt idx="9">
                  <c:v>0.249</c:v>
                </c:pt>
              </c:numCache>
            </c:numRef>
          </c:val>
          <c:extLst xmlns:c16r2="http://schemas.microsoft.com/office/drawing/2015/06/chart">
            <c:ext xmlns:c16="http://schemas.microsoft.com/office/drawing/2014/chart" uri="{C3380CC4-5D6E-409C-BE32-E72D297353CC}">
              <c16:uniqueId val="{00000000-AED4-4ABF-AB02-98044EF318DF}"/>
            </c:ext>
          </c:extLst>
        </c:ser>
        <c:dLbls>
          <c:showLegendKey val="0"/>
          <c:showVal val="0"/>
          <c:showCatName val="0"/>
          <c:showSerName val="0"/>
          <c:showPercent val="0"/>
          <c:showBubbleSize val="0"/>
        </c:dLbls>
        <c:gapWidth val="100"/>
        <c:overlap val="-24"/>
        <c:axId val="516033112"/>
        <c:axId val="516028016"/>
      </c:barChart>
      <c:catAx>
        <c:axId val="516033112"/>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516028016"/>
        <c:crosses val="autoZero"/>
        <c:auto val="1"/>
        <c:lblAlgn val="ctr"/>
        <c:lblOffset val="100"/>
        <c:noMultiLvlLbl val="0"/>
      </c:catAx>
      <c:valAx>
        <c:axId val="516028016"/>
        <c:scaling>
          <c:orientation val="minMax"/>
        </c:scaling>
        <c:delete val="0"/>
        <c:axPos val="l"/>
        <c:majorGridlines>
          <c:spPr>
            <a:ln w="9525" cap="flat" cmpd="sng" algn="ctr">
              <a:solidFill>
                <a:schemeClr val="lt1">
                  <a:lumMod val="95000"/>
                  <a:alpha val="10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516033112"/>
        <c:crosses val="autoZero"/>
        <c:crossBetween val="between"/>
      </c:valAx>
      <c:spPr>
        <a:noFill/>
        <a:ln>
          <a:noFill/>
        </a:ln>
        <a:effectLst/>
      </c:spPr>
    </c:plotArea>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Expense Ratios for Mutual Funds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Sheet1!$C$1</c:f>
              <c:strCache>
                <c:ptCount val="1"/>
                <c:pt idx="0">
                  <c:v>Equity</c:v>
                </c:pt>
              </c:strCache>
            </c:strRef>
          </c:tx>
          <c:spPr>
            <a:solidFill>
              <a:schemeClr val="accent1"/>
            </a:solidFill>
            <a:ln>
              <a:noFill/>
            </a:ln>
            <a:effectLst/>
          </c:spPr>
          <c:invertIfNegative val="0"/>
          <c:cat>
            <c:numRef>
              <c:f>Sheet1!$B$2:$B$11</c:f>
              <c:numCache>
                <c:formatCode>General</c:formatCode>
                <c:ptCount val="10"/>
                <c:pt idx="0">
                  <c:v>2007</c:v>
                </c:pt>
                <c:pt idx="1">
                  <c:v>2008</c:v>
                </c:pt>
                <c:pt idx="2">
                  <c:v>2009</c:v>
                </c:pt>
                <c:pt idx="3">
                  <c:v>2010</c:v>
                </c:pt>
                <c:pt idx="4">
                  <c:v>2011</c:v>
                </c:pt>
                <c:pt idx="5">
                  <c:v>2012</c:v>
                </c:pt>
                <c:pt idx="6">
                  <c:v>2013</c:v>
                </c:pt>
                <c:pt idx="7">
                  <c:v>2014</c:v>
                </c:pt>
                <c:pt idx="8">
                  <c:v>2015</c:v>
                </c:pt>
                <c:pt idx="9">
                  <c:v>2016</c:v>
                </c:pt>
              </c:numCache>
            </c:numRef>
          </c:cat>
          <c:val>
            <c:numRef>
              <c:f>Sheet1!$C$2:$C$11</c:f>
              <c:numCache>
                <c:formatCode>0.00%</c:formatCode>
                <c:ptCount val="10"/>
                <c:pt idx="0">
                  <c:v>8.6E-3</c:v>
                </c:pt>
                <c:pt idx="1">
                  <c:v>8.3000000000000001E-3</c:v>
                </c:pt>
                <c:pt idx="2">
                  <c:v>8.6999999999999994E-3</c:v>
                </c:pt>
                <c:pt idx="3">
                  <c:v>8.3000000000000001E-3</c:v>
                </c:pt>
                <c:pt idx="4">
                  <c:v>7.9000000000000008E-3</c:v>
                </c:pt>
                <c:pt idx="5">
                  <c:v>7.7000000000000002E-3</c:v>
                </c:pt>
                <c:pt idx="6">
                  <c:v>7.4000000000000003E-3</c:v>
                </c:pt>
                <c:pt idx="7">
                  <c:v>7.0000000000000001E-3</c:v>
                </c:pt>
                <c:pt idx="8">
                  <c:v>6.7000000000000002E-3</c:v>
                </c:pt>
                <c:pt idx="9">
                  <c:v>6.3E-3</c:v>
                </c:pt>
              </c:numCache>
            </c:numRef>
          </c:val>
          <c:extLst xmlns:c16r2="http://schemas.microsoft.com/office/drawing/2015/06/chart">
            <c:ext xmlns:c16="http://schemas.microsoft.com/office/drawing/2014/chart" uri="{C3380CC4-5D6E-409C-BE32-E72D297353CC}">
              <c16:uniqueId val="{00000000-8B22-418A-804A-3BDFB785B3AA}"/>
            </c:ext>
          </c:extLst>
        </c:ser>
        <c:ser>
          <c:idx val="1"/>
          <c:order val="1"/>
          <c:tx>
            <c:strRef>
              <c:f>Sheet1!$D$1</c:f>
              <c:strCache>
                <c:ptCount val="1"/>
                <c:pt idx="0">
                  <c:v>Hybrid </c:v>
                </c:pt>
              </c:strCache>
            </c:strRef>
          </c:tx>
          <c:spPr>
            <a:solidFill>
              <a:schemeClr val="accent2"/>
            </a:solidFill>
            <a:ln>
              <a:noFill/>
            </a:ln>
            <a:effectLst/>
          </c:spPr>
          <c:invertIfNegative val="0"/>
          <c:cat>
            <c:numRef>
              <c:f>Sheet1!$B$2:$B$11</c:f>
              <c:numCache>
                <c:formatCode>General</c:formatCode>
                <c:ptCount val="10"/>
                <c:pt idx="0">
                  <c:v>2007</c:v>
                </c:pt>
                <c:pt idx="1">
                  <c:v>2008</c:v>
                </c:pt>
                <c:pt idx="2">
                  <c:v>2009</c:v>
                </c:pt>
                <c:pt idx="3">
                  <c:v>2010</c:v>
                </c:pt>
                <c:pt idx="4">
                  <c:v>2011</c:v>
                </c:pt>
                <c:pt idx="5">
                  <c:v>2012</c:v>
                </c:pt>
                <c:pt idx="6">
                  <c:v>2013</c:v>
                </c:pt>
                <c:pt idx="7">
                  <c:v>2014</c:v>
                </c:pt>
                <c:pt idx="8">
                  <c:v>2015</c:v>
                </c:pt>
                <c:pt idx="9">
                  <c:v>2016</c:v>
                </c:pt>
              </c:numCache>
            </c:numRef>
          </c:cat>
          <c:val>
            <c:numRef>
              <c:f>Sheet1!$D$2:$D$11</c:f>
              <c:numCache>
                <c:formatCode>0.00%</c:formatCode>
                <c:ptCount val="10"/>
                <c:pt idx="0">
                  <c:v>7.7000000000000002E-3</c:v>
                </c:pt>
                <c:pt idx="1">
                  <c:v>7.7000000000000002E-3</c:v>
                </c:pt>
                <c:pt idx="2">
                  <c:v>8.3999999999999995E-3</c:v>
                </c:pt>
                <c:pt idx="3">
                  <c:v>8.2000000000000007E-3</c:v>
                </c:pt>
                <c:pt idx="4">
                  <c:v>8.0000000000000002E-3</c:v>
                </c:pt>
                <c:pt idx="5">
                  <c:v>7.9000000000000008E-3</c:v>
                </c:pt>
                <c:pt idx="6">
                  <c:v>8.0000000000000002E-3</c:v>
                </c:pt>
                <c:pt idx="7">
                  <c:v>7.7999999999999996E-3</c:v>
                </c:pt>
                <c:pt idx="8">
                  <c:v>7.7000000000000002E-3</c:v>
                </c:pt>
                <c:pt idx="9">
                  <c:v>7.4000000000000003E-3</c:v>
                </c:pt>
              </c:numCache>
            </c:numRef>
          </c:val>
          <c:extLst xmlns:c16r2="http://schemas.microsoft.com/office/drawing/2015/06/chart">
            <c:ext xmlns:c16="http://schemas.microsoft.com/office/drawing/2014/chart" uri="{C3380CC4-5D6E-409C-BE32-E72D297353CC}">
              <c16:uniqueId val="{00000001-8B22-418A-804A-3BDFB785B3AA}"/>
            </c:ext>
          </c:extLst>
        </c:ser>
        <c:ser>
          <c:idx val="2"/>
          <c:order val="2"/>
          <c:tx>
            <c:strRef>
              <c:f>Sheet1!$E$1</c:f>
              <c:strCache>
                <c:ptCount val="1"/>
                <c:pt idx="0">
                  <c:v>Bond</c:v>
                </c:pt>
              </c:strCache>
            </c:strRef>
          </c:tx>
          <c:spPr>
            <a:solidFill>
              <a:schemeClr val="accent3"/>
            </a:solidFill>
            <a:ln>
              <a:noFill/>
            </a:ln>
            <a:effectLst/>
          </c:spPr>
          <c:invertIfNegative val="0"/>
          <c:cat>
            <c:numRef>
              <c:f>Sheet1!$B$2:$B$11</c:f>
              <c:numCache>
                <c:formatCode>General</c:formatCode>
                <c:ptCount val="10"/>
                <c:pt idx="0">
                  <c:v>2007</c:v>
                </c:pt>
                <c:pt idx="1">
                  <c:v>2008</c:v>
                </c:pt>
                <c:pt idx="2">
                  <c:v>2009</c:v>
                </c:pt>
                <c:pt idx="3">
                  <c:v>2010</c:v>
                </c:pt>
                <c:pt idx="4">
                  <c:v>2011</c:v>
                </c:pt>
                <c:pt idx="5">
                  <c:v>2012</c:v>
                </c:pt>
                <c:pt idx="6">
                  <c:v>2013</c:v>
                </c:pt>
                <c:pt idx="7">
                  <c:v>2014</c:v>
                </c:pt>
                <c:pt idx="8">
                  <c:v>2015</c:v>
                </c:pt>
                <c:pt idx="9">
                  <c:v>2016</c:v>
                </c:pt>
              </c:numCache>
            </c:numRef>
          </c:cat>
          <c:val>
            <c:numRef>
              <c:f>Sheet1!$E$2:$E$11</c:f>
              <c:numCache>
                <c:formatCode>0.00%</c:formatCode>
                <c:ptCount val="10"/>
                <c:pt idx="0">
                  <c:v>6.4000000000000003E-3</c:v>
                </c:pt>
                <c:pt idx="1">
                  <c:v>6.1000000000000004E-3</c:v>
                </c:pt>
                <c:pt idx="2">
                  <c:v>6.4000000000000003E-3</c:v>
                </c:pt>
                <c:pt idx="3">
                  <c:v>6.3E-3</c:v>
                </c:pt>
                <c:pt idx="4">
                  <c:v>6.1999999999999998E-3</c:v>
                </c:pt>
                <c:pt idx="5">
                  <c:v>6.1000000000000004E-3</c:v>
                </c:pt>
                <c:pt idx="6">
                  <c:v>6.1000000000000004E-3</c:v>
                </c:pt>
                <c:pt idx="7">
                  <c:v>5.7000000000000002E-3</c:v>
                </c:pt>
                <c:pt idx="8">
                  <c:v>5.4000000000000003E-3</c:v>
                </c:pt>
                <c:pt idx="9">
                  <c:v>5.1000000000000004E-3</c:v>
                </c:pt>
              </c:numCache>
            </c:numRef>
          </c:val>
          <c:extLst xmlns:c16r2="http://schemas.microsoft.com/office/drawing/2015/06/chart">
            <c:ext xmlns:c16="http://schemas.microsoft.com/office/drawing/2014/chart" uri="{C3380CC4-5D6E-409C-BE32-E72D297353CC}">
              <c16:uniqueId val="{00000002-8B22-418A-804A-3BDFB785B3AA}"/>
            </c:ext>
          </c:extLst>
        </c:ser>
        <c:dLbls>
          <c:showLegendKey val="0"/>
          <c:showVal val="0"/>
          <c:showCatName val="0"/>
          <c:showSerName val="0"/>
          <c:showPercent val="0"/>
          <c:showBubbleSize val="0"/>
        </c:dLbls>
        <c:gapWidth val="219"/>
        <c:overlap val="-27"/>
        <c:axId val="516028800"/>
        <c:axId val="516028408"/>
      </c:barChart>
      <c:catAx>
        <c:axId val="516028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6028408"/>
        <c:crosses val="autoZero"/>
        <c:auto val="1"/>
        <c:lblAlgn val="ctr"/>
        <c:lblOffset val="100"/>
        <c:noMultiLvlLbl val="0"/>
      </c:catAx>
      <c:valAx>
        <c:axId val="51602840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60288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6A4D71-72A4-464D-B7FB-FF98D8080F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757</TotalTime>
  <Pages>22</Pages>
  <Words>4854</Words>
  <Characters>27673</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32463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Cox</dc:creator>
  <cp:keywords/>
  <dc:description/>
  <cp:lastModifiedBy>Chris Cox</cp:lastModifiedBy>
  <cp:revision>48</cp:revision>
  <dcterms:created xsi:type="dcterms:W3CDTF">2017-05-02T00:24:00Z</dcterms:created>
  <dcterms:modified xsi:type="dcterms:W3CDTF">2017-05-02T14:46:00Z</dcterms:modified>
</cp:coreProperties>
</file>